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w:t>
      </w:r>
    </w:p>
    <w:p w:rsidR="00BC216A" w:rsidRPr="00386FAD" w:rsidRDefault="00BC216A"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67148D" w:rsidRPr="00D15E0E" w:rsidRDefault="0067148D" w:rsidP="00370EA7">
      <w:pPr>
        <w:spacing w:after="0"/>
        <w:ind w:firstLine="284"/>
        <w:jc w:val="center"/>
        <w:rPr>
          <w:rFonts w:ascii="Times New Roman" w:hAnsi="Times New Roman" w:cs="Times New Roman"/>
          <w:sz w:val="24"/>
          <w:szCs w:val="24"/>
        </w:rPr>
      </w:pPr>
      <w:r w:rsidRPr="00D15E0E">
        <w:rPr>
          <w:rFonts w:ascii="Times New Roman" w:hAnsi="Times New Roman" w:cs="Times New Roman"/>
          <w:sz w:val="24"/>
          <w:szCs w:val="24"/>
        </w:rPr>
        <w:t>О внесении изменени</w:t>
      </w:r>
      <w:r w:rsidR="00910174" w:rsidRPr="00D15E0E">
        <w:rPr>
          <w:rFonts w:ascii="Times New Roman" w:hAnsi="Times New Roman" w:cs="Times New Roman"/>
          <w:sz w:val="24"/>
          <w:szCs w:val="24"/>
        </w:rPr>
        <w:t>я</w:t>
      </w:r>
      <w:r w:rsidRPr="00D15E0E">
        <w:rPr>
          <w:rFonts w:ascii="Times New Roman" w:hAnsi="Times New Roman" w:cs="Times New Roman"/>
          <w:sz w:val="24"/>
          <w:szCs w:val="24"/>
        </w:rPr>
        <w:t xml:space="preserve"> в Приказ Министерства экономического развития Приднестровской Молдавско</w:t>
      </w:r>
      <w:r w:rsidR="0001262B" w:rsidRPr="00D15E0E">
        <w:rPr>
          <w:rFonts w:ascii="Times New Roman" w:hAnsi="Times New Roman" w:cs="Times New Roman"/>
          <w:sz w:val="24"/>
          <w:szCs w:val="24"/>
        </w:rPr>
        <w:t>й Республики от 24 декабря 2018 года № </w:t>
      </w:r>
      <w:r w:rsidRPr="00D15E0E">
        <w:rPr>
          <w:rFonts w:ascii="Times New Roman" w:hAnsi="Times New Roman" w:cs="Times New Roman"/>
          <w:sz w:val="24"/>
          <w:szCs w:val="24"/>
        </w:rPr>
        <w:t>1070 «Об утверждении Регламента предоставления государственной услуги «Аккредитация юридических лиц на право пров</w:t>
      </w:r>
      <w:bookmarkStart w:id="0" w:name="_GoBack"/>
      <w:bookmarkEnd w:id="0"/>
      <w:r w:rsidRPr="00D15E0E">
        <w:rPr>
          <w:rFonts w:ascii="Times New Roman" w:hAnsi="Times New Roman" w:cs="Times New Roman"/>
          <w:sz w:val="24"/>
          <w:szCs w:val="24"/>
        </w:rPr>
        <w:t>едения работ в области промышленной б</w:t>
      </w:r>
      <w:r w:rsidR="0001262B" w:rsidRPr="00D15E0E">
        <w:rPr>
          <w:rFonts w:ascii="Times New Roman" w:hAnsi="Times New Roman" w:cs="Times New Roman"/>
          <w:sz w:val="24"/>
          <w:szCs w:val="24"/>
        </w:rPr>
        <w:t>езопасности» (регистрационный № 8660 от 24 января 2019 </w:t>
      </w:r>
      <w:r w:rsidRPr="00D15E0E">
        <w:rPr>
          <w:rFonts w:ascii="Times New Roman" w:hAnsi="Times New Roman" w:cs="Times New Roman"/>
          <w:sz w:val="24"/>
          <w:szCs w:val="24"/>
        </w:rPr>
        <w:t>год</w:t>
      </w:r>
      <w:r w:rsidR="0001262B" w:rsidRPr="00D15E0E">
        <w:rPr>
          <w:rFonts w:ascii="Times New Roman" w:hAnsi="Times New Roman" w:cs="Times New Roman"/>
          <w:sz w:val="24"/>
          <w:szCs w:val="24"/>
        </w:rPr>
        <w:t>а) (САЗ </w:t>
      </w:r>
      <w:r w:rsidRPr="00D15E0E">
        <w:rPr>
          <w:rFonts w:ascii="Times New Roman" w:hAnsi="Times New Roman" w:cs="Times New Roman"/>
          <w:sz w:val="24"/>
          <w:szCs w:val="24"/>
        </w:rPr>
        <w:t>19-3)</w:t>
      </w:r>
    </w:p>
    <w:p w:rsidR="00586987" w:rsidRPr="00D15E0E" w:rsidRDefault="00586987" w:rsidP="00D15E0E">
      <w:pPr>
        <w:spacing w:after="0"/>
        <w:ind w:firstLine="284"/>
        <w:jc w:val="both"/>
        <w:rPr>
          <w:rFonts w:ascii="Times New Roman" w:hAnsi="Times New Roman" w:cs="Times New Roman"/>
          <w:sz w:val="24"/>
          <w:szCs w:val="24"/>
        </w:rPr>
      </w:pP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В соответствии с Законом Приднестровской Молдавско</w:t>
      </w:r>
      <w:r w:rsidR="0001262B" w:rsidRPr="00D15E0E">
        <w:rPr>
          <w:rFonts w:ascii="Times New Roman" w:hAnsi="Times New Roman" w:cs="Times New Roman"/>
          <w:sz w:val="24"/>
          <w:szCs w:val="24"/>
        </w:rPr>
        <w:t>й Республики от 19 августа 2016 года № </w:t>
      </w:r>
      <w:r w:rsidRPr="00D15E0E">
        <w:rPr>
          <w:rFonts w:ascii="Times New Roman" w:hAnsi="Times New Roman" w:cs="Times New Roman"/>
          <w:sz w:val="24"/>
          <w:szCs w:val="24"/>
        </w:rPr>
        <w:t>211-З-VI «Об организации предос</w:t>
      </w:r>
      <w:r w:rsidR="0001262B" w:rsidRPr="00D15E0E">
        <w:rPr>
          <w:rFonts w:ascii="Times New Roman" w:hAnsi="Times New Roman" w:cs="Times New Roman"/>
          <w:sz w:val="24"/>
          <w:szCs w:val="24"/>
        </w:rPr>
        <w:t>тавления государственных услуг» (САЗ </w:t>
      </w:r>
      <w:r w:rsidRPr="00D15E0E">
        <w:rPr>
          <w:rFonts w:ascii="Times New Roman" w:hAnsi="Times New Roman" w:cs="Times New Roman"/>
          <w:sz w:val="24"/>
          <w:szCs w:val="24"/>
        </w:rPr>
        <w:t>16-33) в действующей редакции, Постановлением Правительства Приднестровской Молдавско</w:t>
      </w:r>
      <w:r w:rsidR="0001262B" w:rsidRPr="00D15E0E">
        <w:rPr>
          <w:rFonts w:ascii="Times New Roman" w:hAnsi="Times New Roman" w:cs="Times New Roman"/>
          <w:sz w:val="24"/>
          <w:szCs w:val="24"/>
        </w:rPr>
        <w:t>й Республики от 28 декабря 2017 года № </w:t>
      </w:r>
      <w:r w:rsidRPr="00D15E0E">
        <w:rPr>
          <w:rFonts w:ascii="Times New Roman" w:hAnsi="Times New Roman" w:cs="Times New Roman"/>
          <w:sz w:val="24"/>
          <w:szCs w:val="24"/>
        </w:rPr>
        <w:t xml:space="preserve">376 «Об утверждении Положения, структуры и предельной штатной численности Министерства экономического развития Приднестровской </w:t>
      </w:r>
      <w:r w:rsidR="0001262B" w:rsidRPr="00D15E0E">
        <w:rPr>
          <w:rFonts w:ascii="Times New Roman" w:hAnsi="Times New Roman" w:cs="Times New Roman"/>
          <w:sz w:val="24"/>
          <w:szCs w:val="24"/>
        </w:rPr>
        <w:t>Молдавской Республики» (САЗ </w:t>
      </w:r>
      <w:r w:rsidRPr="00D15E0E">
        <w:rPr>
          <w:rFonts w:ascii="Times New Roman" w:hAnsi="Times New Roman" w:cs="Times New Roman"/>
          <w:sz w:val="24"/>
          <w:szCs w:val="24"/>
        </w:rPr>
        <w:t>18-1) с изменениями и дополнениями, внесенными постановлениями Правительства Приднестровской Молдавско</w:t>
      </w:r>
      <w:r w:rsidR="0001262B" w:rsidRPr="00D15E0E">
        <w:rPr>
          <w:rFonts w:ascii="Times New Roman" w:hAnsi="Times New Roman" w:cs="Times New Roman"/>
          <w:sz w:val="24"/>
          <w:szCs w:val="24"/>
        </w:rPr>
        <w:t>й Республики от 28 декабря 2017 года № 377 (САЗ 18-1), от 7 июня 2018 года № 187 (САЗ </w:t>
      </w:r>
      <w:r w:rsidRPr="00D15E0E">
        <w:rPr>
          <w:rFonts w:ascii="Times New Roman" w:hAnsi="Times New Roman" w:cs="Times New Roman"/>
          <w:sz w:val="24"/>
          <w:szCs w:val="24"/>
        </w:rPr>
        <w:t xml:space="preserve">18-23), от </w:t>
      </w:r>
      <w:r w:rsidR="0001262B" w:rsidRPr="00D15E0E">
        <w:rPr>
          <w:rFonts w:ascii="Times New Roman" w:hAnsi="Times New Roman" w:cs="Times New Roman"/>
          <w:sz w:val="24"/>
          <w:szCs w:val="24"/>
        </w:rPr>
        <w:t>14 июня 2018 года № </w:t>
      </w:r>
      <w:r w:rsidRPr="00D15E0E">
        <w:rPr>
          <w:rFonts w:ascii="Times New Roman" w:hAnsi="Times New Roman" w:cs="Times New Roman"/>
          <w:sz w:val="24"/>
          <w:szCs w:val="24"/>
        </w:rPr>
        <w:t>201 (САЗ</w:t>
      </w:r>
      <w:r w:rsidR="0001262B" w:rsidRPr="00D15E0E">
        <w:rPr>
          <w:rFonts w:ascii="Times New Roman" w:hAnsi="Times New Roman" w:cs="Times New Roman"/>
          <w:sz w:val="24"/>
          <w:szCs w:val="24"/>
        </w:rPr>
        <w:t> 18-25), от 6 августа 2018 года № 269 (САЗ </w:t>
      </w:r>
      <w:r w:rsidRPr="00D15E0E">
        <w:rPr>
          <w:rFonts w:ascii="Times New Roman" w:hAnsi="Times New Roman" w:cs="Times New Roman"/>
          <w:sz w:val="24"/>
          <w:szCs w:val="24"/>
        </w:rPr>
        <w:t xml:space="preserve">18-32), от </w:t>
      </w:r>
      <w:r w:rsidR="0001262B" w:rsidRPr="00D15E0E">
        <w:rPr>
          <w:rFonts w:ascii="Times New Roman" w:hAnsi="Times New Roman" w:cs="Times New Roman"/>
          <w:sz w:val="24"/>
          <w:szCs w:val="24"/>
        </w:rPr>
        <w:t>10 декабря 2018 года № 434 (САЗ 18-50), от 26 апреля 2019 года № 145 (САЗ </w:t>
      </w:r>
      <w:r w:rsidRPr="00D15E0E">
        <w:rPr>
          <w:rFonts w:ascii="Times New Roman" w:hAnsi="Times New Roman" w:cs="Times New Roman"/>
          <w:sz w:val="24"/>
          <w:szCs w:val="24"/>
        </w:rPr>
        <w:t xml:space="preserve">19-16), от </w:t>
      </w:r>
      <w:r w:rsidR="0001262B" w:rsidRPr="00D15E0E">
        <w:rPr>
          <w:rFonts w:ascii="Times New Roman" w:hAnsi="Times New Roman" w:cs="Times New Roman"/>
          <w:sz w:val="24"/>
          <w:szCs w:val="24"/>
        </w:rPr>
        <w:t>31 мая 2019 года № 186 (САЗ 19-21), от 22 ноября 2019 года № 405 (САЗ </w:t>
      </w:r>
      <w:r w:rsidRPr="00D15E0E">
        <w:rPr>
          <w:rFonts w:ascii="Times New Roman" w:hAnsi="Times New Roman" w:cs="Times New Roman"/>
          <w:sz w:val="24"/>
          <w:szCs w:val="24"/>
        </w:rPr>
        <w:t xml:space="preserve">19-46), от </w:t>
      </w:r>
      <w:r w:rsidR="0001262B" w:rsidRPr="00D15E0E">
        <w:rPr>
          <w:rFonts w:ascii="Times New Roman" w:hAnsi="Times New Roman" w:cs="Times New Roman"/>
          <w:sz w:val="24"/>
          <w:szCs w:val="24"/>
        </w:rPr>
        <w:t>26 декабря 2019 года № 457 (САЗ </w:t>
      </w:r>
      <w:r w:rsidRPr="00D15E0E">
        <w:rPr>
          <w:rFonts w:ascii="Times New Roman" w:hAnsi="Times New Roman" w:cs="Times New Roman"/>
          <w:sz w:val="24"/>
          <w:szCs w:val="24"/>
        </w:rPr>
        <w:t>1</w:t>
      </w:r>
      <w:r w:rsidR="0001262B" w:rsidRPr="00D15E0E">
        <w:rPr>
          <w:rFonts w:ascii="Times New Roman" w:hAnsi="Times New Roman" w:cs="Times New Roman"/>
          <w:sz w:val="24"/>
          <w:szCs w:val="24"/>
        </w:rPr>
        <w:t>9-50), от 26 декабря 2019 года № 459 (САЗ </w:t>
      </w:r>
      <w:r w:rsidRPr="00D15E0E">
        <w:rPr>
          <w:rFonts w:ascii="Times New Roman" w:hAnsi="Times New Roman" w:cs="Times New Roman"/>
          <w:sz w:val="24"/>
          <w:szCs w:val="24"/>
        </w:rPr>
        <w:t xml:space="preserve">20-1), от </w:t>
      </w:r>
      <w:r w:rsidR="0001262B" w:rsidRPr="00D15E0E">
        <w:rPr>
          <w:rFonts w:ascii="Times New Roman" w:hAnsi="Times New Roman" w:cs="Times New Roman"/>
          <w:sz w:val="24"/>
          <w:szCs w:val="24"/>
        </w:rPr>
        <w:t>25 февраля 2020 года № 40 (САЗ </w:t>
      </w:r>
      <w:r w:rsidRPr="00D15E0E">
        <w:rPr>
          <w:rFonts w:ascii="Times New Roman" w:hAnsi="Times New Roman" w:cs="Times New Roman"/>
          <w:sz w:val="24"/>
          <w:szCs w:val="24"/>
        </w:rPr>
        <w:t xml:space="preserve">20-9), </w:t>
      </w:r>
      <w:r w:rsidR="0001262B" w:rsidRPr="00D15E0E">
        <w:rPr>
          <w:rFonts w:ascii="Times New Roman" w:hAnsi="Times New Roman" w:cs="Times New Roman"/>
          <w:sz w:val="24"/>
          <w:szCs w:val="24"/>
        </w:rPr>
        <w:t>от 6 июля 2020 года № 231 (САЗ </w:t>
      </w:r>
      <w:r w:rsidRPr="00D15E0E">
        <w:rPr>
          <w:rFonts w:ascii="Times New Roman" w:hAnsi="Times New Roman" w:cs="Times New Roman"/>
          <w:sz w:val="24"/>
          <w:szCs w:val="24"/>
        </w:rPr>
        <w:t xml:space="preserve">20-28), </w:t>
      </w:r>
      <w:r w:rsidR="0001262B" w:rsidRPr="00D15E0E">
        <w:rPr>
          <w:rFonts w:ascii="Times New Roman" w:hAnsi="Times New Roman" w:cs="Times New Roman"/>
          <w:sz w:val="24"/>
          <w:szCs w:val="24"/>
        </w:rPr>
        <w:t>от 10 ноября 2020 года № 395 (САЗ </w:t>
      </w:r>
      <w:r w:rsidRPr="00D15E0E">
        <w:rPr>
          <w:rFonts w:ascii="Times New Roman" w:hAnsi="Times New Roman" w:cs="Times New Roman"/>
          <w:sz w:val="24"/>
          <w:szCs w:val="24"/>
        </w:rPr>
        <w:t xml:space="preserve">20-46), </w:t>
      </w:r>
      <w:r w:rsidR="0001262B" w:rsidRPr="00D15E0E">
        <w:rPr>
          <w:rFonts w:ascii="Times New Roman" w:hAnsi="Times New Roman" w:cs="Times New Roman"/>
          <w:sz w:val="24"/>
          <w:szCs w:val="24"/>
        </w:rPr>
        <w:t>от 20 января 2021 года № 9 (САЗ </w:t>
      </w:r>
      <w:r w:rsidRPr="00D15E0E">
        <w:rPr>
          <w:rFonts w:ascii="Times New Roman" w:hAnsi="Times New Roman" w:cs="Times New Roman"/>
          <w:sz w:val="24"/>
          <w:szCs w:val="24"/>
        </w:rPr>
        <w:t>21-3), в целях реализации требований действующего законодательства к порядку досудебного рассмотрения жалоб</w:t>
      </w:r>
      <w:r w:rsidR="002B58E8">
        <w:rPr>
          <w:rFonts w:ascii="Times New Roman" w:hAnsi="Times New Roman" w:cs="Times New Roman"/>
          <w:sz w:val="24"/>
          <w:szCs w:val="24"/>
        </w:rPr>
        <w:t xml:space="preserve"> (претензий)</w:t>
      </w:r>
      <w:r w:rsidRPr="00D15E0E">
        <w:rPr>
          <w:rFonts w:ascii="Times New Roman" w:hAnsi="Times New Roman" w:cs="Times New Roman"/>
          <w:sz w:val="24"/>
          <w:szCs w:val="24"/>
        </w:rPr>
        <w:t>,</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 xml:space="preserve">п р и </w:t>
      </w:r>
      <w:proofErr w:type="gramStart"/>
      <w:r w:rsidRPr="00D15E0E">
        <w:rPr>
          <w:rFonts w:ascii="Times New Roman" w:hAnsi="Times New Roman" w:cs="Times New Roman"/>
          <w:sz w:val="24"/>
          <w:szCs w:val="24"/>
        </w:rPr>
        <w:t>к</w:t>
      </w:r>
      <w:proofErr w:type="gramEnd"/>
      <w:r w:rsidRPr="00D15E0E">
        <w:rPr>
          <w:rFonts w:ascii="Times New Roman" w:hAnsi="Times New Roman" w:cs="Times New Roman"/>
          <w:sz w:val="24"/>
          <w:szCs w:val="24"/>
        </w:rPr>
        <w:t xml:space="preserve"> а з ы в а ю:</w:t>
      </w:r>
    </w:p>
    <w:p w:rsidR="0067148D" w:rsidRPr="00D15E0E" w:rsidRDefault="0067148D" w:rsidP="00D15E0E">
      <w:pPr>
        <w:spacing w:after="0"/>
        <w:ind w:firstLine="284"/>
        <w:jc w:val="both"/>
        <w:rPr>
          <w:rFonts w:ascii="Times New Roman" w:hAnsi="Times New Roman" w:cs="Times New Roman"/>
          <w:sz w:val="24"/>
          <w:szCs w:val="24"/>
        </w:rPr>
      </w:pP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1. Внести в Приказ Министерства экономического развития Приднестровской Молдавско</w:t>
      </w:r>
      <w:r w:rsidR="0001262B" w:rsidRPr="00D15E0E">
        <w:rPr>
          <w:rFonts w:ascii="Times New Roman" w:hAnsi="Times New Roman" w:cs="Times New Roman"/>
          <w:sz w:val="24"/>
          <w:szCs w:val="24"/>
        </w:rPr>
        <w:t>й Республики от 24 декабря 2018 года № </w:t>
      </w:r>
      <w:r w:rsidRPr="00D15E0E">
        <w:rPr>
          <w:rFonts w:ascii="Times New Roman" w:hAnsi="Times New Roman" w:cs="Times New Roman"/>
          <w:sz w:val="24"/>
          <w:szCs w:val="24"/>
        </w:rPr>
        <w:t>1070 «Об утверждении Регламента предоставления государственной услуги «Аккредитация юридических лиц на право проведения работ в области промышленной б</w:t>
      </w:r>
      <w:r w:rsidR="0001262B" w:rsidRPr="00D15E0E">
        <w:rPr>
          <w:rFonts w:ascii="Times New Roman" w:hAnsi="Times New Roman" w:cs="Times New Roman"/>
          <w:sz w:val="24"/>
          <w:szCs w:val="24"/>
        </w:rPr>
        <w:t>езопасности» (регистрационный № 8660 от 24 января 2019 года) (САЗ </w:t>
      </w:r>
      <w:r w:rsidRPr="00D15E0E">
        <w:rPr>
          <w:rFonts w:ascii="Times New Roman" w:hAnsi="Times New Roman" w:cs="Times New Roman"/>
          <w:sz w:val="24"/>
          <w:szCs w:val="24"/>
        </w:rPr>
        <w:t>19-3) с</w:t>
      </w:r>
      <w:r w:rsidR="007D653E" w:rsidRPr="00D15E0E">
        <w:rPr>
          <w:rFonts w:ascii="Times New Roman" w:hAnsi="Times New Roman" w:cs="Times New Roman"/>
          <w:sz w:val="24"/>
          <w:szCs w:val="24"/>
        </w:rPr>
        <w:t xml:space="preserve"> изменениями и</w:t>
      </w:r>
      <w:r w:rsidRPr="00D15E0E">
        <w:rPr>
          <w:rFonts w:ascii="Times New Roman" w:hAnsi="Times New Roman" w:cs="Times New Roman"/>
          <w:sz w:val="24"/>
          <w:szCs w:val="24"/>
        </w:rPr>
        <w:t xml:space="preserve"> дополнениями, внесенными </w:t>
      </w:r>
      <w:r w:rsidR="007D653E" w:rsidRPr="00D15E0E">
        <w:rPr>
          <w:rFonts w:ascii="Times New Roman" w:hAnsi="Times New Roman" w:cs="Times New Roman"/>
          <w:sz w:val="24"/>
          <w:szCs w:val="24"/>
        </w:rPr>
        <w:t>п</w:t>
      </w:r>
      <w:r w:rsidRPr="00D15E0E">
        <w:rPr>
          <w:rFonts w:ascii="Times New Roman" w:hAnsi="Times New Roman" w:cs="Times New Roman"/>
          <w:sz w:val="24"/>
          <w:szCs w:val="24"/>
        </w:rPr>
        <w:t>риказ</w:t>
      </w:r>
      <w:r w:rsidR="007D653E" w:rsidRPr="00D15E0E">
        <w:rPr>
          <w:rFonts w:ascii="Times New Roman" w:hAnsi="Times New Roman" w:cs="Times New Roman"/>
          <w:sz w:val="24"/>
          <w:szCs w:val="24"/>
        </w:rPr>
        <w:t>а</w:t>
      </w:r>
      <w:r w:rsidRPr="00D15E0E">
        <w:rPr>
          <w:rFonts w:ascii="Times New Roman" w:hAnsi="Times New Roman" w:cs="Times New Roman"/>
          <w:sz w:val="24"/>
          <w:szCs w:val="24"/>
        </w:rPr>
        <w:t>м</w:t>
      </w:r>
      <w:r w:rsidR="007D653E" w:rsidRPr="00D15E0E">
        <w:rPr>
          <w:rFonts w:ascii="Times New Roman" w:hAnsi="Times New Roman" w:cs="Times New Roman"/>
          <w:sz w:val="24"/>
          <w:szCs w:val="24"/>
        </w:rPr>
        <w:t>и</w:t>
      </w:r>
      <w:r w:rsidRPr="00D15E0E">
        <w:rPr>
          <w:rFonts w:ascii="Times New Roman" w:hAnsi="Times New Roman" w:cs="Times New Roman"/>
          <w:sz w:val="24"/>
          <w:szCs w:val="24"/>
        </w:rPr>
        <w:t xml:space="preserve"> Министерства экономического развития Приднестровской Молдавской Республики от 25 ноября 2019 года </w:t>
      </w:r>
      <w:r w:rsidR="00F7084A" w:rsidRPr="00D15E0E">
        <w:rPr>
          <w:rFonts w:ascii="Times New Roman" w:hAnsi="Times New Roman" w:cs="Times New Roman"/>
          <w:sz w:val="24"/>
          <w:szCs w:val="24"/>
        </w:rPr>
        <w:t>№ 997 (регистрационный № 9227 от 19 декабря 2019 года) (САЗ </w:t>
      </w:r>
      <w:r w:rsidRPr="00D15E0E">
        <w:rPr>
          <w:rFonts w:ascii="Times New Roman" w:hAnsi="Times New Roman" w:cs="Times New Roman"/>
          <w:sz w:val="24"/>
          <w:szCs w:val="24"/>
        </w:rPr>
        <w:t>19-49)</w:t>
      </w:r>
      <w:r w:rsidR="00F7084A" w:rsidRPr="00D15E0E">
        <w:rPr>
          <w:rFonts w:ascii="Times New Roman" w:hAnsi="Times New Roman" w:cs="Times New Roman"/>
          <w:sz w:val="24"/>
          <w:szCs w:val="24"/>
        </w:rPr>
        <w:t>, от 13 апреля 2020 года № </w:t>
      </w:r>
      <w:r w:rsidRPr="00D15E0E">
        <w:rPr>
          <w:rFonts w:ascii="Times New Roman" w:hAnsi="Times New Roman" w:cs="Times New Roman"/>
          <w:sz w:val="24"/>
          <w:szCs w:val="24"/>
        </w:rPr>
        <w:t xml:space="preserve">295 </w:t>
      </w:r>
      <w:r w:rsidR="00F7084A" w:rsidRPr="00D15E0E">
        <w:rPr>
          <w:rFonts w:ascii="Times New Roman" w:hAnsi="Times New Roman" w:cs="Times New Roman"/>
          <w:sz w:val="24"/>
          <w:szCs w:val="24"/>
        </w:rPr>
        <w:t>(регистрационный № </w:t>
      </w:r>
      <w:r w:rsidRPr="00D15E0E">
        <w:rPr>
          <w:rFonts w:ascii="Times New Roman" w:hAnsi="Times New Roman" w:cs="Times New Roman"/>
          <w:sz w:val="24"/>
          <w:szCs w:val="24"/>
        </w:rPr>
        <w:t>9494 от 8 мая 2020</w:t>
      </w:r>
      <w:r w:rsidR="00F7084A" w:rsidRPr="00D15E0E">
        <w:rPr>
          <w:rFonts w:ascii="Times New Roman" w:hAnsi="Times New Roman" w:cs="Times New Roman"/>
          <w:sz w:val="24"/>
          <w:szCs w:val="24"/>
        </w:rPr>
        <w:t> </w:t>
      </w:r>
      <w:r w:rsidRPr="00D15E0E">
        <w:rPr>
          <w:rFonts w:ascii="Times New Roman" w:hAnsi="Times New Roman" w:cs="Times New Roman"/>
          <w:sz w:val="24"/>
          <w:szCs w:val="24"/>
        </w:rPr>
        <w:t>года)</w:t>
      </w:r>
      <w:r w:rsidR="00FD5C00" w:rsidRPr="00D15E0E">
        <w:rPr>
          <w:rFonts w:ascii="Times New Roman" w:hAnsi="Times New Roman" w:cs="Times New Roman"/>
          <w:sz w:val="24"/>
          <w:szCs w:val="24"/>
        </w:rPr>
        <w:t xml:space="preserve"> </w:t>
      </w:r>
      <w:r w:rsidR="00F7084A" w:rsidRPr="00D15E0E">
        <w:rPr>
          <w:rFonts w:ascii="Times New Roman" w:hAnsi="Times New Roman" w:cs="Times New Roman"/>
          <w:sz w:val="24"/>
          <w:szCs w:val="24"/>
        </w:rPr>
        <w:t>(САЗ </w:t>
      </w:r>
      <w:r w:rsidR="006301DD" w:rsidRPr="00D15E0E">
        <w:rPr>
          <w:rFonts w:ascii="Times New Roman" w:hAnsi="Times New Roman" w:cs="Times New Roman"/>
          <w:sz w:val="24"/>
          <w:szCs w:val="24"/>
        </w:rPr>
        <w:t>20-19)</w:t>
      </w:r>
      <w:r w:rsidRPr="00D15E0E">
        <w:rPr>
          <w:rFonts w:ascii="Times New Roman" w:hAnsi="Times New Roman" w:cs="Times New Roman"/>
          <w:sz w:val="24"/>
          <w:szCs w:val="24"/>
        </w:rPr>
        <w:t>, следующ</w:t>
      </w:r>
      <w:r w:rsidR="00910174" w:rsidRPr="00D15E0E">
        <w:rPr>
          <w:rFonts w:ascii="Times New Roman" w:hAnsi="Times New Roman" w:cs="Times New Roman"/>
          <w:sz w:val="24"/>
          <w:szCs w:val="24"/>
        </w:rPr>
        <w:t>е</w:t>
      </w:r>
      <w:r w:rsidRPr="00D15E0E">
        <w:rPr>
          <w:rFonts w:ascii="Times New Roman" w:hAnsi="Times New Roman" w:cs="Times New Roman"/>
          <w:sz w:val="24"/>
          <w:szCs w:val="24"/>
        </w:rPr>
        <w:t>е изменени</w:t>
      </w:r>
      <w:r w:rsidR="00910174" w:rsidRPr="00D15E0E">
        <w:rPr>
          <w:rFonts w:ascii="Times New Roman" w:hAnsi="Times New Roman" w:cs="Times New Roman"/>
          <w:sz w:val="24"/>
          <w:szCs w:val="24"/>
        </w:rPr>
        <w:t>е</w:t>
      </w:r>
      <w:r w:rsidRPr="00D15E0E">
        <w:rPr>
          <w:rFonts w:ascii="Times New Roman" w:hAnsi="Times New Roman" w:cs="Times New Roman"/>
          <w:sz w:val="24"/>
          <w:szCs w:val="24"/>
        </w:rPr>
        <w:t>:</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а) раздел 5 Приложения к Приказу изложить в следующей редакции:</w:t>
      </w:r>
    </w:p>
    <w:p w:rsidR="0067148D" w:rsidRDefault="0067148D" w:rsidP="00D15E0E">
      <w:pPr>
        <w:spacing w:after="0"/>
        <w:ind w:firstLine="284"/>
        <w:jc w:val="center"/>
        <w:rPr>
          <w:rFonts w:ascii="Times New Roman" w:hAnsi="Times New Roman" w:cs="Times New Roman"/>
          <w:b/>
          <w:sz w:val="24"/>
          <w:szCs w:val="24"/>
        </w:rPr>
      </w:pPr>
      <w:r w:rsidRPr="00D15E0E">
        <w:rPr>
          <w:rFonts w:ascii="Times New Roman" w:hAnsi="Times New Roman" w:cs="Times New Roman"/>
          <w:b/>
          <w:sz w:val="24"/>
          <w:szCs w:val="24"/>
        </w:rPr>
        <w:lastRenderedPageBreak/>
        <w:t>«Раздел 5. Досудебный (внесудебный) порядок обжалования решений и действий (бездействия) органа, предоставляющего государственную услугу, и (или) его должностных лиц, участвующих в предоставлении государственной услуги</w:t>
      </w:r>
      <w:r w:rsidR="00D15E0E">
        <w:rPr>
          <w:rFonts w:ascii="Times New Roman" w:hAnsi="Times New Roman" w:cs="Times New Roman"/>
          <w:b/>
          <w:sz w:val="24"/>
          <w:szCs w:val="24"/>
        </w:rPr>
        <w:t xml:space="preserve"> </w:t>
      </w:r>
    </w:p>
    <w:p w:rsidR="00D15E0E" w:rsidRPr="00D15E0E" w:rsidRDefault="00D15E0E" w:rsidP="00D15E0E">
      <w:pPr>
        <w:spacing w:after="0"/>
        <w:ind w:firstLine="284"/>
        <w:jc w:val="center"/>
        <w:rPr>
          <w:rFonts w:ascii="Times New Roman" w:hAnsi="Times New Roman" w:cs="Times New Roman"/>
          <w:b/>
          <w:sz w:val="24"/>
          <w:szCs w:val="24"/>
        </w:rPr>
      </w:pPr>
    </w:p>
    <w:p w:rsidR="00D15E0E" w:rsidRPr="00D15E0E" w:rsidRDefault="0067148D" w:rsidP="00D679B9">
      <w:pPr>
        <w:spacing w:after="0"/>
        <w:ind w:firstLine="284"/>
        <w:jc w:val="center"/>
        <w:rPr>
          <w:rFonts w:ascii="Times New Roman" w:hAnsi="Times New Roman" w:cs="Times New Roman"/>
          <w:b/>
          <w:sz w:val="24"/>
          <w:szCs w:val="24"/>
        </w:rPr>
      </w:pPr>
      <w:r w:rsidRPr="00D15E0E">
        <w:rPr>
          <w:rFonts w:ascii="Times New Roman" w:hAnsi="Times New Roman" w:cs="Times New Roman"/>
          <w:b/>
          <w:sz w:val="24"/>
          <w:szCs w:val="24"/>
        </w:rPr>
        <w:t>3</w:t>
      </w:r>
      <w:r w:rsidR="00AF43DB" w:rsidRPr="00D15E0E">
        <w:rPr>
          <w:rFonts w:ascii="Times New Roman" w:hAnsi="Times New Roman" w:cs="Times New Roman"/>
          <w:b/>
          <w:sz w:val="24"/>
          <w:szCs w:val="24"/>
        </w:rPr>
        <w:t>1</w:t>
      </w:r>
      <w:r w:rsidRPr="00D15E0E">
        <w:rPr>
          <w:rFonts w:ascii="Times New Roman" w:hAnsi="Times New Roman" w:cs="Times New Roman"/>
          <w:b/>
          <w:sz w:val="24"/>
          <w:szCs w:val="24"/>
        </w:rPr>
        <w:t>. Информация для заявителя о его праве обратиться с жалобой (претензией) на решения и действия (бездействие) органа, предоставляющего государственную услугу, и (или) его должностных лиц при предоставлении государственной услуги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56</w:t>
      </w:r>
      <w:r w:rsidR="0067148D" w:rsidRPr="00D15E0E">
        <w:rPr>
          <w:rFonts w:ascii="Times New Roman" w:hAnsi="Times New Roman" w:cs="Times New Roman"/>
          <w:sz w:val="24"/>
          <w:szCs w:val="24"/>
        </w:rPr>
        <w:t xml:space="preserve">. </w:t>
      </w:r>
      <w:r w:rsidRPr="00D15E0E">
        <w:rPr>
          <w:rFonts w:ascii="Times New Roman" w:hAnsi="Times New Roman" w:cs="Times New Roman"/>
          <w:sz w:val="24"/>
          <w:szCs w:val="24"/>
        </w:rPr>
        <w:t>Заявитель вправе обратиться с жалобой (претензией) на нарушение установленного порядка предоставления государственной услуги, в том числе в следующих случаях:</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а) нарушение срока регистрации запроса о предоставлении государственной услуги;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б) нарушение срока предоставления государственной услуги;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в) требование у заявителя предоставления документов и (или) информации или осуществления действий, не предусмотренных настоящим Регламентом;</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г) отказ в приеме у заявителя документов, предоставление которых предусмотрено настоящим Регламентом;</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д) отказ в предоставлении государственной услуги по основаниям, не предусмотренным настоящим Регламентом;</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е) истребование у заявителя при предоставлении государственной услуги платы, не предусмотренной настоящим Регламентом;</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з) нарушение срока или порядка выдачи документов по результатам предоставления государственной услуги;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и) приостановление предоставления государственной услуги, если основания приостановления не предусмотрены настоящим Регламентом;</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67148D" w:rsidRPr="00D15E0E" w:rsidRDefault="0067148D" w:rsidP="00D15E0E">
      <w:pPr>
        <w:spacing w:after="0"/>
        <w:ind w:firstLine="284"/>
        <w:jc w:val="both"/>
        <w:rPr>
          <w:rFonts w:ascii="Times New Roman" w:hAnsi="Times New Roman" w:cs="Times New Roman"/>
          <w:sz w:val="24"/>
          <w:szCs w:val="24"/>
        </w:rPr>
      </w:pPr>
    </w:p>
    <w:p w:rsidR="00D15E0E" w:rsidRPr="00D15E0E" w:rsidRDefault="00AE15EF" w:rsidP="00D679B9">
      <w:pPr>
        <w:spacing w:after="0"/>
        <w:ind w:firstLine="284"/>
        <w:jc w:val="center"/>
        <w:rPr>
          <w:rFonts w:ascii="Times New Roman" w:hAnsi="Times New Roman" w:cs="Times New Roman"/>
          <w:b/>
          <w:sz w:val="24"/>
          <w:szCs w:val="24"/>
        </w:rPr>
      </w:pPr>
      <w:r w:rsidRPr="00D15E0E">
        <w:rPr>
          <w:rFonts w:ascii="Times New Roman" w:hAnsi="Times New Roman" w:cs="Times New Roman"/>
          <w:b/>
          <w:sz w:val="24"/>
          <w:szCs w:val="24"/>
        </w:rPr>
        <w:t>32</w:t>
      </w:r>
      <w:r w:rsidR="0067148D" w:rsidRPr="00D15E0E">
        <w:rPr>
          <w:rFonts w:ascii="Times New Roman" w:hAnsi="Times New Roman" w:cs="Times New Roman"/>
          <w:b/>
          <w:sz w:val="24"/>
          <w:szCs w:val="24"/>
        </w:rPr>
        <w:t>. Предмет жалобы (претензии)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57</w:t>
      </w:r>
      <w:r w:rsidR="0067148D" w:rsidRPr="00D15E0E">
        <w:rPr>
          <w:rFonts w:ascii="Times New Roman" w:hAnsi="Times New Roman" w:cs="Times New Roman"/>
          <w:sz w:val="24"/>
          <w:szCs w:val="24"/>
        </w:rPr>
        <w:t xml:space="preserve">. </w:t>
      </w:r>
      <w:r w:rsidRPr="00D15E0E">
        <w:rPr>
          <w:rFonts w:ascii="Times New Roman" w:hAnsi="Times New Roman" w:cs="Times New Roman"/>
          <w:sz w:val="24"/>
          <w:szCs w:val="24"/>
        </w:rPr>
        <w:t>Предметом жалобы (претензии) являются решения и действия (бездействие) органа, предоставляющего государственную услугу, и (или) его должностных лиц, участвующих в предоставлении государственной услуги, принятые (осуществляемые) с нарушением порядка предоставления государственной услуги, которые, по мнению заявителя, нарушают его права, свободы и законные интересы.</w:t>
      </w:r>
    </w:p>
    <w:p w:rsidR="00AF43DB" w:rsidRPr="00D15E0E" w:rsidRDefault="00AF43DB" w:rsidP="00D15E0E">
      <w:pPr>
        <w:spacing w:after="0"/>
        <w:ind w:firstLine="284"/>
        <w:jc w:val="both"/>
        <w:rPr>
          <w:rFonts w:ascii="Times New Roman" w:hAnsi="Times New Roman" w:cs="Times New Roman"/>
          <w:sz w:val="24"/>
          <w:szCs w:val="24"/>
        </w:rPr>
      </w:pPr>
    </w:p>
    <w:p w:rsidR="00AF43DB" w:rsidRPr="00D679B9" w:rsidRDefault="00D15E0E" w:rsidP="002B58E8">
      <w:pPr>
        <w:spacing w:after="0"/>
        <w:ind w:firstLine="284"/>
        <w:jc w:val="center"/>
        <w:rPr>
          <w:rFonts w:ascii="Times New Roman" w:hAnsi="Times New Roman" w:cs="Times New Roman"/>
          <w:b/>
          <w:sz w:val="24"/>
          <w:szCs w:val="24"/>
        </w:rPr>
      </w:pPr>
      <w:r w:rsidRPr="00D15E0E">
        <w:rPr>
          <w:rFonts w:ascii="Times New Roman" w:hAnsi="Times New Roman" w:cs="Times New Roman"/>
          <w:b/>
          <w:sz w:val="24"/>
          <w:szCs w:val="24"/>
        </w:rPr>
        <w:t>33</w:t>
      </w:r>
      <w:r w:rsidR="0067148D" w:rsidRPr="00D15E0E">
        <w:rPr>
          <w:rFonts w:ascii="Times New Roman" w:hAnsi="Times New Roman" w:cs="Times New Roman"/>
          <w:b/>
          <w:sz w:val="24"/>
          <w:szCs w:val="24"/>
        </w:rPr>
        <w:t>. Органы государственной власти и уполномоченные на рассмотрение жалобы</w:t>
      </w:r>
      <w:r w:rsidR="002B58E8">
        <w:rPr>
          <w:rFonts w:ascii="Times New Roman" w:hAnsi="Times New Roman" w:cs="Times New Roman"/>
          <w:b/>
          <w:sz w:val="24"/>
          <w:szCs w:val="24"/>
        </w:rPr>
        <w:t xml:space="preserve"> (претензии)</w:t>
      </w:r>
      <w:r w:rsidR="0067148D" w:rsidRPr="00D15E0E">
        <w:rPr>
          <w:rFonts w:ascii="Times New Roman" w:hAnsi="Times New Roman" w:cs="Times New Roman"/>
          <w:b/>
          <w:sz w:val="24"/>
          <w:szCs w:val="24"/>
        </w:rPr>
        <w:t xml:space="preserve"> должностные лица, которым может быть направлена жалоба (претензия)</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58 Жалоба (претензия) на решения и (или) действия (бездействие) должностных лиц органа, предоставляющего государственную услугу, подается руководителю данного органа.</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 xml:space="preserve">Жалоба (претензия) на решения и (или) действия (бездействие) уполномоченного органа, его руководителя, подается в вышестоящий орган, вышестоящему должностному лицу, </w:t>
      </w:r>
      <w:r w:rsidRPr="00D15E0E">
        <w:rPr>
          <w:rFonts w:ascii="Times New Roman" w:hAnsi="Times New Roman" w:cs="Times New Roman"/>
          <w:sz w:val="24"/>
          <w:szCs w:val="24"/>
        </w:rPr>
        <w:lastRenderedPageBreak/>
        <w:t>соответственно, в непосредственном ведении (подчинении) которого находится данный орган, руководитель.</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rsidR="0067148D" w:rsidRPr="00D15E0E" w:rsidRDefault="0067148D" w:rsidP="00D15E0E">
      <w:pPr>
        <w:spacing w:after="0"/>
        <w:ind w:firstLine="284"/>
        <w:jc w:val="both"/>
        <w:rPr>
          <w:rFonts w:ascii="Times New Roman" w:hAnsi="Times New Roman" w:cs="Times New Roman"/>
          <w:sz w:val="24"/>
          <w:szCs w:val="24"/>
        </w:rPr>
      </w:pPr>
    </w:p>
    <w:p w:rsidR="00D15E0E" w:rsidRPr="00D15E0E" w:rsidRDefault="00D15E0E" w:rsidP="00D679B9">
      <w:pPr>
        <w:spacing w:after="0"/>
        <w:ind w:firstLine="284"/>
        <w:jc w:val="center"/>
        <w:rPr>
          <w:rFonts w:ascii="Times New Roman" w:hAnsi="Times New Roman" w:cs="Times New Roman"/>
          <w:b/>
          <w:sz w:val="24"/>
          <w:szCs w:val="24"/>
        </w:rPr>
      </w:pPr>
      <w:r w:rsidRPr="00D15E0E">
        <w:rPr>
          <w:rFonts w:ascii="Times New Roman" w:hAnsi="Times New Roman" w:cs="Times New Roman"/>
          <w:b/>
          <w:sz w:val="24"/>
          <w:szCs w:val="24"/>
        </w:rPr>
        <w:t>34</w:t>
      </w:r>
      <w:r w:rsidR="0067148D" w:rsidRPr="00D15E0E">
        <w:rPr>
          <w:rFonts w:ascii="Times New Roman" w:hAnsi="Times New Roman" w:cs="Times New Roman"/>
          <w:b/>
          <w:sz w:val="24"/>
          <w:szCs w:val="24"/>
        </w:rPr>
        <w:t>. Порядок подачи и рассмотрения жалобы (претензии)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59</w:t>
      </w:r>
      <w:r w:rsidR="0067148D" w:rsidRPr="00D15E0E">
        <w:rPr>
          <w:rFonts w:ascii="Times New Roman" w:hAnsi="Times New Roman" w:cs="Times New Roman"/>
          <w:sz w:val="24"/>
          <w:szCs w:val="24"/>
        </w:rPr>
        <w:t xml:space="preserve">. </w:t>
      </w:r>
      <w:r w:rsidRPr="00D15E0E">
        <w:rPr>
          <w:rFonts w:ascii="Times New Roman" w:hAnsi="Times New Roman" w:cs="Times New Roman"/>
          <w:sz w:val="24"/>
          <w:szCs w:val="24"/>
        </w:rPr>
        <w:t>Жалоба (претензия) может быть направлена в письменном виде по почте, электронном виде или передана при личном приеме заявителя.</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Подача жалоб (претензий) в электронном виде возможна только с использованием усиленной квалифицированной электронной подписи.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Прием жалоб (претензий)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60</w:t>
      </w:r>
      <w:r w:rsidR="0067148D" w:rsidRPr="00D15E0E">
        <w:rPr>
          <w:rFonts w:ascii="Times New Roman" w:hAnsi="Times New Roman" w:cs="Times New Roman"/>
          <w:sz w:val="24"/>
          <w:szCs w:val="24"/>
        </w:rPr>
        <w:t>. В электронном виде жалоба (претензия) может быть подана заявителем посредством:</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 xml:space="preserve">а) официального сайта органа, предоставляющего государственную услугу, в </w:t>
      </w:r>
      <w:proofErr w:type="gramStart"/>
      <w:r w:rsidR="00EA188D" w:rsidRPr="00D15E0E">
        <w:rPr>
          <w:rFonts w:ascii="Times New Roman" w:hAnsi="Times New Roman" w:cs="Times New Roman"/>
          <w:sz w:val="24"/>
          <w:szCs w:val="24"/>
        </w:rPr>
        <w:t xml:space="preserve">глобальной </w:t>
      </w:r>
      <w:r w:rsidR="002B58E8">
        <w:rPr>
          <w:rFonts w:ascii="Times New Roman" w:hAnsi="Times New Roman" w:cs="Times New Roman"/>
          <w:sz w:val="24"/>
          <w:szCs w:val="24"/>
        </w:rPr>
        <w:t xml:space="preserve"> сети</w:t>
      </w:r>
      <w:proofErr w:type="gramEnd"/>
      <w:r w:rsidR="002B58E8">
        <w:rPr>
          <w:rFonts w:ascii="Times New Roman" w:hAnsi="Times New Roman" w:cs="Times New Roman"/>
          <w:sz w:val="24"/>
          <w:szCs w:val="24"/>
        </w:rPr>
        <w:t xml:space="preserve"> Интернет</w:t>
      </w:r>
      <w:r w:rsidRPr="00D15E0E">
        <w:rPr>
          <w:rFonts w:ascii="Times New Roman" w:hAnsi="Times New Roman" w:cs="Times New Roman"/>
          <w:sz w:val="24"/>
          <w:szCs w:val="24"/>
        </w:rPr>
        <w:t>;</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б) Портала;</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61</w:t>
      </w:r>
      <w:r w:rsidR="0067148D" w:rsidRPr="00D15E0E">
        <w:rPr>
          <w:rFonts w:ascii="Times New Roman" w:hAnsi="Times New Roman" w:cs="Times New Roman"/>
          <w:sz w:val="24"/>
          <w:szCs w:val="24"/>
        </w:rPr>
        <w:t xml:space="preserve">. </w:t>
      </w:r>
      <w:r w:rsidRPr="00D15E0E">
        <w:rPr>
          <w:rFonts w:ascii="Times New Roman" w:hAnsi="Times New Roman" w:cs="Times New Roman"/>
          <w:sz w:val="24"/>
          <w:szCs w:val="24"/>
        </w:rPr>
        <w:t>Жалоба (претензия) должна содержать следующие сведения:</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б) наименование органа, предоставляющего государственную услугу, организации, участвующей в предоставлении государственной услуги, фамилия, имя, отчество (последнее - при наличии) их должностного лица, работника, решения и (или) действия (бездействие) которых обжалуются;</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в) сведения об обжалуемых решениях и (или) действиях (бездействии) органа, предоставляющего государственную услугу, его должностного лица, работника организации, участвующей в предоставлении государственных услуг;</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г) доводы, на основании которых заявитель не согласен с решением и (или) действием (бездействием) органа, предоставляющего государственную услугу, его должностного лица, работника организации, участвующей в предоставлении государственных услуг;</w:t>
      </w:r>
    </w:p>
    <w:p w:rsidR="00EA18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д) личная подпись заявителя и дата.</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r w:rsidR="001D19BD" w:rsidRPr="00D15E0E">
        <w:rPr>
          <w:rFonts w:ascii="Times New Roman" w:hAnsi="Times New Roman" w:cs="Times New Roman"/>
          <w:sz w:val="24"/>
          <w:szCs w:val="24"/>
        </w:rPr>
        <w:t>;</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е) в случае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 xml:space="preserve">1) оформленная в соответствии с </w:t>
      </w:r>
      <w:r w:rsidR="002B58E8">
        <w:rPr>
          <w:rFonts w:ascii="Times New Roman" w:hAnsi="Times New Roman" w:cs="Times New Roman"/>
          <w:sz w:val="24"/>
          <w:szCs w:val="24"/>
        </w:rPr>
        <w:t xml:space="preserve">действующим </w:t>
      </w:r>
      <w:r w:rsidRPr="00D15E0E">
        <w:rPr>
          <w:rFonts w:ascii="Times New Roman" w:hAnsi="Times New Roman" w:cs="Times New Roman"/>
          <w:sz w:val="24"/>
          <w:szCs w:val="24"/>
        </w:rPr>
        <w:t>законодательством Приднестровской Молдавской Республи</w:t>
      </w:r>
      <w:r w:rsidR="002B58E8">
        <w:rPr>
          <w:rFonts w:ascii="Times New Roman" w:hAnsi="Times New Roman" w:cs="Times New Roman"/>
          <w:sz w:val="24"/>
          <w:szCs w:val="24"/>
        </w:rPr>
        <w:t xml:space="preserve">ки </w:t>
      </w:r>
      <w:r w:rsidRPr="00D15E0E">
        <w:rPr>
          <w:rFonts w:ascii="Times New Roman" w:hAnsi="Times New Roman" w:cs="Times New Roman"/>
          <w:sz w:val="24"/>
          <w:szCs w:val="24"/>
        </w:rPr>
        <w:t>доверенность (для физических лиц);</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lastRenderedPageBreak/>
        <w:t xml:space="preserve">2) оформленная в соответствии с </w:t>
      </w:r>
      <w:r w:rsidR="002B58E8">
        <w:rPr>
          <w:rFonts w:ascii="Times New Roman" w:hAnsi="Times New Roman" w:cs="Times New Roman"/>
          <w:sz w:val="24"/>
          <w:szCs w:val="24"/>
        </w:rPr>
        <w:t xml:space="preserve">действующим </w:t>
      </w:r>
      <w:r w:rsidRPr="00D15E0E">
        <w:rPr>
          <w:rFonts w:ascii="Times New Roman" w:hAnsi="Times New Roman" w:cs="Times New Roman"/>
          <w:sz w:val="24"/>
          <w:szCs w:val="24"/>
        </w:rPr>
        <w:t>законодательством Приднестровской Молдавской Республики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62</w:t>
      </w:r>
      <w:r w:rsidR="0067148D" w:rsidRPr="00D15E0E">
        <w:rPr>
          <w:rFonts w:ascii="Times New Roman" w:hAnsi="Times New Roman" w:cs="Times New Roman"/>
          <w:sz w:val="24"/>
          <w:szCs w:val="24"/>
        </w:rPr>
        <w:t>. </w:t>
      </w:r>
      <w:r w:rsidRPr="00D15E0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В случае если в жалобе (претензии) отсутствуют сведения, указанные в части первой настоящего пункта,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AF43DB" w:rsidRPr="00D15E0E" w:rsidRDefault="00AF43DB" w:rsidP="00D15E0E">
      <w:pPr>
        <w:spacing w:after="0"/>
        <w:ind w:firstLine="284"/>
        <w:jc w:val="both"/>
        <w:rPr>
          <w:rFonts w:ascii="Times New Roman" w:hAnsi="Times New Roman" w:cs="Times New Roman"/>
          <w:sz w:val="24"/>
          <w:szCs w:val="24"/>
        </w:rPr>
      </w:pPr>
    </w:p>
    <w:p w:rsidR="00D15E0E" w:rsidRPr="00D15E0E" w:rsidRDefault="00D15E0E" w:rsidP="00D679B9">
      <w:pPr>
        <w:spacing w:after="0"/>
        <w:ind w:firstLine="284"/>
        <w:jc w:val="center"/>
        <w:rPr>
          <w:rFonts w:ascii="Times New Roman" w:hAnsi="Times New Roman" w:cs="Times New Roman"/>
          <w:b/>
          <w:sz w:val="24"/>
          <w:szCs w:val="24"/>
        </w:rPr>
      </w:pPr>
      <w:r w:rsidRPr="00D15E0E">
        <w:rPr>
          <w:rFonts w:ascii="Times New Roman" w:hAnsi="Times New Roman" w:cs="Times New Roman"/>
          <w:b/>
          <w:sz w:val="24"/>
          <w:szCs w:val="24"/>
        </w:rPr>
        <w:t>35</w:t>
      </w:r>
      <w:r w:rsidR="0067148D" w:rsidRPr="00D15E0E">
        <w:rPr>
          <w:rFonts w:ascii="Times New Roman" w:hAnsi="Times New Roman" w:cs="Times New Roman"/>
          <w:b/>
          <w:sz w:val="24"/>
          <w:szCs w:val="24"/>
        </w:rPr>
        <w:t>. Сроки рассмотрения жалобы (претензии)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63</w:t>
      </w:r>
      <w:r w:rsidR="0067148D" w:rsidRPr="00D15E0E">
        <w:rPr>
          <w:rFonts w:ascii="Times New Roman" w:hAnsi="Times New Roman" w:cs="Times New Roman"/>
          <w:sz w:val="24"/>
          <w:szCs w:val="24"/>
        </w:rPr>
        <w:t xml:space="preserve">. </w:t>
      </w:r>
      <w:r w:rsidRPr="00D15E0E">
        <w:rPr>
          <w:rFonts w:ascii="Times New Roman" w:hAnsi="Times New Roman" w:cs="Times New Roman"/>
          <w:sz w:val="24"/>
          <w:szCs w:val="24"/>
        </w:rPr>
        <w:t>Поступившая жалоба (претензия) подлежит рассмотрению не позднее 15 (пятнадцати) рабочих дней со дня ее регистрации, а в случае обжалования отказа уполномоченного органа или его должностных лиц в предоставлении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Основания оставления жалобы (претензии) без рассмотрения:</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государственную услугу, а также членов их семей. В данном случае заявителю сообщается о недопустимости злоупотребления правом;</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уполномоченный орган, тому же должностному лицу.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в) по вопросам, содержащимся в жалобе (претензии), имеется вступившее в законную силу судебное решение;</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д) жалоба (претензия) направлена заявителем, который решением суда, вступившим в законную силу, признан недееспособным;</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е) жалоба (претензия) подана в интересах третьих лиц, которые возражают против ее рассмотрения (кроме недееспособных лиц).</w:t>
      </w:r>
    </w:p>
    <w:p w:rsidR="00AF43DB"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67148D" w:rsidRPr="00D15E0E" w:rsidRDefault="0067148D" w:rsidP="00D15E0E">
      <w:pPr>
        <w:spacing w:after="0"/>
        <w:ind w:firstLine="284"/>
        <w:jc w:val="both"/>
        <w:rPr>
          <w:rFonts w:ascii="Times New Roman" w:hAnsi="Times New Roman" w:cs="Times New Roman"/>
          <w:sz w:val="24"/>
          <w:szCs w:val="24"/>
        </w:rPr>
      </w:pPr>
    </w:p>
    <w:p w:rsidR="00D15E0E" w:rsidRPr="00D15E0E" w:rsidRDefault="00D15E0E" w:rsidP="00D679B9">
      <w:pPr>
        <w:spacing w:after="0"/>
        <w:ind w:firstLine="284"/>
        <w:jc w:val="center"/>
        <w:rPr>
          <w:rFonts w:ascii="Times New Roman" w:hAnsi="Times New Roman" w:cs="Times New Roman"/>
          <w:b/>
          <w:sz w:val="24"/>
          <w:szCs w:val="24"/>
        </w:rPr>
      </w:pPr>
      <w:r w:rsidRPr="00D15E0E">
        <w:rPr>
          <w:rFonts w:ascii="Times New Roman" w:hAnsi="Times New Roman" w:cs="Times New Roman"/>
          <w:b/>
          <w:sz w:val="24"/>
          <w:szCs w:val="24"/>
        </w:rPr>
        <w:lastRenderedPageBreak/>
        <w:t>36</w:t>
      </w:r>
      <w:r w:rsidR="0067148D" w:rsidRPr="00D15E0E">
        <w:rPr>
          <w:rFonts w:ascii="Times New Roman" w:hAnsi="Times New Roman" w:cs="Times New Roman"/>
          <w:b/>
          <w:sz w:val="24"/>
          <w:szCs w:val="24"/>
        </w:rPr>
        <w:t>.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64</w:t>
      </w:r>
      <w:r w:rsidR="0067148D" w:rsidRPr="00D15E0E">
        <w:rPr>
          <w:rFonts w:ascii="Times New Roman" w:hAnsi="Times New Roman" w:cs="Times New Roman"/>
          <w:sz w:val="24"/>
          <w:szCs w:val="24"/>
        </w:rPr>
        <w:t>. Приостановление рассмотрения жалобы (претензии) действующим законодательством Приднестровской Молдавской Республики не предусмотрено.</w:t>
      </w:r>
    </w:p>
    <w:p w:rsidR="0067148D" w:rsidRPr="00D15E0E" w:rsidRDefault="0067148D" w:rsidP="00D15E0E">
      <w:pPr>
        <w:spacing w:after="0"/>
        <w:ind w:firstLine="284"/>
        <w:jc w:val="both"/>
        <w:rPr>
          <w:rFonts w:ascii="Times New Roman" w:hAnsi="Times New Roman" w:cs="Times New Roman"/>
          <w:sz w:val="24"/>
          <w:szCs w:val="24"/>
        </w:rPr>
      </w:pPr>
    </w:p>
    <w:p w:rsidR="00D15E0E" w:rsidRPr="00D15E0E" w:rsidRDefault="00D15E0E" w:rsidP="00D679B9">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37</w:t>
      </w:r>
      <w:r w:rsidR="0067148D" w:rsidRPr="00D15E0E">
        <w:rPr>
          <w:rFonts w:ascii="Times New Roman" w:hAnsi="Times New Roman" w:cs="Times New Roman"/>
          <w:b/>
          <w:sz w:val="24"/>
          <w:szCs w:val="24"/>
        </w:rPr>
        <w:t>. Результат рассмотрения жалобы (претензии)</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65</w:t>
      </w:r>
      <w:r w:rsidR="0067148D" w:rsidRPr="00D15E0E">
        <w:rPr>
          <w:rFonts w:ascii="Times New Roman" w:hAnsi="Times New Roman" w:cs="Times New Roman"/>
          <w:sz w:val="24"/>
          <w:szCs w:val="24"/>
        </w:rPr>
        <w:t>. По результатам рассмотрения жалобы (претензии) принимается одно из следующих решений:</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а) решение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б) решение об отказе в удовлетворении жалобы (претензии).</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66</w:t>
      </w:r>
      <w:r w:rsidR="0067148D" w:rsidRPr="00D15E0E">
        <w:rPr>
          <w:rFonts w:ascii="Times New Roman" w:hAnsi="Times New Roman" w:cs="Times New Roman"/>
          <w:sz w:val="24"/>
          <w:szCs w:val="24"/>
        </w:rPr>
        <w:t xml:space="preserve">. В случае признания жалобы (претензии) подлежащей удовлетворению в ответе заявителю, указанном в пункте </w:t>
      </w:r>
      <w:r w:rsidR="00EA188D" w:rsidRPr="00D15E0E">
        <w:rPr>
          <w:rFonts w:ascii="Times New Roman" w:hAnsi="Times New Roman" w:cs="Times New Roman"/>
          <w:sz w:val="24"/>
          <w:szCs w:val="24"/>
        </w:rPr>
        <w:t>67 настоящего Регламента</w:t>
      </w:r>
      <w:r w:rsidR="0067148D" w:rsidRPr="00D15E0E">
        <w:rPr>
          <w:rFonts w:ascii="Times New Roman" w:hAnsi="Times New Roman" w:cs="Times New Roman"/>
          <w:sz w:val="24"/>
          <w:szCs w:val="24"/>
        </w:rPr>
        <w:t>,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 xml:space="preserve">В случае признания жалобы (претензии) не подлежащей удовлетворению в ответе заявителю, указанном в пункте </w:t>
      </w:r>
      <w:r w:rsidR="00EA188D" w:rsidRPr="00D15E0E">
        <w:rPr>
          <w:rFonts w:ascii="Times New Roman" w:hAnsi="Times New Roman" w:cs="Times New Roman"/>
          <w:sz w:val="24"/>
          <w:szCs w:val="24"/>
        </w:rPr>
        <w:t>67 настоящего Регламента</w:t>
      </w:r>
      <w:r w:rsidRPr="00D15E0E">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7148D" w:rsidRPr="00D15E0E" w:rsidRDefault="0067148D" w:rsidP="00D15E0E">
      <w:pPr>
        <w:spacing w:after="0"/>
        <w:ind w:firstLine="284"/>
        <w:jc w:val="both"/>
        <w:rPr>
          <w:rFonts w:ascii="Times New Roman" w:hAnsi="Times New Roman" w:cs="Times New Roman"/>
          <w:sz w:val="24"/>
          <w:szCs w:val="24"/>
        </w:rPr>
      </w:pPr>
    </w:p>
    <w:p w:rsidR="00D15E0E" w:rsidRPr="00D15E0E" w:rsidRDefault="00D15E0E" w:rsidP="00D679B9">
      <w:pPr>
        <w:spacing w:after="0"/>
        <w:ind w:firstLine="284"/>
        <w:jc w:val="center"/>
        <w:rPr>
          <w:rFonts w:ascii="Times New Roman" w:hAnsi="Times New Roman" w:cs="Times New Roman"/>
          <w:b/>
          <w:sz w:val="24"/>
          <w:szCs w:val="24"/>
        </w:rPr>
      </w:pPr>
      <w:r w:rsidRPr="00D15E0E">
        <w:rPr>
          <w:rFonts w:ascii="Times New Roman" w:hAnsi="Times New Roman" w:cs="Times New Roman"/>
          <w:b/>
          <w:sz w:val="24"/>
          <w:szCs w:val="24"/>
        </w:rPr>
        <w:t>38</w:t>
      </w:r>
      <w:r w:rsidR="0067148D" w:rsidRPr="00D15E0E">
        <w:rPr>
          <w:rFonts w:ascii="Times New Roman" w:hAnsi="Times New Roman" w:cs="Times New Roman"/>
          <w:b/>
          <w:sz w:val="24"/>
          <w:szCs w:val="24"/>
        </w:rPr>
        <w:t>. Порядок информирования заявителя о результатах рассмотрения жалобы (претензии)</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67</w:t>
      </w:r>
      <w:r w:rsidR="0067148D" w:rsidRPr="00D15E0E">
        <w:rPr>
          <w:rFonts w:ascii="Times New Roman" w:hAnsi="Times New Roman" w:cs="Times New Roman"/>
          <w:sz w:val="24"/>
          <w:szCs w:val="24"/>
        </w:rPr>
        <w:t xml:space="preserve">. Не позднее 1 (одного) рабочего дня, следующего за днем принятия решения, указанного в </w:t>
      </w:r>
      <w:proofErr w:type="gramStart"/>
      <w:r w:rsidR="0067148D" w:rsidRPr="00D15E0E">
        <w:rPr>
          <w:rFonts w:ascii="Times New Roman" w:hAnsi="Times New Roman" w:cs="Times New Roman"/>
          <w:sz w:val="24"/>
          <w:szCs w:val="24"/>
        </w:rPr>
        <w:t xml:space="preserve">пункте  </w:t>
      </w:r>
      <w:r w:rsidR="00EA188D" w:rsidRPr="00D15E0E">
        <w:rPr>
          <w:rFonts w:ascii="Times New Roman" w:hAnsi="Times New Roman" w:cs="Times New Roman"/>
          <w:sz w:val="24"/>
          <w:szCs w:val="24"/>
        </w:rPr>
        <w:t>65</w:t>
      </w:r>
      <w:proofErr w:type="gramEnd"/>
      <w:r w:rsidR="00EA188D" w:rsidRPr="00D15E0E">
        <w:rPr>
          <w:rFonts w:ascii="Times New Roman" w:hAnsi="Times New Roman" w:cs="Times New Roman"/>
          <w:sz w:val="24"/>
          <w:szCs w:val="24"/>
        </w:rPr>
        <w:t xml:space="preserve"> </w:t>
      </w:r>
      <w:r w:rsidR="0067148D" w:rsidRPr="00D15E0E">
        <w:rPr>
          <w:rFonts w:ascii="Times New Roman" w:hAnsi="Times New Roman" w:cs="Times New Roman"/>
          <w:sz w:val="24"/>
          <w:szCs w:val="24"/>
        </w:rPr>
        <w:t>настоящего Регламента, заявителю направляется мотивированный ответ о результатах рассмотрения жалобы (претензии)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68</w:t>
      </w:r>
      <w:r w:rsidR="0067148D" w:rsidRPr="00D15E0E">
        <w:rPr>
          <w:rFonts w:ascii="Times New Roman" w:hAnsi="Times New Roman" w:cs="Times New Roman"/>
          <w:sz w:val="24"/>
          <w:szCs w:val="24"/>
        </w:rPr>
        <w:t>. Направление ответа о результатах рассмотрения жалобы (претензии) в электронном виде возможно с использованием усиленной квалифицированной электронной подписи.</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69</w:t>
      </w:r>
      <w:r w:rsidR="0067148D" w:rsidRPr="00D15E0E">
        <w:rPr>
          <w:rFonts w:ascii="Times New Roman" w:hAnsi="Times New Roman" w:cs="Times New Roman"/>
          <w:sz w:val="24"/>
          <w:szCs w:val="24"/>
        </w:rPr>
        <w:t>. 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должностное лицо, наделенное полномочиями по рассмотрению жалоб (претензий), незамедлительно направляет имеющиеся материалы в органы прокуратуры Приднестровской Молдавской Республики.</w:t>
      </w:r>
    </w:p>
    <w:p w:rsidR="0067148D" w:rsidRPr="00D15E0E" w:rsidRDefault="0067148D" w:rsidP="00D15E0E">
      <w:pPr>
        <w:spacing w:after="0"/>
        <w:ind w:firstLine="284"/>
        <w:jc w:val="both"/>
        <w:rPr>
          <w:rFonts w:ascii="Times New Roman" w:hAnsi="Times New Roman" w:cs="Times New Roman"/>
          <w:sz w:val="24"/>
          <w:szCs w:val="24"/>
        </w:rPr>
      </w:pPr>
    </w:p>
    <w:p w:rsidR="0067148D" w:rsidRPr="007915F9" w:rsidRDefault="007915F9" w:rsidP="007915F9">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39</w:t>
      </w:r>
      <w:r w:rsidR="0067148D" w:rsidRPr="007915F9">
        <w:rPr>
          <w:rFonts w:ascii="Times New Roman" w:hAnsi="Times New Roman" w:cs="Times New Roman"/>
          <w:b/>
          <w:sz w:val="24"/>
          <w:szCs w:val="24"/>
        </w:rPr>
        <w:t>. Порядок обжалования решения по жалобе (претензии)</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70</w:t>
      </w:r>
      <w:r w:rsidR="0067148D" w:rsidRPr="00D15E0E">
        <w:rPr>
          <w:rFonts w:ascii="Times New Roman" w:hAnsi="Times New Roman" w:cs="Times New Roman"/>
          <w:sz w:val="24"/>
          <w:szCs w:val="24"/>
        </w:rPr>
        <w:t>. Решение по жалобе (претензии) может быть обжаловано в судебном порядке.</w:t>
      </w:r>
    </w:p>
    <w:p w:rsidR="0067148D" w:rsidRPr="00D15E0E" w:rsidRDefault="0067148D" w:rsidP="00D15E0E">
      <w:pPr>
        <w:spacing w:after="0"/>
        <w:ind w:firstLine="284"/>
        <w:jc w:val="both"/>
        <w:rPr>
          <w:rFonts w:ascii="Times New Roman" w:hAnsi="Times New Roman" w:cs="Times New Roman"/>
          <w:sz w:val="24"/>
          <w:szCs w:val="24"/>
        </w:rPr>
      </w:pPr>
    </w:p>
    <w:p w:rsidR="0067148D" w:rsidRPr="007915F9" w:rsidRDefault="007915F9" w:rsidP="007915F9">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40</w:t>
      </w:r>
      <w:r w:rsidR="0067148D" w:rsidRPr="007915F9">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 (претензии)</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7</w:t>
      </w:r>
      <w:r w:rsidR="005C7B04" w:rsidRPr="00D15E0E">
        <w:rPr>
          <w:rFonts w:ascii="Times New Roman" w:hAnsi="Times New Roman" w:cs="Times New Roman"/>
          <w:sz w:val="24"/>
          <w:szCs w:val="24"/>
        </w:rPr>
        <w:t>1</w:t>
      </w:r>
      <w:r w:rsidR="0067148D" w:rsidRPr="00D15E0E">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(претензии).</w:t>
      </w:r>
    </w:p>
    <w:p w:rsidR="0067148D" w:rsidRPr="00D15E0E" w:rsidRDefault="0067148D" w:rsidP="00D15E0E">
      <w:pPr>
        <w:spacing w:after="0"/>
        <w:ind w:firstLine="284"/>
        <w:jc w:val="both"/>
        <w:rPr>
          <w:rFonts w:ascii="Times New Roman" w:hAnsi="Times New Roman" w:cs="Times New Roman"/>
          <w:sz w:val="24"/>
          <w:szCs w:val="24"/>
        </w:rPr>
      </w:pPr>
    </w:p>
    <w:p w:rsidR="0067148D" w:rsidRPr="007915F9" w:rsidRDefault="007915F9" w:rsidP="007915F9">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41</w:t>
      </w:r>
      <w:r w:rsidR="0067148D" w:rsidRPr="007915F9">
        <w:rPr>
          <w:rFonts w:ascii="Times New Roman" w:hAnsi="Times New Roman" w:cs="Times New Roman"/>
          <w:b/>
          <w:sz w:val="24"/>
          <w:szCs w:val="24"/>
        </w:rPr>
        <w:t>. Способы информирования заявителей о порядке подачи и рассмотрения жалобы (претензии)</w:t>
      </w:r>
    </w:p>
    <w:p w:rsidR="0067148D" w:rsidRPr="00D15E0E" w:rsidRDefault="00AF43DB"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7</w:t>
      </w:r>
      <w:r w:rsidR="005C7B04" w:rsidRPr="00D15E0E">
        <w:rPr>
          <w:rFonts w:ascii="Times New Roman" w:hAnsi="Times New Roman" w:cs="Times New Roman"/>
          <w:sz w:val="24"/>
          <w:szCs w:val="24"/>
        </w:rPr>
        <w:t>2</w:t>
      </w:r>
      <w:r w:rsidR="0067148D" w:rsidRPr="00D15E0E">
        <w:rPr>
          <w:rFonts w:ascii="Times New Roman" w:hAnsi="Times New Roman" w:cs="Times New Roman"/>
          <w:sz w:val="24"/>
          <w:szCs w:val="24"/>
        </w:rPr>
        <w:t xml:space="preserve">. </w:t>
      </w:r>
      <w:r w:rsidR="005C7B04" w:rsidRPr="00D15E0E">
        <w:rPr>
          <w:rFonts w:ascii="Times New Roman" w:hAnsi="Times New Roman" w:cs="Times New Roman"/>
          <w:sz w:val="24"/>
          <w:szCs w:val="24"/>
        </w:rPr>
        <w:t>Уполномоченный о</w:t>
      </w:r>
      <w:r w:rsidR="0067148D" w:rsidRPr="00D15E0E">
        <w:rPr>
          <w:rFonts w:ascii="Times New Roman" w:hAnsi="Times New Roman" w:cs="Times New Roman"/>
          <w:sz w:val="24"/>
          <w:szCs w:val="24"/>
        </w:rPr>
        <w:t>рган обязан обеспечить информирование заявителей о порядке обжалования решений и (или) действий (бездействия) органа, предоставляющего государственную услугу, и (или) его должностных лиц, участвующих в предоставлении государственной услуги, посредством размещения информации на стендах в местах предоставления государственной услуги, на Портале и на официальном сайте органа, предоставляющий государственную услугу.»</w:t>
      </w:r>
    </w:p>
    <w:p w:rsidR="00AF43DB" w:rsidRPr="00D15E0E" w:rsidRDefault="00AF43DB" w:rsidP="00D15E0E">
      <w:pPr>
        <w:spacing w:after="0"/>
        <w:ind w:firstLine="284"/>
        <w:jc w:val="both"/>
        <w:rPr>
          <w:rFonts w:ascii="Times New Roman" w:hAnsi="Times New Roman" w:cs="Times New Roman"/>
          <w:sz w:val="24"/>
          <w:szCs w:val="24"/>
        </w:rPr>
      </w:pP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2. Настоящий Приказ направить на государственную регистрацию и официальное опубликование в Министерство юстиции Приднестровской Молдавской Республики.</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3. Настоящий Приказ вступает в силу со дня, следующего за днем официального опубликования.</w:t>
      </w:r>
    </w:p>
    <w:p w:rsidR="0067148D" w:rsidRPr="00D15E0E" w:rsidRDefault="0067148D" w:rsidP="00D15E0E">
      <w:pPr>
        <w:spacing w:after="0"/>
        <w:ind w:firstLine="284"/>
        <w:jc w:val="both"/>
        <w:rPr>
          <w:rFonts w:ascii="Times New Roman" w:hAnsi="Times New Roman" w:cs="Times New Roman"/>
          <w:sz w:val="24"/>
          <w:szCs w:val="24"/>
        </w:rPr>
      </w:pPr>
    </w:p>
    <w:p w:rsidR="0067148D" w:rsidRPr="00D15E0E" w:rsidRDefault="0067148D" w:rsidP="00D15E0E">
      <w:pPr>
        <w:spacing w:after="0"/>
        <w:ind w:firstLine="284"/>
        <w:jc w:val="both"/>
        <w:rPr>
          <w:rFonts w:ascii="Times New Roman" w:hAnsi="Times New Roman" w:cs="Times New Roman"/>
          <w:sz w:val="24"/>
          <w:szCs w:val="24"/>
        </w:rPr>
      </w:pP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 xml:space="preserve">Заместитель Председателя Правительства </w:t>
      </w:r>
    </w:p>
    <w:p w:rsidR="0067148D" w:rsidRPr="00D15E0E"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 xml:space="preserve">Приднестровской Молдавской Республики – </w:t>
      </w:r>
    </w:p>
    <w:p w:rsidR="0067148D" w:rsidRDefault="0067148D" w:rsidP="00D15E0E">
      <w:pPr>
        <w:spacing w:after="0"/>
        <w:ind w:firstLine="284"/>
        <w:jc w:val="both"/>
        <w:rPr>
          <w:rFonts w:ascii="Times New Roman" w:hAnsi="Times New Roman" w:cs="Times New Roman"/>
          <w:sz w:val="24"/>
          <w:szCs w:val="24"/>
        </w:rPr>
      </w:pPr>
      <w:r w:rsidRPr="00D15E0E">
        <w:rPr>
          <w:rFonts w:ascii="Times New Roman" w:hAnsi="Times New Roman" w:cs="Times New Roman"/>
          <w:sz w:val="24"/>
          <w:szCs w:val="24"/>
        </w:rPr>
        <w:t xml:space="preserve">министр                                                                                                                   С.А. </w:t>
      </w:r>
      <w:proofErr w:type="spellStart"/>
      <w:r w:rsidRPr="00D15E0E">
        <w:rPr>
          <w:rFonts w:ascii="Times New Roman" w:hAnsi="Times New Roman" w:cs="Times New Roman"/>
          <w:sz w:val="24"/>
          <w:szCs w:val="24"/>
        </w:rPr>
        <w:t>Оболоник</w:t>
      </w:r>
      <w:proofErr w:type="spellEnd"/>
    </w:p>
    <w:p w:rsidR="00E74CDA" w:rsidRDefault="00E74CDA" w:rsidP="00D15E0E">
      <w:pPr>
        <w:spacing w:after="0"/>
        <w:ind w:firstLine="284"/>
        <w:jc w:val="both"/>
        <w:rPr>
          <w:rFonts w:ascii="Times New Roman" w:hAnsi="Times New Roman" w:cs="Times New Roman"/>
          <w:sz w:val="24"/>
          <w:szCs w:val="24"/>
        </w:rPr>
      </w:pPr>
    </w:p>
    <w:sectPr w:rsidR="00E74CDA"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262B"/>
    <w:rsid w:val="000137EA"/>
    <w:rsid w:val="0002772F"/>
    <w:rsid w:val="00030F55"/>
    <w:rsid w:val="00030FE9"/>
    <w:rsid w:val="00033039"/>
    <w:rsid w:val="000511AB"/>
    <w:rsid w:val="0005463D"/>
    <w:rsid w:val="00056614"/>
    <w:rsid w:val="000660CB"/>
    <w:rsid w:val="00074DA8"/>
    <w:rsid w:val="00085B1A"/>
    <w:rsid w:val="00093571"/>
    <w:rsid w:val="000A1D6A"/>
    <w:rsid w:val="000B5E2F"/>
    <w:rsid w:val="000C4D79"/>
    <w:rsid w:val="000D5335"/>
    <w:rsid w:val="000F3ACA"/>
    <w:rsid w:val="000F74C7"/>
    <w:rsid w:val="00100CFE"/>
    <w:rsid w:val="00116191"/>
    <w:rsid w:val="00117ECC"/>
    <w:rsid w:val="00127DD1"/>
    <w:rsid w:val="00132849"/>
    <w:rsid w:val="0013488E"/>
    <w:rsid w:val="00136EAC"/>
    <w:rsid w:val="001448DC"/>
    <w:rsid w:val="00155B1F"/>
    <w:rsid w:val="00182768"/>
    <w:rsid w:val="00184E7C"/>
    <w:rsid w:val="00190BF8"/>
    <w:rsid w:val="00190DC2"/>
    <w:rsid w:val="001922B9"/>
    <w:rsid w:val="0019579F"/>
    <w:rsid w:val="0019684A"/>
    <w:rsid w:val="001972DD"/>
    <w:rsid w:val="001A6087"/>
    <w:rsid w:val="001B09CB"/>
    <w:rsid w:val="001B0E86"/>
    <w:rsid w:val="001D19BD"/>
    <w:rsid w:val="0021032B"/>
    <w:rsid w:val="00212190"/>
    <w:rsid w:val="00213657"/>
    <w:rsid w:val="00215DAE"/>
    <w:rsid w:val="00217F77"/>
    <w:rsid w:val="00221D0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58E8"/>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0EA7"/>
    <w:rsid w:val="00371D34"/>
    <w:rsid w:val="00373E49"/>
    <w:rsid w:val="00380D60"/>
    <w:rsid w:val="00383937"/>
    <w:rsid w:val="00385A2B"/>
    <w:rsid w:val="00386FAD"/>
    <w:rsid w:val="0039019C"/>
    <w:rsid w:val="00393FB3"/>
    <w:rsid w:val="00394C80"/>
    <w:rsid w:val="003A4179"/>
    <w:rsid w:val="003B4B69"/>
    <w:rsid w:val="00410812"/>
    <w:rsid w:val="004268EA"/>
    <w:rsid w:val="00431B8E"/>
    <w:rsid w:val="00435D2B"/>
    <w:rsid w:val="00436C67"/>
    <w:rsid w:val="004453BE"/>
    <w:rsid w:val="00455C20"/>
    <w:rsid w:val="004567BF"/>
    <w:rsid w:val="00457441"/>
    <w:rsid w:val="00463F07"/>
    <w:rsid w:val="00472EF9"/>
    <w:rsid w:val="00473D71"/>
    <w:rsid w:val="00475B7F"/>
    <w:rsid w:val="00480C63"/>
    <w:rsid w:val="00481669"/>
    <w:rsid w:val="004853C8"/>
    <w:rsid w:val="00490C61"/>
    <w:rsid w:val="004927E6"/>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86987"/>
    <w:rsid w:val="00591D9E"/>
    <w:rsid w:val="005B0670"/>
    <w:rsid w:val="005B2957"/>
    <w:rsid w:val="005B5575"/>
    <w:rsid w:val="005C7B04"/>
    <w:rsid w:val="005D2AA6"/>
    <w:rsid w:val="005D4ACF"/>
    <w:rsid w:val="005E47FB"/>
    <w:rsid w:val="005F2580"/>
    <w:rsid w:val="005F59BA"/>
    <w:rsid w:val="0060059B"/>
    <w:rsid w:val="0062594E"/>
    <w:rsid w:val="00627E22"/>
    <w:rsid w:val="006301DD"/>
    <w:rsid w:val="00634B0E"/>
    <w:rsid w:val="00635057"/>
    <w:rsid w:val="00636434"/>
    <w:rsid w:val="006368B2"/>
    <w:rsid w:val="00645656"/>
    <w:rsid w:val="00655392"/>
    <w:rsid w:val="00661DC9"/>
    <w:rsid w:val="006625EA"/>
    <w:rsid w:val="0067148D"/>
    <w:rsid w:val="00677850"/>
    <w:rsid w:val="006812F3"/>
    <w:rsid w:val="006823A7"/>
    <w:rsid w:val="00690007"/>
    <w:rsid w:val="006A6A5E"/>
    <w:rsid w:val="006A7AE3"/>
    <w:rsid w:val="006A7EEB"/>
    <w:rsid w:val="006B6A95"/>
    <w:rsid w:val="006C09B9"/>
    <w:rsid w:val="006C333C"/>
    <w:rsid w:val="006C4A7C"/>
    <w:rsid w:val="006E08CD"/>
    <w:rsid w:val="006E4F4C"/>
    <w:rsid w:val="00703F74"/>
    <w:rsid w:val="007208FC"/>
    <w:rsid w:val="007215FD"/>
    <w:rsid w:val="007501CD"/>
    <w:rsid w:val="00751338"/>
    <w:rsid w:val="00751EA6"/>
    <w:rsid w:val="0077609F"/>
    <w:rsid w:val="00776227"/>
    <w:rsid w:val="0077654D"/>
    <w:rsid w:val="007774F7"/>
    <w:rsid w:val="00781D6E"/>
    <w:rsid w:val="00784FBF"/>
    <w:rsid w:val="007915F9"/>
    <w:rsid w:val="00791EC8"/>
    <w:rsid w:val="007B36BF"/>
    <w:rsid w:val="007C660C"/>
    <w:rsid w:val="007C7C14"/>
    <w:rsid w:val="007D0E4D"/>
    <w:rsid w:val="007D653E"/>
    <w:rsid w:val="007D7642"/>
    <w:rsid w:val="007E0AA6"/>
    <w:rsid w:val="007F0D98"/>
    <w:rsid w:val="007F2FCB"/>
    <w:rsid w:val="007F5DEB"/>
    <w:rsid w:val="008043B6"/>
    <w:rsid w:val="008100E1"/>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5AA1"/>
    <w:rsid w:val="008D6023"/>
    <w:rsid w:val="008D6B17"/>
    <w:rsid w:val="008E72BB"/>
    <w:rsid w:val="008F2140"/>
    <w:rsid w:val="00900CEE"/>
    <w:rsid w:val="009024B5"/>
    <w:rsid w:val="00904539"/>
    <w:rsid w:val="0090610B"/>
    <w:rsid w:val="00906DFC"/>
    <w:rsid w:val="00910174"/>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E15EF"/>
    <w:rsid w:val="00AF3EFE"/>
    <w:rsid w:val="00AF43DB"/>
    <w:rsid w:val="00AF55C4"/>
    <w:rsid w:val="00B04B02"/>
    <w:rsid w:val="00B0548E"/>
    <w:rsid w:val="00B10766"/>
    <w:rsid w:val="00B155C8"/>
    <w:rsid w:val="00B201EF"/>
    <w:rsid w:val="00B2192E"/>
    <w:rsid w:val="00B22A1D"/>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5E0E"/>
    <w:rsid w:val="00D16C91"/>
    <w:rsid w:val="00D22216"/>
    <w:rsid w:val="00D339B6"/>
    <w:rsid w:val="00D34B59"/>
    <w:rsid w:val="00D3598A"/>
    <w:rsid w:val="00D40DD0"/>
    <w:rsid w:val="00D44B02"/>
    <w:rsid w:val="00D47880"/>
    <w:rsid w:val="00D50019"/>
    <w:rsid w:val="00D50047"/>
    <w:rsid w:val="00D5079F"/>
    <w:rsid w:val="00D57761"/>
    <w:rsid w:val="00D679B9"/>
    <w:rsid w:val="00D8241F"/>
    <w:rsid w:val="00D92A18"/>
    <w:rsid w:val="00D938C6"/>
    <w:rsid w:val="00DA11C2"/>
    <w:rsid w:val="00DA1324"/>
    <w:rsid w:val="00DA1DA6"/>
    <w:rsid w:val="00DB0CE4"/>
    <w:rsid w:val="00DB6645"/>
    <w:rsid w:val="00DB6FC6"/>
    <w:rsid w:val="00DD289E"/>
    <w:rsid w:val="00DD2A68"/>
    <w:rsid w:val="00DD2C10"/>
    <w:rsid w:val="00DD3DE7"/>
    <w:rsid w:val="00DE1BAD"/>
    <w:rsid w:val="00DE6A12"/>
    <w:rsid w:val="00DF4E1F"/>
    <w:rsid w:val="00DF7B32"/>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74CDA"/>
    <w:rsid w:val="00E81C71"/>
    <w:rsid w:val="00E83FAE"/>
    <w:rsid w:val="00EA188D"/>
    <w:rsid w:val="00EA389D"/>
    <w:rsid w:val="00EA38D6"/>
    <w:rsid w:val="00EB2F02"/>
    <w:rsid w:val="00EC25DF"/>
    <w:rsid w:val="00EC5496"/>
    <w:rsid w:val="00EC57B3"/>
    <w:rsid w:val="00ED2761"/>
    <w:rsid w:val="00ED451A"/>
    <w:rsid w:val="00EE1962"/>
    <w:rsid w:val="00EE658F"/>
    <w:rsid w:val="00EF020F"/>
    <w:rsid w:val="00EF0988"/>
    <w:rsid w:val="00EF5AEE"/>
    <w:rsid w:val="00EF5D42"/>
    <w:rsid w:val="00EF6BFA"/>
    <w:rsid w:val="00F005FA"/>
    <w:rsid w:val="00F010FF"/>
    <w:rsid w:val="00F1131B"/>
    <w:rsid w:val="00F45D4D"/>
    <w:rsid w:val="00F46D75"/>
    <w:rsid w:val="00F52BE2"/>
    <w:rsid w:val="00F67820"/>
    <w:rsid w:val="00F67BF2"/>
    <w:rsid w:val="00F7084A"/>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5C00"/>
    <w:rsid w:val="00FD6726"/>
    <w:rsid w:val="00FD7A78"/>
    <w:rsid w:val="00FE17FE"/>
    <w:rsid w:val="00FE230F"/>
    <w:rsid w:val="00FE313E"/>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0377"/>
  <w15:docId w15:val="{60EF26DC-B303-426E-A5E7-A3AB09BF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0E"/>
  </w:style>
  <w:style w:type="paragraph" w:styleId="1">
    <w:name w:val="heading 1"/>
    <w:basedOn w:val="a"/>
    <w:next w:val="a"/>
    <w:link w:val="10"/>
    <w:uiPriority w:val="9"/>
    <w:qFormat/>
    <w:rsid w:val="006714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character" w:customStyle="1" w:styleId="text-small">
    <w:name w:val="text-small"/>
    <w:basedOn w:val="a0"/>
    <w:rsid w:val="0067148D"/>
  </w:style>
  <w:style w:type="paragraph" w:customStyle="1" w:styleId="11">
    <w:name w:val="Абзац списка1"/>
    <w:basedOn w:val="a"/>
    <w:rsid w:val="0067148D"/>
    <w:pPr>
      <w:ind w:left="720"/>
      <w:contextualSpacing/>
    </w:pPr>
    <w:rPr>
      <w:rFonts w:ascii="Calibri" w:eastAsia="Times New Roman" w:hAnsi="Calibri" w:cs="Times New Roman"/>
    </w:rPr>
  </w:style>
  <w:style w:type="paragraph" w:styleId="ac">
    <w:name w:val="Normal (Web)"/>
    <w:basedOn w:val="a"/>
    <w:uiPriority w:val="99"/>
    <w:semiHidden/>
    <w:unhideWhenUsed/>
    <w:rsid w:val="00671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714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4493F"/>
    <w:rsid w:val="001D6282"/>
    <w:rsid w:val="00234C45"/>
    <w:rsid w:val="002F5276"/>
    <w:rsid w:val="003F450E"/>
    <w:rsid w:val="00574F6F"/>
    <w:rsid w:val="007116F8"/>
    <w:rsid w:val="007A3675"/>
    <w:rsid w:val="00952B57"/>
    <w:rsid w:val="00B230F6"/>
    <w:rsid w:val="00B80F2E"/>
    <w:rsid w:val="00BD0B9C"/>
    <w:rsid w:val="00C2530C"/>
    <w:rsid w:val="00CE0535"/>
    <w:rsid w:val="00FA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FD5D-DE63-44D6-B6F8-4C6A7055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Шинкарюк Андрей Петрович</cp:lastModifiedBy>
  <cp:revision>12</cp:revision>
  <cp:lastPrinted>2021-02-27T09:25:00Z</cp:lastPrinted>
  <dcterms:created xsi:type="dcterms:W3CDTF">2021-06-05T10:09:00Z</dcterms:created>
  <dcterms:modified xsi:type="dcterms:W3CDTF">2021-06-30T08:24:00Z</dcterms:modified>
</cp:coreProperties>
</file>