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charts/chart59.xml" ContentType="application/vnd.openxmlformats-officedocument.drawingml.chart+xml"/>
  <Override PartName="/word/charts/chart77.xml" ContentType="application/vnd.openxmlformats-officedocument.drawingml.chart+xml"/>
  <Override PartName="/word/charts/chart88.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drawings/drawing2.xml" ContentType="application/vnd.openxmlformats-officedocument.drawingml.chartshapes+xml"/>
  <Override PartName="/word/charts/chart55.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91.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charts/chart80.xml" ContentType="application/vnd.openxmlformats-officedocument.drawingml.chart+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40.xml" ContentType="application/vnd.openxmlformats-officedocument.drawingml.chart+xml"/>
  <Override PartName="/word/theme/themeOverride27.xml" ContentType="application/vnd.openxmlformats-officedocument.themeOverride+xml"/>
  <Override PartName="/word/theme/themeOverride4.xml" ContentType="application/vnd.openxmlformats-officedocument.themeOverride+xml"/>
  <Default Extension="png" ContentType="image/png"/>
  <Override PartName="/word/theme/themeOverride16.xml" ContentType="application/vnd.openxmlformats-officedocument.themeOverride+xml"/>
  <Override PartName="/word/theme/themeOverride25.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charts/chart89.xml" ContentType="application/vnd.openxmlformats-officedocument.drawingml.chart+xml"/>
  <Default Extension="jpeg" ContentType="image/jpeg"/>
  <Override PartName="/word/theme/themeOverride12.xml" ContentType="application/vnd.openxmlformats-officedocument.themeOverride+xml"/>
  <Override PartName="/word/charts/chart49.xml" ContentType="application/vnd.openxmlformats-officedocument.drawingml.chart+xml"/>
  <Default Extension="emf" ContentType="image/x-emf"/>
  <Override PartName="/word/theme/themeOverride21.xml" ContentType="application/vnd.openxmlformats-officedocument.themeOverride+xml"/>
  <Override PartName="/word/charts/chart69.xml" ContentType="application/vnd.openxmlformats-officedocument.drawingml.chart+xml"/>
  <Override PartName="/word/charts/chart78.xml" ContentType="application/vnd.openxmlformats-officedocument.drawingml.chart+xml"/>
  <Override PartName="/word/charts/chart87.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theme/themeOverride10.xml" ContentType="application/vnd.openxmlformats-officedocument.themeOverride+xml"/>
  <Override PartName="/word/charts/chart38.xml" ContentType="application/vnd.openxmlformats-officedocument.drawingml.chart+xml"/>
  <Override PartName="/word/drawings/drawing3.xml" ContentType="application/vnd.openxmlformats-officedocument.drawingml.chartshapes+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word/charts/chart85.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drawings/drawing1.xml" ContentType="application/vnd.openxmlformats-officedocument.drawingml.chartshapes+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charts/chart83.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charts/chart81.xml" ContentType="application/vnd.openxmlformats-officedocument.drawingml.chart+xml"/>
  <Override PartName="/word/charts/chart90.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theme/themeOverride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theme/themeOverride19.xml" ContentType="application/vnd.openxmlformats-officedocument.themeOverride+xml"/>
  <Override PartName="/word/charts/chart7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theme/themeOverride17.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20.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31.xml" ContentType="application/vnd.openxmlformats-officedocument.drawingml.chart+xml"/>
  <Override PartName="/word/charts/chart42.xml" ContentType="application/vnd.openxmlformats-officedocument.drawingml.chart+xml"/>
  <Override PartName="/word/charts/chart60.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491" w:rsidRDefault="00DE2491" w:rsidP="00E030E3">
      <w:pPr>
        <w:spacing w:after="0" w:line="240" w:lineRule="auto"/>
        <w:ind w:firstLine="851"/>
        <w:jc w:val="both"/>
        <w:rPr>
          <w:rFonts w:ascii="Times New Roman" w:hAnsi="Times New Roman"/>
          <w:b/>
          <w:sz w:val="28"/>
          <w:szCs w:val="28"/>
        </w:rPr>
      </w:pPr>
    </w:p>
    <w:p w:rsidR="00DE2491" w:rsidRPr="00A05477" w:rsidRDefault="00DE2491" w:rsidP="00E030E3">
      <w:pPr>
        <w:spacing w:after="0" w:line="240" w:lineRule="auto"/>
        <w:ind w:firstLine="851"/>
        <w:jc w:val="both"/>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r w:rsidRPr="00FB2DB2">
        <w:rPr>
          <w:rFonts w:ascii="Times New Roman" w:hAnsi="Times New Roman"/>
          <w:b/>
          <w:bCs/>
          <w:sz w:val="28"/>
          <w:szCs w:val="28"/>
        </w:rPr>
        <w:t>МИНИСТЕРСТВО ЭКОНОМИ</w:t>
      </w:r>
      <w:r>
        <w:rPr>
          <w:rFonts w:ascii="Times New Roman" w:hAnsi="Times New Roman"/>
          <w:b/>
          <w:bCs/>
          <w:sz w:val="28"/>
          <w:szCs w:val="28"/>
        </w:rPr>
        <w:t>ЧЕСКОГО РАЗВИТИЯ</w:t>
      </w: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r w:rsidRPr="00FB2DB2">
        <w:rPr>
          <w:rFonts w:ascii="Times New Roman" w:hAnsi="Times New Roman"/>
          <w:b/>
          <w:bCs/>
          <w:sz w:val="28"/>
          <w:szCs w:val="28"/>
        </w:rPr>
        <w:t>ПРИДНЕСТРОВСКОЙ МОЛДАВСКОЙ РЕСПУБЛИКИ</w:t>
      </w: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44"/>
          <w:szCs w:val="44"/>
        </w:rPr>
      </w:pPr>
      <w:r w:rsidRPr="00FB2DB2">
        <w:rPr>
          <w:rFonts w:ascii="Times New Roman" w:hAnsi="Times New Roman"/>
          <w:b/>
          <w:bCs/>
          <w:sz w:val="44"/>
          <w:szCs w:val="44"/>
        </w:rPr>
        <w:t>ДОКЛАД</w:t>
      </w: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48"/>
          <w:szCs w:val="48"/>
        </w:rPr>
      </w:pPr>
      <w:r w:rsidRPr="00FB2DB2">
        <w:rPr>
          <w:rFonts w:ascii="Times New Roman" w:hAnsi="Times New Roman"/>
          <w:b/>
          <w:bCs/>
          <w:sz w:val="48"/>
          <w:szCs w:val="48"/>
        </w:rPr>
        <w:t>«О социально-экономическом развитии</w:t>
      </w: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48"/>
          <w:szCs w:val="48"/>
        </w:rPr>
      </w:pPr>
      <w:r w:rsidRPr="00FB2DB2">
        <w:rPr>
          <w:rFonts w:ascii="Times New Roman" w:hAnsi="Times New Roman"/>
          <w:b/>
          <w:bCs/>
          <w:sz w:val="48"/>
          <w:szCs w:val="48"/>
        </w:rPr>
        <w:t>Приднестровской Молдавской Республики</w:t>
      </w: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48"/>
          <w:szCs w:val="48"/>
        </w:rPr>
      </w:pPr>
      <w:r>
        <w:rPr>
          <w:rFonts w:ascii="Times New Roman" w:hAnsi="Times New Roman"/>
          <w:b/>
          <w:bCs/>
          <w:sz w:val="48"/>
          <w:szCs w:val="48"/>
        </w:rPr>
        <w:t xml:space="preserve">в </w:t>
      </w:r>
      <w:r w:rsidR="006C0B54">
        <w:rPr>
          <w:rFonts w:ascii="Times New Roman" w:hAnsi="Times New Roman"/>
          <w:b/>
          <w:bCs/>
          <w:sz w:val="48"/>
          <w:szCs w:val="48"/>
        </w:rPr>
        <w:t xml:space="preserve">январе – июне </w:t>
      </w:r>
      <w:r>
        <w:rPr>
          <w:rFonts w:ascii="Times New Roman" w:hAnsi="Times New Roman"/>
          <w:b/>
          <w:bCs/>
          <w:sz w:val="48"/>
          <w:szCs w:val="48"/>
        </w:rPr>
        <w:t>201</w:t>
      </w:r>
      <w:r w:rsidR="006C0B54">
        <w:rPr>
          <w:rFonts w:ascii="Times New Roman" w:hAnsi="Times New Roman"/>
          <w:b/>
          <w:bCs/>
          <w:sz w:val="48"/>
          <w:szCs w:val="48"/>
        </w:rPr>
        <w:t>4</w:t>
      </w:r>
      <w:r>
        <w:rPr>
          <w:rFonts w:ascii="Times New Roman" w:hAnsi="Times New Roman"/>
          <w:b/>
          <w:bCs/>
          <w:sz w:val="48"/>
          <w:szCs w:val="48"/>
        </w:rPr>
        <w:t xml:space="preserve"> год</w:t>
      </w:r>
      <w:r w:rsidR="006C0B54">
        <w:rPr>
          <w:rFonts w:ascii="Times New Roman" w:hAnsi="Times New Roman"/>
          <w:b/>
          <w:bCs/>
          <w:sz w:val="48"/>
          <w:szCs w:val="48"/>
        </w:rPr>
        <w:t>а</w:t>
      </w:r>
      <w:r w:rsidRPr="00FB2DB2">
        <w:rPr>
          <w:rFonts w:ascii="Times New Roman" w:hAnsi="Times New Roman"/>
          <w:b/>
          <w:bCs/>
          <w:sz w:val="48"/>
          <w:szCs w:val="48"/>
        </w:rPr>
        <w:t>»</w:t>
      </w: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r w:rsidRPr="00FB2DB2">
        <w:rPr>
          <w:rFonts w:ascii="Times New Roman" w:hAnsi="Times New Roman"/>
          <w:b/>
          <w:sz w:val="28"/>
          <w:szCs w:val="28"/>
        </w:rPr>
        <w:t>г. Тирасполь</w:t>
      </w:r>
    </w:p>
    <w:p w:rsidR="00DE2491"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r w:rsidRPr="00FB2DB2">
        <w:rPr>
          <w:rFonts w:ascii="Times New Roman" w:hAnsi="Times New Roman"/>
          <w:b/>
          <w:sz w:val="28"/>
          <w:szCs w:val="28"/>
        </w:rPr>
        <w:t>201</w:t>
      </w:r>
      <w:r>
        <w:rPr>
          <w:rFonts w:ascii="Times New Roman" w:hAnsi="Times New Roman"/>
          <w:b/>
          <w:sz w:val="28"/>
          <w:szCs w:val="28"/>
        </w:rPr>
        <w:t>4</w:t>
      </w:r>
      <w:r w:rsidRPr="00FB2DB2">
        <w:rPr>
          <w:rFonts w:ascii="Times New Roman" w:hAnsi="Times New Roman"/>
          <w:b/>
          <w:sz w:val="28"/>
          <w:szCs w:val="28"/>
        </w:rPr>
        <w:t xml:space="preserve"> год</w:t>
      </w:r>
    </w:p>
    <w:p w:rsidR="00DE2491" w:rsidRPr="00FB2DB2" w:rsidRDefault="00DE2491" w:rsidP="00E030E3">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DE2491" w:rsidRPr="00E030E3" w:rsidRDefault="00DE2491" w:rsidP="00E030E3">
      <w:pPr>
        <w:spacing w:after="0" w:line="240" w:lineRule="auto"/>
        <w:jc w:val="center"/>
        <w:rPr>
          <w:rFonts w:ascii="Times New Roman" w:hAnsi="Times New Roman"/>
          <w:b/>
          <w:sz w:val="24"/>
          <w:szCs w:val="24"/>
        </w:rPr>
      </w:pPr>
      <w:r w:rsidRPr="00E030E3">
        <w:rPr>
          <w:rFonts w:ascii="Times New Roman" w:hAnsi="Times New Roman"/>
          <w:b/>
          <w:sz w:val="24"/>
          <w:szCs w:val="24"/>
        </w:rPr>
        <w:lastRenderedPageBreak/>
        <w:t>Содержание</w:t>
      </w:r>
    </w:p>
    <w:p w:rsidR="00DE2491" w:rsidRPr="00E030E3" w:rsidRDefault="00DE2491" w:rsidP="00E030E3">
      <w:pPr>
        <w:spacing w:after="0" w:line="240" w:lineRule="auto"/>
        <w:ind w:firstLine="851"/>
        <w:jc w:val="both"/>
        <w:rPr>
          <w:rFonts w:ascii="Times New Roman" w:hAnsi="Times New Roman"/>
          <w:b/>
          <w:sz w:val="24"/>
          <w:szCs w:val="24"/>
        </w:rPr>
      </w:pPr>
    </w:p>
    <w:tbl>
      <w:tblPr>
        <w:tblW w:w="9434" w:type="dxa"/>
        <w:tblLook w:val="01E0"/>
      </w:tblPr>
      <w:tblGrid>
        <w:gridCol w:w="8798"/>
        <w:gridCol w:w="636"/>
      </w:tblGrid>
      <w:tr w:rsidR="00DE2491" w:rsidRPr="00E030E3" w:rsidTr="002224BC">
        <w:tc>
          <w:tcPr>
            <w:tcW w:w="8798" w:type="dxa"/>
          </w:tcPr>
          <w:p w:rsidR="00DE2491" w:rsidRPr="004B6A68" w:rsidRDefault="00DE2491" w:rsidP="006C0B54">
            <w:pPr>
              <w:spacing w:before="100" w:beforeAutospacing="1" w:after="0" w:afterAutospacing="1" w:line="240" w:lineRule="auto"/>
              <w:jc w:val="both"/>
              <w:rPr>
                <w:rFonts w:ascii="Times New Roman" w:hAnsi="Times New Roman"/>
                <w:b/>
                <w:sz w:val="24"/>
                <w:szCs w:val="24"/>
              </w:rPr>
            </w:pPr>
            <w:r w:rsidRPr="004B6A68">
              <w:rPr>
                <w:rFonts w:ascii="Times New Roman" w:hAnsi="Times New Roman"/>
                <w:b/>
                <w:sz w:val="24"/>
                <w:szCs w:val="24"/>
              </w:rPr>
              <w:t xml:space="preserve">Основные тенденции развития экономики Приднестровской Молдавской Республики в </w:t>
            </w:r>
            <w:r w:rsidR="006C0B54" w:rsidRPr="004B6A68">
              <w:rPr>
                <w:rFonts w:ascii="Times New Roman" w:hAnsi="Times New Roman"/>
                <w:b/>
                <w:sz w:val="24"/>
                <w:szCs w:val="24"/>
              </w:rPr>
              <w:t xml:space="preserve">январе – июне </w:t>
            </w:r>
            <w:r w:rsidRPr="004B6A68">
              <w:rPr>
                <w:rFonts w:ascii="Times New Roman" w:hAnsi="Times New Roman"/>
                <w:b/>
                <w:sz w:val="24"/>
                <w:szCs w:val="24"/>
              </w:rPr>
              <w:t>201</w:t>
            </w:r>
            <w:r w:rsidR="006C0B54" w:rsidRPr="004B6A68">
              <w:rPr>
                <w:rFonts w:ascii="Times New Roman" w:hAnsi="Times New Roman"/>
                <w:b/>
                <w:sz w:val="24"/>
                <w:szCs w:val="24"/>
              </w:rPr>
              <w:t>4</w:t>
            </w:r>
            <w:r w:rsidRPr="004B6A68">
              <w:rPr>
                <w:rFonts w:ascii="Times New Roman" w:hAnsi="Times New Roman"/>
                <w:b/>
                <w:sz w:val="24"/>
                <w:szCs w:val="24"/>
              </w:rPr>
              <w:t xml:space="preserve"> год</w:t>
            </w:r>
            <w:r w:rsidR="006C0B54" w:rsidRPr="004B6A68">
              <w:rPr>
                <w:rFonts w:ascii="Times New Roman" w:hAnsi="Times New Roman"/>
                <w:b/>
                <w:sz w:val="24"/>
                <w:szCs w:val="24"/>
              </w:rPr>
              <w:t>а</w:t>
            </w:r>
          </w:p>
        </w:tc>
        <w:tc>
          <w:tcPr>
            <w:tcW w:w="636" w:type="dxa"/>
            <w:vAlign w:val="bottom"/>
          </w:tcPr>
          <w:p w:rsidR="00DE2491" w:rsidRPr="00E030E3" w:rsidRDefault="00DE2491" w:rsidP="002224BC">
            <w:pPr>
              <w:spacing w:before="100" w:beforeAutospacing="1" w:after="0" w:afterAutospacing="1" w:line="240" w:lineRule="auto"/>
              <w:jc w:val="center"/>
              <w:rPr>
                <w:rFonts w:ascii="Times New Roman" w:hAnsi="Times New Roman"/>
                <w:b/>
                <w:sz w:val="24"/>
                <w:szCs w:val="24"/>
                <w:highlight w:val="cyan"/>
              </w:rPr>
            </w:pPr>
            <w:r w:rsidRPr="00E030E3">
              <w:rPr>
                <w:rFonts w:ascii="Times New Roman" w:hAnsi="Times New Roman"/>
                <w:b/>
                <w:sz w:val="24"/>
                <w:szCs w:val="24"/>
              </w:rPr>
              <w:t>3</w:t>
            </w:r>
          </w:p>
        </w:tc>
      </w:tr>
      <w:tr w:rsidR="00DE2491" w:rsidRPr="00E030E3" w:rsidTr="002224BC">
        <w:tc>
          <w:tcPr>
            <w:tcW w:w="8798" w:type="dxa"/>
          </w:tcPr>
          <w:p w:rsidR="00DE2491" w:rsidRPr="004B6A68" w:rsidRDefault="00DE2491" w:rsidP="002224BC">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Объем и структура ВВП……………………………………………………</w:t>
            </w:r>
          </w:p>
        </w:tc>
        <w:tc>
          <w:tcPr>
            <w:tcW w:w="636" w:type="dxa"/>
          </w:tcPr>
          <w:p w:rsidR="00DE2491" w:rsidRPr="00E030E3" w:rsidRDefault="00DE2491" w:rsidP="00827768">
            <w:pPr>
              <w:spacing w:before="100" w:beforeAutospacing="1" w:after="0" w:afterAutospacing="1" w:line="240" w:lineRule="auto"/>
              <w:rPr>
                <w:rFonts w:ascii="Times New Roman" w:hAnsi="Times New Roman"/>
                <w:sz w:val="24"/>
                <w:szCs w:val="24"/>
              </w:rPr>
            </w:pPr>
            <w:r w:rsidRPr="00E030E3">
              <w:rPr>
                <w:rFonts w:ascii="Times New Roman" w:hAnsi="Times New Roman"/>
                <w:sz w:val="24"/>
                <w:szCs w:val="24"/>
              </w:rPr>
              <w:t>1</w:t>
            </w:r>
            <w:r w:rsidR="00827768">
              <w:rPr>
                <w:rFonts w:ascii="Times New Roman" w:hAnsi="Times New Roman"/>
                <w:sz w:val="24"/>
                <w:szCs w:val="24"/>
              </w:rPr>
              <w:t>1</w:t>
            </w:r>
          </w:p>
        </w:tc>
      </w:tr>
      <w:tr w:rsidR="00DE2491" w:rsidRPr="00E030E3" w:rsidTr="002224BC">
        <w:tc>
          <w:tcPr>
            <w:tcW w:w="8798" w:type="dxa"/>
          </w:tcPr>
          <w:p w:rsidR="00DE2491" w:rsidRPr="004B6A68" w:rsidRDefault="00DE2491" w:rsidP="002224BC">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Денежно-кредитная политика……………………………………………..</w:t>
            </w:r>
          </w:p>
        </w:tc>
        <w:tc>
          <w:tcPr>
            <w:tcW w:w="636" w:type="dxa"/>
          </w:tcPr>
          <w:p w:rsidR="00DE2491" w:rsidRPr="00E030E3" w:rsidRDefault="00DE2491" w:rsidP="00827768">
            <w:pPr>
              <w:spacing w:before="100" w:beforeAutospacing="1" w:after="0" w:afterAutospacing="1" w:line="240" w:lineRule="auto"/>
              <w:rPr>
                <w:rFonts w:ascii="Times New Roman" w:hAnsi="Times New Roman"/>
                <w:sz w:val="24"/>
                <w:szCs w:val="24"/>
              </w:rPr>
            </w:pPr>
            <w:r w:rsidRPr="00E030E3">
              <w:rPr>
                <w:rFonts w:ascii="Times New Roman" w:hAnsi="Times New Roman"/>
                <w:sz w:val="24"/>
                <w:szCs w:val="24"/>
              </w:rPr>
              <w:t>1</w:t>
            </w:r>
            <w:r w:rsidR="00827768">
              <w:rPr>
                <w:rFonts w:ascii="Times New Roman" w:hAnsi="Times New Roman"/>
                <w:sz w:val="24"/>
                <w:szCs w:val="24"/>
              </w:rPr>
              <w:t>4</w:t>
            </w:r>
          </w:p>
        </w:tc>
      </w:tr>
      <w:tr w:rsidR="00DE2491" w:rsidRPr="00E030E3" w:rsidTr="002224BC">
        <w:tc>
          <w:tcPr>
            <w:tcW w:w="8798" w:type="dxa"/>
          </w:tcPr>
          <w:p w:rsidR="00DE2491" w:rsidRPr="004B6A68" w:rsidRDefault="00DE2491" w:rsidP="002224BC">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Исполнение Консолидированного бюджета……………………………...</w:t>
            </w:r>
          </w:p>
        </w:tc>
        <w:tc>
          <w:tcPr>
            <w:tcW w:w="636" w:type="dxa"/>
          </w:tcPr>
          <w:p w:rsidR="00DE2491" w:rsidRPr="00E030E3" w:rsidRDefault="00827768" w:rsidP="00CF2D29">
            <w:pPr>
              <w:spacing w:before="100" w:beforeAutospacing="1" w:after="0" w:afterAutospacing="1" w:line="240" w:lineRule="auto"/>
              <w:rPr>
                <w:rFonts w:ascii="Times New Roman" w:hAnsi="Times New Roman"/>
                <w:sz w:val="24"/>
                <w:szCs w:val="24"/>
              </w:rPr>
            </w:pPr>
            <w:r>
              <w:rPr>
                <w:rFonts w:ascii="Times New Roman" w:hAnsi="Times New Roman"/>
                <w:sz w:val="24"/>
                <w:szCs w:val="24"/>
              </w:rPr>
              <w:t>18</w:t>
            </w:r>
          </w:p>
        </w:tc>
      </w:tr>
      <w:tr w:rsidR="00DE2491" w:rsidRPr="00E030E3" w:rsidTr="002224BC">
        <w:tc>
          <w:tcPr>
            <w:tcW w:w="8798" w:type="dxa"/>
          </w:tcPr>
          <w:p w:rsidR="00DE2491" w:rsidRPr="004B6A68" w:rsidRDefault="00DE2491" w:rsidP="002224BC">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Внешнеэкономическая деятельность……………………………………...</w:t>
            </w:r>
          </w:p>
        </w:tc>
        <w:tc>
          <w:tcPr>
            <w:tcW w:w="636" w:type="dxa"/>
          </w:tcPr>
          <w:p w:rsidR="00DE2491" w:rsidRPr="00E030E3" w:rsidRDefault="00DE2491" w:rsidP="00827768">
            <w:pPr>
              <w:spacing w:before="100" w:beforeAutospacing="1" w:after="0" w:afterAutospacing="1" w:line="240" w:lineRule="auto"/>
              <w:rPr>
                <w:rFonts w:ascii="Times New Roman" w:hAnsi="Times New Roman"/>
                <w:sz w:val="24"/>
                <w:szCs w:val="24"/>
              </w:rPr>
            </w:pPr>
            <w:r>
              <w:rPr>
                <w:rFonts w:ascii="Times New Roman" w:hAnsi="Times New Roman"/>
                <w:sz w:val="24"/>
                <w:szCs w:val="24"/>
              </w:rPr>
              <w:t>2</w:t>
            </w:r>
            <w:r w:rsidR="00827768">
              <w:rPr>
                <w:rFonts w:ascii="Times New Roman" w:hAnsi="Times New Roman"/>
                <w:sz w:val="24"/>
                <w:szCs w:val="24"/>
              </w:rPr>
              <w:t>4</w:t>
            </w:r>
          </w:p>
        </w:tc>
      </w:tr>
      <w:tr w:rsidR="00DE2491" w:rsidRPr="00E030E3" w:rsidTr="002224BC">
        <w:tc>
          <w:tcPr>
            <w:tcW w:w="8798" w:type="dxa"/>
          </w:tcPr>
          <w:p w:rsidR="00DE2491" w:rsidRPr="004B6A68" w:rsidRDefault="00DE2491" w:rsidP="002224BC">
            <w:pPr>
              <w:spacing w:before="100" w:beforeAutospacing="1" w:after="0" w:afterAutospacing="1" w:line="240" w:lineRule="auto"/>
              <w:jc w:val="both"/>
              <w:rPr>
                <w:rFonts w:ascii="Times New Roman" w:hAnsi="Times New Roman"/>
                <w:b/>
                <w:sz w:val="24"/>
                <w:szCs w:val="24"/>
              </w:rPr>
            </w:pP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p>
        </w:tc>
      </w:tr>
      <w:tr w:rsidR="00DE2491" w:rsidRPr="00E030E3" w:rsidTr="002224BC">
        <w:tc>
          <w:tcPr>
            <w:tcW w:w="8798" w:type="dxa"/>
          </w:tcPr>
          <w:p w:rsidR="00DE2491" w:rsidRPr="004B6A68" w:rsidRDefault="00DE2491" w:rsidP="002224BC">
            <w:pPr>
              <w:spacing w:before="100" w:beforeAutospacing="1" w:after="0" w:afterAutospacing="1" w:line="240" w:lineRule="auto"/>
              <w:jc w:val="both"/>
              <w:rPr>
                <w:rFonts w:ascii="Times New Roman" w:hAnsi="Times New Roman"/>
                <w:b/>
                <w:sz w:val="24"/>
                <w:szCs w:val="24"/>
              </w:rPr>
            </w:pPr>
            <w:r w:rsidRPr="004B6A68">
              <w:rPr>
                <w:rFonts w:ascii="Times New Roman" w:hAnsi="Times New Roman"/>
                <w:b/>
                <w:sz w:val="24"/>
                <w:szCs w:val="24"/>
              </w:rPr>
              <w:t>Состояние реального сектора экономики……………………………...</w:t>
            </w:r>
          </w:p>
        </w:tc>
        <w:tc>
          <w:tcPr>
            <w:tcW w:w="636" w:type="dxa"/>
          </w:tcPr>
          <w:p w:rsidR="00DE2491" w:rsidRPr="00E030E3" w:rsidRDefault="00DE2491" w:rsidP="00857AEE">
            <w:pPr>
              <w:spacing w:before="100" w:beforeAutospacing="1" w:after="0" w:afterAutospacing="1" w:line="240" w:lineRule="auto"/>
              <w:jc w:val="both"/>
              <w:rPr>
                <w:rFonts w:ascii="Times New Roman" w:hAnsi="Times New Roman"/>
                <w:b/>
                <w:sz w:val="24"/>
                <w:szCs w:val="24"/>
              </w:rPr>
            </w:pPr>
            <w:r>
              <w:rPr>
                <w:rFonts w:ascii="Times New Roman" w:hAnsi="Times New Roman"/>
                <w:b/>
                <w:sz w:val="24"/>
                <w:szCs w:val="24"/>
              </w:rPr>
              <w:t>3</w:t>
            </w:r>
            <w:r w:rsidR="00857AEE">
              <w:rPr>
                <w:rFonts w:ascii="Times New Roman" w:hAnsi="Times New Roman"/>
                <w:b/>
                <w:sz w:val="24"/>
                <w:szCs w:val="24"/>
              </w:rPr>
              <w:t>2</w:t>
            </w:r>
          </w:p>
        </w:tc>
      </w:tr>
      <w:tr w:rsidR="00DE2491" w:rsidRPr="00E030E3" w:rsidTr="002224BC">
        <w:tc>
          <w:tcPr>
            <w:tcW w:w="8798" w:type="dxa"/>
          </w:tcPr>
          <w:p w:rsidR="00DE2491" w:rsidRPr="004B6A68" w:rsidRDefault="00DE2491" w:rsidP="002224BC">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Промышленность……………………………………………………………</w:t>
            </w:r>
          </w:p>
        </w:tc>
        <w:tc>
          <w:tcPr>
            <w:tcW w:w="636" w:type="dxa"/>
          </w:tcPr>
          <w:p w:rsidR="00DE2491" w:rsidRPr="00E030E3" w:rsidRDefault="00DE2491" w:rsidP="00857AEE">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3</w:t>
            </w:r>
            <w:r w:rsidR="00857AEE">
              <w:rPr>
                <w:rFonts w:ascii="Times New Roman" w:hAnsi="Times New Roman"/>
                <w:sz w:val="24"/>
                <w:szCs w:val="24"/>
              </w:rPr>
              <w:t>2</w:t>
            </w:r>
          </w:p>
        </w:tc>
      </w:tr>
      <w:tr w:rsidR="00DE2491" w:rsidRPr="00E030E3" w:rsidTr="002224BC">
        <w:tc>
          <w:tcPr>
            <w:tcW w:w="8798" w:type="dxa"/>
          </w:tcPr>
          <w:p w:rsidR="00DE2491" w:rsidRPr="004B6A68" w:rsidRDefault="00DE2491" w:rsidP="002224BC">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Агропромышленный комплекс…………………………………………….</w:t>
            </w:r>
          </w:p>
        </w:tc>
        <w:tc>
          <w:tcPr>
            <w:tcW w:w="636" w:type="dxa"/>
          </w:tcPr>
          <w:p w:rsidR="00DE2491" w:rsidRPr="00E030E3" w:rsidRDefault="00857AEE" w:rsidP="002224BC">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36</w:t>
            </w:r>
          </w:p>
        </w:tc>
      </w:tr>
      <w:tr w:rsidR="00DE2491" w:rsidRPr="00E030E3" w:rsidTr="002224BC">
        <w:tc>
          <w:tcPr>
            <w:tcW w:w="8798" w:type="dxa"/>
          </w:tcPr>
          <w:p w:rsidR="00DE2491" w:rsidRPr="004B6A68" w:rsidRDefault="00DE2491" w:rsidP="002224BC">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Инвестиционная деятельность……………………………………………..</w:t>
            </w:r>
          </w:p>
        </w:tc>
        <w:tc>
          <w:tcPr>
            <w:tcW w:w="636" w:type="dxa"/>
          </w:tcPr>
          <w:p w:rsidR="00DE2491" w:rsidRPr="00E030E3" w:rsidRDefault="00DE2491" w:rsidP="00857AEE">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4</w:t>
            </w:r>
            <w:r w:rsidR="00857AEE">
              <w:rPr>
                <w:rFonts w:ascii="Times New Roman" w:hAnsi="Times New Roman"/>
                <w:sz w:val="24"/>
                <w:szCs w:val="24"/>
              </w:rPr>
              <w:t>2</w:t>
            </w:r>
          </w:p>
        </w:tc>
      </w:tr>
      <w:tr w:rsidR="00DE2491" w:rsidRPr="00E030E3" w:rsidTr="002224BC">
        <w:tc>
          <w:tcPr>
            <w:tcW w:w="8798" w:type="dxa"/>
          </w:tcPr>
          <w:p w:rsidR="00DE2491" w:rsidRPr="004B6A68" w:rsidRDefault="00DE2491" w:rsidP="002224BC">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Транспорт…………………………………………………………………….</w:t>
            </w:r>
          </w:p>
        </w:tc>
        <w:tc>
          <w:tcPr>
            <w:tcW w:w="636" w:type="dxa"/>
          </w:tcPr>
          <w:p w:rsidR="00DE2491" w:rsidRPr="00E030E3" w:rsidRDefault="00857AEE" w:rsidP="002224BC">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45</w:t>
            </w:r>
          </w:p>
        </w:tc>
      </w:tr>
      <w:tr w:rsidR="00DE2491" w:rsidRPr="00E030E3" w:rsidTr="002224BC">
        <w:tc>
          <w:tcPr>
            <w:tcW w:w="8798" w:type="dxa"/>
          </w:tcPr>
          <w:p w:rsidR="00DE2491" w:rsidRPr="004B6A68" w:rsidRDefault="00DE2491" w:rsidP="002224BC">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Связь…………………………………………………………………………</w:t>
            </w:r>
          </w:p>
        </w:tc>
        <w:tc>
          <w:tcPr>
            <w:tcW w:w="636" w:type="dxa"/>
          </w:tcPr>
          <w:p w:rsidR="00DE2491" w:rsidRPr="00E030E3" w:rsidRDefault="00857AEE" w:rsidP="002224BC">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49</w:t>
            </w:r>
          </w:p>
        </w:tc>
      </w:tr>
      <w:tr w:rsidR="00DE2491" w:rsidRPr="00E030E3" w:rsidTr="002224BC">
        <w:tc>
          <w:tcPr>
            <w:tcW w:w="8798" w:type="dxa"/>
          </w:tcPr>
          <w:p w:rsidR="00DE2491" w:rsidRPr="004B6A68" w:rsidRDefault="00DE2491" w:rsidP="002224BC">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Потребительский рынок……………………………………………………</w:t>
            </w:r>
          </w:p>
        </w:tc>
        <w:tc>
          <w:tcPr>
            <w:tcW w:w="636" w:type="dxa"/>
          </w:tcPr>
          <w:p w:rsidR="00DE2491" w:rsidRPr="00E030E3" w:rsidRDefault="00857AEE" w:rsidP="002224BC">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52</w:t>
            </w:r>
          </w:p>
        </w:tc>
      </w:tr>
      <w:tr w:rsidR="00DE2491" w:rsidRPr="00E030E3" w:rsidTr="002224BC">
        <w:tc>
          <w:tcPr>
            <w:tcW w:w="8798" w:type="dxa"/>
          </w:tcPr>
          <w:p w:rsidR="00DE2491" w:rsidRPr="004B6A68" w:rsidRDefault="00DE2491" w:rsidP="002224BC">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Ценовая и тарифная политика……………………………………………...</w:t>
            </w:r>
          </w:p>
        </w:tc>
        <w:tc>
          <w:tcPr>
            <w:tcW w:w="636" w:type="dxa"/>
          </w:tcPr>
          <w:p w:rsidR="00DE2491" w:rsidRPr="00E030E3" w:rsidRDefault="00857AEE" w:rsidP="002224BC">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55</w:t>
            </w:r>
          </w:p>
        </w:tc>
      </w:tr>
      <w:tr w:rsidR="00DE2491" w:rsidRPr="00E030E3" w:rsidTr="002224BC">
        <w:tc>
          <w:tcPr>
            <w:tcW w:w="8798" w:type="dxa"/>
          </w:tcPr>
          <w:p w:rsidR="00DE2491" w:rsidRPr="004B6A68" w:rsidRDefault="00DE2491" w:rsidP="002224BC">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Малое предпринимательство………………………………………………</w:t>
            </w:r>
          </w:p>
        </w:tc>
        <w:tc>
          <w:tcPr>
            <w:tcW w:w="636" w:type="dxa"/>
          </w:tcPr>
          <w:p w:rsidR="00DE2491" w:rsidRPr="00E030E3" w:rsidRDefault="00DE2491" w:rsidP="00857AEE">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6</w:t>
            </w:r>
            <w:r w:rsidR="00857AEE">
              <w:rPr>
                <w:rFonts w:ascii="Times New Roman" w:hAnsi="Times New Roman"/>
                <w:sz w:val="24"/>
                <w:szCs w:val="24"/>
              </w:rPr>
              <w:t>0</w:t>
            </w:r>
          </w:p>
        </w:tc>
      </w:tr>
      <w:tr w:rsidR="00DE2491" w:rsidRPr="00E030E3" w:rsidTr="002224BC">
        <w:tc>
          <w:tcPr>
            <w:tcW w:w="8798" w:type="dxa"/>
          </w:tcPr>
          <w:p w:rsidR="00DE2491" w:rsidRPr="004B6A68" w:rsidRDefault="00DE2491" w:rsidP="002224BC">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Экология……………………………………………………………………..</w:t>
            </w:r>
          </w:p>
        </w:tc>
        <w:tc>
          <w:tcPr>
            <w:tcW w:w="636" w:type="dxa"/>
          </w:tcPr>
          <w:p w:rsidR="00DE2491" w:rsidRPr="00E030E3" w:rsidRDefault="00857AEE" w:rsidP="002224BC">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6</w:t>
            </w:r>
            <w:r w:rsidR="00DE2491">
              <w:rPr>
                <w:rFonts w:ascii="Times New Roman" w:hAnsi="Times New Roman"/>
                <w:sz w:val="24"/>
                <w:szCs w:val="24"/>
              </w:rPr>
              <w:t>4</w:t>
            </w:r>
          </w:p>
        </w:tc>
      </w:tr>
      <w:tr w:rsidR="00DE2491" w:rsidRPr="00E030E3" w:rsidTr="002224BC">
        <w:tc>
          <w:tcPr>
            <w:tcW w:w="8798" w:type="dxa"/>
          </w:tcPr>
          <w:p w:rsidR="00DE2491" w:rsidRPr="004B6A68" w:rsidRDefault="00DE2491" w:rsidP="002224BC">
            <w:pPr>
              <w:spacing w:before="100" w:beforeAutospacing="1" w:after="0" w:afterAutospacing="1" w:line="240" w:lineRule="auto"/>
              <w:jc w:val="both"/>
              <w:rPr>
                <w:rFonts w:ascii="Times New Roman" w:hAnsi="Times New Roman"/>
                <w:sz w:val="24"/>
                <w:szCs w:val="24"/>
              </w:rPr>
            </w:pP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p>
        </w:tc>
      </w:tr>
      <w:tr w:rsidR="00DE2491" w:rsidRPr="00E030E3" w:rsidTr="002224BC">
        <w:tc>
          <w:tcPr>
            <w:tcW w:w="8798" w:type="dxa"/>
          </w:tcPr>
          <w:p w:rsidR="00DE2491" w:rsidRPr="004B6A68" w:rsidRDefault="00DE2491" w:rsidP="002224BC">
            <w:pPr>
              <w:spacing w:before="100" w:beforeAutospacing="1" w:after="0" w:afterAutospacing="1" w:line="240" w:lineRule="auto"/>
              <w:jc w:val="both"/>
              <w:rPr>
                <w:rFonts w:ascii="Times New Roman" w:hAnsi="Times New Roman"/>
                <w:b/>
                <w:sz w:val="24"/>
                <w:szCs w:val="24"/>
              </w:rPr>
            </w:pPr>
            <w:r w:rsidRPr="004B6A68">
              <w:rPr>
                <w:rFonts w:ascii="Times New Roman" w:hAnsi="Times New Roman"/>
                <w:b/>
                <w:sz w:val="24"/>
                <w:szCs w:val="24"/>
              </w:rPr>
              <w:t>Состояние социальной сферы……………………………………………</w:t>
            </w:r>
          </w:p>
        </w:tc>
        <w:tc>
          <w:tcPr>
            <w:tcW w:w="636" w:type="dxa"/>
          </w:tcPr>
          <w:p w:rsidR="00DE2491" w:rsidRPr="00E030E3" w:rsidRDefault="00857AEE" w:rsidP="0064777A">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6</w:t>
            </w:r>
            <w:r w:rsidR="00DE2491">
              <w:rPr>
                <w:rFonts w:ascii="Times New Roman" w:hAnsi="Times New Roman"/>
                <w:b/>
                <w:sz w:val="24"/>
                <w:szCs w:val="24"/>
              </w:rPr>
              <w:t>9</w:t>
            </w:r>
          </w:p>
        </w:tc>
      </w:tr>
      <w:tr w:rsidR="00DE2491" w:rsidRPr="00E030E3" w:rsidTr="002224BC">
        <w:tc>
          <w:tcPr>
            <w:tcW w:w="8798" w:type="dxa"/>
          </w:tcPr>
          <w:p w:rsidR="00DE2491" w:rsidRPr="004B6A68" w:rsidRDefault="00DE2491" w:rsidP="002224BC">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Уровень жизни населения………………………………………………….</w:t>
            </w:r>
          </w:p>
        </w:tc>
        <w:tc>
          <w:tcPr>
            <w:tcW w:w="636" w:type="dxa"/>
          </w:tcPr>
          <w:p w:rsidR="00DE2491" w:rsidRPr="00E030E3" w:rsidRDefault="00857AEE" w:rsidP="00157D1B">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6</w:t>
            </w:r>
            <w:r w:rsidR="00DE2491">
              <w:rPr>
                <w:rFonts w:ascii="Times New Roman" w:hAnsi="Times New Roman"/>
                <w:sz w:val="24"/>
                <w:szCs w:val="24"/>
              </w:rPr>
              <w:t>9</w:t>
            </w:r>
          </w:p>
        </w:tc>
      </w:tr>
      <w:tr w:rsidR="00DE2491" w:rsidRPr="00E030E3" w:rsidTr="002224BC">
        <w:tc>
          <w:tcPr>
            <w:tcW w:w="8798" w:type="dxa"/>
          </w:tcPr>
          <w:p w:rsidR="00DE2491" w:rsidRPr="004B6A68" w:rsidRDefault="00DE2491" w:rsidP="002224BC">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Рынок труда и сфера занятости…………………………………………….</w:t>
            </w:r>
          </w:p>
        </w:tc>
        <w:tc>
          <w:tcPr>
            <w:tcW w:w="636" w:type="dxa"/>
          </w:tcPr>
          <w:p w:rsidR="00DE2491" w:rsidRPr="00E030E3" w:rsidRDefault="00857AEE" w:rsidP="00157D1B">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7</w:t>
            </w:r>
            <w:r w:rsidR="00DE2491">
              <w:rPr>
                <w:rFonts w:ascii="Times New Roman" w:hAnsi="Times New Roman"/>
                <w:sz w:val="24"/>
                <w:szCs w:val="24"/>
              </w:rPr>
              <w:t>5</w:t>
            </w:r>
          </w:p>
        </w:tc>
      </w:tr>
      <w:tr w:rsidR="00DE2491" w:rsidRPr="00E030E3" w:rsidTr="002224BC">
        <w:tc>
          <w:tcPr>
            <w:tcW w:w="8798" w:type="dxa"/>
          </w:tcPr>
          <w:p w:rsidR="00DE2491" w:rsidRPr="004B6A68" w:rsidRDefault="00DE2491" w:rsidP="002224BC">
            <w:pPr>
              <w:spacing w:before="100" w:beforeAutospacing="1" w:after="0" w:afterAutospacing="1" w:line="240" w:lineRule="auto"/>
              <w:jc w:val="both"/>
              <w:rPr>
                <w:rFonts w:ascii="Times New Roman" w:hAnsi="Times New Roman"/>
                <w:b/>
                <w:sz w:val="24"/>
                <w:szCs w:val="24"/>
              </w:rPr>
            </w:pP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p>
        </w:tc>
      </w:tr>
      <w:tr w:rsidR="00DE2491" w:rsidRPr="00E030E3" w:rsidTr="002224BC">
        <w:tc>
          <w:tcPr>
            <w:tcW w:w="8798" w:type="dxa"/>
          </w:tcPr>
          <w:p w:rsidR="00DE2491" w:rsidRPr="004B6A68" w:rsidRDefault="00CA446B" w:rsidP="0064777A">
            <w:pPr>
              <w:tabs>
                <w:tab w:val="left" w:pos="1395"/>
              </w:tabs>
              <w:spacing w:after="0" w:line="240" w:lineRule="auto"/>
              <w:jc w:val="both"/>
              <w:rPr>
                <w:rStyle w:val="a3"/>
                <w:rFonts w:ascii="Times New Roman" w:hAnsi="Times New Roman"/>
                <w:color w:val="000000"/>
                <w:sz w:val="24"/>
                <w:szCs w:val="24"/>
              </w:rPr>
            </w:pPr>
            <w:hyperlink w:anchor="_Toc163556292" w:history="1">
              <w:r w:rsidR="00DE2491" w:rsidRPr="004B6A68">
                <w:rPr>
                  <w:rStyle w:val="a3"/>
                  <w:rFonts w:ascii="Times New Roman" w:hAnsi="Times New Roman"/>
                  <w:b/>
                  <w:color w:val="000000"/>
                  <w:sz w:val="24"/>
                  <w:szCs w:val="24"/>
                  <w:u w:val="none"/>
                </w:rPr>
                <w:t>Развитие территорий</w:t>
              </w:r>
            </w:hyperlink>
            <w:r w:rsidR="00DE2491" w:rsidRPr="004B6A68">
              <w:rPr>
                <w:rStyle w:val="a3"/>
                <w:rFonts w:ascii="Times New Roman" w:hAnsi="Times New Roman"/>
                <w:color w:val="000000"/>
                <w:sz w:val="24"/>
                <w:szCs w:val="24"/>
                <w:u w:val="none"/>
              </w:rPr>
              <w:t>…………………………………………….…………</w:t>
            </w:r>
          </w:p>
        </w:tc>
        <w:tc>
          <w:tcPr>
            <w:tcW w:w="636" w:type="dxa"/>
          </w:tcPr>
          <w:p w:rsidR="00DE2491" w:rsidRPr="00E030E3" w:rsidRDefault="00857AEE" w:rsidP="002224BC">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7</w:t>
            </w:r>
            <w:r w:rsidR="00DE2491">
              <w:rPr>
                <w:rFonts w:ascii="Times New Roman" w:hAnsi="Times New Roman"/>
                <w:sz w:val="24"/>
                <w:szCs w:val="24"/>
              </w:rPr>
              <w:t>8</w:t>
            </w:r>
          </w:p>
        </w:tc>
      </w:tr>
      <w:tr w:rsidR="00DE2491" w:rsidRPr="00E030E3" w:rsidTr="002224BC">
        <w:tc>
          <w:tcPr>
            <w:tcW w:w="8798" w:type="dxa"/>
          </w:tcPr>
          <w:p w:rsidR="00DE2491" w:rsidRPr="004B6A68" w:rsidRDefault="00DE2491" w:rsidP="002224BC">
            <w:pPr>
              <w:spacing w:after="0" w:line="240" w:lineRule="auto"/>
              <w:jc w:val="both"/>
              <w:rPr>
                <w:rFonts w:ascii="Times New Roman" w:hAnsi="Times New Roman"/>
                <w:sz w:val="24"/>
                <w:szCs w:val="24"/>
              </w:rPr>
            </w:pP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sz w:val="24"/>
                <w:szCs w:val="24"/>
              </w:rPr>
            </w:pPr>
          </w:p>
        </w:tc>
      </w:tr>
      <w:tr w:rsidR="00DE2491" w:rsidRPr="00E030E3" w:rsidTr="003002B5">
        <w:tc>
          <w:tcPr>
            <w:tcW w:w="8798" w:type="dxa"/>
          </w:tcPr>
          <w:p w:rsidR="00DE2491" w:rsidRPr="004B6A68" w:rsidRDefault="00DE2491" w:rsidP="00F03176">
            <w:pPr>
              <w:spacing w:after="0" w:line="240" w:lineRule="auto"/>
              <w:rPr>
                <w:rFonts w:ascii="Times New Roman" w:hAnsi="Times New Roman"/>
                <w:sz w:val="24"/>
                <w:szCs w:val="24"/>
              </w:rPr>
            </w:pPr>
            <w:r w:rsidRPr="004B6A68">
              <w:rPr>
                <w:rFonts w:ascii="Times New Roman" w:hAnsi="Times New Roman"/>
                <w:b/>
                <w:sz w:val="24"/>
                <w:szCs w:val="24"/>
              </w:rPr>
              <w:t>Приложение №1</w:t>
            </w:r>
            <w:r w:rsidRPr="004B6A68">
              <w:rPr>
                <w:rFonts w:ascii="Times New Roman" w:hAnsi="Times New Roman"/>
                <w:b/>
                <w:bCs/>
                <w:color w:val="000000"/>
                <w:sz w:val="24"/>
                <w:szCs w:val="24"/>
              </w:rPr>
              <w:t xml:space="preserve"> </w:t>
            </w:r>
            <w:r w:rsidRPr="004B6A68">
              <w:rPr>
                <w:rFonts w:ascii="Times New Roman" w:hAnsi="Times New Roman"/>
                <w:bCs/>
                <w:color w:val="000000"/>
                <w:sz w:val="24"/>
                <w:szCs w:val="24"/>
              </w:rPr>
              <w:t xml:space="preserve">Основные макроэкономические показатели Приднестровской Молдавской Республики за </w:t>
            </w:r>
            <w:r w:rsidR="00F03176">
              <w:rPr>
                <w:rFonts w:ascii="Times New Roman" w:hAnsi="Times New Roman"/>
                <w:bCs/>
                <w:color w:val="000000"/>
                <w:sz w:val="24"/>
                <w:szCs w:val="24"/>
              </w:rPr>
              <w:t xml:space="preserve">январь – июнь </w:t>
            </w:r>
            <w:r w:rsidRPr="004B6A68">
              <w:rPr>
                <w:rFonts w:ascii="Times New Roman" w:hAnsi="Times New Roman"/>
                <w:bCs/>
                <w:color w:val="000000"/>
                <w:sz w:val="24"/>
                <w:szCs w:val="24"/>
              </w:rPr>
              <w:t>201</w:t>
            </w:r>
            <w:r w:rsidR="00F03176">
              <w:rPr>
                <w:rFonts w:ascii="Times New Roman" w:hAnsi="Times New Roman"/>
                <w:bCs/>
                <w:color w:val="000000"/>
                <w:sz w:val="24"/>
                <w:szCs w:val="24"/>
              </w:rPr>
              <w:t>4 года</w:t>
            </w:r>
            <w:r w:rsidRPr="004B6A68">
              <w:rPr>
                <w:rFonts w:ascii="Times New Roman" w:hAnsi="Times New Roman"/>
                <w:bCs/>
                <w:color w:val="000000"/>
                <w:sz w:val="24"/>
                <w:szCs w:val="24"/>
              </w:rPr>
              <w:t>....................................................</w:t>
            </w:r>
          </w:p>
        </w:tc>
        <w:tc>
          <w:tcPr>
            <w:tcW w:w="636" w:type="dxa"/>
            <w:vAlign w:val="bottom"/>
          </w:tcPr>
          <w:p w:rsidR="00DE2491" w:rsidRPr="00E030E3" w:rsidRDefault="00857AEE" w:rsidP="00EE3399">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8</w:t>
            </w:r>
            <w:r w:rsidR="00DE2491">
              <w:rPr>
                <w:rFonts w:ascii="Times New Roman" w:hAnsi="Times New Roman"/>
                <w:sz w:val="24"/>
                <w:szCs w:val="24"/>
              </w:rPr>
              <w:t>9</w:t>
            </w:r>
          </w:p>
        </w:tc>
      </w:tr>
      <w:tr w:rsidR="00DE2491" w:rsidRPr="00E030E3" w:rsidTr="003002B5">
        <w:tc>
          <w:tcPr>
            <w:tcW w:w="8798" w:type="dxa"/>
          </w:tcPr>
          <w:p w:rsidR="00DE2491" w:rsidRPr="004B6A68" w:rsidRDefault="00DE2491" w:rsidP="002224BC">
            <w:pPr>
              <w:spacing w:after="0" w:line="240" w:lineRule="auto"/>
              <w:jc w:val="both"/>
              <w:rPr>
                <w:rFonts w:ascii="Times New Roman" w:hAnsi="Times New Roman"/>
                <w:sz w:val="24"/>
                <w:szCs w:val="24"/>
              </w:rPr>
            </w:pPr>
            <w:r w:rsidRPr="004B6A68">
              <w:rPr>
                <w:rFonts w:ascii="Times New Roman" w:hAnsi="Times New Roman"/>
                <w:b/>
                <w:sz w:val="24"/>
                <w:szCs w:val="24"/>
              </w:rPr>
              <w:t xml:space="preserve">Приложение №2 </w:t>
            </w:r>
            <w:r w:rsidRPr="004B6A68">
              <w:rPr>
                <w:rFonts w:ascii="Times New Roman" w:hAnsi="Times New Roman"/>
                <w:sz w:val="24"/>
                <w:szCs w:val="24"/>
              </w:rPr>
              <w:t>Динамика и структура промышленного производства и реализации продукции по отраслям промышленности ……………………</w:t>
            </w:r>
          </w:p>
        </w:tc>
        <w:tc>
          <w:tcPr>
            <w:tcW w:w="636" w:type="dxa"/>
            <w:vAlign w:val="bottom"/>
          </w:tcPr>
          <w:p w:rsidR="00DE2491" w:rsidRPr="00E030E3" w:rsidRDefault="00857AEE" w:rsidP="002224BC">
            <w:pPr>
              <w:spacing w:before="100" w:beforeAutospacing="1" w:after="0" w:afterAutospacing="1" w:line="240" w:lineRule="auto"/>
              <w:rPr>
                <w:rFonts w:ascii="Times New Roman" w:hAnsi="Times New Roman"/>
                <w:sz w:val="24"/>
                <w:szCs w:val="24"/>
              </w:rPr>
            </w:pPr>
            <w:r>
              <w:rPr>
                <w:rFonts w:ascii="Times New Roman" w:hAnsi="Times New Roman"/>
                <w:sz w:val="24"/>
                <w:szCs w:val="24"/>
              </w:rPr>
              <w:t>9</w:t>
            </w:r>
            <w:r w:rsidR="00DE2491">
              <w:rPr>
                <w:rFonts w:ascii="Times New Roman" w:hAnsi="Times New Roman"/>
                <w:sz w:val="24"/>
                <w:szCs w:val="24"/>
              </w:rPr>
              <w:t>1</w:t>
            </w:r>
          </w:p>
        </w:tc>
      </w:tr>
      <w:tr w:rsidR="00DE2491" w:rsidRPr="00E030E3" w:rsidTr="002224BC">
        <w:tc>
          <w:tcPr>
            <w:tcW w:w="8798" w:type="dxa"/>
          </w:tcPr>
          <w:p w:rsidR="00DE2491" w:rsidRPr="004B6A68" w:rsidRDefault="00DE2491" w:rsidP="00EE3399">
            <w:pPr>
              <w:spacing w:after="0" w:line="240" w:lineRule="auto"/>
              <w:rPr>
                <w:rFonts w:ascii="Times New Roman" w:hAnsi="Times New Roman"/>
                <w:sz w:val="24"/>
                <w:szCs w:val="24"/>
              </w:rPr>
            </w:pPr>
            <w:r w:rsidRPr="004B6A68">
              <w:rPr>
                <w:rFonts w:ascii="Times New Roman" w:hAnsi="Times New Roman"/>
                <w:b/>
                <w:sz w:val="24"/>
                <w:szCs w:val="24"/>
              </w:rPr>
              <w:t>Приложение №3</w:t>
            </w:r>
            <w:r w:rsidRPr="004B6A68">
              <w:rPr>
                <w:rFonts w:ascii="Times New Roman" w:hAnsi="Times New Roman"/>
                <w:sz w:val="24"/>
                <w:szCs w:val="24"/>
              </w:rPr>
              <w:t xml:space="preserve"> Основные показатели развития малого предпринимательства за </w:t>
            </w:r>
            <w:r w:rsidR="00F03176">
              <w:rPr>
                <w:rFonts w:ascii="Times New Roman" w:hAnsi="Times New Roman"/>
                <w:bCs/>
                <w:color w:val="000000"/>
                <w:sz w:val="24"/>
                <w:szCs w:val="24"/>
              </w:rPr>
              <w:t xml:space="preserve">январь – июнь </w:t>
            </w:r>
            <w:r w:rsidR="00F03176" w:rsidRPr="004B6A68">
              <w:rPr>
                <w:rFonts w:ascii="Times New Roman" w:hAnsi="Times New Roman"/>
                <w:bCs/>
                <w:color w:val="000000"/>
                <w:sz w:val="24"/>
                <w:szCs w:val="24"/>
              </w:rPr>
              <w:t>201</w:t>
            </w:r>
            <w:r w:rsidR="00F03176">
              <w:rPr>
                <w:rFonts w:ascii="Times New Roman" w:hAnsi="Times New Roman"/>
                <w:bCs/>
                <w:color w:val="000000"/>
                <w:sz w:val="24"/>
                <w:szCs w:val="24"/>
              </w:rPr>
              <w:t>4 года</w:t>
            </w:r>
            <w:r w:rsidR="00F03176" w:rsidRPr="004B6A68">
              <w:rPr>
                <w:rFonts w:ascii="Times New Roman" w:hAnsi="Times New Roman"/>
                <w:sz w:val="24"/>
                <w:szCs w:val="24"/>
              </w:rPr>
              <w:t xml:space="preserve"> </w:t>
            </w:r>
            <w:r w:rsidRPr="004B6A68">
              <w:rPr>
                <w:rFonts w:ascii="Times New Roman" w:hAnsi="Times New Roman"/>
                <w:sz w:val="24"/>
                <w:szCs w:val="24"/>
              </w:rPr>
              <w:t>…………………………………………..</w:t>
            </w:r>
          </w:p>
        </w:tc>
        <w:tc>
          <w:tcPr>
            <w:tcW w:w="636" w:type="dxa"/>
            <w:vAlign w:val="bottom"/>
          </w:tcPr>
          <w:p w:rsidR="00DE2491" w:rsidRPr="00E030E3" w:rsidRDefault="00857AEE" w:rsidP="002224BC">
            <w:pPr>
              <w:spacing w:before="100" w:beforeAutospacing="1" w:after="0" w:afterAutospacing="1" w:line="240" w:lineRule="auto"/>
              <w:rPr>
                <w:rFonts w:ascii="Times New Roman" w:hAnsi="Times New Roman"/>
                <w:sz w:val="24"/>
                <w:szCs w:val="24"/>
              </w:rPr>
            </w:pPr>
            <w:r>
              <w:rPr>
                <w:rFonts w:ascii="Times New Roman" w:hAnsi="Times New Roman"/>
                <w:sz w:val="24"/>
                <w:szCs w:val="24"/>
              </w:rPr>
              <w:t>9</w:t>
            </w:r>
            <w:r w:rsidR="00DE2491">
              <w:rPr>
                <w:rFonts w:ascii="Times New Roman" w:hAnsi="Times New Roman"/>
                <w:sz w:val="24"/>
                <w:szCs w:val="24"/>
              </w:rPr>
              <w:t>2</w:t>
            </w:r>
          </w:p>
        </w:tc>
      </w:tr>
      <w:tr w:rsidR="00DE2491" w:rsidRPr="00E030E3" w:rsidTr="002224BC">
        <w:tc>
          <w:tcPr>
            <w:tcW w:w="8798" w:type="dxa"/>
          </w:tcPr>
          <w:p w:rsidR="00DE2491" w:rsidRPr="004B6A68" w:rsidRDefault="00DE2491" w:rsidP="00AF6E1E">
            <w:pPr>
              <w:spacing w:after="0" w:line="240" w:lineRule="auto"/>
              <w:rPr>
                <w:rFonts w:ascii="Times New Roman" w:hAnsi="Times New Roman"/>
                <w:sz w:val="24"/>
                <w:szCs w:val="24"/>
              </w:rPr>
            </w:pPr>
            <w:r w:rsidRPr="004B6A68">
              <w:rPr>
                <w:rFonts w:ascii="Times New Roman" w:hAnsi="Times New Roman"/>
                <w:b/>
                <w:sz w:val="24"/>
                <w:szCs w:val="24"/>
              </w:rPr>
              <w:t>Приложение №4</w:t>
            </w:r>
            <w:r w:rsidRPr="004B6A68">
              <w:rPr>
                <w:rFonts w:ascii="Times New Roman" w:hAnsi="Times New Roman"/>
                <w:sz w:val="24"/>
                <w:szCs w:val="24"/>
              </w:rPr>
              <w:t xml:space="preserve"> Основные показатели развития городов и районов</w:t>
            </w:r>
            <w:r w:rsidRPr="004B6A68">
              <w:rPr>
                <w:b/>
                <w:sz w:val="24"/>
                <w:szCs w:val="24"/>
              </w:rPr>
              <w:t xml:space="preserve"> </w:t>
            </w:r>
            <w:r w:rsidRPr="004B6A68">
              <w:rPr>
                <w:rFonts w:ascii="Times New Roman" w:hAnsi="Times New Roman"/>
                <w:sz w:val="24"/>
                <w:szCs w:val="24"/>
              </w:rPr>
              <w:t xml:space="preserve">республики за январь – </w:t>
            </w:r>
            <w:r w:rsidR="00AF6E1E">
              <w:rPr>
                <w:rFonts w:ascii="Times New Roman" w:hAnsi="Times New Roman"/>
                <w:sz w:val="24"/>
                <w:szCs w:val="24"/>
              </w:rPr>
              <w:t>июнь</w:t>
            </w:r>
            <w:r w:rsidRPr="004B6A68">
              <w:rPr>
                <w:rFonts w:ascii="Times New Roman" w:hAnsi="Times New Roman"/>
                <w:sz w:val="24"/>
                <w:szCs w:val="24"/>
              </w:rPr>
              <w:t xml:space="preserve"> 201</w:t>
            </w:r>
            <w:r w:rsidR="00AF6E1E">
              <w:rPr>
                <w:rFonts w:ascii="Times New Roman" w:hAnsi="Times New Roman"/>
                <w:sz w:val="24"/>
                <w:szCs w:val="24"/>
              </w:rPr>
              <w:t>4</w:t>
            </w:r>
            <w:r w:rsidRPr="004B6A68">
              <w:rPr>
                <w:rFonts w:ascii="Times New Roman" w:hAnsi="Times New Roman"/>
                <w:sz w:val="24"/>
                <w:szCs w:val="24"/>
              </w:rPr>
              <w:t xml:space="preserve"> года ………………………...………………………….   </w:t>
            </w:r>
          </w:p>
        </w:tc>
        <w:tc>
          <w:tcPr>
            <w:tcW w:w="636" w:type="dxa"/>
            <w:vAlign w:val="bottom"/>
          </w:tcPr>
          <w:p w:rsidR="00DE2491" w:rsidRPr="00E030E3" w:rsidRDefault="00857AEE" w:rsidP="002224BC">
            <w:pPr>
              <w:spacing w:before="100" w:beforeAutospacing="1" w:after="0" w:afterAutospacing="1" w:line="240" w:lineRule="auto"/>
              <w:rPr>
                <w:rFonts w:ascii="Times New Roman" w:hAnsi="Times New Roman"/>
                <w:sz w:val="24"/>
                <w:szCs w:val="24"/>
              </w:rPr>
            </w:pPr>
            <w:r>
              <w:rPr>
                <w:rFonts w:ascii="Times New Roman" w:hAnsi="Times New Roman"/>
                <w:sz w:val="24"/>
                <w:szCs w:val="24"/>
              </w:rPr>
              <w:t>9</w:t>
            </w:r>
            <w:r w:rsidR="00DE2491">
              <w:rPr>
                <w:rFonts w:ascii="Times New Roman" w:hAnsi="Times New Roman"/>
                <w:sz w:val="24"/>
                <w:szCs w:val="24"/>
              </w:rPr>
              <w:t>3</w:t>
            </w:r>
          </w:p>
        </w:tc>
      </w:tr>
      <w:tr w:rsidR="00DE2491" w:rsidRPr="00E030E3" w:rsidTr="002224BC">
        <w:tc>
          <w:tcPr>
            <w:tcW w:w="8798" w:type="dxa"/>
          </w:tcPr>
          <w:p w:rsidR="00DE2491" w:rsidRPr="004B6A68" w:rsidRDefault="00DE2491" w:rsidP="00EE3399">
            <w:pPr>
              <w:spacing w:after="0" w:line="240" w:lineRule="auto"/>
              <w:rPr>
                <w:rFonts w:ascii="Times New Roman" w:hAnsi="Times New Roman"/>
                <w:sz w:val="24"/>
                <w:szCs w:val="24"/>
              </w:rPr>
            </w:pPr>
            <w:r w:rsidRPr="004B6A68">
              <w:rPr>
                <w:rFonts w:ascii="Times New Roman" w:hAnsi="Times New Roman"/>
                <w:b/>
                <w:sz w:val="24"/>
                <w:szCs w:val="24"/>
              </w:rPr>
              <w:t>Приложение №5</w:t>
            </w:r>
            <w:r w:rsidRPr="004B6A68">
              <w:rPr>
                <w:rFonts w:ascii="Times New Roman" w:hAnsi="Times New Roman"/>
                <w:sz w:val="24"/>
                <w:szCs w:val="24"/>
              </w:rPr>
              <w:t xml:space="preserve"> Информация по отдельным показателям финансовой деятельности за </w:t>
            </w:r>
            <w:r w:rsidR="00F03176">
              <w:rPr>
                <w:rFonts w:ascii="Times New Roman" w:hAnsi="Times New Roman"/>
                <w:bCs/>
                <w:color w:val="000000"/>
                <w:sz w:val="24"/>
                <w:szCs w:val="24"/>
              </w:rPr>
              <w:t xml:space="preserve">январь – июнь </w:t>
            </w:r>
            <w:r w:rsidR="00F03176" w:rsidRPr="004B6A68">
              <w:rPr>
                <w:rFonts w:ascii="Times New Roman" w:hAnsi="Times New Roman"/>
                <w:bCs/>
                <w:color w:val="000000"/>
                <w:sz w:val="24"/>
                <w:szCs w:val="24"/>
              </w:rPr>
              <w:t>201</w:t>
            </w:r>
            <w:r w:rsidR="00F03176">
              <w:rPr>
                <w:rFonts w:ascii="Times New Roman" w:hAnsi="Times New Roman"/>
                <w:bCs/>
                <w:color w:val="000000"/>
                <w:sz w:val="24"/>
                <w:szCs w:val="24"/>
              </w:rPr>
              <w:t>4 года</w:t>
            </w:r>
            <w:r w:rsidR="00F03176" w:rsidRPr="004B6A68">
              <w:rPr>
                <w:rFonts w:ascii="Times New Roman" w:hAnsi="Times New Roman"/>
                <w:sz w:val="24"/>
                <w:szCs w:val="24"/>
              </w:rPr>
              <w:t xml:space="preserve"> </w:t>
            </w:r>
            <w:r w:rsidRPr="004B6A68">
              <w:rPr>
                <w:rFonts w:ascii="Times New Roman" w:hAnsi="Times New Roman"/>
                <w:sz w:val="24"/>
                <w:szCs w:val="24"/>
              </w:rPr>
              <w:t>………………………...……….</w:t>
            </w:r>
          </w:p>
        </w:tc>
        <w:tc>
          <w:tcPr>
            <w:tcW w:w="636" w:type="dxa"/>
            <w:vAlign w:val="bottom"/>
          </w:tcPr>
          <w:p w:rsidR="00DE2491" w:rsidRPr="00E030E3" w:rsidRDefault="00857AEE" w:rsidP="002224BC">
            <w:pPr>
              <w:spacing w:before="100" w:beforeAutospacing="1" w:after="0" w:afterAutospacing="1" w:line="240" w:lineRule="auto"/>
              <w:rPr>
                <w:rFonts w:ascii="Times New Roman" w:hAnsi="Times New Roman"/>
                <w:sz w:val="24"/>
                <w:szCs w:val="24"/>
              </w:rPr>
            </w:pPr>
            <w:r>
              <w:rPr>
                <w:rFonts w:ascii="Times New Roman" w:hAnsi="Times New Roman"/>
                <w:sz w:val="24"/>
                <w:szCs w:val="24"/>
              </w:rPr>
              <w:t>95</w:t>
            </w:r>
          </w:p>
        </w:tc>
      </w:tr>
      <w:tr w:rsidR="00DE2491" w:rsidRPr="00E030E3" w:rsidTr="002224BC">
        <w:tblPrEx>
          <w:tblLook w:val="00A0"/>
        </w:tblPrEx>
        <w:tc>
          <w:tcPr>
            <w:tcW w:w="8798" w:type="dxa"/>
          </w:tcPr>
          <w:p w:rsidR="00DE2491" w:rsidRPr="004B6A68" w:rsidRDefault="00DE2491" w:rsidP="00EE3399">
            <w:pPr>
              <w:spacing w:after="0" w:line="240" w:lineRule="auto"/>
              <w:rPr>
                <w:rFonts w:ascii="Times New Roman" w:hAnsi="Times New Roman"/>
                <w:sz w:val="24"/>
                <w:szCs w:val="24"/>
              </w:rPr>
            </w:pPr>
          </w:p>
        </w:tc>
        <w:tc>
          <w:tcPr>
            <w:tcW w:w="636" w:type="dxa"/>
            <w:vAlign w:val="bottom"/>
          </w:tcPr>
          <w:p w:rsidR="00DE2491" w:rsidRPr="00E030E3" w:rsidRDefault="00DE2491" w:rsidP="0064777A">
            <w:pPr>
              <w:spacing w:before="100" w:beforeAutospacing="1" w:after="100" w:afterAutospacing="1" w:line="240" w:lineRule="auto"/>
              <w:rPr>
                <w:rFonts w:ascii="Times New Roman" w:hAnsi="Times New Roman"/>
                <w:sz w:val="24"/>
                <w:szCs w:val="24"/>
              </w:rPr>
            </w:pPr>
          </w:p>
        </w:tc>
      </w:tr>
      <w:tr w:rsidR="00DE2491" w:rsidRPr="00E030E3" w:rsidTr="003002B5">
        <w:tblPrEx>
          <w:tblLook w:val="00A0"/>
        </w:tblPrEx>
        <w:tc>
          <w:tcPr>
            <w:tcW w:w="8798" w:type="dxa"/>
          </w:tcPr>
          <w:p w:rsidR="00DE2491" w:rsidRPr="004B6A68" w:rsidRDefault="00DE2491" w:rsidP="002224BC">
            <w:pPr>
              <w:pStyle w:val="4"/>
              <w:spacing w:before="0"/>
              <w:rPr>
                <w:sz w:val="24"/>
                <w:szCs w:val="24"/>
              </w:rPr>
            </w:pP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p>
        </w:tc>
      </w:tr>
      <w:tr w:rsidR="00DE2491" w:rsidRPr="00E030E3" w:rsidTr="003002B5">
        <w:tblPrEx>
          <w:tblLook w:val="00A0"/>
        </w:tblPrEx>
        <w:tc>
          <w:tcPr>
            <w:tcW w:w="8798"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p>
        </w:tc>
      </w:tr>
      <w:tr w:rsidR="00DE2491" w:rsidRPr="00E030E3" w:rsidTr="00E030E3">
        <w:trPr>
          <w:trHeight w:val="87"/>
        </w:trPr>
        <w:tc>
          <w:tcPr>
            <w:tcW w:w="8798"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p>
        </w:tc>
      </w:tr>
      <w:tr w:rsidR="00DE2491" w:rsidRPr="00E030E3" w:rsidTr="002224BC">
        <w:tc>
          <w:tcPr>
            <w:tcW w:w="8798"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p>
        </w:tc>
      </w:tr>
      <w:tr w:rsidR="00DE2491" w:rsidRPr="00E030E3" w:rsidTr="002224BC">
        <w:trPr>
          <w:trHeight w:val="87"/>
        </w:trPr>
        <w:tc>
          <w:tcPr>
            <w:tcW w:w="8798"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p>
        </w:tc>
        <w:tc>
          <w:tcPr>
            <w:tcW w:w="636" w:type="dxa"/>
          </w:tcPr>
          <w:p w:rsidR="00DE2491" w:rsidRPr="00E030E3" w:rsidRDefault="00DE2491" w:rsidP="002224BC">
            <w:pPr>
              <w:spacing w:before="100" w:beforeAutospacing="1" w:after="0" w:afterAutospacing="1" w:line="240" w:lineRule="auto"/>
              <w:jc w:val="both"/>
              <w:rPr>
                <w:rFonts w:ascii="Times New Roman" w:hAnsi="Times New Roman"/>
                <w:b/>
                <w:sz w:val="24"/>
                <w:szCs w:val="24"/>
              </w:rPr>
            </w:pPr>
          </w:p>
        </w:tc>
      </w:tr>
    </w:tbl>
    <w:p w:rsidR="00DE2491" w:rsidRPr="00E030E3" w:rsidRDefault="00DE2491" w:rsidP="00E030E3">
      <w:pPr>
        <w:spacing w:after="0" w:line="240" w:lineRule="auto"/>
        <w:ind w:firstLine="851"/>
        <w:rPr>
          <w:rFonts w:ascii="Times New Roman" w:hAnsi="Times New Roman"/>
          <w:sz w:val="24"/>
          <w:szCs w:val="24"/>
        </w:rPr>
      </w:pPr>
    </w:p>
    <w:p w:rsidR="00DE2491" w:rsidRPr="00E030E3" w:rsidRDefault="00DE2491" w:rsidP="00E030E3">
      <w:pPr>
        <w:spacing w:after="0" w:line="240" w:lineRule="auto"/>
        <w:ind w:firstLine="851"/>
        <w:rPr>
          <w:rFonts w:ascii="Times New Roman" w:hAnsi="Times New Roman"/>
          <w:sz w:val="24"/>
          <w:szCs w:val="24"/>
        </w:rPr>
      </w:pPr>
    </w:p>
    <w:p w:rsidR="00DE2491" w:rsidRPr="00E030E3" w:rsidRDefault="00DE2491" w:rsidP="00E030E3">
      <w:pPr>
        <w:spacing w:after="0" w:line="240" w:lineRule="auto"/>
        <w:ind w:firstLine="851"/>
        <w:rPr>
          <w:rFonts w:ascii="Times New Roman" w:hAnsi="Times New Roman"/>
          <w:sz w:val="24"/>
          <w:szCs w:val="24"/>
        </w:rPr>
      </w:pPr>
    </w:p>
    <w:p w:rsidR="00DE2491" w:rsidRPr="00E030E3" w:rsidRDefault="00DE2491" w:rsidP="00E030E3">
      <w:pPr>
        <w:spacing w:after="0" w:line="240" w:lineRule="auto"/>
        <w:ind w:firstLine="851"/>
        <w:rPr>
          <w:rFonts w:ascii="Times New Roman" w:hAnsi="Times New Roman"/>
          <w:sz w:val="24"/>
          <w:szCs w:val="24"/>
        </w:rPr>
      </w:pPr>
    </w:p>
    <w:p w:rsidR="00DE2491" w:rsidRDefault="00DE2491" w:rsidP="00E030E3">
      <w:pPr>
        <w:spacing w:after="0" w:line="240" w:lineRule="auto"/>
        <w:ind w:firstLine="851"/>
        <w:rPr>
          <w:rFonts w:ascii="Times New Roman" w:hAnsi="Times New Roman"/>
          <w:sz w:val="24"/>
          <w:szCs w:val="24"/>
        </w:rPr>
        <w:sectPr w:rsidR="00DE2491" w:rsidSect="00182792">
          <w:footerReference w:type="even" r:id="rId8"/>
          <w:footerReference w:type="default" r:id="rId9"/>
          <w:pgSz w:w="11906" w:h="16838" w:code="9"/>
          <w:pgMar w:top="1134" w:right="851" w:bottom="1134" w:left="1701" w:header="709" w:footer="709" w:gutter="0"/>
          <w:cols w:space="708"/>
          <w:titlePg/>
          <w:docGrid w:linePitch="360"/>
        </w:sectPr>
      </w:pPr>
    </w:p>
    <w:p w:rsidR="0098177D" w:rsidRDefault="0098177D" w:rsidP="0098177D">
      <w:pPr>
        <w:pStyle w:val="a6"/>
        <w:spacing w:line="240" w:lineRule="atLeast"/>
        <w:ind w:left="0" w:firstLine="709"/>
        <w:jc w:val="center"/>
        <w:rPr>
          <w:rFonts w:ascii="Times New Roman" w:hAnsi="Times New Roman"/>
          <w:b/>
          <w:sz w:val="24"/>
          <w:szCs w:val="24"/>
        </w:rPr>
      </w:pPr>
      <w:r w:rsidRPr="008E6F6F">
        <w:rPr>
          <w:rFonts w:ascii="Times New Roman" w:hAnsi="Times New Roman"/>
          <w:b/>
          <w:sz w:val="24"/>
          <w:szCs w:val="24"/>
        </w:rPr>
        <w:lastRenderedPageBreak/>
        <w:t>Основные тенденции развития экономики Приднестровской Молдавской Республики в январе-июне 2014 года</w:t>
      </w:r>
    </w:p>
    <w:p w:rsidR="0098177D" w:rsidRDefault="0098177D" w:rsidP="0098177D">
      <w:pPr>
        <w:pStyle w:val="a6"/>
        <w:spacing w:line="240" w:lineRule="atLeast"/>
        <w:ind w:left="0" w:firstLine="709"/>
        <w:jc w:val="both"/>
        <w:rPr>
          <w:rFonts w:ascii="Times New Roman" w:hAnsi="Times New Roman"/>
          <w:sz w:val="24"/>
          <w:szCs w:val="24"/>
        </w:rPr>
      </w:pPr>
    </w:p>
    <w:p w:rsidR="0098177D" w:rsidRPr="00211E33" w:rsidRDefault="0098177D" w:rsidP="0098177D">
      <w:pPr>
        <w:pStyle w:val="a6"/>
        <w:spacing w:line="240" w:lineRule="atLeast"/>
        <w:ind w:left="0" w:firstLine="709"/>
        <w:jc w:val="both"/>
        <w:rPr>
          <w:rFonts w:ascii="Times New Roman" w:hAnsi="Times New Roman"/>
          <w:b/>
          <w:sz w:val="24"/>
          <w:szCs w:val="24"/>
        </w:rPr>
      </w:pPr>
      <w:r w:rsidRPr="00DA6B5E">
        <w:rPr>
          <w:rFonts w:ascii="Times New Roman" w:hAnsi="Times New Roman"/>
          <w:sz w:val="24"/>
          <w:szCs w:val="24"/>
        </w:rPr>
        <w:t>Макроэкономические условия развития экономики республики в январе-ию</w:t>
      </w:r>
      <w:r>
        <w:rPr>
          <w:rFonts w:ascii="Times New Roman" w:hAnsi="Times New Roman"/>
          <w:sz w:val="24"/>
          <w:szCs w:val="24"/>
        </w:rPr>
        <w:t>н</w:t>
      </w:r>
      <w:r w:rsidRPr="00DA6B5E">
        <w:rPr>
          <w:rFonts w:ascii="Times New Roman" w:hAnsi="Times New Roman"/>
          <w:sz w:val="24"/>
          <w:szCs w:val="24"/>
        </w:rPr>
        <w:t xml:space="preserve">е </w:t>
      </w:r>
      <w:r w:rsidR="008E6F6F">
        <w:rPr>
          <w:rFonts w:ascii="Times New Roman" w:hAnsi="Times New Roman"/>
          <w:sz w:val="24"/>
          <w:szCs w:val="24"/>
        </w:rPr>
        <w:t xml:space="preserve"> </w:t>
      </w:r>
      <w:r w:rsidRPr="00DA6B5E">
        <w:rPr>
          <w:rFonts w:ascii="Times New Roman" w:hAnsi="Times New Roman"/>
          <w:sz w:val="24"/>
          <w:szCs w:val="24"/>
        </w:rPr>
        <w:t>2014 года на фоне относительно ритмичной работой ведущих предприятий индустрии характеризовались более позитивной динамикой развития по сравнению с аналогичным периодом прошлого года и определялись существенным замедлением инфляционных процессов в потребительском сегменте.</w:t>
      </w:r>
    </w:p>
    <w:p w:rsidR="0098177D" w:rsidRDefault="0098177D" w:rsidP="0098177D">
      <w:pPr>
        <w:pStyle w:val="24"/>
      </w:pPr>
      <w:r w:rsidRPr="00DE774E">
        <w:rPr>
          <w:u w:val="single"/>
        </w:rPr>
        <w:t>Валовой внутренний продукт (ВВП).</w:t>
      </w:r>
      <w:r w:rsidRPr="00DE774E">
        <w:t xml:space="preserve"> </w:t>
      </w:r>
    </w:p>
    <w:p w:rsidR="0098177D" w:rsidRPr="00DE774E" w:rsidRDefault="0098177D" w:rsidP="0098177D">
      <w:pPr>
        <w:pStyle w:val="24"/>
      </w:pPr>
      <w:r>
        <w:t>С</w:t>
      </w:r>
      <w:r w:rsidRPr="008F5FA1">
        <w:t>озданный в республике номинальный объем обобщающего показателя функционирования экономики (валовой внутренний продукт) за 6 месяцев 2014 года увеличился на 9,5</w:t>
      </w:r>
      <w:r w:rsidRPr="00DE774E">
        <w:t xml:space="preserve">% и составил 4 767,5 млн. руб. </w:t>
      </w:r>
      <w:r>
        <w:t>или</w:t>
      </w:r>
      <w:r w:rsidRPr="00DE774E">
        <w:t xml:space="preserve"> 429,5 млн. долл</w:t>
      </w:r>
      <w:r>
        <w:t>.</w:t>
      </w:r>
    </w:p>
    <w:p w:rsidR="0098177D" w:rsidRDefault="0098177D" w:rsidP="0098177D">
      <w:pPr>
        <w:pStyle w:val="24"/>
      </w:pPr>
      <w:r>
        <w:t>Реальный при</w:t>
      </w:r>
      <w:r w:rsidRPr="0014647E">
        <w:t xml:space="preserve">рост </w:t>
      </w:r>
      <w:r>
        <w:t>экономики (</w:t>
      </w:r>
      <w:r w:rsidRPr="0014647E">
        <w:t>ВВП</w:t>
      </w:r>
      <w:r>
        <w:t xml:space="preserve"> в сопоставимых ценах)</w:t>
      </w:r>
      <w:r w:rsidRPr="0014647E">
        <w:t xml:space="preserve"> </w:t>
      </w:r>
      <w:r>
        <w:t>н</w:t>
      </w:r>
      <w:r w:rsidRPr="0014647E">
        <w:t xml:space="preserve">а фоне отрицательной динамики </w:t>
      </w:r>
      <w:r>
        <w:t>в базовом периоде минувшего</w:t>
      </w:r>
      <w:r w:rsidRPr="0014647E">
        <w:t xml:space="preserve"> года</w:t>
      </w:r>
      <w:r>
        <w:t xml:space="preserve"> (падение реального ВВП - 5,1%)</w:t>
      </w:r>
      <w:r w:rsidRPr="0014647E">
        <w:t xml:space="preserve"> в </w:t>
      </w:r>
      <w:r>
        <w:t xml:space="preserve">январе-июне </w:t>
      </w:r>
      <w:r w:rsidRPr="0014647E">
        <w:t>201</w:t>
      </w:r>
      <w:r>
        <w:t>4</w:t>
      </w:r>
      <w:r w:rsidRPr="0014647E">
        <w:t xml:space="preserve"> год</w:t>
      </w:r>
      <w:r>
        <w:t xml:space="preserve">а </w:t>
      </w:r>
      <w:r w:rsidRPr="0014647E">
        <w:t>носил компенсирующий характер</w:t>
      </w:r>
      <w:r>
        <w:t xml:space="preserve"> и составил 1,0%.</w:t>
      </w:r>
    </w:p>
    <w:p w:rsidR="0098177D" w:rsidRPr="00D055EA" w:rsidRDefault="0098177D" w:rsidP="0098177D">
      <w:pPr>
        <w:pStyle w:val="a4"/>
        <w:jc w:val="center"/>
        <w:rPr>
          <w:b/>
        </w:rPr>
      </w:pPr>
      <w:r w:rsidRPr="00D055EA">
        <w:rPr>
          <w:b/>
        </w:rPr>
        <w:t>Динамика изменения объема ВВП</w:t>
      </w:r>
    </w:p>
    <w:p w:rsidR="0098177D" w:rsidRDefault="0098177D" w:rsidP="0098177D">
      <w:pPr>
        <w:pStyle w:val="24"/>
        <w:ind w:hanging="426"/>
      </w:pPr>
      <w:r w:rsidRPr="00076EBD">
        <w:rPr>
          <w:noProof/>
        </w:rPr>
        <w:drawing>
          <wp:inline distT="0" distB="0" distL="0" distR="0">
            <wp:extent cx="6251945" cy="1881963"/>
            <wp:effectExtent l="0" t="0" r="0" b="0"/>
            <wp:docPr id="12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8177D" w:rsidRPr="004727B6" w:rsidRDefault="0098177D" w:rsidP="0098177D">
      <w:pPr>
        <w:pStyle w:val="24"/>
      </w:pPr>
      <w:r>
        <w:t>Н</w:t>
      </w:r>
      <w:r w:rsidRPr="0014647E">
        <w:t xml:space="preserve">оминальные темпы расширения валового внутреннего продукта поддерживались за счёт </w:t>
      </w:r>
      <w:r w:rsidRPr="004727B6">
        <w:t xml:space="preserve">повышения цен. Дефлятор ВВП, устанавливающий связь между реальным и номинальным ВВП по итогам </w:t>
      </w:r>
      <w:r w:rsidRPr="004727B6">
        <w:rPr>
          <w:lang w:val="en-US"/>
        </w:rPr>
        <w:t>I</w:t>
      </w:r>
      <w:r w:rsidRPr="004727B6">
        <w:t xml:space="preserve"> полугодия 2014</w:t>
      </w:r>
      <w:r w:rsidR="008E6F6F">
        <w:t xml:space="preserve"> года сложился на уровне 1,0837</w:t>
      </w:r>
      <w:r w:rsidRPr="004727B6">
        <w:t xml:space="preserve"> расширившись на 4,73 процентных пункта, что стало следствием более благоприятной ценовой конъюнктуры для хозяйствующих субъектов республики.</w:t>
      </w:r>
    </w:p>
    <w:p w:rsidR="0098177D" w:rsidRDefault="0098177D" w:rsidP="0098177D">
      <w:pPr>
        <w:spacing w:after="0" w:line="240" w:lineRule="auto"/>
        <w:ind w:firstLine="709"/>
        <w:jc w:val="both"/>
        <w:rPr>
          <w:rFonts w:ascii="Times New Roman" w:hAnsi="Times New Roman"/>
          <w:sz w:val="24"/>
          <w:szCs w:val="24"/>
        </w:rPr>
      </w:pPr>
      <w:r w:rsidRPr="004727B6">
        <w:rPr>
          <w:rFonts w:ascii="Times New Roman" w:hAnsi="Times New Roman"/>
          <w:sz w:val="24"/>
          <w:szCs w:val="24"/>
        </w:rPr>
        <w:t>Размер ВВП на душу населения в сопоставимых ценах сложился на уровне 101,9% к соответствующему показателю минувшего года, в долларовом эквиваленте его величина составила 852,0 долл. США.</w:t>
      </w:r>
    </w:p>
    <w:p w:rsidR="0098177D" w:rsidRDefault="0098177D" w:rsidP="0098177D">
      <w:pPr>
        <w:spacing w:after="0" w:line="240" w:lineRule="auto"/>
        <w:ind w:hanging="284"/>
        <w:jc w:val="both"/>
        <w:rPr>
          <w:rFonts w:ascii="Times New Roman" w:hAnsi="Times New Roman"/>
          <w:sz w:val="24"/>
          <w:szCs w:val="24"/>
        </w:rPr>
      </w:pPr>
      <w:r w:rsidRPr="006949CB">
        <w:rPr>
          <w:rFonts w:ascii="Times New Roman" w:hAnsi="Times New Roman"/>
          <w:noProof/>
          <w:sz w:val="24"/>
          <w:szCs w:val="24"/>
        </w:rPr>
        <w:drawing>
          <wp:inline distT="0" distB="0" distL="0" distR="0">
            <wp:extent cx="6315740" cy="2860158"/>
            <wp:effectExtent l="0" t="0" r="0" b="0"/>
            <wp:docPr id="1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8177D" w:rsidRPr="005C77BE" w:rsidRDefault="0098177D" w:rsidP="0098177D">
      <w:pPr>
        <w:spacing w:after="0" w:line="240" w:lineRule="auto"/>
        <w:ind w:firstLine="709"/>
        <w:jc w:val="both"/>
        <w:rPr>
          <w:rFonts w:ascii="Times New Roman" w:hAnsi="Times New Roman"/>
          <w:sz w:val="24"/>
          <w:szCs w:val="24"/>
        </w:rPr>
      </w:pPr>
      <w:r w:rsidRPr="00772E13">
        <w:rPr>
          <w:rFonts w:ascii="Times New Roman" w:hAnsi="Times New Roman"/>
          <w:sz w:val="24"/>
          <w:szCs w:val="24"/>
        </w:rPr>
        <w:lastRenderedPageBreak/>
        <w:t xml:space="preserve">В структуре валового внутреннего продукта отмечалось снижение удельных весов сектора услуг («-»0,85 процентных пункта до 75,50%») и фискальной составляющей «чистые налоги на продукты и импорт» («-»1,43 процентных пункта до 5,48%»). На этом фоне определилось повышение удельного веса сферы материального производства («+2,28 процентных пункта до 19,02%»). Обеспечить </w:t>
      </w:r>
      <w:r>
        <w:rPr>
          <w:rFonts w:ascii="Times New Roman" w:hAnsi="Times New Roman"/>
          <w:sz w:val="24"/>
          <w:szCs w:val="24"/>
        </w:rPr>
        <w:t xml:space="preserve">такое </w:t>
      </w:r>
      <w:r w:rsidRPr="00772E13">
        <w:rPr>
          <w:rFonts w:ascii="Times New Roman" w:hAnsi="Times New Roman"/>
          <w:sz w:val="24"/>
          <w:szCs w:val="24"/>
        </w:rPr>
        <w:t xml:space="preserve">расширение удалось главным образом, благодаря увеличению добавленной стоимости в индустрии («+»34,9% до </w:t>
      </w:r>
      <w:r w:rsidR="008E6F6F">
        <w:rPr>
          <w:rFonts w:ascii="Times New Roman" w:hAnsi="Times New Roman"/>
          <w:sz w:val="24"/>
          <w:szCs w:val="24"/>
        </w:rPr>
        <w:t xml:space="preserve"> </w:t>
      </w:r>
      <w:r w:rsidRPr="00772E13">
        <w:rPr>
          <w:rFonts w:ascii="Times New Roman" w:hAnsi="Times New Roman"/>
          <w:sz w:val="24"/>
          <w:szCs w:val="24"/>
        </w:rPr>
        <w:t xml:space="preserve">1 613,6 млн. руб.) и в строительстве(«+23,3%» до 132,9 млн. руб.»), в результате удельный вес данных отраслей в структуре валового внутреннего продукта повысился соответственно на 6,39 процентных пункта до 33,84% и на 0,32 процентных пункта до 2,79%. </w:t>
      </w:r>
      <w:r w:rsidRPr="005C77BE">
        <w:rPr>
          <w:rFonts w:ascii="Times New Roman" w:hAnsi="Times New Roman"/>
          <w:sz w:val="24"/>
          <w:szCs w:val="24"/>
        </w:rPr>
        <w:t>Вместе с этим отрицательный вклад («-»17,6%) в структуре формирования ВВП демонстрировал аграрный сектор, что стало следствием</w:t>
      </w:r>
      <w:r>
        <w:rPr>
          <w:rFonts w:ascii="Times New Roman" w:hAnsi="Times New Roman"/>
          <w:sz w:val="24"/>
          <w:szCs w:val="24"/>
        </w:rPr>
        <w:t xml:space="preserve"> того, что</w:t>
      </w:r>
      <w:r w:rsidRPr="005C77BE">
        <w:rPr>
          <w:rFonts w:ascii="Times New Roman" w:hAnsi="Times New Roman"/>
          <w:sz w:val="24"/>
          <w:szCs w:val="24"/>
        </w:rPr>
        <w:t xml:space="preserve"> объемы валового выпуска организаций </w:t>
      </w:r>
      <w:r>
        <w:rPr>
          <w:rFonts w:ascii="Times New Roman" w:hAnsi="Times New Roman"/>
          <w:sz w:val="24"/>
          <w:szCs w:val="24"/>
        </w:rPr>
        <w:t>сельского хозяйства</w:t>
      </w:r>
      <w:r w:rsidRPr="005C77BE">
        <w:rPr>
          <w:rFonts w:ascii="Times New Roman" w:hAnsi="Times New Roman"/>
          <w:sz w:val="24"/>
          <w:szCs w:val="24"/>
        </w:rPr>
        <w:t xml:space="preserve"> </w:t>
      </w:r>
      <w:r>
        <w:rPr>
          <w:rFonts w:ascii="Times New Roman" w:hAnsi="Times New Roman"/>
          <w:sz w:val="24"/>
          <w:szCs w:val="24"/>
        </w:rPr>
        <w:t xml:space="preserve">в </w:t>
      </w:r>
      <w:r>
        <w:rPr>
          <w:rFonts w:ascii="Times New Roman" w:hAnsi="Times New Roman"/>
          <w:sz w:val="24"/>
          <w:szCs w:val="24"/>
          <w:lang w:val="en-US"/>
        </w:rPr>
        <w:t>I</w:t>
      </w:r>
      <w:r w:rsidRPr="006949CB">
        <w:rPr>
          <w:rFonts w:ascii="Times New Roman" w:hAnsi="Times New Roman"/>
          <w:sz w:val="24"/>
          <w:szCs w:val="24"/>
        </w:rPr>
        <w:t xml:space="preserve"> полугодии текущего года </w:t>
      </w:r>
      <w:r w:rsidRPr="005C77BE">
        <w:rPr>
          <w:rFonts w:ascii="Times New Roman" w:hAnsi="Times New Roman"/>
          <w:sz w:val="24"/>
          <w:szCs w:val="24"/>
        </w:rPr>
        <w:t>покрыва</w:t>
      </w:r>
      <w:r>
        <w:rPr>
          <w:rFonts w:ascii="Times New Roman" w:hAnsi="Times New Roman"/>
          <w:sz w:val="24"/>
          <w:szCs w:val="24"/>
        </w:rPr>
        <w:t>ли</w:t>
      </w:r>
      <w:r w:rsidRPr="005C77BE">
        <w:rPr>
          <w:rFonts w:ascii="Times New Roman" w:hAnsi="Times New Roman"/>
          <w:sz w:val="24"/>
          <w:szCs w:val="24"/>
        </w:rPr>
        <w:t xml:space="preserve"> </w:t>
      </w:r>
      <w:r>
        <w:rPr>
          <w:rFonts w:ascii="Times New Roman" w:hAnsi="Times New Roman"/>
          <w:sz w:val="24"/>
          <w:szCs w:val="24"/>
        </w:rPr>
        <w:t xml:space="preserve">лишь </w:t>
      </w:r>
      <w:r w:rsidRPr="005C77BE">
        <w:rPr>
          <w:rFonts w:ascii="Times New Roman" w:hAnsi="Times New Roman"/>
          <w:sz w:val="24"/>
          <w:szCs w:val="24"/>
        </w:rPr>
        <w:t>на 31,8% затраченные ресурсы для воспроизводственных процессов, включаемы</w:t>
      </w:r>
      <w:r>
        <w:rPr>
          <w:rFonts w:ascii="Times New Roman" w:hAnsi="Times New Roman"/>
          <w:sz w:val="24"/>
          <w:szCs w:val="24"/>
        </w:rPr>
        <w:t>е</w:t>
      </w:r>
      <w:r w:rsidRPr="005C77BE">
        <w:rPr>
          <w:rFonts w:ascii="Times New Roman" w:hAnsi="Times New Roman"/>
          <w:sz w:val="24"/>
          <w:szCs w:val="24"/>
        </w:rPr>
        <w:t xml:space="preserve"> в промежуточное потребление</w:t>
      </w:r>
      <w:r>
        <w:rPr>
          <w:rFonts w:ascii="Times New Roman" w:hAnsi="Times New Roman"/>
          <w:sz w:val="24"/>
          <w:szCs w:val="24"/>
        </w:rPr>
        <w:t>.</w:t>
      </w:r>
    </w:p>
    <w:p w:rsidR="0098177D" w:rsidRPr="00211E33" w:rsidRDefault="0098177D" w:rsidP="0098177D">
      <w:pPr>
        <w:autoSpaceDE w:val="0"/>
        <w:autoSpaceDN w:val="0"/>
        <w:adjustRightInd w:val="0"/>
        <w:spacing w:after="0" w:line="240" w:lineRule="auto"/>
        <w:ind w:firstLine="709"/>
        <w:jc w:val="both"/>
        <w:rPr>
          <w:rFonts w:ascii="Times New Roman" w:hAnsi="Times New Roman"/>
          <w:sz w:val="24"/>
          <w:szCs w:val="24"/>
        </w:rPr>
      </w:pPr>
      <w:r w:rsidRPr="00211E33">
        <w:rPr>
          <w:rFonts w:ascii="Times New Roman" w:hAnsi="Times New Roman"/>
          <w:sz w:val="24"/>
          <w:szCs w:val="24"/>
          <w:u w:val="single"/>
        </w:rPr>
        <w:t>Промышленный сектор.</w:t>
      </w:r>
      <w:r w:rsidRPr="00211E33">
        <w:rPr>
          <w:rFonts w:ascii="Times New Roman" w:hAnsi="Times New Roman"/>
          <w:sz w:val="24"/>
          <w:szCs w:val="24"/>
        </w:rPr>
        <w:t xml:space="preserve"> </w:t>
      </w:r>
    </w:p>
    <w:p w:rsidR="0098177D" w:rsidRDefault="0098177D" w:rsidP="0098177D">
      <w:pPr>
        <w:spacing w:after="0" w:line="240" w:lineRule="auto"/>
        <w:ind w:firstLine="709"/>
        <w:jc w:val="both"/>
        <w:rPr>
          <w:rFonts w:ascii="Times New Roman" w:hAnsi="Times New Roman"/>
          <w:sz w:val="24"/>
          <w:szCs w:val="24"/>
        </w:rPr>
      </w:pPr>
      <w:r w:rsidRPr="00211E33">
        <w:rPr>
          <w:rFonts w:ascii="Times New Roman" w:hAnsi="Times New Roman"/>
          <w:sz w:val="24"/>
          <w:szCs w:val="24"/>
        </w:rPr>
        <w:t>В индустриальном секторе, несмотря на сложные условия хозяйствования, связанные с обострением ситуации в Украине, в январе-июне текущего года отмечено динамичное восстановление утраченных позиций минувшего года.</w:t>
      </w:r>
    </w:p>
    <w:p w:rsidR="0098177D" w:rsidRDefault="0098177D" w:rsidP="0098177D">
      <w:pPr>
        <w:autoSpaceDE w:val="0"/>
        <w:autoSpaceDN w:val="0"/>
        <w:adjustRightInd w:val="0"/>
        <w:spacing w:after="0" w:line="240" w:lineRule="auto"/>
        <w:ind w:firstLine="709"/>
        <w:jc w:val="right"/>
        <w:rPr>
          <w:rFonts w:ascii="Times New Roman" w:hAnsi="Times New Roman"/>
          <w:snapToGrid w:val="0"/>
          <w:sz w:val="24"/>
          <w:szCs w:val="24"/>
        </w:rPr>
      </w:pPr>
      <w:r>
        <w:rPr>
          <w:rFonts w:ascii="Times New Roman" w:hAnsi="Times New Roman"/>
          <w:snapToGrid w:val="0"/>
          <w:sz w:val="24"/>
          <w:szCs w:val="24"/>
        </w:rPr>
        <w:t>Таблица №</w:t>
      </w:r>
      <w:r w:rsidR="008E6F6F">
        <w:rPr>
          <w:rFonts w:ascii="Times New Roman" w:hAnsi="Times New Roman"/>
          <w:snapToGrid w:val="0"/>
          <w:sz w:val="24"/>
          <w:szCs w:val="24"/>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77"/>
        <w:gridCol w:w="993"/>
        <w:gridCol w:w="1559"/>
        <w:gridCol w:w="1559"/>
        <w:gridCol w:w="1276"/>
      </w:tblGrid>
      <w:tr w:rsidR="0098177D" w:rsidTr="00DA2344">
        <w:trPr>
          <w:trHeight w:val="565"/>
        </w:trPr>
        <w:tc>
          <w:tcPr>
            <w:tcW w:w="4077" w:type="dxa"/>
            <w:vAlign w:val="center"/>
          </w:tcPr>
          <w:p w:rsidR="0098177D" w:rsidRPr="00B73BB0" w:rsidRDefault="0098177D" w:rsidP="00DA2344">
            <w:pPr>
              <w:tabs>
                <w:tab w:val="left" w:pos="851"/>
              </w:tabs>
              <w:autoSpaceDE w:val="0"/>
              <w:autoSpaceDN w:val="0"/>
              <w:adjustRightInd w:val="0"/>
              <w:spacing w:after="0" w:line="240" w:lineRule="auto"/>
              <w:jc w:val="center"/>
              <w:rPr>
                <w:rFonts w:ascii="Times New Roman" w:hAnsi="Times New Roman"/>
                <w:b/>
              </w:rPr>
            </w:pPr>
            <w:r w:rsidRPr="00B73BB0">
              <w:rPr>
                <w:rFonts w:ascii="Times New Roman" w:hAnsi="Times New Roman"/>
                <w:b/>
              </w:rPr>
              <w:t>Показатели</w:t>
            </w:r>
          </w:p>
        </w:tc>
        <w:tc>
          <w:tcPr>
            <w:tcW w:w="993" w:type="dxa"/>
            <w:vAlign w:val="center"/>
          </w:tcPr>
          <w:p w:rsidR="0098177D" w:rsidRPr="00B73BB0" w:rsidRDefault="0098177D" w:rsidP="00DA2344">
            <w:pPr>
              <w:tabs>
                <w:tab w:val="left" w:pos="851"/>
              </w:tabs>
              <w:autoSpaceDE w:val="0"/>
              <w:autoSpaceDN w:val="0"/>
              <w:adjustRightInd w:val="0"/>
              <w:spacing w:after="0" w:line="240" w:lineRule="auto"/>
              <w:jc w:val="center"/>
              <w:rPr>
                <w:rFonts w:ascii="Times New Roman" w:hAnsi="Times New Roman"/>
                <w:b/>
              </w:rPr>
            </w:pPr>
            <w:r w:rsidRPr="00B73BB0">
              <w:rPr>
                <w:rFonts w:ascii="Times New Roman" w:hAnsi="Times New Roman"/>
                <w:b/>
              </w:rPr>
              <w:t>Ед. изм.</w:t>
            </w:r>
          </w:p>
        </w:tc>
        <w:tc>
          <w:tcPr>
            <w:tcW w:w="1559" w:type="dxa"/>
            <w:vAlign w:val="center"/>
          </w:tcPr>
          <w:p w:rsidR="0098177D" w:rsidRPr="00B73BB0" w:rsidRDefault="0098177D" w:rsidP="00DA2344">
            <w:pPr>
              <w:tabs>
                <w:tab w:val="left" w:pos="851"/>
              </w:tabs>
              <w:autoSpaceDE w:val="0"/>
              <w:autoSpaceDN w:val="0"/>
              <w:adjustRightInd w:val="0"/>
              <w:spacing w:after="0" w:line="240" w:lineRule="auto"/>
              <w:jc w:val="center"/>
              <w:rPr>
                <w:rFonts w:ascii="Times New Roman" w:hAnsi="Times New Roman"/>
                <w:b/>
              </w:rPr>
            </w:pPr>
            <w:r>
              <w:rPr>
                <w:rFonts w:ascii="Times New Roman" w:hAnsi="Times New Roman"/>
                <w:b/>
              </w:rPr>
              <w:t xml:space="preserve">январь-июнь </w:t>
            </w:r>
            <w:r w:rsidRPr="00B73BB0">
              <w:rPr>
                <w:rFonts w:ascii="Times New Roman" w:hAnsi="Times New Roman"/>
                <w:b/>
              </w:rPr>
              <w:t>201</w:t>
            </w:r>
            <w:r>
              <w:rPr>
                <w:rFonts w:ascii="Times New Roman" w:hAnsi="Times New Roman"/>
                <w:b/>
              </w:rPr>
              <w:t>3</w:t>
            </w:r>
            <w:r w:rsidRPr="00B73BB0">
              <w:rPr>
                <w:rFonts w:ascii="Times New Roman" w:hAnsi="Times New Roman"/>
                <w:b/>
              </w:rPr>
              <w:t xml:space="preserve"> г</w:t>
            </w:r>
            <w:r>
              <w:rPr>
                <w:rFonts w:ascii="Times New Roman" w:hAnsi="Times New Roman"/>
                <w:b/>
              </w:rPr>
              <w:t>.</w:t>
            </w:r>
          </w:p>
        </w:tc>
        <w:tc>
          <w:tcPr>
            <w:tcW w:w="1559" w:type="dxa"/>
            <w:vAlign w:val="center"/>
          </w:tcPr>
          <w:p w:rsidR="0098177D" w:rsidRPr="00211E33" w:rsidRDefault="0098177D" w:rsidP="00DA2344">
            <w:pPr>
              <w:tabs>
                <w:tab w:val="left" w:pos="851"/>
              </w:tabs>
              <w:autoSpaceDE w:val="0"/>
              <w:autoSpaceDN w:val="0"/>
              <w:adjustRightInd w:val="0"/>
              <w:spacing w:after="0" w:line="240" w:lineRule="auto"/>
              <w:jc w:val="center"/>
              <w:rPr>
                <w:rFonts w:ascii="Times New Roman" w:hAnsi="Times New Roman"/>
                <w:b/>
              </w:rPr>
            </w:pPr>
            <w:r w:rsidRPr="00211E33">
              <w:rPr>
                <w:rFonts w:ascii="Times New Roman" w:hAnsi="Times New Roman"/>
                <w:b/>
              </w:rPr>
              <w:t>январь-июнь 2014 г.</w:t>
            </w:r>
          </w:p>
        </w:tc>
        <w:tc>
          <w:tcPr>
            <w:tcW w:w="1276" w:type="dxa"/>
            <w:vAlign w:val="center"/>
          </w:tcPr>
          <w:p w:rsidR="0098177D" w:rsidRPr="00211E33" w:rsidRDefault="0098177D" w:rsidP="00DA2344">
            <w:pPr>
              <w:tabs>
                <w:tab w:val="left" w:pos="851"/>
              </w:tabs>
              <w:autoSpaceDE w:val="0"/>
              <w:autoSpaceDN w:val="0"/>
              <w:adjustRightInd w:val="0"/>
              <w:spacing w:after="0" w:line="240" w:lineRule="auto"/>
              <w:jc w:val="center"/>
              <w:rPr>
                <w:rFonts w:ascii="Times New Roman" w:hAnsi="Times New Roman"/>
                <w:b/>
              </w:rPr>
            </w:pPr>
            <w:r w:rsidRPr="00211E33">
              <w:rPr>
                <w:rFonts w:ascii="Times New Roman" w:hAnsi="Times New Roman"/>
                <w:b/>
              </w:rPr>
              <w:t>Темп роста, %</w:t>
            </w:r>
          </w:p>
        </w:tc>
      </w:tr>
      <w:tr w:rsidR="0098177D" w:rsidTr="00DA2344">
        <w:trPr>
          <w:trHeight w:val="531"/>
        </w:trPr>
        <w:tc>
          <w:tcPr>
            <w:tcW w:w="4077" w:type="dxa"/>
          </w:tcPr>
          <w:p w:rsidR="0098177D" w:rsidRPr="00B73BB0" w:rsidRDefault="0098177D" w:rsidP="00DA2344">
            <w:pPr>
              <w:spacing w:after="0" w:line="240" w:lineRule="auto"/>
              <w:rPr>
                <w:rFonts w:ascii="Times New Roman" w:hAnsi="Times New Roman"/>
                <w:snapToGrid w:val="0"/>
              </w:rPr>
            </w:pPr>
            <w:r w:rsidRPr="00B73BB0">
              <w:rPr>
                <w:rFonts w:ascii="Times New Roman" w:hAnsi="Times New Roman"/>
                <w:snapToGrid w:val="0"/>
              </w:rPr>
              <w:t>Объем промышленного производства по полному кругу*</w:t>
            </w:r>
          </w:p>
        </w:tc>
        <w:tc>
          <w:tcPr>
            <w:tcW w:w="993" w:type="dxa"/>
            <w:vAlign w:val="bottom"/>
          </w:tcPr>
          <w:p w:rsidR="0098177D" w:rsidRPr="00B73BB0" w:rsidRDefault="0098177D" w:rsidP="00DA2344">
            <w:pPr>
              <w:spacing w:after="0" w:line="240" w:lineRule="auto"/>
              <w:ind w:right="-131"/>
              <w:jc w:val="center"/>
              <w:rPr>
                <w:rFonts w:ascii="Times New Roman" w:hAnsi="Times New Roman"/>
                <w:snapToGrid w:val="0"/>
              </w:rPr>
            </w:pPr>
            <w:r w:rsidRPr="00B73BB0">
              <w:rPr>
                <w:rFonts w:ascii="Times New Roman" w:hAnsi="Times New Roman"/>
                <w:snapToGrid w:val="0"/>
              </w:rPr>
              <w:t>млн. руб.</w:t>
            </w:r>
          </w:p>
        </w:tc>
        <w:tc>
          <w:tcPr>
            <w:tcW w:w="1559" w:type="dxa"/>
            <w:vAlign w:val="bottom"/>
          </w:tcPr>
          <w:p w:rsidR="0098177D" w:rsidRPr="00B73BB0" w:rsidRDefault="0098177D" w:rsidP="00DA2344">
            <w:pPr>
              <w:spacing w:after="0" w:line="240" w:lineRule="auto"/>
              <w:jc w:val="right"/>
              <w:rPr>
                <w:rFonts w:ascii="Times New Roman" w:hAnsi="Times New Roman"/>
                <w:snapToGrid w:val="0"/>
              </w:rPr>
            </w:pPr>
            <w:r>
              <w:rPr>
                <w:rFonts w:ascii="Times New Roman" w:hAnsi="Times New Roman"/>
                <w:snapToGrid w:val="0"/>
              </w:rPr>
              <w:t>3 583,5</w:t>
            </w:r>
          </w:p>
        </w:tc>
        <w:tc>
          <w:tcPr>
            <w:tcW w:w="1559" w:type="dxa"/>
            <w:vAlign w:val="bottom"/>
          </w:tcPr>
          <w:p w:rsidR="0098177D" w:rsidRPr="00211E33" w:rsidRDefault="0098177D" w:rsidP="00DA2344">
            <w:pPr>
              <w:spacing w:after="0" w:line="240" w:lineRule="auto"/>
              <w:jc w:val="right"/>
              <w:rPr>
                <w:rFonts w:ascii="Times New Roman" w:hAnsi="Times New Roman"/>
                <w:snapToGrid w:val="0"/>
              </w:rPr>
            </w:pPr>
            <w:r w:rsidRPr="00211E33">
              <w:rPr>
                <w:rFonts w:ascii="Times New Roman" w:hAnsi="Times New Roman"/>
                <w:snapToGrid w:val="0"/>
              </w:rPr>
              <w:t>5 218,7</w:t>
            </w:r>
          </w:p>
        </w:tc>
        <w:tc>
          <w:tcPr>
            <w:tcW w:w="1276" w:type="dxa"/>
            <w:vAlign w:val="bottom"/>
          </w:tcPr>
          <w:p w:rsidR="0098177D" w:rsidRPr="00211E33" w:rsidRDefault="0098177D" w:rsidP="00DA2344">
            <w:pPr>
              <w:spacing w:after="0" w:line="240" w:lineRule="auto"/>
              <w:jc w:val="right"/>
              <w:rPr>
                <w:rFonts w:ascii="Times New Roman" w:hAnsi="Times New Roman"/>
                <w:snapToGrid w:val="0"/>
              </w:rPr>
            </w:pPr>
            <w:r w:rsidRPr="00211E33">
              <w:rPr>
                <w:rFonts w:ascii="Times New Roman" w:hAnsi="Times New Roman"/>
                <w:snapToGrid w:val="0"/>
              </w:rPr>
              <w:t>145,6</w:t>
            </w:r>
          </w:p>
        </w:tc>
      </w:tr>
      <w:tr w:rsidR="0098177D" w:rsidRPr="00211E33" w:rsidTr="00DA2344">
        <w:trPr>
          <w:trHeight w:val="531"/>
        </w:trPr>
        <w:tc>
          <w:tcPr>
            <w:tcW w:w="4077" w:type="dxa"/>
          </w:tcPr>
          <w:p w:rsidR="0098177D" w:rsidRPr="00B73BB0" w:rsidRDefault="0098177D" w:rsidP="00DA2344">
            <w:pPr>
              <w:spacing w:after="0" w:line="240" w:lineRule="auto"/>
              <w:rPr>
                <w:rFonts w:ascii="Times New Roman" w:hAnsi="Times New Roman"/>
                <w:snapToGrid w:val="0"/>
              </w:rPr>
            </w:pPr>
            <w:r w:rsidRPr="00B73BB0">
              <w:rPr>
                <w:rFonts w:ascii="Times New Roman" w:hAnsi="Times New Roman"/>
                <w:snapToGrid w:val="0"/>
              </w:rPr>
              <w:t>Объем промышленного производства по крупным предприятиям</w:t>
            </w:r>
          </w:p>
        </w:tc>
        <w:tc>
          <w:tcPr>
            <w:tcW w:w="993" w:type="dxa"/>
            <w:vAlign w:val="bottom"/>
          </w:tcPr>
          <w:p w:rsidR="0098177D" w:rsidRPr="00B73BB0" w:rsidRDefault="0098177D" w:rsidP="00DA2344">
            <w:pPr>
              <w:spacing w:after="0" w:line="240" w:lineRule="auto"/>
              <w:ind w:right="-131"/>
              <w:jc w:val="center"/>
              <w:rPr>
                <w:rFonts w:ascii="Times New Roman" w:hAnsi="Times New Roman"/>
                <w:snapToGrid w:val="0"/>
              </w:rPr>
            </w:pPr>
            <w:r w:rsidRPr="00B73BB0">
              <w:rPr>
                <w:rFonts w:ascii="Times New Roman" w:hAnsi="Times New Roman"/>
                <w:snapToGrid w:val="0"/>
              </w:rPr>
              <w:t>млн. руб.</w:t>
            </w:r>
          </w:p>
        </w:tc>
        <w:tc>
          <w:tcPr>
            <w:tcW w:w="1559" w:type="dxa"/>
            <w:vAlign w:val="bottom"/>
          </w:tcPr>
          <w:p w:rsidR="0098177D" w:rsidRPr="00153B17" w:rsidRDefault="0098177D" w:rsidP="00DA2344">
            <w:pPr>
              <w:spacing w:after="0" w:line="240" w:lineRule="auto"/>
              <w:jc w:val="right"/>
              <w:rPr>
                <w:rFonts w:ascii="Times New Roman" w:hAnsi="Times New Roman"/>
                <w:snapToGrid w:val="0"/>
              </w:rPr>
            </w:pPr>
            <w:r w:rsidRPr="00153B17">
              <w:rPr>
                <w:rFonts w:ascii="Times New Roman" w:hAnsi="Times New Roman"/>
                <w:snapToGrid w:val="0"/>
              </w:rPr>
              <w:t>3 366,8</w:t>
            </w:r>
          </w:p>
        </w:tc>
        <w:tc>
          <w:tcPr>
            <w:tcW w:w="1559" w:type="dxa"/>
            <w:vAlign w:val="bottom"/>
          </w:tcPr>
          <w:p w:rsidR="0098177D" w:rsidRPr="00153B17" w:rsidRDefault="0098177D" w:rsidP="00DA2344">
            <w:pPr>
              <w:spacing w:after="0" w:line="240" w:lineRule="auto"/>
              <w:jc w:val="right"/>
              <w:rPr>
                <w:rFonts w:ascii="Times New Roman" w:hAnsi="Times New Roman"/>
                <w:snapToGrid w:val="0"/>
                <w:highlight w:val="yellow"/>
              </w:rPr>
            </w:pPr>
            <w:r w:rsidRPr="00211E33">
              <w:rPr>
                <w:rFonts w:ascii="Times New Roman" w:hAnsi="Times New Roman"/>
                <w:snapToGrid w:val="0"/>
              </w:rPr>
              <w:t>4 945,2</w:t>
            </w:r>
          </w:p>
        </w:tc>
        <w:tc>
          <w:tcPr>
            <w:tcW w:w="1276" w:type="dxa"/>
            <w:vAlign w:val="bottom"/>
          </w:tcPr>
          <w:p w:rsidR="0098177D" w:rsidRPr="00211E33" w:rsidRDefault="0098177D" w:rsidP="00DA2344">
            <w:pPr>
              <w:spacing w:after="0" w:line="240" w:lineRule="auto"/>
              <w:jc w:val="right"/>
              <w:rPr>
                <w:rFonts w:ascii="Times New Roman" w:hAnsi="Times New Roman"/>
                <w:snapToGrid w:val="0"/>
              </w:rPr>
            </w:pPr>
            <w:r w:rsidRPr="00211E33">
              <w:rPr>
                <w:rFonts w:ascii="Times New Roman" w:hAnsi="Times New Roman"/>
                <w:snapToGrid w:val="0"/>
              </w:rPr>
              <w:t>146,9</w:t>
            </w:r>
          </w:p>
        </w:tc>
      </w:tr>
      <w:tr w:rsidR="0098177D" w:rsidTr="00DA2344">
        <w:trPr>
          <w:trHeight w:val="718"/>
        </w:trPr>
        <w:tc>
          <w:tcPr>
            <w:tcW w:w="4077" w:type="dxa"/>
          </w:tcPr>
          <w:p w:rsidR="0098177D" w:rsidRPr="00B73BB0" w:rsidRDefault="0098177D" w:rsidP="00DA2344">
            <w:pPr>
              <w:spacing w:after="0" w:line="240" w:lineRule="auto"/>
              <w:rPr>
                <w:rFonts w:ascii="Times New Roman" w:hAnsi="Times New Roman"/>
                <w:snapToGrid w:val="0"/>
              </w:rPr>
            </w:pPr>
            <w:r w:rsidRPr="00B73BB0">
              <w:rPr>
                <w:rFonts w:ascii="Times New Roman" w:hAnsi="Times New Roman"/>
                <w:snapToGrid w:val="0"/>
              </w:rPr>
              <w:t>Индекс физического объема производства важнейших видов промышленной продукции</w:t>
            </w:r>
          </w:p>
        </w:tc>
        <w:tc>
          <w:tcPr>
            <w:tcW w:w="993" w:type="dxa"/>
            <w:vAlign w:val="bottom"/>
          </w:tcPr>
          <w:p w:rsidR="0098177D" w:rsidRPr="00B73BB0" w:rsidRDefault="0098177D" w:rsidP="00DA2344">
            <w:pPr>
              <w:spacing w:after="0" w:line="240" w:lineRule="auto"/>
              <w:ind w:right="-131"/>
              <w:jc w:val="center"/>
              <w:rPr>
                <w:rFonts w:ascii="Times New Roman" w:hAnsi="Times New Roman"/>
                <w:snapToGrid w:val="0"/>
              </w:rPr>
            </w:pPr>
            <w:r w:rsidRPr="00B73BB0">
              <w:rPr>
                <w:rFonts w:ascii="Times New Roman" w:hAnsi="Times New Roman"/>
                <w:snapToGrid w:val="0"/>
              </w:rPr>
              <w:t>%</w:t>
            </w:r>
          </w:p>
        </w:tc>
        <w:tc>
          <w:tcPr>
            <w:tcW w:w="1559" w:type="dxa"/>
            <w:vAlign w:val="bottom"/>
          </w:tcPr>
          <w:p w:rsidR="0098177D" w:rsidRPr="00153B17" w:rsidRDefault="0098177D" w:rsidP="00DA2344">
            <w:pPr>
              <w:spacing w:after="0" w:line="240" w:lineRule="auto"/>
              <w:jc w:val="right"/>
              <w:rPr>
                <w:rFonts w:ascii="Times New Roman" w:hAnsi="Times New Roman"/>
                <w:snapToGrid w:val="0"/>
              </w:rPr>
            </w:pPr>
            <w:r w:rsidRPr="00153B17">
              <w:rPr>
                <w:rFonts w:ascii="Times New Roman" w:hAnsi="Times New Roman"/>
                <w:snapToGrid w:val="0"/>
              </w:rPr>
              <w:t>69,9</w:t>
            </w:r>
          </w:p>
        </w:tc>
        <w:tc>
          <w:tcPr>
            <w:tcW w:w="1559" w:type="dxa"/>
            <w:vAlign w:val="bottom"/>
          </w:tcPr>
          <w:p w:rsidR="0098177D" w:rsidRPr="00211E33" w:rsidRDefault="0098177D" w:rsidP="00DA2344">
            <w:pPr>
              <w:spacing w:after="0" w:line="240" w:lineRule="auto"/>
              <w:jc w:val="right"/>
              <w:rPr>
                <w:rFonts w:ascii="Times New Roman" w:hAnsi="Times New Roman"/>
                <w:snapToGrid w:val="0"/>
              </w:rPr>
            </w:pPr>
            <w:r w:rsidRPr="00211E33">
              <w:rPr>
                <w:rFonts w:ascii="Times New Roman" w:hAnsi="Times New Roman"/>
                <w:snapToGrid w:val="0"/>
              </w:rPr>
              <w:t>147,3</w:t>
            </w:r>
          </w:p>
        </w:tc>
        <w:tc>
          <w:tcPr>
            <w:tcW w:w="1276" w:type="dxa"/>
            <w:vAlign w:val="bottom"/>
          </w:tcPr>
          <w:p w:rsidR="0098177D" w:rsidRPr="00211E33" w:rsidRDefault="0098177D" w:rsidP="00DA2344">
            <w:pPr>
              <w:spacing w:after="0" w:line="240" w:lineRule="auto"/>
              <w:jc w:val="right"/>
              <w:rPr>
                <w:rFonts w:ascii="Times New Roman" w:hAnsi="Times New Roman"/>
                <w:snapToGrid w:val="0"/>
              </w:rPr>
            </w:pPr>
            <w:r w:rsidRPr="00211E33">
              <w:rPr>
                <w:rFonts w:ascii="Times New Roman" w:hAnsi="Times New Roman"/>
                <w:snapToGrid w:val="0"/>
              </w:rPr>
              <w:t>-</w:t>
            </w:r>
          </w:p>
        </w:tc>
      </w:tr>
    </w:tbl>
    <w:p w:rsidR="0098177D" w:rsidRPr="00647C72" w:rsidRDefault="0098177D" w:rsidP="0098177D">
      <w:pPr>
        <w:spacing w:after="0"/>
        <w:ind w:firstLine="709"/>
        <w:jc w:val="both"/>
        <w:rPr>
          <w:rFonts w:ascii="Times New Roman" w:hAnsi="Times New Roman"/>
          <w:snapToGrid w:val="0"/>
          <w:sz w:val="18"/>
          <w:szCs w:val="18"/>
        </w:rPr>
      </w:pPr>
      <w:r w:rsidRPr="00221C87">
        <w:rPr>
          <w:rFonts w:ascii="Times New Roman" w:hAnsi="Times New Roman"/>
          <w:snapToGrid w:val="0"/>
          <w:sz w:val="18"/>
          <w:szCs w:val="18"/>
        </w:rPr>
        <w:t xml:space="preserve">*-с учетом объемов субъектов малого предпринимательства, промышленных подразделений при непромышленных организациях </w:t>
      </w:r>
    </w:p>
    <w:p w:rsidR="0098177D" w:rsidRDefault="0098177D" w:rsidP="0098177D">
      <w:pPr>
        <w:spacing w:after="0" w:line="240" w:lineRule="auto"/>
        <w:ind w:firstLine="709"/>
        <w:jc w:val="both"/>
        <w:rPr>
          <w:rFonts w:ascii="Times New Roman" w:hAnsi="Times New Roman"/>
          <w:sz w:val="24"/>
          <w:szCs w:val="24"/>
        </w:rPr>
      </w:pPr>
      <w:r w:rsidRPr="00211E33">
        <w:rPr>
          <w:rFonts w:ascii="Times New Roman" w:hAnsi="Times New Roman"/>
          <w:sz w:val="24"/>
          <w:szCs w:val="24"/>
        </w:rPr>
        <w:t xml:space="preserve">Объем промышленного производства в текущих ценах превысил сопоставимый показатель января-июня 2013 года на 46,9% и составил в абсолютной величине </w:t>
      </w:r>
      <w:r w:rsidR="008E6F6F">
        <w:rPr>
          <w:rFonts w:ascii="Times New Roman" w:hAnsi="Times New Roman"/>
          <w:sz w:val="24"/>
          <w:szCs w:val="24"/>
        </w:rPr>
        <w:t xml:space="preserve">           </w:t>
      </w:r>
      <w:r w:rsidRPr="00211E33">
        <w:rPr>
          <w:rFonts w:ascii="Times New Roman" w:hAnsi="Times New Roman"/>
          <w:sz w:val="24"/>
          <w:szCs w:val="24"/>
        </w:rPr>
        <w:t xml:space="preserve">4 945 млн. руб. При этом необходимо отметить, что основной прирост промышленного производства по отрасли был обеспечен увеличением товарного выпуска </w:t>
      </w:r>
      <w:r>
        <w:rPr>
          <w:rFonts w:ascii="Times New Roman" w:hAnsi="Times New Roman"/>
          <w:sz w:val="24"/>
          <w:szCs w:val="24"/>
        </w:rPr>
        <w:t>(восстановительный рост)</w:t>
      </w:r>
      <w:r w:rsidRPr="00211E33">
        <w:rPr>
          <w:rFonts w:ascii="Times New Roman" w:hAnsi="Times New Roman"/>
          <w:sz w:val="24"/>
          <w:szCs w:val="24"/>
        </w:rPr>
        <w:t>в черной металлургии (в 111 раз), в промышленности строительных материалов (на 71,2%) и электроэнергетике (на 23,0%), обеспечившие 67,7% общего выпуска по индустрии.</w:t>
      </w:r>
    </w:p>
    <w:p w:rsidR="0098177D" w:rsidRDefault="0098177D" w:rsidP="0098177D">
      <w:pPr>
        <w:spacing w:after="0" w:line="240" w:lineRule="auto"/>
        <w:ind w:hanging="426"/>
        <w:jc w:val="both"/>
        <w:rPr>
          <w:rFonts w:ascii="Times New Roman" w:hAnsi="Times New Roman"/>
          <w:sz w:val="24"/>
          <w:szCs w:val="24"/>
        </w:rPr>
      </w:pPr>
      <w:r>
        <w:rPr>
          <w:rFonts w:ascii="Times New Roman" w:hAnsi="Times New Roman"/>
          <w:noProof/>
          <w:sz w:val="24"/>
          <w:szCs w:val="24"/>
        </w:rPr>
        <w:drawing>
          <wp:inline distT="0" distB="0" distL="0" distR="0">
            <wp:extent cx="6222365" cy="2819400"/>
            <wp:effectExtent l="19050" t="0" r="6985" b="0"/>
            <wp:docPr id="125"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8177D" w:rsidRPr="00211E33" w:rsidRDefault="0098177D" w:rsidP="0098177D">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Вместе с этим, несмотря на общие положительные темпы развития отрасли в январе-июне 2014 года, </w:t>
      </w:r>
      <w:r w:rsidRPr="00211E33">
        <w:rPr>
          <w:rFonts w:ascii="Times New Roman" w:hAnsi="Times New Roman"/>
          <w:sz w:val="24"/>
          <w:szCs w:val="24"/>
        </w:rPr>
        <w:t xml:space="preserve">новые внешние вызовы и ограничения связанные с обострением ситуации в Украине в совокупности с наличием внутренних проблем спровоцировали снижение объемов промышленного производства в химической </w:t>
      </w:r>
      <w:r>
        <w:rPr>
          <w:rFonts w:ascii="Times New Roman" w:hAnsi="Times New Roman"/>
          <w:sz w:val="24"/>
          <w:szCs w:val="24"/>
        </w:rPr>
        <w:t xml:space="preserve">                         </w:t>
      </w:r>
      <w:r w:rsidRPr="00211E33">
        <w:rPr>
          <w:rFonts w:ascii="Times New Roman" w:hAnsi="Times New Roman"/>
          <w:sz w:val="24"/>
          <w:szCs w:val="24"/>
        </w:rPr>
        <w:t>промышленности («-»4,6%), в машиностроении и металлообработке («-»12,8%), в электротехнической («-»22,2%), в легкой промышленности («-»9,3%), в пищевой промышленности («-»10,8%), в мукомольно-крупянной и комбикормовой промышленности («-»11,3%) и в полиграфии («-»19,6%).</w:t>
      </w:r>
    </w:p>
    <w:p w:rsidR="0098177D" w:rsidRPr="00211E33" w:rsidRDefault="0098177D" w:rsidP="0098177D">
      <w:pPr>
        <w:spacing w:after="0" w:line="240" w:lineRule="auto"/>
        <w:ind w:firstLine="709"/>
        <w:jc w:val="both"/>
        <w:rPr>
          <w:rFonts w:ascii="Times New Roman" w:hAnsi="Times New Roman"/>
          <w:sz w:val="24"/>
          <w:szCs w:val="24"/>
        </w:rPr>
      </w:pPr>
      <w:r w:rsidRPr="00211E33">
        <w:rPr>
          <w:rFonts w:ascii="Times New Roman" w:hAnsi="Times New Roman"/>
          <w:sz w:val="24"/>
          <w:szCs w:val="24"/>
        </w:rPr>
        <w:t>Доход от реализации промышленной продукции за январь-июнь</w:t>
      </w:r>
      <w:r w:rsidR="008E6F6F">
        <w:rPr>
          <w:rFonts w:ascii="Times New Roman" w:hAnsi="Times New Roman"/>
          <w:sz w:val="24"/>
          <w:szCs w:val="24"/>
        </w:rPr>
        <w:t xml:space="preserve"> </w:t>
      </w:r>
      <w:r w:rsidRPr="00211E33">
        <w:rPr>
          <w:rFonts w:ascii="Times New Roman" w:hAnsi="Times New Roman"/>
          <w:sz w:val="24"/>
          <w:szCs w:val="24"/>
        </w:rPr>
        <w:t xml:space="preserve">2014 года в рублевом эквиваленте сложился в сумме 4 910,0 млн. руб., что соответствует </w:t>
      </w:r>
      <w:r w:rsidR="008E6F6F">
        <w:rPr>
          <w:rFonts w:ascii="Times New Roman" w:hAnsi="Times New Roman"/>
          <w:sz w:val="24"/>
          <w:szCs w:val="24"/>
        </w:rPr>
        <w:t xml:space="preserve">              </w:t>
      </w:r>
      <w:r w:rsidRPr="00211E33">
        <w:rPr>
          <w:rFonts w:ascii="Times New Roman" w:hAnsi="Times New Roman"/>
          <w:sz w:val="24"/>
          <w:szCs w:val="24"/>
        </w:rPr>
        <w:t>442,3 млн. долл. США, увеличившись соответственно на 46,8%.</w:t>
      </w:r>
    </w:p>
    <w:p w:rsidR="0098177D" w:rsidRDefault="0098177D" w:rsidP="0098177D">
      <w:pPr>
        <w:spacing w:after="0" w:line="240" w:lineRule="auto"/>
        <w:ind w:firstLine="709"/>
        <w:jc w:val="both"/>
        <w:rPr>
          <w:rFonts w:ascii="Times New Roman" w:hAnsi="Times New Roman"/>
          <w:sz w:val="24"/>
          <w:szCs w:val="24"/>
        </w:rPr>
      </w:pPr>
      <w:r w:rsidRPr="00211E33">
        <w:rPr>
          <w:rFonts w:ascii="Times New Roman" w:hAnsi="Times New Roman"/>
          <w:sz w:val="24"/>
          <w:szCs w:val="24"/>
        </w:rPr>
        <w:t>В целом объем промышленного производства по полному кругу предприятий (с учетом субъектов малого предпринимательства, промышленных подразделений при непромышленных организациях) в январе-июне 2014 года на 45,6% превысил базовый показатель 2013 года.</w:t>
      </w:r>
    </w:p>
    <w:p w:rsidR="0098177D" w:rsidRPr="00211E33" w:rsidRDefault="0098177D" w:rsidP="0098177D">
      <w:pPr>
        <w:pStyle w:val="a4"/>
      </w:pPr>
      <w:r w:rsidRPr="00211E33">
        <w:rPr>
          <w:u w:val="single"/>
        </w:rPr>
        <w:t>Внешнеэкономическая деятельность.</w:t>
      </w:r>
      <w:r w:rsidRPr="00211E33">
        <w:t xml:space="preserve"> </w:t>
      </w:r>
    </w:p>
    <w:p w:rsidR="0098177D" w:rsidRDefault="0098177D" w:rsidP="0098177D">
      <w:pPr>
        <w:spacing w:after="0" w:line="240" w:lineRule="auto"/>
        <w:ind w:firstLine="709"/>
        <w:jc w:val="both"/>
        <w:rPr>
          <w:rFonts w:ascii="Times New Roman" w:hAnsi="Times New Roman"/>
          <w:sz w:val="24"/>
          <w:szCs w:val="24"/>
        </w:rPr>
      </w:pPr>
      <w:r w:rsidRPr="00211E33">
        <w:rPr>
          <w:rFonts w:ascii="Times New Roman" w:hAnsi="Times New Roman"/>
          <w:sz w:val="24"/>
          <w:szCs w:val="24"/>
        </w:rPr>
        <w:t>Складывающаяся ситуация в промышленном комплексе с производством и реализацией продукции обеспечила расширение внешнеторгового оборота хозяйствующих субъектов республики до 1 187,6 млн. долл. США или на 23,6% по отношению к базовому показателю минувшего года, при этом экспортные поставки увеличились на 71,4% до 363,0 млн. долл. США, импорт товаров повысился на 10,1% до 824,6 млн. долл. США.</w:t>
      </w:r>
    </w:p>
    <w:p w:rsidR="0098177D" w:rsidRPr="00211E33" w:rsidRDefault="0098177D" w:rsidP="0098177D">
      <w:pPr>
        <w:spacing w:after="0" w:line="240" w:lineRule="auto"/>
        <w:ind w:firstLine="709"/>
        <w:jc w:val="both"/>
        <w:rPr>
          <w:rFonts w:ascii="Times New Roman" w:hAnsi="Times New Roman"/>
          <w:sz w:val="24"/>
          <w:szCs w:val="24"/>
        </w:rPr>
      </w:pPr>
      <w:r w:rsidRPr="00211E33">
        <w:rPr>
          <w:rFonts w:ascii="Times New Roman" w:hAnsi="Times New Roman"/>
          <w:sz w:val="24"/>
          <w:szCs w:val="24"/>
        </w:rPr>
        <w:t xml:space="preserve">Данная динамика экспорта и импорта </w:t>
      </w:r>
      <w:r>
        <w:rPr>
          <w:rFonts w:ascii="Times New Roman" w:hAnsi="Times New Roman"/>
          <w:sz w:val="24"/>
          <w:szCs w:val="24"/>
        </w:rPr>
        <w:t>предопределила</w:t>
      </w:r>
      <w:r w:rsidRPr="00211E33">
        <w:rPr>
          <w:rFonts w:ascii="Times New Roman" w:hAnsi="Times New Roman"/>
          <w:sz w:val="24"/>
          <w:szCs w:val="24"/>
        </w:rPr>
        <w:t xml:space="preserve"> снижение отрицательного внешнеторгового сальдо (на 75,3 млн. долл. США) до 461,7 млн. долл. США. </w:t>
      </w:r>
    </w:p>
    <w:p w:rsidR="0098177D" w:rsidRPr="00F21FD3" w:rsidRDefault="0098177D" w:rsidP="0098177D">
      <w:pPr>
        <w:spacing w:after="0" w:line="240" w:lineRule="auto"/>
        <w:ind w:firstLine="709"/>
        <w:jc w:val="center"/>
        <w:rPr>
          <w:rFonts w:ascii="Times New Roman" w:hAnsi="Times New Roman"/>
          <w:b/>
          <w:sz w:val="24"/>
          <w:szCs w:val="24"/>
        </w:rPr>
      </w:pPr>
      <w:r w:rsidRPr="00F21FD3">
        <w:rPr>
          <w:rFonts w:ascii="Times New Roman" w:hAnsi="Times New Roman"/>
          <w:b/>
          <w:sz w:val="24"/>
          <w:szCs w:val="24"/>
        </w:rPr>
        <w:t>Динамика внешнеторгового оборота</w:t>
      </w:r>
      <w:r>
        <w:rPr>
          <w:rFonts w:ascii="Times New Roman" w:hAnsi="Times New Roman"/>
          <w:b/>
          <w:sz w:val="24"/>
          <w:szCs w:val="24"/>
        </w:rPr>
        <w:t>, млн. долл. США</w:t>
      </w:r>
    </w:p>
    <w:p w:rsidR="0098177D" w:rsidRDefault="0098177D" w:rsidP="0098177D">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5962650" cy="1647825"/>
            <wp:effectExtent l="0" t="0" r="0" b="0"/>
            <wp:docPr id="12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tab/>
      </w:r>
      <w:r w:rsidRPr="00211E33">
        <w:rPr>
          <w:rFonts w:ascii="Times New Roman" w:hAnsi="Times New Roman"/>
          <w:sz w:val="24"/>
          <w:szCs w:val="24"/>
        </w:rPr>
        <w:t>Возобновление работы, простаивающего в первом полугодии 2013 года</w:t>
      </w:r>
      <w:r w:rsidR="008E6F6F">
        <w:rPr>
          <w:rFonts w:ascii="Times New Roman" w:hAnsi="Times New Roman"/>
          <w:sz w:val="24"/>
          <w:szCs w:val="24"/>
        </w:rPr>
        <w:t xml:space="preserve">                </w:t>
      </w:r>
      <w:r w:rsidRPr="00211E33">
        <w:rPr>
          <w:rFonts w:ascii="Times New Roman" w:hAnsi="Times New Roman"/>
          <w:sz w:val="24"/>
          <w:szCs w:val="24"/>
        </w:rPr>
        <w:t xml:space="preserve"> ОАО «Молдавский металлургический комбинат», обусловило в январе-июне 2014 года наращивание экспорта металлов и изделий из них в 13,9 раз и обеспечило более трети (34,4%) совокупного экспорта из республики</w:t>
      </w:r>
      <w:r>
        <w:rPr>
          <w:rFonts w:ascii="Times New Roman" w:hAnsi="Times New Roman"/>
          <w:sz w:val="24"/>
          <w:szCs w:val="24"/>
        </w:rPr>
        <w:t>.</w:t>
      </w:r>
    </w:p>
    <w:p w:rsidR="0098177D" w:rsidRPr="00F21FD3" w:rsidRDefault="0098177D" w:rsidP="0098177D">
      <w:pPr>
        <w:spacing w:after="0" w:line="240" w:lineRule="auto"/>
        <w:ind w:firstLine="709"/>
        <w:jc w:val="center"/>
        <w:rPr>
          <w:rFonts w:ascii="Times New Roman" w:hAnsi="Times New Roman"/>
          <w:b/>
          <w:sz w:val="24"/>
          <w:szCs w:val="24"/>
        </w:rPr>
      </w:pPr>
      <w:r>
        <w:rPr>
          <w:rFonts w:ascii="Times New Roman" w:hAnsi="Times New Roman"/>
          <w:b/>
          <w:sz w:val="24"/>
          <w:szCs w:val="24"/>
        </w:rPr>
        <w:t>Товарная с</w:t>
      </w:r>
      <w:r w:rsidRPr="00F21FD3">
        <w:rPr>
          <w:rFonts w:ascii="Times New Roman" w:hAnsi="Times New Roman"/>
          <w:b/>
          <w:sz w:val="24"/>
          <w:szCs w:val="24"/>
        </w:rPr>
        <w:t>труктура экспорт</w:t>
      </w:r>
      <w:r>
        <w:rPr>
          <w:rFonts w:ascii="Times New Roman" w:hAnsi="Times New Roman"/>
          <w:b/>
          <w:sz w:val="24"/>
          <w:szCs w:val="24"/>
        </w:rPr>
        <w:t>а</w:t>
      </w:r>
      <w:r w:rsidRPr="00F21FD3">
        <w:rPr>
          <w:rFonts w:ascii="Times New Roman" w:hAnsi="Times New Roman"/>
          <w:b/>
          <w:sz w:val="24"/>
          <w:szCs w:val="24"/>
        </w:rPr>
        <w:t>,</w:t>
      </w:r>
      <w:r>
        <w:rPr>
          <w:rFonts w:ascii="Times New Roman" w:hAnsi="Times New Roman"/>
          <w:b/>
          <w:sz w:val="24"/>
          <w:szCs w:val="24"/>
        </w:rPr>
        <w:t xml:space="preserve"> млн. долл. США</w:t>
      </w:r>
    </w:p>
    <w:p w:rsidR="0098177D" w:rsidRPr="00211E33" w:rsidRDefault="0098177D" w:rsidP="0098177D">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5934075" cy="2190750"/>
            <wp:effectExtent l="0" t="0" r="0" b="0"/>
            <wp:docPr id="127"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8177D" w:rsidRPr="00211E33" w:rsidRDefault="0098177D" w:rsidP="0098177D">
      <w:pPr>
        <w:pStyle w:val="a4"/>
      </w:pPr>
      <w:r w:rsidRPr="00211E33">
        <w:lastRenderedPageBreak/>
        <w:t xml:space="preserve">Второй составляющей по величине долевого участия в формировании совокупного объема экспорта выступили топливно-энергетические товары (22,4% совокупного экспорта), при этом на фоне существенного расширения экспорта металлов и изделий из них, их доля сократилась на 12,1 процентных пункта при увеличении объема на 11,2%. </w:t>
      </w:r>
    </w:p>
    <w:p w:rsidR="0098177D" w:rsidRPr="00211E33" w:rsidRDefault="0098177D" w:rsidP="0098177D">
      <w:pPr>
        <w:pStyle w:val="a4"/>
      </w:pPr>
      <w:r w:rsidRPr="00211E33">
        <w:t>Вклад товаров легкой промышленности (текстильные материалы, одежда, текстильные изделия, обувь) сложился на уровне 18,9% от совокупного экспорта против 30,7% в январе-июне 2013 года</w:t>
      </w:r>
      <w:r>
        <w:t xml:space="preserve"> («-»11,8 процентных пункта)</w:t>
      </w:r>
      <w:r w:rsidRPr="00211E33">
        <w:t xml:space="preserve">, при этом стоимостной объем данной группы товаров повысился по отношению к аналогичному периоду минувшего года </w:t>
      </w:r>
      <w:r>
        <w:t xml:space="preserve">на </w:t>
      </w:r>
      <w:r w:rsidRPr="00211E33">
        <w:t>5,</w:t>
      </w:r>
      <w:r w:rsidR="00CF6C7C">
        <w:t>6</w:t>
      </w:r>
      <w:r w:rsidRPr="00211E33">
        <w:t>%.</w:t>
      </w:r>
    </w:p>
    <w:p w:rsidR="0098177D" w:rsidRDefault="0098177D" w:rsidP="0098177D">
      <w:pPr>
        <w:pStyle w:val="a4"/>
      </w:pPr>
      <w:r w:rsidRPr="00211E33">
        <w:t xml:space="preserve">При увеличении экспорта продовольственных товаров и сырья, в денежном эквиваленте на 47,7% их долевое участие в структуре экспорта сократилось на </w:t>
      </w:r>
      <w:r w:rsidR="008E6F6F">
        <w:t xml:space="preserve">                     </w:t>
      </w:r>
      <w:r w:rsidRPr="00211E33">
        <w:t>2,0 процентных пункта до 12,8%</w:t>
      </w:r>
      <w:r>
        <w:t>, что вызвано опережающим ростом удельного веса группы «металлы и изделия из них»</w:t>
      </w:r>
      <w:r w:rsidRPr="00211E33">
        <w:t xml:space="preserve">. </w:t>
      </w:r>
    </w:p>
    <w:p w:rsidR="0098177D" w:rsidRDefault="0098177D" w:rsidP="0098177D">
      <w:pPr>
        <w:pStyle w:val="a4"/>
        <w:ind w:hanging="142"/>
      </w:pPr>
      <w:r>
        <w:rPr>
          <w:noProof/>
          <w:sz w:val="22"/>
        </w:rPr>
        <w:drawing>
          <wp:inline distT="0" distB="0" distL="0" distR="0">
            <wp:extent cx="6315740" cy="3040912"/>
            <wp:effectExtent l="0" t="0" r="0" b="0"/>
            <wp:docPr id="128"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E6F6F" w:rsidRDefault="008E6F6F" w:rsidP="0098177D">
      <w:pPr>
        <w:pStyle w:val="a4"/>
      </w:pPr>
    </w:p>
    <w:p w:rsidR="0098177D" w:rsidRPr="00211E33" w:rsidRDefault="0098177D" w:rsidP="0098177D">
      <w:pPr>
        <w:pStyle w:val="a4"/>
      </w:pPr>
      <w:r w:rsidRPr="00211E33">
        <w:t xml:space="preserve">В товарной структуре импорта, по-прежнему, преобладал ввоз топливно-энергетических товаров, при этом их доля в общей структуре импорта сократилась до 46,6% против 50,3% в январе-июне 2013 года, в абсолютной величине их объем увеличился на 2,0%. </w:t>
      </w:r>
    </w:p>
    <w:p w:rsidR="0098177D" w:rsidRPr="00211E33" w:rsidRDefault="0098177D" w:rsidP="0098177D">
      <w:pPr>
        <w:pStyle w:val="a4"/>
      </w:pPr>
      <w:r w:rsidRPr="00211E33">
        <w:t xml:space="preserve">Импорт металлов и изделий из них составил </w:t>
      </w:r>
      <w:r>
        <w:t>11,3</w:t>
      </w:r>
      <w:r w:rsidRPr="00211E33">
        <w:t xml:space="preserve">% от ввезенных товаров, против </w:t>
      </w:r>
      <w:r>
        <w:t>3,6</w:t>
      </w:r>
      <w:r w:rsidRPr="00211E33">
        <w:t xml:space="preserve">% в </w:t>
      </w:r>
      <w:r>
        <w:t xml:space="preserve">январе-июне </w:t>
      </w:r>
      <w:r w:rsidRPr="00211E33">
        <w:t xml:space="preserve">2013 году, </w:t>
      </w:r>
      <w:r>
        <w:t>увеличившись в 3,4 раза</w:t>
      </w:r>
      <w:r w:rsidRPr="00211E33">
        <w:t>.</w:t>
      </w:r>
      <w:r>
        <w:t xml:space="preserve"> Остальные составляющие товарных групп импорта имели понижательную динамику.</w:t>
      </w:r>
    </w:p>
    <w:p w:rsidR="008E6F6F" w:rsidRDefault="008E6F6F" w:rsidP="0098177D">
      <w:pPr>
        <w:pStyle w:val="a4"/>
        <w:rPr>
          <w:u w:val="single"/>
        </w:rPr>
      </w:pPr>
    </w:p>
    <w:p w:rsidR="0098177D" w:rsidRDefault="0098177D" w:rsidP="0098177D">
      <w:pPr>
        <w:pStyle w:val="a4"/>
      </w:pPr>
      <w:r>
        <w:rPr>
          <w:u w:val="single"/>
        </w:rPr>
        <w:t>Инвестиционная сфера.</w:t>
      </w:r>
      <w:r>
        <w:t xml:space="preserve"> </w:t>
      </w:r>
    </w:p>
    <w:p w:rsidR="0098177D" w:rsidRDefault="0098177D" w:rsidP="0098177D">
      <w:pPr>
        <w:pStyle w:val="a4"/>
        <w:rPr>
          <w:spacing w:val="4"/>
        </w:rPr>
      </w:pPr>
      <w:r>
        <w:t xml:space="preserve">В </w:t>
      </w:r>
      <w:r w:rsidRPr="00BB6C4E">
        <w:t>инвестиционны</w:t>
      </w:r>
      <w:r>
        <w:t>й</w:t>
      </w:r>
      <w:r w:rsidRPr="00BB6C4E">
        <w:t xml:space="preserve"> сфере в январе-</w:t>
      </w:r>
      <w:r>
        <w:t xml:space="preserve">июне </w:t>
      </w:r>
      <w:r w:rsidRPr="00BB6C4E">
        <w:t>текущего года отмечается прирост («+»5,</w:t>
      </w:r>
      <w:r>
        <w:t>0</w:t>
      </w:r>
      <w:r w:rsidRPr="00BB6C4E">
        <w:t xml:space="preserve">% в сопоставимых ценах) инвестиций в основной капитал, объем которых        </w:t>
      </w:r>
      <w:r>
        <w:t>составил</w:t>
      </w:r>
      <w:r w:rsidRPr="00BB6C4E">
        <w:t xml:space="preserve"> </w:t>
      </w:r>
      <w:r>
        <w:t>629,7</w:t>
      </w:r>
      <w:r w:rsidRPr="00BB6C4E">
        <w:t xml:space="preserve"> млн. руб. </w:t>
      </w:r>
      <w:r>
        <w:t xml:space="preserve">При этом, если вложения в строительно-монтажные работы выросли на 61,4% до 240,2 млн. руб., то финансирование </w:t>
      </w:r>
      <w:r>
        <w:rPr>
          <w:spacing w:val="4"/>
        </w:rPr>
        <w:t>на обновление машин, оборудования, транспортных средств сократилось на 13,2% до 364,6 млн. руб.</w:t>
      </w:r>
    </w:p>
    <w:p w:rsidR="0098177D" w:rsidRDefault="0098177D" w:rsidP="0098177D">
      <w:pPr>
        <w:pStyle w:val="a4"/>
        <w:rPr>
          <w:spacing w:val="4"/>
        </w:rPr>
      </w:pPr>
    </w:p>
    <w:p w:rsidR="0098177D" w:rsidRDefault="0098177D" w:rsidP="0098177D">
      <w:pPr>
        <w:pStyle w:val="a4"/>
        <w:ind w:hanging="567"/>
      </w:pPr>
      <w:r>
        <w:rPr>
          <w:noProof/>
          <w:spacing w:val="4"/>
        </w:rPr>
        <w:lastRenderedPageBreak/>
        <w:drawing>
          <wp:inline distT="0" distB="0" distL="0" distR="0">
            <wp:extent cx="6429375" cy="2095500"/>
            <wp:effectExtent l="0" t="0" r="0" b="0"/>
            <wp:docPr id="129"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tab/>
      </w:r>
      <w:r w:rsidRPr="00BB6C4E">
        <w:t xml:space="preserve">На строительство, расширение, реконструкцию и техническое перевооружение объектов производственного назначения направленно </w:t>
      </w:r>
      <w:r>
        <w:t>87,4</w:t>
      </w:r>
      <w:r w:rsidRPr="00BB6C4E">
        <w:t>% всех инвестиций</w:t>
      </w:r>
      <w:r w:rsidR="008E6F6F">
        <w:t xml:space="preserve">                  </w:t>
      </w:r>
      <w:r>
        <w:t xml:space="preserve"> (550,6</w:t>
      </w:r>
      <w:r w:rsidRPr="00BB6C4E">
        <w:t xml:space="preserve"> млн. руб.</w:t>
      </w:r>
      <w:r>
        <w:t>), объем которых расширился на 4,3% по отношению к базовому показателю 2013 года</w:t>
      </w:r>
      <w:r w:rsidRPr="00BB6C4E">
        <w:t xml:space="preserve">. </w:t>
      </w:r>
    </w:p>
    <w:p w:rsidR="0098177D" w:rsidRPr="00991816" w:rsidRDefault="0098177D" w:rsidP="0098177D">
      <w:pPr>
        <w:pStyle w:val="a4"/>
        <w:ind w:hanging="284"/>
        <w:rPr>
          <w:spacing w:val="4"/>
        </w:rPr>
      </w:pPr>
      <w:r w:rsidRPr="006949CB">
        <w:rPr>
          <w:noProof/>
        </w:rPr>
        <w:drawing>
          <wp:inline distT="0" distB="0" distL="0" distR="0">
            <wp:extent cx="6156252" cy="3327991"/>
            <wp:effectExtent l="0" t="0" r="0" b="0"/>
            <wp:docPr id="13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8177D" w:rsidRPr="00BB6C4E" w:rsidRDefault="0098177D" w:rsidP="0098177D">
      <w:pPr>
        <w:spacing w:after="0" w:line="240" w:lineRule="auto"/>
        <w:ind w:hanging="284"/>
        <w:jc w:val="both"/>
        <w:rPr>
          <w:rFonts w:ascii="Times New Roman" w:hAnsi="Times New Roman"/>
          <w:sz w:val="24"/>
          <w:szCs w:val="24"/>
        </w:rPr>
      </w:pPr>
    </w:p>
    <w:p w:rsidR="0098177D" w:rsidRPr="00BB6C4E" w:rsidRDefault="0098177D" w:rsidP="0098177D">
      <w:pPr>
        <w:spacing w:after="0" w:line="240" w:lineRule="auto"/>
        <w:ind w:firstLine="709"/>
        <w:jc w:val="both"/>
        <w:rPr>
          <w:rFonts w:ascii="Times New Roman" w:hAnsi="Times New Roman"/>
          <w:sz w:val="24"/>
          <w:szCs w:val="24"/>
        </w:rPr>
      </w:pPr>
      <w:r w:rsidRPr="00BB6C4E">
        <w:rPr>
          <w:rFonts w:ascii="Times New Roman" w:hAnsi="Times New Roman"/>
          <w:sz w:val="24"/>
          <w:szCs w:val="24"/>
        </w:rPr>
        <w:t>Дальнейшее развитие инвестиционных процессов в рассматриваемом периоде наблюдается в сельском хозяйстве («+»</w:t>
      </w:r>
      <w:r>
        <w:rPr>
          <w:rFonts w:ascii="Times New Roman" w:hAnsi="Times New Roman"/>
          <w:sz w:val="24"/>
          <w:szCs w:val="24"/>
        </w:rPr>
        <w:t>47,7</w:t>
      </w:r>
      <w:r w:rsidRPr="00BB6C4E">
        <w:rPr>
          <w:rFonts w:ascii="Times New Roman" w:hAnsi="Times New Roman"/>
          <w:sz w:val="24"/>
          <w:szCs w:val="24"/>
        </w:rPr>
        <w:t xml:space="preserve">%), транспорте (в </w:t>
      </w:r>
      <w:r>
        <w:rPr>
          <w:rFonts w:ascii="Times New Roman" w:hAnsi="Times New Roman"/>
          <w:sz w:val="24"/>
          <w:szCs w:val="24"/>
        </w:rPr>
        <w:t>2,2</w:t>
      </w:r>
      <w:r w:rsidRPr="00BB6C4E">
        <w:rPr>
          <w:rFonts w:ascii="Times New Roman" w:hAnsi="Times New Roman"/>
          <w:sz w:val="24"/>
          <w:szCs w:val="24"/>
        </w:rPr>
        <w:t xml:space="preserve"> р.), </w:t>
      </w:r>
      <w:r>
        <w:rPr>
          <w:rFonts w:ascii="Times New Roman" w:hAnsi="Times New Roman"/>
          <w:sz w:val="24"/>
          <w:szCs w:val="24"/>
        </w:rPr>
        <w:t>строительстве</w:t>
      </w:r>
      <w:r w:rsidRPr="00BB6C4E">
        <w:rPr>
          <w:rFonts w:ascii="Times New Roman" w:hAnsi="Times New Roman"/>
          <w:sz w:val="24"/>
          <w:szCs w:val="24"/>
        </w:rPr>
        <w:t xml:space="preserve"> («+»</w:t>
      </w:r>
      <w:r>
        <w:rPr>
          <w:rFonts w:ascii="Times New Roman" w:hAnsi="Times New Roman"/>
          <w:sz w:val="24"/>
          <w:szCs w:val="24"/>
        </w:rPr>
        <w:t>11</w:t>
      </w:r>
      <w:r w:rsidRPr="00BB6C4E">
        <w:rPr>
          <w:rFonts w:ascii="Times New Roman" w:hAnsi="Times New Roman"/>
          <w:sz w:val="24"/>
          <w:szCs w:val="24"/>
        </w:rPr>
        <w:t>,</w:t>
      </w:r>
      <w:r>
        <w:rPr>
          <w:rFonts w:ascii="Times New Roman" w:hAnsi="Times New Roman"/>
          <w:sz w:val="24"/>
          <w:szCs w:val="24"/>
        </w:rPr>
        <w:t>0</w:t>
      </w:r>
      <w:r w:rsidRPr="00BB6C4E">
        <w:rPr>
          <w:rFonts w:ascii="Times New Roman" w:hAnsi="Times New Roman"/>
          <w:sz w:val="24"/>
          <w:szCs w:val="24"/>
        </w:rPr>
        <w:t xml:space="preserve">%), которым удалось направить на перевооружение, реконструкцию и обновление основных фондов </w:t>
      </w:r>
      <w:r>
        <w:rPr>
          <w:rFonts w:ascii="Times New Roman" w:hAnsi="Times New Roman"/>
          <w:sz w:val="24"/>
          <w:szCs w:val="24"/>
        </w:rPr>
        <w:t>115,9</w:t>
      </w:r>
      <w:r w:rsidRPr="00BB6C4E">
        <w:rPr>
          <w:rFonts w:ascii="Times New Roman" w:hAnsi="Times New Roman"/>
          <w:sz w:val="24"/>
          <w:szCs w:val="24"/>
        </w:rPr>
        <w:t xml:space="preserve"> млн. руб., </w:t>
      </w:r>
      <w:r>
        <w:rPr>
          <w:rFonts w:ascii="Times New Roman" w:hAnsi="Times New Roman"/>
          <w:sz w:val="24"/>
          <w:szCs w:val="24"/>
        </w:rPr>
        <w:t>77,2</w:t>
      </w:r>
      <w:r w:rsidRPr="00BB6C4E">
        <w:rPr>
          <w:rFonts w:ascii="Times New Roman" w:hAnsi="Times New Roman"/>
          <w:sz w:val="24"/>
          <w:szCs w:val="24"/>
        </w:rPr>
        <w:t xml:space="preserve"> млн. руб., </w:t>
      </w:r>
      <w:r>
        <w:rPr>
          <w:rFonts w:ascii="Times New Roman" w:hAnsi="Times New Roman"/>
          <w:sz w:val="24"/>
          <w:szCs w:val="24"/>
        </w:rPr>
        <w:t>4</w:t>
      </w:r>
      <w:r w:rsidRPr="00BB6C4E">
        <w:rPr>
          <w:rFonts w:ascii="Times New Roman" w:hAnsi="Times New Roman"/>
          <w:sz w:val="24"/>
          <w:szCs w:val="24"/>
        </w:rPr>
        <w:t>,5 млн. руб.</w:t>
      </w:r>
      <w:r>
        <w:rPr>
          <w:rFonts w:ascii="Times New Roman" w:hAnsi="Times New Roman"/>
          <w:sz w:val="24"/>
          <w:szCs w:val="24"/>
        </w:rPr>
        <w:t xml:space="preserve">, что составило 31,4% совокупного объема инвестиций. Инвестиционные вложения на реконструкцию и обновление объектов коммунального хозяйства выросли в 2,9 раза до 13,5 млн. руб. (2,1% от общего объема инвестиций). </w:t>
      </w:r>
      <w:r w:rsidRPr="00BB6C4E">
        <w:rPr>
          <w:rFonts w:ascii="Times New Roman" w:hAnsi="Times New Roman"/>
          <w:sz w:val="24"/>
          <w:szCs w:val="24"/>
        </w:rPr>
        <w:t xml:space="preserve">Порядка </w:t>
      </w:r>
      <w:r>
        <w:rPr>
          <w:rFonts w:ascii="Times New Roman" w:hAnsi="Times New Roman"/>
          <w:sz w:val="24"/>
          <w:szCs w:val="24"/>
        </w:rPr>
        <w:t>4</w:t>
      </w:r>
      <w:r w:rsidRPr="00BB6C4E">
        <w:rPr>
          <w:rFonts w:ascii="Times New Roman" w:hAnsi="Times New Roman"/>
          <w:sz w:val="24"/>
          <w:szCs w:val="24"/>
        </w:rPr>
        <w:t>,</w:t>
      </w:r>
      <w:r>
        <w:rPr>
          <w:rFonts w:ascii="Times New Roman" w:hAnsi="Times New Roman"/>
          <w:sz w:val="24"/>
          <w:szCs w:val="24"/>
        </w:rPr>
        <w:t>2</w:t>
      </w:r>
      <w:r w:rsidRPr="00BB6C4E">
        <w:rPr>
          <w:rFonts w:ascii="Times New Roman" w:hAnsi="Times New Roman"/>
          <w:sz w:val="24"/>
          <w:szCs w:val="24"/>
        </w:rPr>
        <w:t xml:space="preserve">% инвестиций в </w:t>
      </w:r>
      <w:r>
        <w:rPr>
          <w:rFonts w:ascii="Times New Roman" w:hAnsi="Times New Roman"/>
          <w:sz w:val="24"/>
          <w:szCs w:val="24"/>
        </w:rPr>
        <w:t>первой половине</w:t>
      </w:r>
      <w:r w:rsidRPr="00BB6C4E">
        <w:rPr>
          <w:rFonts w:ascii="Times New Roman" w:hAnsi="Times New Roman"/>
          <w:sz w:val="24"/>
          <w:szCs w:val="24"/>
        </w:rPr>
        <w:t xml:space="preserve"> 2014 года было направленно в здравоохранение и социальное обеспечение и просвещение. В целом на объектах социальной сферы в обозначенном периоде освоено </w:t>
      </w:r>
      <w:r>
        <w:rPr>
          <w:rFonts w:ascii="Times New Roman" w:hAnsi="Times New Roman"/>
          <w:sz w:val="24"/>
          <w:szCs w:val="24"/>
        </w:rPr>
        <w:t>26,4</w:t>
      </w:r>
      <w:r w:rsidRPr="00BB6C4E">
        <w:rPr>
          <w:rFonts w:ascii="Times New Roman" w:hAnsi="Times New Roman"/>
          <w:sz w:val="24"/>
          <w:szCs w:val="24"/>
        </w:rPr>
        <w:t xml:space="preserve"> млн. руб. инвестиций, что в </w:t>
      </w:r>
      <w:r>
        <w:rPr>
          <w:rFonts w:ascii="Times New Roman" w:hAnsi="Times New Roman"/>
          <w:sz w:val="24"/>
          <w:szCs w:val="24"/>
        </w:rPr>
        <w:t>4,4</w:t>
      </w:r>
      <w:r w:rsidRPr="00BB6C4E">
        <w:rPr>
          <w:rFonts w:ascii="Times New Roman" w:hAnsi="Times New Roman"/>
          <w:sz w:val="24"/>
          <w:szCs w:val="24"/>
        </w:rPr>
        <w:t xml:space="preserve"> раз</w:t>
      </w:r>
      <w:r>
        <w:rPr>
          <w:rFonts w:ascii="Times New Roman" w:hAnsi="Times New Roman"/>
          <w:sz w:val="24"/>
          <w:szCs w:val="24"/>
        </w:rPr>
        <w:t>а</w:t>
      </w:r>
      <w:r w:rsidRPr="00BB6C4E">
        <w:rPr>
          <w:rFonts w:ascii="Times New Roman" w:hAnsi="Times New Roman"/>
          <w:sz w:val="24"/>
          <w:szCs w:val="24"/>
        </w:rPr>
        <w:t xml:space="preserve"> больше чем в базовом периоде предыдущего года. В индустриальный сектор в январе-</w:t>
      </w:r>
      <w:r>
        <w:rPr>
          <w:rFonts w:ascii="Times New Roman" w:hAnsi="Times New Roman"/>
          <w:sz w:val="24"/>
          <w:szCs w:val="24"/>
        </w:rPr>
        <w:t>июне</w:t>
      </w:r>
      <w:r w:rsidRPr="00BB6C4E">
        <w:rPr>
          <w:rFonts w:ascii="Times New Roman" w:hAnsi="Times New Roman"/>
          <w:sz w:val="24"/>
          <w:szCs w:val="24"/>
        </w:rPr>
        <w:t xml:space="preserve"> 2014 года было направленно </w:t>
      </w:r>
      <w:r>
        <w:rPr>
          <w:rFonts w:ascii="Times New Roman" w:hAnsi="Times New Roman"/>
          <w:sz w:val="24"/>
          <w:szCs w:val="24"/>
        </w:rPr>
        <w:t>258,4</w:t>
      </w:r>
      <w:r w:rsidRPr="00BB6C4E">
        <w:rPr>
          <w:rFonts w:ascii="Times New Roman" w:hAnsi="Times New Roman"/>
          <w:sz w:val="24"/>
          <w:szCs w:val="24"/>
        </w:rPr>
        <w:t xml:space="preserve"> млн. руб.</w:t>
      </w:r>
      <w:r>
        <w:rPr>
          <w:rFonts w:ascii="Times New Roman" w:hAnsi="Times New Roman"/>
          <w:sz w:val="24"/>
          <w:szCs w:val="24"/>
        </w:rPr>
        <w:t xml:space="preserve">(41,0% от совокупного объема </w:t>
      </w:r>
      <w:r w:rsidRPr="00BB6C4E">
        <w:rPr>
          <w:rFonts w:ascii="Times New Roman" w:hAnsi="Times New Roman"/>
          <w:sz w:val="24"/>
          <w:szCs w:val="24"/>
        </w:rPr>
        <w:t>инвестиций</w:t>
      </w:r>
      <w:r>
        <w:rPr>
          <w:rFonts w:ascii="Times New Roman" w:hAnsi="Times New Roman"/>
          <w:sz w:val="24"/>
          <w:szCs w:val="24"/>
        </w:rPr>
        <w:t>)</w:t>
      </w:r>
      <w:r w:rsidRPr="00BB6C4E">
        <w:rPr>
          <w:rFonts w:ascii="Times New Roman" w:hAnsi="Times New Roman"/>
          <w:sz w:val="24"/>
          <w:szCs w:val="24"/>
        </w:rPr>
        <w:t xml:space="preserve">, что на </w:t>
      </w:r>
      <w:r>
        <w:rPr>
          <w:rFonts w:ascii="Times New Roman" w:hAnsi="Times New Roman"/>
          <w:sz w:val="24"/>
          <w:szCs w:val="24"/>
        </w:rPr>
        <w:t>10,4</w:t>
      </w:r>
      <w:r w:rsidRPr="00BB6C4E">
        <w:rPr>
          <w:rFonts w:ascii="Times New Roman" w:hAnsi="Times New Roman"/>
          <w:sz w:val="24"/>
          <w:szCs w:val="24"/>
        </w:rPr>
        <w:t xml:space="preserve">% меньше базового показателя 2013 года. </w:t>
      </w:r>
    </w:p>
    <w:p w:rsidR="0098177D" w:rsidRPr="00BB6C4E" w:rsidRDefault="0098177D" w:rsidP="0098177D">
      <w:pPr>
        <w:pStyle w:val="a4"/>
      </w:pPr>
    </w:p>
    <w:p w:rsidR="0098177D" w:rsidRDefault="0098177D" w:rsidP="0098177D">
      <w:pPr>
        <w:spacing w:after="0" w:line="240" w:lineRule="auto"/>
        <w:ind w:firstLine="709"/>
        <w:jc w:val="both"/>
        <w:rPr>
          <w:sz w:val="24"/>
          <w:szCs w:val="24"/>
        </w:rPr>
      </w:pPr>
      <w:r>
        <w:rPr>
          <w:rFonts w:ascii="Times New Roman" w:hAnsi="Times New Roman"/>
          <w:sz w:val="24"/>
          <w:szCs w:val="24"/>
          <w:u w:val="single"/>
        </w:rPr>
        <w:t>Агропромышленный комплекс.</w:t>
      </w:r>
      <w:r>
        <w:rPr>
          <w:sz w:val="24"/>
          <w:szCs w:val="24"/>
        </w:rPr>
        <w:t xml:space="preserve"> </w:t>
      </w:r>
    </w:p>
    <w:p w:rsidR="0098177D" w:rsidRPr="00600330" w:rsidRDefault="0098177D" w:rsidP="0098177D">
      <w:pPr>
        <w:spacing w:after="0" w:line="240" w:lineRule="auto"/>
        <w:ind w:firstLine="709"/>
        <w:jc w:val="both"/>
        <w:rPr>
          <w:rFonts w:ascii="Times New Roman" w:hAnsi="Times New Roman"/>
          <w:sz w:val="24"/>
          <w:szCs w:val="24"/>
        </w:rPr>
      </w:pPr>
      <w:r w:rsidRPr="00600330">
        <w:rPr>
          <w:rFonts w:ascii="Times New Roman" w:hAnsi="Times New Roman"/>
          <w:sz w:val="24"/>
          <w:szCs w:val="24"/>
        </w:rPr>
        <w:t xml:space="preserve">Объём валовой продукции сельского хозяйства </w:t>
      </w:r>
      <w:r>
        <w:rPr>
          <w:rFonts w:ascii="Times New Roman" w:hAnsi="Times New Roman"/>
          <w:sz w:val="24"/>
          <w:szCs w:val="24"/>
        </w:rPr>
        <w:t xml:space="preserve">в </w:t>
      </w:r>
      <w:r w:rsidRPr="00600330">
        <w:rPr>
          <w:rFonts w:ascii="Times New Roman" w:hAnsi="Times New Roman"/>
          <w:sz w:val="24"/>
          <w:szCs w:val="24"/>
        </w:rPr>
        <w:t xml:space="preserve">январе-июне 2014 года оценочно составил 415,3 млн. руб. и ее абсолютная величина на 6,6% </w:t>
      </w:r>
      <w:r>
        <w:rPr>
          <w:rFonts w:ascii="Times New Roman" w:hAnsi="Times New Roman"/>
          <w:sz w:val="24"/>
          <w:szCs w:val="24"/>
        </w:rPr>
        <w:t xml:space="preserve">превысила соответствующий </w:t>
      </w:r>
      <w:r>
        <w:rPr>
          <w:rFonts w:ascii="Times New Roman" w:hAnsi="Times New Roman"/>
          <w:sz w:val="24"/>
          <w:szCs w:val="24"/>
        </w:rPr>
        <w:lastRenderedPageBreak/>
        <w:t xml:space="preserve">показатель </w:t>
      </w:r>
      <w:r w:rsidRPr="00600330">
        <w:rPr>
          <w:rFonts w:ascii="Times New Roman" w:hAnsi="Times New Roman"/>
          <w:sz w:val="24"/>
          <w:szCs w:val="24"/>
        </w:rPr>
        <w:t>января-июня 2013 года. Индекс физического объема сельскохозяйственных товаров составил 118,3%.</w:t>
      </w:r>
    </w:p>
    <w:p w:rsidR="0098177D" w:rsidRPr="00600330" w:rsidRDefault="0098177D" w:rsidP="0098177D">
      <w:pPr>
        <w:pStyle w:val="a4"/>
        <w:ind w:hanging="567"/>
      </w:pPr>
      <w:r>
        <w:rPr>
          <w:noProof/>
          <w:color w:val="4F81BD"/>
        </w:rPr>
        <w:drawing>
          <wp:inline distT="0" distB="0" distL="0" distR="0">
            <wp:extent cx="6429375" cy="1847850"/>
            <wp:effectExtent l="0" t="0" r="0" b="0"/>
            <wp:docPr id="13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color w:val="4F81BD"/>
        </w:rPr>
        <w:tab/>
      </w:r>
      <w:r w:rsidRPr="00600330">
        <w:t>В аграрном секторе республики в рассматриваемом периоде основная работа сельскохозяйственных производителей была направлена на уборку урожая зерновых и зернобобовых культур первой группы в сжатые сроки.</w:t>
      </w:r>
    </w:p>
    <w:p w:rsidR="0098177D" w:rsidRDefault="0098177D" w:rsidP="0098177D">
      <w:pPr>
        <w:spacing w:after="0" w:line="240" w:lineRule="auto"/>
        <w:ind w:firstLine="709"/>
        <w:jc w:val="both"/>
        <w:rPr>
          <w:rFonts w:ascii="Times New Roman" w:hAnsi="Times New Roman"/>
          <w:sz w:val="28"/>
          <w:szCs w:val="28"/>
        </w:rPr>
      </w:pPr>
      <w:r w:rsidRPr="002E0E3D">
        <w:rPr>
          <w:rFonts w:ascii="Times New Roman" w:hAnsi="Times New Roman"/>
          <w:sz w:val="24"/>
          <w:szCs w:val="24"/>
        </w:rPr>
        <w:t xml:space="preserve">По оперативным данным Министерства сельского хозяйства и природных ресурсов Приднестровской Молдавской Республики, валовой сбор зерновых и зернобобовых культур первой группы по состоянию на 14 августа 2014 достиг 333,6 тыс. тонн, в том числе озимой пшеницы – 259,6 тыс. тонн, что составляет 101,7% и 99,5% к аналогичной дате 2013 года. Средняя урожайность зерновых и зернобобовых культур составила </w:t>
      </w:r>
      <w:r>
        <w:rPr>
          <w:rFonts w:ascii="Times New Roman" w:hAnsi="Times New Roman"/>
          <w:sz w:val="24"/>
          <w:szCs w:val="24"/>
        </w:rPr>
        <w:br/>
      </w:r>
      <w:r w:rsidRPr="002E0E3D">
        <w:rPr>
          <w:rFonts w:ascii="Times New Roman" w:hAnsi="Times New Roman"/>
          <w:sz w:val="24"/>
          <w:szCs w:val="24"/>
        </w:rPr>
        <w:t>38,1 ц/га, озимой пшеницы –</w:t>
      </w:r>
      <w:r>
        <w:rPr>
          <w:rFonts w:ascii="Times New Roman" w:hAnsi="Times New Roman"/>
          <w:sz w:val="24"/>
          <w:szCs w:val="24"/>
        </w:rPr>
        <w:t xml:space="preserve"> </w:t>
      </w:r>
      <w:r w:rsidRPr="002E0E3D">
        <w:rPr>
          <w:rFonts w:ascii="Times New Roman" w:hAnsi="Times New Roman"/>
          <w:sz w:val="24"/>
          <w:szCs w:val="24"/>
        </w:rPr>
        <w:t>41,3 ц/га против 36,5 ц/га и 40,2 ц/га в 2013 году соответственно.</w:t>
      </w:r>
    </w:p>
    <w:p w:rsidR="0098177D" w:rsidRPr="005C7668" w:rsidRDefault="0098177D" w:rsidP="0098177D">
      <w:pPr>
        <w:spacing w:after="0" w:line="240" w:lineRule="auto"/>
        <w:ind w:firstLine="709"/>
        <w:jc w:val="right"/>
        <w:rPr>
          <w:rFonts w:ascii="Times New Roman" w:hAnsi="Times New Roman"/>
          <w:sz w:val="24"/>
          <w:szCs w:val="24"/>
        </w:rPr>
      </w:pPr>
      <w:r w:rsidRPr="005C7668">
        <w:rPr>
          <w:rFonts w:ascii="Times New Roman" w:hAnsi="Times New Roman"/>
          <w:sz w:val="24"/>
          <w:szCs w:val="24"/>
        </w:rPr>
        <w:t>Таблица №</w:t>
      </w:r>
      <w:r w:rsidR="008E6F6F">
        <w:rPr>
          <w:rFonts w:ascii="Times New Roman" w:hAnsi="Times New Roman"/>
          <w:sz w:val="24"/>
          <w:szCs w:val="24"/>
        </w:rPr>
        <w:t>2</w:t>
      </w:r>
    </w:p>
    <w:p w:rsidR="0098177D" w:rsidRPr="002E0E3D" w:rsidRDefault="0098177D" w:rsidP="0098177D">
      <w:pPr>
        <w:suppressAutoHyphens/>
        <w:spacing w:after="0" w:line="240" w:lineRule="auto"/>
        <w:jc w:val="center"/>
        <w:rPr>
          <w:rFonts w:ascii="Times New Roman" w:hAnsi="Times New Roman"/>
          <w:b/>
          <w:sz w:val="24"/>
          <w:szCs w:val="24"/>
        </w:rPr>
      </w:pPr>
      <w:r w:rsidRPr="002E0E3D">
        <w:rPr>
          <w:rFonts w:ascii="Times New Roman" w:hAnsi="Times New Roman"/>
          <w:b/>
          <w:sz w:val="24"/>
          <w:szCs w:val="24"/>
        </w:rPr>
        <w:t>Оперативная информация о валовом сборе зерновых и зернобобовых культур первой группы всеми категориями хозяйств ПМР по состоянию на 14 августа 2014 года</w:t>
      </w:r>
    </w:p>
    <w:tbl>
      <w:tblPr>
        <w:tblW w:w="9356" w:type="dxa"/>
        <w:tblInd w:w="108" w:type="dxa"/>
        <w:tblLayout w:type="fixed"/>
        <w:tblLook w:val="0000"/>
      </w:tblPr>
      <w:tblGrid>
        <w:gridCol w:w="2895"/>
        <w:gridCol w:w="1080"/>
        <w:gridCol w:w="885"/>
        <w:gridCol w:w="1236"/>
        <w:gridCol w:w="841"/>
        <w:gridCol w:w="1143"/>
        <w:gridCol w:w="1276"/>
      </w:tblGrid>
      <w:tr w:rsidR="0098177D" w:rsidRPr="00987C72" w:rsidTr="00DA2344">
        <w:trPr>
          <w:trHeight w:val="285"/>
        </w:trPr>
        <w:tc>
          <w:tcPr>
            <w:tcW w:w="289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8177D" w:rsidRPr="00987C72" w:rsidRDefault="0098177D" w:rsidP="00DA2344">
            <w:pPr>
              <w:spacing w:after="0" w:line="240" w:lineRule="auto"/>
              <w:jc w:val="center"/>
              <w:rPr>
                <w:rFonts w:ascii="Times New Roman" w:hAnsi="Times New Roman"/>
                <w:b/>
                <w:bCs/>
              </w:rPr>
            </w:pPr>
            <w:r w:rsidRPr="00987C72">
              <w:rPr>
                <w:rFonts w:ascii="Times New Roman" w:hAnsi="Times New Roman"/>
                <w:b/>
                <w:bCs/>
              </w:rPr>
              <w:t>Культуры</w:t>
            </w:r>
          </w:p>
        </w:tc>
        <w:tc>
          <w:tcPr>
            <w:tcW w:w="3201" w:type="dxa"/>
            <w:gridSpan w:val="3"/>
            <w:tcBorders>
              <w:top w:val="single" w:sz="4" w:space="0" w:color="auto"/>
              <w:left w:val="nil"/>
              <w:bottom w:val="single" w:sz="4" w:space="0" w:color="auto"/>
              <w:right w:val="single" w:sz="4" w:space="0" w:color="auto"/>
            </w:tcBorders>
            <w:shd w:val="clear" w:color="auto" w:fill="auto"/>
            <w:vAlign w:val="center"/>
          </w:tcPr>
          <w:p w:rsidR="0098177D" w:rsidRPr="00987C72" w:rsidRDefault="0098177D" w:rsidP="00DA2344">
            <w:pPr>
              <w:spacing w:after="0" w:line="240" w:lineRule="auto"/>
              <w:jc w:val="center"/>
              <w:rPr>
                <w:rFonts w:ascii="Times New Roman" w:hAnsi="Times New Roman"/>
                <w:b/>
                <w:bCs/>
              </w:rPr>
            </w:pPr>
            <w:r w:rsidRPr="00987C72">
              <w:rPr>
                <w:rFonts w:ascii="Times New Roman" w:hAnsi="Times New Roman"/>
                <w:b/>
                <w:bCs/>
              </w:rPr>
              <w:t>Валовой сбор, тыс. тонн</w:t>
            </w:r>
          </w:p>
        </w:tc>
        <w:tc>
          <w:tcPr>
            <w:tcW w:w="3260" w:type="dxa"/>
            <w:gridSpan w:val="3"/>
            <w:tcBorders>
              <w:top w:val="single" w:sz="4" w:space="0" w:color="auto"/>
              <w:left w:val="nil"/>
              <w:bottom w:val="single" w:sz="4" w:space="0" w:color="auto"/>
              <w:right w:val="single" w:sz="4" w:space="0" w:color="auto"/>
            </w:tcBorders>
            <w:shd w:val="clear" w:color="auto" w:fill="auto"/>
            <w:vAlign w:val="bottom"/>
          </w:tcPr>
          <w:p w:rsidR="0098177D" w:rsidRPr="00987C72" w:rsidRDefault="0098177D" w:rsidP="00DA2344">
            <w:pPr>
              <w:spacing w:after="0" w:line="240" w:lineRule="auto"/>
              <w:ind w:left="-288"/>
              <w:jc w:val="center"/>
              <w:rPr>
                <w:rFonts w:ascii="Times New Roman" w:hAnsi="Times New Roman"/>
                <w:b/>
                <w:bCs/>
              </w:rPr>
            </w:pPr>
            <w:r w:rsidRPr="00987C72">
              <w:rPr>
                <w:rFonts w:ascii="Times New Roman" w:hAnsi="Times New Roman"/>
                <w:b/>
                <w:bCs/>
              </w:rPr>
              <w:t xml:space="preserve">  Средняя урожайность, ц/га</w:t>
            </w:r>
          </w:p>
        </w:tc>
      </w:tr>
      <w:tr w:rsidR="0098177D" w:rsidRPr="00987C72" w:rsidTr="00DA2344">
        <w:trPr>
          <w:trHeight w:val="840"/>
        </w:trPr>
        <w:tc>
          <w:tcPr>
            <w:tcW w:w="2895" w:type="dxa"/>
            <w:vMerge/>
            <w:tcBorders>
              <w:top w:val="single" w:sz="4" w:space="0" w:color="auto"/>
              <w:left w:val="single" w:sz="4" w:space="0" w:color="auto"/>
              <w:bottom w:val="single" w:sz="4" w:space="0" w:color="auto"/>
              <w:right w:val="single" w:sz="4" w:space="0" w:color="auto"/>
            </w:tcBorders>
            <w:vAlign w:val="center"/>
          </w:tcPr>
          <w:p w:rsidR="0098177D" w:rsidRPr="00987C72" w:rsidRDefault="0098177D" w:rsidP="00DA2344">
            <w:pPr>
              <w:spacing w:after="0" w:line="240" w:lineRule="auto"/>
              <w:rPr>
                <w:rFonts w:ascii="Times New Roman" w:hAnsi="Times New Roman"/>
                <w:b/>
                <w:bCs/>
              </w:rPr>
            </w:pPr>
          </w:p>
        </w:tc>
        <w:tc>
          <w:tcPr>
            <w:tcW w:w="1080" w:type="dxa"/>
            <w:tcBorders>
              <w:top w:val="nil"/>
              <w:left w:val="nil"/>
              <w:bottom w:val="single" w:sz="4" w:space="0" w:color="auto"/>
              <w:right w:val="single" w:sz="4" w:space="0" w:color="auto"/>
            </w:tcBorders>
            <w:shd w:val="clear" w:color="auto" w:fill="auto"/>
            <w:vAlign w:val="center"/>
          </w:tcPr>
          <w:p w:rsidR="0098177D" w:rsidRPr="00987C72" w:rsidRDefault="0098177D" w:rsidP="00DA2344">
            <w:pPr>
              <w:spacing w:after="0" w:line="240" w:lineRule="auto"/>
              <w:jc w:val="center"/>
              <w:rPr>
                <w:rFonts w:ascii="Times New Roman" w:hAnsi="Times New Roman"/>
                <w:b/>
                <w:bCs/>
              </w:rPr>
            </w:pPr>
            <w:r w:rsidRPr="00987C72">
              <w:rPr>
                <w:rFonts w:ascii="Times New Roman" w:hAnsi="Times New Roman"/>
                <w:b/>
                <w:bCs/>
              </w:rPr>
              <w:t>201</w:t>
            </w:r>
            <w:r>
              <w:rPr>
                <w:rFonts w:ascii="Times New Roman" w:hAnsi="Times New Roman"/>
                <w:b/>
                <w:bCs/>
              </w:rPr>
              <w:t>3</w:t>
            </w:r>
            <w:r w:rsidRPr="00987C72">
              <w:rPr>
                <w:rFonts w:ascii="Times New Roman" w:hAnsi="Times New Roman"/>
                <w:b/>
                <w:bCs/>
              </w:rPr>
              <w:t xml:space="preserve"> </w:t>
            </w:r>
          </w:p>
          <w:p w:rsidR="0098177D" w:rsidRPr="00987C72" w:rsidRDefault="0098177D" w:rsidP="00DA2344">
            <w:pPr>
              <w:spacing w:after="0" w:line="240" w:lineRule="auto"/>
              <w:jc w:val="center"/>
              <w:rPr>
                <w:rFonts w:ascii="Times New Roman" w:hAnsi="Times New Roman"/>
                <w:b/>
                <w:bCs/>
              </w:rPr>
            </w:pPr>
            <w:r>
              <w:rPr>
                <w:rFonts w:ascii="Times New Roman" w:hAnsi="Times New Roman"/>
                <w:b/>
                <w:bCs/>
              </w:rPr>
              <w:t>г</w:t>
            </w:r>
            <w:r w:rsidRPr="00987C72">
              <w:rPr>
                <w:rFonts w:ascii="Times New Roman" w:hAnsi="Times New Roman"/>
                <w:b/>
                <w:bCs/>
              </w:rPr>
              <w:t xml:space="preserve">од </w:t>
            </w:r>
          </w:p>
        </w:tc>
        <w:tc>
          <w:tcPr>
            <w:tcW w:w="885" w:type="dxa"/>
            <w:tcBorders>
              <w:top w:val="nil"/>
              <w:left w:val="nil"/>
              <w:bottom w:val="single" w:sz="4" w:space="0" w:color="auto"/>
              <w:right w:val="single" w:sz="4" w:space="0" w:color="auto"/>
            </w:tcBorders>
            <w:shd w:val="clear" w:color="auto" w:fill="auto"/>
            <w:vAlign w:val="center"/>
          </w:tcPr>
          <w:p w:rsidR="0098177D" w:rsidRPr="00987C72" w:rsidRDefault="0098177D" w:rsidP="00DA2344">
            <w:pPr>
              <w:spacing w:after="0" w:line="240" w:lineRule="auto"/>
              <w:ind w:left="-288"/>
              <w:jc w:val="center"/>
              <w:rPr>
                <w:rFonts w:ascii="Times New Roman" w:hAnsi="Times New Roman"/>
                <w:b/>
                <w:bCs/>
              </w:rPr>
            </w:pPr>
            <w:r w:rsidRPr="00987C72">
              <w:rPr>
                <w:rFonts w:ascii="Times New Roman" w:hAnsi="Times New Roman"/>
                <w:b/>
                <w:bCs/>
              </w:rPr>
              <w:t>201</w:t>
            </w:r>
            <w:r>
              <w:rPr>
                <w:rFonts w:ascii="Times New Roman" w:hAnsi="Times New Roman"/>
                <w:b/>
                <w:bCs/>
              </w:rPr>
              <w:t>4</w:t>
            </w:r>
            <w:r w:rsidRPr="00987C72">
              <w:rPr>
                <w:rFonts w:ascii="Times New Roman" w:hAnsi="Times New Roman"/>
                <w:b/>
                <w:bCs/>
              </w:rPr>
              <w:t xml:space="preserve">  </w:t>
            </w:r>
          </w:p>
          <w:p w:rsidR="0098177D" w:rsidRPr="00987C72" w:rsidRDefault="0098177D" w:rsidP="00DA2344">
            <w:pPr>
              <w:spacing w:after="0" w:line="240" w:lineRule="auto"/>
              <w:ind w:left="-288"/>
              <w:jc w:val="center"/>
              <w:rPr>
                <w:rFonts w:ascii="Times New Roman" w:hAnsi="Times New Roman"/>
                <w:b/>
                <w:bCs/>
              </w:rPr>
            </w:pPr>
            <w:r w:rsidRPr="00987C72">
              <w:rPr>
                <w:rFonts w:ascii="Times New Roman" w:hAnsi="Times New Roman"/>
                <w:b/>
                <w:bCs/>
              </w:rPr>
              <w:t>год</w:t>
            </w:r>
          </w:p>
        </w:tc>
        <w:tc>
          <w:tcPr>
            <w:tcW w:w="1236" w:type="dxa"/>
            <w:tcBorders>
              <w:top w:val="nil"/>
              <w:left w:val="nil"/>
              <w:bottom w:val="single" w:sz="4" w:space="0" w:color="auto"/>
              <w:right w:val="single" w:sz="4" w:space="0" w:color="auto"/>
            </w:tcBorders>
            <w:shd w:val="clear" w:color="auto" w:fill="auto"/>
            <w:vAlign w:val="center"/>
          </w:tcPr>
          <w:p w:rsidR="0098177D" w:rsidRPr="00987C72" w:rsidRDefault="0098177D" w:rsidP="00DA2344">
            <w:pPr>
              <w:spacing w:after="0" w:line="240" w:lineRule="auto"/>
              <w:ind w:left="-108"/>
              <w:jc w:val="center"/>
              <w:rPr>
                <w:rFonts w:ascii="Times New Roman" w:hAnsi="Times New Roman"/>
                <w:b/>
                <w:bCs/>
              </w:rPr>
            </w:pPr>
            <w:r w:rsidRPr="00987C72">
              <w:rPr>
                <w:rFonts w:ascii="Times New Roman" w:hAnsi="Times New Roman"/>
                <w:b/>
                <w:bCs/>
              </w:rPr>
              <w:t xml:space="preserve">Темп роста </w:t>
            </w:r>
          </w:p>
          <w:p w:rsidR="0098177D" w:rsidRPr="00987C72" w:rsidRDefault="0098177D" w:rsidP="00DA2344">
            <w:pPr>
              <w:spacing w:after="0" w:line="240" w:lineRule="auto"/>
              <w:ind w:left="-108"/>
              <w:jc w:val="center"/>
              <w:rPr>
                <w:rFonts w:ascii="Times New Roman" w:hAnsi="Times New Roman"/>
                <w:b/>
                <w:bCs/>
              </w:rPr>
            </w:pPr>
            <w:r w:rsidRPr="00987C72">
              <w:rPr>
                <w:rFonts w:ascii="Times New Roman" w:hAnsi="Times New Roman"/>
                <w:b/>
                <w:bCs/>
              </w:rPr>
              <w:t xml:space="preserve">в % к </w:t>
            </w:r>
          </w:p>
          <w:p w:rsidR="0098177D" w:rsidRPr="00987C72" w:rsidRDefault="0098177D" w:rsidP="00DA2344">
            <w:pPr>
              <w:spacing w:after="0" w:line="240" w:lineRule="auto"/>
              <w:jc w:val="center"/>
              <w:rPr>
                <w:rFonts w:ascii="Times New Roman" w:hAnsi="Times New Roman"/>
                <w:b/>
                <w:bCs/>
              </w:rPr>
            </w:pPr>
            <w:r w:rsidRPr="00987C72">
              <w:rPr>
                <w:rFonts w:ascii="Times New Roman" w:hAnsi="Times New Roman"/>
                <w:b/>
                <w:bCs/>
              </w:rPr>
              <w:t>201</w:t>
            </w:r>
            <w:r>
              <w:rPr>
                <w:rFonts w:ascii="Times New Roman" w:hAnsi="Times New Roman"/>
                <w:b/>
                <w:bCs/>
              </w:rPr>
              <w:t>3</w:t>
            </w:r>
            <w:r w:rsidRPr="00987C72">
              <w:rPr>
                <w:rFonts w:ascii="Times New Roman" w:hAnsi="Times New Roman"/>
                <w:b/>
                <w:bCs/>
              </w:rPr>
              <w:t xml:space="preserve"> г.</w:t>
            </w:r>
            <w:r>
              <w:rPr>
                <w:rFonts w:ascii="Times New Roman" w:hAnsi="Times New Roman"/>
                <w:b/>
                <w:bCs/>
              </w:rPr>
              <w:t>*</w:t>
            </w:r>
          </w:p>
        </w:tc>
        <w:tc>
          <w:tcPr>
            <w:tcW w:w="841" w:type="dxa"/>
            <w:tcBorders>
              <w:top w:val="nil"/>
              <w:left w:val="nil"/>
              <w:bottom w:val="single" w:sz="4" w:space="0" w:color="auto"/>
              <w:right w:val="single" w:sz="4" w:space="0" w:color="auto"/>
            </w:tcBorders>
            <w:shd w:val="clear" w:color="auto" w:fill="auto"/>
            <w:vAlign w:val="center"/>
          </w:tcPr>
          <w:p w:rsidR="0098177D" w:rsidRPr="00987C72" w:rsidRDefault="0098177D" w:rsidP="00DA2344">
            <w:pPr>
              <w:spacing w:after="0" w:line="240" w:lineRule="auto"/>
              <w:jc w:val="center"/>
              <w:rPr>
                <w:rFonts w:ascii="Times New Roman" w:hAnsi="Times New Roman"/>
                <w:b/>
                <w:bCs/>
              </w:rPr>
            </w:pPr>
            <w:r w:rsidRPr="00987C72">
              <w:rPr>
                <w:rFonts w:ascii="Times New Roman" w:hAnsi="Times New Roman"/>
                <w:b/>
                <w:bCs/>
              </w:rPr>
              <w:t>201</w:t>
            </w:r>
            <w:r>
              <w:rPr>
                <w:rFonts w:ascii="Times New Roman" w:hAnsi="Times New Roman"/>
                <w:b/>
                <w:bCs/>
              </w:rPr>
              <w:t>3</w:t>
            </w:r>
            <w:r w:rsidRPr="00987C72">
              <w:rPr>
                <w:rFonts w:ascii="Times New Roman" w:hAnsi="Times New Roman"/>
                <w:b/>
                <w:bCs/>
              </w:rPr>
              <w:t xml:space="preserve"> </w:t>
            </w:r>
          </w:p>
          <w:p w:rsidR="0098177D" w:rsidRPr="00987C72" w:rsidRDefault="0098177D" w:rsidP="00DA2344">
            <w:pPr>
              <w:spacing w:after="0" w:line="240" w:lineRule="auto"/>
              <w:jc w:val="center"/>
              <w:rPr>
                <w:rFonts w:ascii="Times New Roman" w:hAnsi="Times New Roman"/>
                <w:b/>
                <w:bCs/>
              </w:rPr>
            </w:pPr>
            <w:r>
              <w:rPr>
                <w:rFonts w:ascii="Times New Roman" w:hAnsi="Times New Roman"/>
                <w:b/>
                <w:bCs/>
              </w:rPr>
              <w:t>год</w:t>
            </w:r>
          </w:p>
        </w:tc>
        <w:tc>
          <w:tcPr>
            <w:tcW w:w="1143" w:type="dxa"/>
            <w:tcBorders>
              <w:top w:val="nil"/>
              <w:left w:val="nil"/>
              <w:bottom w:val="single" w:sz="4" w:space="0" w:color="auto"/>
              <w:right w:val="single" w:sz="4" w:space="0" w:color="auto"/>
            </w:tcBorders>
            <w:shd w:val="clear" w:color="auto" w:fill="auto"/>
            <w:vAlign w:val="center"/>
          </w:tcPr>
          <w:p w:rsidR="0098177D" w:rsidRPr="00987C72" w:rsidRDefault="0098177D" w:rsidP="00DA2344">
            <w:pPr>
              <w:spacing w:after="0" w:line="240" w:lineRule="auto"/>
              <w:ind w:right="224"/>
              <w:jc w:val="center"/>
              <w:rPr>
                <w:rFonts w:ascii="Times New Roman" w:hAnsi="Times New Roman"/>
                <w:b/>
                <w:bCs/>
              </w:rPr>
            </w:pPr>
            <w:r w:rsidRPr="00987C72">
              <w:rPr>
                <w:rFonts w:ascii="Times New Roman" w:hAnsi="Times New Roman"/>
                <w:b/>
                <w:bCs/>
              </w:rPr>
              <w:t>201</w:t>
            </w:r>
            <w:r>
              <w:rPr>
                <w:rFonts w:ascii="Times New Roman" w:hAnsi="Times New Roman"/>
                <w:b/>
                <w:bCs/>
              </w:rPr>
              <w:t>4</w:t>
            </w:r>
            <w:r w:rsidRPr="00987C72">
              <w:rPr>
                <w:rFonts w:ascii="Times New Roman" w:hAnsi="Times New Roman"/>
                <w:b/>
                <w:bCs/>
              </w:rPr>
              <w:t xml:space="preserve"> год </w:t>
            </w:r>
          </w:p>
        </w:tc>
        <w:tc>
          <w:tcPr>
            <w:tcW w:w="1276" w:type="dxa"/>
            <w:tcBorders>
              <w:top w:val="nil"/>
              <w:left w:val="nil"/>
              <w:bottom w:val="single" w:sz="4" w:space="0" w:color="auto"/>
              <w:right w:val="single" w:sz="4" w:space="0" w:color="auto"/>
            </w:tcBorders>
            <w:shd w:val="clear" w:color="auto" w:fill="auto"/>
            <w:vAlign w:val="center"/>
          </w:tcPr>
          <w:p w:rsidR="0098177D" w:rsidRPr="00987C72" w:rsidRDefault="0098177D" w:rsidP="00DA2344">
            <w:pPr>
              <w:spacing w:after="0" w:line="240" w:lineRule="auto"/>
              <w:ind w:left="-141"/>
              <w:jc w:val="center"/>
              <w:rPr>
                <w:rFonts w:ascii="Times New Roman" w:hAnsi="Times New Roman"/>
                <w:b/>
                <w:bCs/>
              </w:rPr>
            </w:pPr>
            <w:r w:rsidRPr="00987C72">
              <w:rPr>
                <w:rFonts w:ascii="Times New Roman" w:hAnsi="Times New Roman"/>
                <w:b/>
                <w:bCs/>
              </w:rPr>
              <w:t>Темп роста</w:t>
            </w:r>
          </w:p>
          <w:p w:rsidR="0098177D" w:rsidRPr="00987C72" w:rsidRDefault="0098177D" w:rsidP="00DA2344">
            <w:pPr>
              <w:spacing w:after="0" w:line="240" w:lineRule="auto"/>
              <w:ind w:left="-141"/>
              <w:jc w:val="center"/>
              <w:rPr>
                <w:rFonts w:ascii="Times New Roman" w:hAnsi="Times New Roman"/>
                <w:b/>
                <w:bCs/>
              </w:rPr>
            </w:pPr>
            <w:r w:rsidRPr="00987C72">
              <w:rPr>
                <w:rFonts w:ascii="Times New Roman" w:hAnsi="Times New Roman"/>
                <w:b/>
                <w:bCs/>
              </w:rPr>
              <w:t xml:space="preserve">в % к </w:t>
            </w:r>
          </w:p>
          <w:p w:rsidR="0098177D" w:rsidRPr="00987C72" w:rsidRDefault="0098177D" w:rsidP="00DA2344">
            <w:pPr>
              <w:spacing w:after="0" w:line="240" w:lineRule="auto"/>
              <w:ind w:left="-141"/>
              <w:jc w:val="center"/>
              <w:rPr>
                <w:rFonts w:ascii="Times New Roman" w:hAnsi="Times New Roman"/>
                <w:b/>
                <w:bCs/>
              </w:rPr>
            </w:pPr>
            <w:r w:rsidRPr="00987C72">
              <w:rPr>
                <w:rFonts w:ascii="Times New Roman" w:hAnsi="Times New Roman"/>
                <w:b/>
                <w:bCs/>
              </w:rPr>
              <w:t>201</w:t>
            </w:r>
            <w:r>
              <w:rPr>
                <w:rFonts w:ascii="Times New Roman" w:hAnsi="Times New Roman"/>
                <w:b/>
                <w:bCs/>
              </w:rPr>
              <w:t>3</w:t>
            </w:r>
            <w:r w:rsidRPr="00987C72">
              <w:rPr>
                <w:rFonts w:ascii="Times New Roman" w:hAnsi="Times New Roman"/>
                <w:b/>
                <w:bCs/>
              </w:rPr>
              <w:t xml:space="preserve"> г.</w:t>
            </w:r>
            <w:r>
              <w:rPr>
                <w:rFonts w:ascii="Times New Roman" w:hAnsi="Times New Roman"/>
                <w:b/>
                <w:bCs/>
              </w:rPr>
              <w:t>*</w:t>
            </w:r>
          </w:p>
        </w:tc>
      </w:tr>
      <w:tr w:rsidR="0098177D" w:rsidRPr="00987C72" w:rsidTr="00DA2344">
        <w:trPr>
          <w:trHeight w:val="305"/>
        </w:trPr>
        <w:tc>
          <w:tcPr>
            <w:tcW w:w="2895" w:type="dxa"/>
            <w:tcBorders>
              <w:top w:val="single" w:sz="4" w:space="0" w:color="auto"/>
              <w:left w:val="single" w:sz="4" w:space="0" w:color="auto"/>
              <w:bottom w:val="single" w:sz="4" w:space="0" w:color="auto"/>
              <w:right w:val="single" w:sz="4" w:space="0" w:color="auto"/>
            </w:tcBorders>
            <w:shd w:val="clear" w:color="auto" w:fill="auto"/>
            <w:vAlign w:val="center"/>
          </w:tcPr>
          <w:p w:rsidR="0098177D" w:rsidRPr="00987C72" w:rsidRDefault="0098177D" w:rsidP="00DA2344">
            <w:pPr>
              <w:spacing w:after="0" w:line="240" w:lineRule="auto"/>
              <w:rPr>
                <w:rFonts w:ascii="Times New Roman" w:hAnsi="Times New Roman"/>
                <w:bCs/>
              </w:rPr>
            </w:pPr>
            <w:r w:rsidRPr="00987C72">
              <w:rPr>
                <w:rFonts w:ascii="Times New Roman" w:hAnsi="Times New Roman"/>
                <w:bCs/>
              </w:rPr>
              <w:t>Зерновые и зернобобовые культуры</w:t>
            </w:r>
            <w:r>
              <w:rPr>
                <w:rFonts w:ascii="Times New Roman" w:hAnsi="Times New Roman"/>
                <w:bCs/>
              </w:rPr>
              <w:t>- всего</w:t>
            </w:r>
          </w:p>
        </w:tc>
        <w:tc>
          <w:tcPr>
            <w:tcW w:w="1080" w:type="dxa"/>
            <w:tcBorders>
              <w:top w:val="single" w:sz="4" w:space="0" w:color="auto"/>
              <w:left w:val="nil"/>
              <w:bottom w:val="single" w:sz="4" w:space="0" w:color="auto"/>
              <w:right w:val="single" w:sz="4" w:space="0" w:color="auto"/>
            </w:tcBorders>
            <w:shd w:val="clear" w:color="auto" w:fill="auto"/>
            <w:vAlign w:val="bottom"/>
          </w:tcPr>
          <w:p w:rsidR="0098177D" w:rsidRPr="00987C72" w:rsidRDefault="0098177D" w:rsidP="00DA2344">
            <w:pPr>
              <w:spacing w:after="0" w:line="240" w:lineRule="auto"/>
              <w:jc w:val="right"/>
              <w:rPr>
                <w:rFonts w:ascii="Times New Roman" w:hAnsi="Times New Roman"/>
              </w:rPr>
            </w:pPr>
            <w:r>
              <w:rPr>
                <w:rFonts w:ascii="Times New Roman" w:hAnsi="Times New Roman"/>
              </w:rPr>
              <w:t>327,9</w:t>
            </w:r>
          </w:p>
        </w:tc>
        <w:tc>
          <w:tcPr>
            <w:tcW w:w="885" w:type="dxa"/>
            <w:tcBorders>
              <w:top w:val="single" w:sz="4" w:space="0" w:color="auto"/>
              <w:left w:val="nil"/>
              <w:bottom w:val="single" w:sz="4" w:space="0" w:color="auto"/>
              <w:right w:val="single" w:sz="4" w:space="0" w:color="auto"/>
            </w:tcBorders>
            <w:shd w:val="clear" w:color="auto" w:fill="auto"/>
            <w:vAlign w:val="bottom"/>
          </w:tcPr>
          <w:p w:rsidR="0098177D" w:rsidRPr="00987C72" w:rsidRDefault="0098177D" w:rsidP="00DA2344">
            <w:pPr>
              <w:spacing w:after="0" w:line="240" w:lineRule="auto"/>
              <w:jc w:val="right"/>
              <w:rPr>
                <w:rFonts w:ascii="Times New Roman" w:hAnsi="Times New Roman"/>
              </w:rPr>
            </w:pPr>
            <w:r>
              <w:rPr>
                <w:rFonts w:ascii="Times New Roman" w:hAnsi="Times New Roman"/>
              </w:rPr>
              <w:t>333,6</w:t>
            </w:r>
          </w:p>
        </w:tc>
        <w:tc>
          <w:tcPr>
            <w:tcW w:w="1236" w:type="dxa"/>
            <w:tcBorders>
              <w:top w:val="single" w:sz="4" w:space="0" w:color="auto"/>
              <w:left w:val="nil"/>
              <w:bottom w:val="single" w:sz="4" w:space="0" w:color="auto"/>
              <w:right w:val="single" w:sz="4" w:space="0" w:color="auto"/>
            </w:tcBorders>
            <w:shd w:val="clear" w:color="auto" w:fill="auto"/>
            <w:vAlign w:val="bottom"/>
          </w:tcPr>
          <w:p w:rsidR="0098177D" w:rsidRPr="00987C72" w:rsidRDefault="0098177D" w:rsidP="00DA2344">
            <w:pPr>
              <w:spacing w:after="0" w:line="240" w:lineRule="auto"/>
              <w:jc w:val="right"/>
              <w:rPr>
                <w:rFonts w:ascii="Times New Roman" w:hAnsi="Times New Roman"/>
              </w:rPr>
            </w:pPr>
            <w:r>
              <w:rPr>
                <w:rFonts w:ascii="Times New Roman" w:hAnsi="Times New Roman"/>
              </w:rPr>
              <w:t>101,7</w:t>
            </w:r>
          </w:p>
        </w:tc>
        <w:tc>
          <w:tcPr>
            <w:tcW w:w="841" w:type="dxa"/>
            <w:tcBorders>
              <w:top w:val="single" w:sz="4" w:space="0" w:color="auto"/>
              <w:left w:val="nil"/>
              <w:bottom w:val="single" w:sz="4" w:space="0" w:color="auto"/>
              <w:right w:val="single" w:sz="4" w:space="0" w:color="auto"/>
            </w:tcBorders>
            <w:shd w:val="clear" w:color="auto" w:fill="auto"/>
            <w:vAlign w:val="bottom"/>
          </w:tcPr>
          <w:p w:rsidR="0098177D" w:rsidRPr="00987C72" w:rsidRDefault="0098177D" w:rsidP="00DA2344">
            <w:pPr>
              <w:spacing w:after="0" w:line="240" w:lineRule="auto"/>
              <w:jc w:val="right"/>
              <w:rPr>
                <w:rFonts w:ascii="Times New Roman" w:hAnsi="Times New Roman"/>
              </w:rPr>
            </w:pPr>
            <w:r>
              <w:rPr>
                <w:rFonts w:ascii="Times New Roman" w:hAnsi="Times New Roman"/>
              </w:rPr>
              <w:t>36,5</w:t>
            </w:r>
          </w:p>
        </w:tc>
        <w:tc>
          <w:tcPr>
            <w:tcW w:w="1143" w:type="dxa"/>
            <w:tcBorders>
              <w:top w:val="single" w:sz="4" w:space="0" w:color="auto"/>
              <w:left w:val="nil"/>
              <w:bottom w:val="single" w:sz="4" w:space="0" w:color="auto"/>
              <w:right w:val="single" w:sz="4" w:space="0" w:color="auto"/>
            </w:tcBorders>
            <w:shd w:val="clear" w:color="auto" w:fill="auto"/>
            <w:vAlign w:val="bottom"/>
          </w:tcPr>
          <w:p w:rsidR="0098177D" w:rsidRPr="00987C72" w:rsidRDefault="0098177D" w:rsidP="00DA2344">
            <w:pPr>
              <w:spacing w:after="0" w:line="240" w:lineRule="auto"/>
              <w:jc w:val="right"/>
              <w:rPr>
                <w:rFonts w:ascii="Times New Roman" w:hAnsi="Times New Roman"/>
              </w:rPr>
            </w:pPr>
            <w:r>
              <w:rPr>
                <w:rFonts w:ascii="Times New Roman" w:hAnsi="Times New Roman"/>
              </w:rPr>
              <w:t>38,1</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8177D" w:rsidRPr="00987C72" w:rsidRDefault="0098177D" w:rsidP="00DA2344">
            <w:pPr>
              <w:spacing w:after="0" w:line="240" w:lineRule="auto"/>
              <w:jc w:val="right"/>
              <w:rPr>
                <w:rFonts w:ascii="Times New Roman" w:hAnsi="Times New Roman"/>
              </w:rPr>
            </w:pPr>
            <w:r>
              <w:rPr>
                <w:rFonts w:ascii="Times New Roman" w:hAnsi="Times New Roman"/>
              </w:rPr>
              <w:t>104,4</w:t>
            </w:r>
          </w:p>
        </w:tc>
      </w:tr>
      <w:tr w:rsidR="0098177D" w:rsidRPr="00987C72" w:rsidTr="00DA2344">
        <w:trPr>
          <w:trHeight w:val="213"/>
        </w:trPr>
        <w:tc>
          <w:tcPr>
            <w:tcW w:w="2895" w:type="dxa"/>
            <w:tcBorders>
              <w:top w:val="single" w:sz="4" w:space="0" w:color="auto"/>
              <w:left w:val="single" w:sz="4" w:space="0" w:color="auto"/>
              <w:bottom w:val="single" w:sz="4" w:space="0" w:color="auto"/>
              <w:right w:val="single" w:sz="4" w:space="0" w:color="auto"/>
            </w:tcBorders>
            <w:shd w:val="clear" w:color="auto" w:fill="auto"/>
          </w:tcPr>
          <w:p w:rsidR="0098177D" w:rsidRPr="00987C72" w:rsidRDefault="0098177D" w:rsidP="00DA2344">
            <w:pPr>
              <w:spacing w:after="0" w:line="240" w:lineRule="auto"/>
              <w:rPr>
                <w:rFonts w:ascii="Times New Roman" w:hAnsi="Times New Roman"/>
                <w:bCs/>
              </w:rPr>
            </w:pPr>
            <w:r w:rsidRPr="00987C72">
              <w:rPr>
                <w:rFonts w:ascii="Times New Roman" w:hAnsi="Times New Roman"/>
                <w:bCs/>
              </w:rPr>
              <w:t>из них: озимая пшеница</w:t>
            </w:r>
          </w:p>
        </w:tc>
        <w:tc>
          <w:tcPr>
            <w:tcW w:w="1080" w:type="dxa"/>
            <w:tcBorders>
              <w:top w:val="single" w:sz="4" w:space="0" w:color="auto"/>
              <w:left w:val="nil"/>
              <w:bottom w:val="single" w:sz="4" w:space="0" w:color="auto"/>
              <w:right w:val="single" w:sz="4" w:space="0" w:color="auto"/>
            </w:tcBorders>
            <w:shd w:val="clear" w:color="auto" w:fill="auto"/>
            <w:vAlign w:val="bottom"/>
          </w:tcPr>
          <w:p w:rsidR="0098177D" w:rsidRPr="00987C72" w:rsidRDefault="0098177D" w:rsidP="00DA2344">
            <w:pPr>
              <w:spacing w:after="0" w:line="240" w:lineRule="auto"/>
              <w:jc w:val="right"/>
              <w:rPr>
                <w:rFonts w:ascii="Times New Roman" w:hAnsi="Times New Roman"/>
              </w:rPr>
            </w:pPr>
            <w:r>
              <w:rPr>
                <w:rFonts w:ascii="Times New Roman" w:hAnsi="Times New Roman"/>
              </w:rPr>
              <w:t>261,0</w:t>
            </w:r>
          </w:p>
        </w:tc>
        <w:tc>
          <w:tcPr>
            <w:tcW w:w="885" w:type="dxa"/>
            <w:tcBorders>
              <w:top w:val="single" w:sz="4" w:space="0" w:color="auto"/>
              <w:left w:val="nil"/>
              <w:bottom w:val="single" w:sz="4" w:space="0" w:color="auto"/>
              <w:right w:val="single" w:sz="4" w:space="0" w:color="auto"/>
            </w:tcBorders>
            <w:shd w:val="clear" w:color="auto" w:fill="auto"/>
            <w:vAlign w:val="bottom"/>
          </w:tcPr>
          <w:p w:rsidR="0098177D" w:rsidRPr="00987C72" w:rsidRDefault="0098177D" w:rsidP="00DA2344">
            <w:pPr>
              <w:spacing w:after="0" w:line="240" w:lineRule="auto"/>
              <w:jc w:val="right"/>
              <w:rPr>
                <w:rFonts w:ascii="Times New Roman" w:hAnsi="Times New Roman"/>
              </w:rPr>
            </w:pPr>
            <w:r>
              <w:rPr>
                <w:rFonts w:ascii="Times New Roman" w:hAnsi="Times New Roman"/>
              </w:rPr>
              <w:t>259,6</w:t>
            </w:r>
          </w:p>
        </w:tc>
        <w:tc>
          <w:tcPr>
            <w:tcW w:w="1236" w:type="dxa"/>
            <w:tcBorders>
              <w:top w:val="single" w:sz="4" w:space="0" w:color="auto"/>
              <w:left w:val="nil"/>
              <w:bottom w:val="single" w:sz="4" w:space="0" w:color="auto"/>
              <w:right w:val="single" w:sz="4" w:space="0" w:color="auto"/>
            </w:tcBorders>
            <w:shd w:val="clear" w:color="auto" w:fill="auto"/>
            <w:vAlign w:val="bottom"/>
          </w:tcPr>
          <w:p w:rsidR="0098177D" w:rsidRPr="00987C72" w:rsidRDefault="0098177D" w:rsidP="00DA2344">
            <w:pPr>
              <w:spacing w:after="0" w:line="240" w:lineRule="auto"/>
              <w:jc w:val="right"/>
              <w:rPr>
                <w:rFonts w:ascii="Times New Roman" w:hAnsi="Times New Roman"/>
              </w:rPr>
            </w:pPr>
            <w:r>
              <w:rPr>
                <w:rFonts w:ascii="Times New Roman" w:hAnsi="Times New Roman"/>
              </w:rPr>
              <w:t>99,5</w:t>
            </w:r>
          </w:p>
        </w:tc>
        <w:tc>
          <w:tcPr>
            <w:tcW w:w="841" w:type="dxa"/>
            <w:tcBorders>
              <w:top w:val="single" w:sz="4" w:space="0" w:color="auto"/>
              <w:left w:val="nil"/>
              <w:bottom w:val="single" w:sz="4" w:space="0" w:color="auto"/>
              <w:right w:val="single" w:sz="4" w:space="0" w:color="auto"/>
            </w:tcBorders>
            <w:shd w:val="clear" w:color="auto" w:fill="auto"/>
            <w:vAlign w:val="bottom"/>
          </w:tcPr>
          <w:p w:rsidR="0098177D" w:rsidRPr="00987C72" w:rsidRDefault="0098177D" w:rsidP="00DA2344">
            <w:pPr>
              <w:spacing w:after="0" w:line="240" w:lineRule="auto"/>
              <w:jc w:val="right"/>
              <w:rPr>
                <w:rFonts w:ascii="Times New Roman" w:hAnsi="Times New Roman"/>
              </w:rPr>
            </w:pPr>
            <w:r>
              <w:rPr>
                <w:rFonts w:ascii="Times New Roman" w:hAnsi="Times New Roman"/>
              </w:rPr>
              <w:t>40,2</w:t>
            </w:r>
          </w:p>
        </w:tc>
        <w:tc>
          <w:tcPr>
            <w:tcW w:w="1143" w:type="dxa"/>
            <w:tcBorders>
              <w:top w:val="single" w:sz="4" w:space="0" w:color="auto"/>
              <w:left w:val="nil"/>
              <w:bottom w:val="single" w:sz="4" w:space="0" w:color="auto"/>
              <w:right w:val="single" w:sz="4" w:space="0" w:color="auto"/>
            </w:tcBorders>
            <w:shd w:val="clear" w:color="auto" w:fill="auto"/>
            <w:vAlign w:val="bottom"/>
          </w:tcPr>
          <w:p w:rsidR="0098177D" w:rsidRPr="00987C72" w:rsidRDefault="0098177D" w:rsidP="00DA2344">
            <w:pPr>
              <w:spacing w:after="0" w:line="240" w:lineRule="auto"/>
              <w:jc w:val="right"/>
              <w:rPr>
                <w:rFonts w:ascii="Times New Roman" w:hAnsi="Times New Roman"/>
              </w:rPr>
            </w:pPr>
            <w:r>
              <w:rPr>
                <w:rFonts w:ascii="Times New Roman" w:hAnsi="Times New Roman"/>
              </w:rPr>
              <w:t>41,3</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8177D" w:rsidRPr="00987C72" w:rsidRDefault="0098177D" w:rsidP="00DA2344">
            <w:pPr>
              <w:spacing w:after="0" w:line="240" w:lineRule="auto"/>
              <w:jc w:val="right"/>
              <w:rPr>
                <w:rFonts w:ascii="Times New Roman" w:hAnsi="Times New Roman"/>
              </w:rPr>
            </w:pPr>
            <w:r>
              <w:rPr>
                <w:rFonts w:ascii="Times New Roman" w:hAnsi="Times New Roman"/>
              </w:rPr>
              <w:t>102,7</w:t>
            </w:r>
          </w:p>
        </w:tc>
      </w:tr>
      <w:tr w:rsidR="0098177D" w:rsidRPr="00987C72" w:rsidTr="00DA2344">
        <w:trPr>
          <w:trHeight w:val="213"/>
        </w:trPr>
        <w:tc>
          <w:tcPr>
            <w:tcW w:w="2895" w:type="dxa"/>
            <w:tcBorders>
              <w:top w:val="single" w:sz="4" w:space="0" w:color="auto"/>
              <w:left w:val="single" w:sz="4" w:space="0" w:color="auto"/>
              <w:bottom w:val="single" w:sz="4" w:space="0" w:color="auto"/>
              <w:right w:val="single" w:sz="4" w:space="0" w:color="auto"/>
            </w:tcBorders>
            <w:shd w:val="clear" w:color="auto" w:fill="auto"/>
          </w:tcPr>
          <w:p w:rsidR="0098177D" w:rsidRPr="00987C72" w:rsidRDefault="0098177D" w:rsidP="00DA2344">
            <w:pPr>
              <w:spacing w:after="0" w:line="240" w:lineRule="auto"/>
              <w:rPr>
                <w:rFonts w:ascii="Times New Roman" w:hAnsi="Times New Roman"/>
                <w:bCs/>
              </w:rPr>
            </w:pPr>
            <w:r>
              <w:rPr>
                <w:rFonts w:ascii="Times New Roman" w:hAnsi="Times New Roman"/>
                <w:bCs/>
              </w:rPr>
              <w:t>озимый ячмень</w:t>
            </w:r>
          </w:p>
        </w:tc>
        <w:tc>
          <w:tcPr>
            <w:tcW w:w="1080" w:type="dxa"/>
            <w:tcBorders>
              <w:top w:val="single" w:sz="4" w:space="0" w:color="auto"/>
              <w:left w:val="nil"/>
              <w:bottom w:val="single" w:sz="4" w:space="0" w:color="auto"/>
              <w:right w:val="single" w:sz="4" w:space="0" w:color="auto"/>
            </w:tcBorders>
            <w:shd w:val="clear" w:color="auto" w:fill="auto"/>
            <w:vAlign w:val="bottom"/>
          </w:tcPr>
          <w:p w:rsidR="0098177D" w:rsidRPr="00987C72" w:rsidRDefault="0098177D" w:rsidP="00DA2344">
            <w:pPr>
              <w:spacing w:after="0" w:line="240" w:lineRule="auto"/>
              <w:jc w:val="right"/>
              <w:rPr>
                <w:rFonts w:ascii="Times New Roman" w:hAnsi="Times New Roman"/>
              </w:rPr>
            </w:pPr>
            <w:r>
              <w:rPr>
                <w:rFonts w:ascii="Times New Roman" w:hAnsi="Times New Roman"/>
              </w:rPr>
              <w:t>37,7</w:t>
            </w:r>
          </w:p>
        </w:tc>
        <w:tc>
          <w:tcPr>
            <w:tcW w:w="885" w:type="dxa"/>
            <w:tcBorders>
              <w:top w:val="single" w:sz="4" w:space="0" w:color="auto"/>
              <w:left w:val="nil"/>
              <w:bottom w:val="single" w:sz="4" w:space="0" w:color="auto"/>
              <w:right w:val="single" w:sz="4" w:space="0" w:color="auto"/>
            </w:tcBorders>
            <w:shd w:val="clear" w:color="auto" w:fill="auto"/>
            <w:vAlign w:val="bottom"/>
          </w:tcPr>
          <w:p w:rsidR="0098177D" w:rsidRPr="00987C72" w:rsidRDefault="0098177D" w:rsidP="00DA2344">
            <w:pPr>
              <w:spacing w:after="0" w:line="240" w:lineRule="auto"/>
              <w:jc w:val="right"/>
              <w:rPr>
                <w:rFonts w:ascii="Times New Roman" w:hAnsi="Times New Roman"/>
              </w:rPr>
            </w:pPr>
            <w:r>
              <w:rPr>
                <w:rFonts w:ascii="Times New Roman" w:hAnsi="Times New Roman"/>
              </w:rPr>
              <w:t>48,6</w:t>
            </w:r>
          </w:p>
        </w:tc>
        <w:tc>
          <w:tcPr>
            <w:tcW w:w="1236" w:type="dxa"/>
            <w:tcBorders>
              <w:top w:val="single" w:sz="4" w:space="0" w:color="auto"/>
              <w:left w:val="nil"/>
              <w:bottom w:val="single" w:sz="4" w:space="0" w:color="auto"/>
              <w:right w:val="single" w:sz="4" w:space="0" w:color="auto"/>
            </w:tcBorders>
            <w:shd w:val="clear" w:color="auto" w:fill="auto"/>
            <w:vAlign w:val="bottom"/>
          </w:tcPr>
          <w:p w:rsidR="0098177D" w:rsidRPr="00987C72" w:rsidRDefault="0098177D" w:rsidP="00DA2344">
            <w:pPr>
              <w:spacing w:after="0" w:line="240" w:lineRule="auto"/>
              <w:jc w:val="right"/>
              <w:rPr>
                <w:rFonts w:ascii="Times New Roman" w:hAnsi="Times New Roman"/>
              </w:rPr>
            </w:pPr>
            <w:r>
              <w:rPr>
                <w:rFonts w:ascii="Times New Roman" w:hAnsi="Times New Roman"/>
              </w:rPr>
              <w:t>128,9</w:t>
            </w:r>
          </w:p>
        </w:tc>
        <w:tc>
          <w:tcPr>
            <w:tcW w:w="841" w:type="dxa"/>
            <w:tcBorders>
              <w:top w:val="single" w:sz="4" w:space="0" w:color="auto"/>
              <w:left w:val="nil"/>
              <w:bottom w:val="single" w:sz="4" w:space="0" w:color="auto"/>
              <w:right w:val="single" w:sz="4" w:space="0" w:color="auto"/>
            </w:tcBorders>
            <w:shd w:val="clear" w:color="auto" w:fill="auto"/>
            <w:vAlign w:val="bottom"/>
          </w:tcPr>
          <w:p w:rsidR="0098177D" w:rsidRPr="00987C72" w:rsidRDefault="0098177D" w:rsidP="00DA2344">
            <w:pPr>
              <w:spacing w:after="0" w:line="240" w:lineRule="auto"/>
              <w:jc w:val="right"/>
              <w:rPr>
                <w:rFonts w:ascii="Times New Roman" w:hAnsi="Times New Roman"/>
              </w:rPr>
            </w:pPr>
            <w:r>
              <w:rPr>
                <w:rFonts w:ascii="Times New Roman" w:hAnsi="Times New Roman"/>
              </w:rPr>
              <w:t>30,9</w:t>
            </w:r>
          </w:p>
        </w:tc>
        <w:tc>
          <w:tcPr>
            <w:tcW w:w="1143" w:type="dxa"/>
            <w:tcBorders>
              <w:top w:val="single" w:sz="4" w:space="0" w:color="auto"/>
              <w:left w:val="nil"/>
              <w:bottom w:val="single" w:sz="4" w:space="0" w:color="auto"/>
              <w:right w:val="single" w:sz="4" w:space="0" w:color="auto"/>
            </w:tcBorders>
            <w:shd w:val="clear" w:color="auto" w:fill="auto"/>
            <w:vAlign w:val="bottom"/>
          </w:tcPr>
          <w:p w:rsidR="0098177D" w:rsidRPr="00987C72" w:rsidRDefault="0098177D" w:rsidP="00DA2344">
            <w:pPr>
              <w:spacing w:after="0" w:line="240" w:lineRule="auto"/>
              <w:jc w:val="right"/>
              <w:rPr>
                <w:rFonts w:ascii="Times New Roman" w:hAnsi="Times New Roman"/>
              </w:rPr>
            </w:pPr>
            <w:r>
              <w:rPr>
                <w:rFonts w:ascii="Times New Roman" w:hAnsi="Times New Roman"/>
              </w:rPr>
              <w:t>32,9</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8177D" w:rsidRPr="00987C72" w:rsidRDefault="0098177D" w:rsidP="00DA2344">
            <w:pPr>
              <w:spacing w:after="0" w:line="240" w:lineRule="auto"/>
              <w:jc w:val="right"/>
              <w:rPr>
                <w:rFonts w:ascii="Times New Roman" w:hAnsi="Times New Roman"/>
              </w:rPr>
            </w:pPr>
            <w:r>
              <w:rPr>
                <w:rFonts w:ascii="Times New Roman" w:hAnsi="Times New Roman"/>
              </w:rPr>
              <w:t>106,5</w:t>
            </w:r>
          </w:p>
        </w:tc>
      </w:tr>
      <w:tr w:rsidR="0098177D" w:rsidRPr="00987C72" w:rsidTr="00DA2344">
        <w:trPr>
          <w:trHeight w:val="213"/>
        </w:trPr>
        <w:tc>
          <w:tcPr>
            <w:tcW w:w="2895" w:type="dxa"/>
            <w:tcBorders>
              <w:top w:val="single" w:sz="4" w:space="0" w:color="auto"/>
              <w:left w:val="single" w:sz="4" w:space="0" w:color="auto"/>
              <w:bottom w:val="single" w:sz="4" w:space="0" w:color="auto"/>
              <w:right w:val="single" w:sz="4" w:space="0" w:color="auto"/>
            </w:tcBorders>
            <w:shd w:val="clear" w:color="auto" w:fill="auto"/>
          </w:tcPr>
          <w:p w:rsidR="0098177D" w:rsidRDefault="0098177D" w:rsidP="00DA2344">
            <w:pPr>
              <w:spacing w:after="0" w:line="240" w:lineRule="auto"/>
              <w:rPr>
                <w:rFonts w:ascii="Times New Roman" w:hAnsi="Times New Roman"/>
                <w:bCs/>
              </w:rPr>
            </w:pPr>
            <w:r>
              <w:rPr>
                <w:rFonts w:ascii="Times New Roman" w:hAnsi="Times New Roman"/>
                <w:bCs/>
              </w:rPr>
              <w:t>яровой ячмень</w:t>
            </w:r>
          </w:p>
        </w:tc>
        <w:tc>
          <w:tcPr>
            <w:tcW w:w="1080" w:type="dxa"/>
            <w:tcBorders>
              <w:top w:val="single" w:sz="4" w:space="0" w:color="auto"/>
              <w:left w:val="nil"/>
              <w:bottom w:val="single" w:sz="4" w:space="0" w:color="auto"/>
              <w:right w:val="single" w:sz="4" w:space="0" w:color="auto"/>
            </w:tcBorders>
            <w:shd w:val="clear" w:color="auto" w:fill="auto"/>
            <w:vAlign w:val="bottom"/>
          </w:tcPr>
          <w:p w:rsidR="0098177D" w:rsidRDefault="0098177D" w:rsidP="00DA2344">
            <w:pPr>
              <w:spacing w:after="0" w:line="240" w:lineRule="auto"/>
              <w:jc w:val="right"/>
              <w:rPr>
                <w:rFonts w:ascii="Times New Roman" w:hAnsi="Times New Roman"/>
              </w:rPr>
            </w:pPr>
            <w:r>
              <w:rPr>
                <w:rFonts w:ascii="Times New Roman" w:hAnsi="Times New Roman"/>
              </w:rPr>
              <w:t>20,7</w:t>
            </w:r>
          </w:p>
        </w:tc>
        <w:tc>
          <w:tcPr>
            <w:tcW w:w="885" w:type="dxa"/>
            <w:tcBorders>
              <w:top w:val="single" w:sz="4" w:space="0" w:color="auto"/>
              <w:left w:val="nil"/>
              <w:bottom w:val="single" w:sz="4" w:space="0" w:color="auto"/>
              <w:right w:val="single" w:sz="4" w:space="0" w:color="auto"/>
            </w:tcBorders>
            <w:shd w:val="clear" w:color="auto" w:fill="auto"/>
            <w:vAlign w:val="bottom"/>
          </w:tcPr>
          <w:p w:rsidR="0098177D" w:rsidRDefault="0098177D" w:rsidP="00DA2344">
            <w:pPr>
              <w:spacing w:after="0" w:line="240" w:lineRule="auto"/>
              <w:jc w:val="right"/>
              <w:rPr>
                <w:rFonts w:ascii="Times New Roman" w:hAnsi="Times New Roman"/>
              </w:rPr>
            </w:pPr>
            <w:r>
              <w:rPr>
                <w:rFonts w:ascii="Times New Roman" w:hAnsi="Times New Roman"/>
              </w:rPr>
              <w:t>21,2</w:t>
            </w:r>
          </w:p>
        </w:tc>
        <w:tc>
          <w:tcPr>
            <w:tcW w:w="1236" w:type="dxa"/>
            <w:tcBorders>
              <w:top w:val="single" w:sz="4" w:space="0" w:color="auto"/>
              <w:left w:val="nil"/>
              <w:bottom w:val="single" w:sz="4" w:space="0" w:color="auto"/>
              <w:right w:val="single" w:sz="4" w:space="0" w:color="auto"/>
            </w:tcBorders>
            <w:shd w:val="clear" w:color="auto" w:fill="auto"/>
            <w:vAlign w:val="bottom"/>
          </w:tcPr>
          <w:p w:rsidR="0098177D" w:rsidRDefault="0098177D" w:rsidP="00DA2344">
            <w:pPr>
              <w:spacing w:after="0" w:line="240" w:lineRule="auto"/>
              <w:jc w:val="right"/>
              <w:rPr>
                <w:rFonts w:ascii="Times New Roman" w:hAnsi="Times New Roman"/>
              </w:rPr>
            </w:pPr>
            <w:r>
              <w:rPr>
                <w:rFonts w:ascii="Times New Roman" w:hAnsi="Times New Roman"/>
              </w:rPr>
              <w:t>102,4</w:t>
            </w:r>
          </w:p>
        </w:tc>
        <w:tc>
          <w:tcPr>
            <w:tcW w:w="841" w:type="dxa"/>
            <w:tcBorders>
              <w:top w:val="single" w:sz="4" w:space="0" w:color="auto"/>
              <w:left w:val="nil"/>
              <w:bottom w:val="single" w:sz="4" w:space="0" w:color="auto"/>
              <w:right w:val="single" w:sz="4" w:space="0" w:color="auto"/>
            </w:tcBorders>
            <w:shd w:val="clear" w:color="auto" w:fill="auto"/>
            <w:vAlign w:val="bottom"/>
          </w:tcPr>
          <w:p w:rsidR="0098177D" w:rsidRDefault="0098177D" w:rsidP="00DA2344">
            <w:pPr>
              <w:spacing w:after="0" w:line="240" w:lineRule="auto"/>
              <w:jc w:val="right"/>
              <w:rPr>
                <w:rFonts w:ascii="Times New Roman" w:hAnsi="Times New Roman"/>
              </w:rPr>
            </w:pPr>
            <w:r>
              <w:rPr>
                <w:rFonts w:ascii="Times New Roman" w:hAnsi="Times New Roman"/>
              </w:rPr>
              <w:t>21,7</w:t>
            </w:r>
          </w:p>
        </w:tc>
        <w:tc>
          <w:tcPr>
            <w:tcW w:w="1143" w:type="dxa"/>
            <w:tcBorders>
              <w:top w:val="single" w:sz="4" w:space="0" w:color="auto"/>
              <w:left w:val="nil"/>
              <w:bottom w:val="single" w:sz="4" w:space="0" w:color="auto"/>
              <w:right w:val="single" w:sz="4" w:space="0" w:color="auto"/>
            </w:tcBorders>
            <w:shd w:val="clear" w:color="auto" w:fill="auto"/>
            <w:vAlign w:val="bottom"/>
          </w:tcPr>
          <w:p w:rsidR="0098177D" w:rsidRDefault="0098177D" w:rsidP="00DA2344">
            <w:pPr>
              <w:spacing w:after="0" w:line="240" w:lineRule="auto"/>
              <w:jc w:val="right"/>
              <w:rPr>
                <w:rFonts w:ascii="Times New Roman" w:hAnsi="Times New Roman"/>
              </w:rPr>
            </w:pPr>
            <w:r>
              <w:rPr>
                <w:rFonts w:ascii="Times New Roman" w:hAnsi="Times New Roman"/>
              </w:rPr>
              <w:t>25,7</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8177D" w:rsidRDefault="0098177D" w:rsidP="00DA2344">
            <w:pPr>
              <w:spacing w:after="0" w:line="240" w:lineRule="auto"/>
              <w:jc w:val="right"/>
              <w:rPr>
                <w:rFonts w:ascii="Times New Roman" w:hAnsi="Times New Roman"/>
              </w:rPr>
            </w:pPr>
            <w:r>
              <w:rPr>
                <w:rFonts w:ascii="Times New Roman" w:hAnsi="Times New Roman"/>
              </w:rPr>
              <w:t>118,4</w:t>
            </w:r>
          </w:p>
        </w:tc>
      </w:tr>
    </w:tbl>
    <w:p w:rsidR="0098177D" w:rsidRPr="00987C72" w:rsidRDefault="0098177D" w:rsidP="0098177D">
      <w:pPr>
        <w:tabs>
          <w:tab w:val="left" w:pos="7020"/>
          <w:tab w:val="left" w:pos="8460"/>
        </w:tabs>
        <w:spacing w:after="0" w:line="240" w:lineRule="auto"/>
        <w:rPr>
          <w:rFonts w:ascii="Times New Roman" w:hAnsi="Times New Roman"/>
          <w:sz w:val="20"/>
          <w:szCs w:val="20"/>
        </w:rPr>
      </w:pPr>
      <w:r>
        <w:rPr>
          <w:rFonts w:ascii="Times New Roman" w:hAnsi="Times New Roman"/>
          <w:sz w:val="20"/>
          <w:szCs w:val="20"/>
        </w:rPr>
        <w:t xml:space="preserve">  </w:t>
      </w:r>
      <w:r w:rsidRPr="00987C72">
        <w:rPr>
          <w:rFonts w:ascii="Times New Roman" w:hAnsi="Times New Roman"/>
          <w:sz w:val="20"/>
          <w:szCs w:val="20"/>
        </w:rPr>
        <w:t xml:space="preserve">*- </w:t>
      </w:r>
      <w:r>
        <w:rPr>
          <w:rFonts w:ascii="Times New Roman" w:hAnsi="Times New Roman"/>
          <w:sz w:val="20"/>
          <w:szCs w:val="20"/>
        </w:rPr>
        <w:t>темп роста к соответствующей дате 2013 года, %</w:t>
      </w:r>
    </w:p>
    <w:p w:rsidR="0098177D" w:rsidRDefault="0098177D" w:rsidP="0098177D">
      <w:pPr>
        <w:pStyle w:val="11"/>
      </w:pPr>
    </w:p>
    <w:p w:rsidR="0098177D" w:rsidRPr="001B1696" w:rsidRDefault="0098177D" w:rsidP="001B1696">
      <w:pPr>
        <w:pStyle w:val="11"/>
        <w:ind w:firstLine="709"/>
        <w:jc w:val="both"/>
        <w:rPr>
          <w:rFonts w:ascii="Times New Roman" w:hAnsi="Times New Roman"/>
          <w:sz w:val="24"/>
          <w:szCs w:val="24"/>
        </w:rPr>
      </w:pPr>
      <w:r w:rsidRPr="001B1696">
        <w:rPr>
          <w:rFonts w:ascii="Times New Roman" w:hAnsi="Times New Roman"/>
          <w:sz w:val="24"/>
          <w:szCs w:val="24"/>
        </w:rPr>
        <w:t>В животноводческой отрасли в январе-июне 2014 года отмечаются разновекторные тенденции развития. В рассматриваемом периоде объем выращивания скота и птицы увеличилось на 8,1%. Производство молока коровьего в результате увеличения продуктивности стада («+» 9,3%) и поголовья («+» 5,2%) возросло на 15,0%. Существенное увеличение поголовья кур несушек («+» 74,5%) предопределило увеличение производства яиц куриных на 39,8% по сравнению с соответствующим периодом прошлого года. Вместе с этим на фоне увелич</w:t>
      </w:r>
      <w:r w:rsidR="001B1696">
        <w:rPr>
          <w:rFonts w:ascii="Times New Roman" w:hAnsi="Times New Roman"/>
          <w:sz w:val="24"/>
          <w:szCs w:val="24"/>
        </w:rPr>
        <w:t>ения поголовья коров («+» 4,2%)</w:t>
      </w:r>
      <w:r w:rsidRPr="001B1696">
        <w:rPr>
          <w:rFonts w:ascii="Times New Roman" w:hAnsi="Times New Roman"/>
          <w:sz w:val="24"/>
          <w:szCs w:val="24"/>
        </w:rPr>
        <w:t>, птицы всех возрастов («+» 11,3%), отмечается снижение поголовья свиней («-»5,1%), овец и коз («-»12,8%), и в целом сокращение поголовья крупного рогатого скота на 4,6%.</w:t>
      </w:r>
    </w:p>
    <w:p w:rsidR="0098177D" w:rsidRPr="00BA074F" w:rsidRDefault="0098177D" w:rsidP="0098177D">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Таким образом, </w:t>
      </w:r>
      <w:r w:rsidRPr="00BA074F">
        <w:rPr>
          <w:rFonts w:ascii="Times New Roman" w:hAnsi="Times New Roman"/>
          <w:sz w:val="24"/>
          <w:szCs w:val="24"/>
        </w:rPr>
        <w:t xml:space="preserve">в агропромышленном комплексе республики </w:t>
      </w:r>
      <w:r>
        <w:rPr>
          <w:rFonts w:ascii="Times New Roman" w:hAnsi="Times New Roman"/>
          <w:sz w:val="24"/>
          <w:szCs w:val="24"/>
        </w:rPr>
        <w:t xml:space="preserve">наметились </w:t>
      </w:r>
      <w:r w:rsidRPr="00BA074F">
        <w:rPr>
          <w:rFonts w:ascii="Times New Roman" w:hAnsi="Times New Roman"/>
          <w:sz w:val="24"/>
          <w:szCs w:val="24"/>
        </w:rPr>
        <w:t>положительные тенденции в развитии растениеводческой отрасли, связанные с расширением площади орошаемых земель, внедрением интенсивных и ресурсосберегающих технологий, высокоурожайных и элитных сортов, а также современной высокопроизводительной сельскохозяйственной техники</w:t>
      </w:r>
      <w:r>
        <w:rPr>
          <w:rFonts w:ascii="Times New Roman" w:hAnsi="Times New Roman"/>
          <w:sz w:val="24"/>
          <w:szCs w:val="24"/>
        </w:rPr>
        <w:t>, что в совокупности с благоприятными погодными условиями текущего года позволило получить высокий урожай зерновых и зернобобовых культур первой группы</w:t>
      </w:r>
      <w:r w:rsidRPr="00BA074F">
        <w:rPr>
          <w:rFonts w:ascii="Times New Roman" w:hAnsi="Times New Roman"/>
          <w:sz w:val="24"/>
          <w:szCs w:val="24"/>
        </w:rPr>
        <w:t xml:space="preserve">. В </w:t>
      </w:r>
      <w:r w:rsidRPr="00BA074F">
        <w:rPr>
          <w:rFonts w:ascii="Times New Roman" w:hAnsi="Times New Roman"/>
          <w:sz w:val="24"/>
          <w:szCs w:val="24"/>
        </w:rPr>
        <w:lastRenderedPageBreak/>
        <w:t>животноводческой отрасли модернизация материально-технической базы, внедрение передовых технологий происходит медленными темпами, что не позволяет в целом достичь высокой результативности.</w:t>
      </w:r>
    </w:p>
    <w:p w:rsidR="0098177D" w:rsidRDefault="0098177D" w:rsidP="0098177D">
      <w:pPr>
        <w:pStyle w:val="a4"/>
        <w:rPr>
          <w:u w:val="single"/>
        </w:rPr>
      </w:pPr>
    </w:p>
    <w:p w:rsidR="0098177D" w:rsidRDefault="0098177D" w:rsidP="0098177D">
      <w:pPr>
        <w:pStyle w:val="a4"/>
      </w:pPr>
      <w:r>
        <w:rPr>
          <w:u w:val="single"/>
        </w:rPr>
        <w:t>Потребительский рынок.</w:t>
      </w:r>
      <w:r>
        <w:t xml:space="preserve"> </w:t>
      </w:r>
    </w:p>
    <w:p w:rsidR="0098177D" w:rsidRPr="001B1696" w:rsidRDefault="0098177D" w:rsidP="0098177D">
      <w:pPr>
        <w:pStyle w:val="a4"/>
        <w:rPr>
          <w:rStyle w:val="FontStyle183"/>
          <w:rFonts w:ascii="Times New Roman" w:hAnsi="Times New Roman" w:cs="Times New Roman"/>
          <w:i/>
          <w:sz w:val="24"/>
          <w:szCs w:val="24"/>
        </w:rPr>
      </w:pPr>
      <w:r w:rsidRPr="001B1696">
        <w:rPr>
          <w:rStyle w:val="FontStyle186"/>
          <w:rFonts w:ascii="Times New Roman" w:hAnsi="Times New Roman" w:cs="Times New Roman"/>
          <w:i w:val="0"/>
          <w:sz w:val="24"/>
          <w:szCs w:val="24"/>
        </w:rPr>
        <w:t>Замедление инфляционных процессов во всех основных сегментах потребительского рынка стало одной из наиболее заметных тенденций, характеризующих экономическую ситуацию в текущем периоде</w:t>
      </w:r>
      <w:r w:rsidRPr="001B1696">
        <w:rPr>
          <w:rStyle w:val="FontStyle183"/>
          <w:rFonts w:ascii="Times New Roman" w:hAnsi="Times New Roman" w:cs="Times New Roman"/>
          <w:i/>
          <w:sz w:val="24"/>
          <w:szCs w:val="24"/>
        </w:rPr>
        <w:t xml:space="preserve">. </w:t>
      </w:r>
      <w:r w:rsidRPr="001B1696">
        <w:rPr>
          <w:rStyle w:val="FontStyle183"/>
          <w:rFonts w:ascii="Times New Roman" w:hAnsi="Times New Roman" w:cs="Times New Roman"/>
          <w:sz w:val="24"/>
          <w:szCs w:val="24"/>
        </w:rPr>
        <w:t>Сохранить ценовую стабильность удалось благодаря комплексному воздействию административных и рыночных факторов. В целом инфляционный фон на потребительском рынке формировался в сегменте административно-регулируемых услуг и поддерживался сезонным фактором в сфере товаров.</w:t>
      </w:r>
    </w:p>
    <w:p w:rsidR="0098177D" w:rsidRDefault="0098177D" w:rsidP="0098177D">
      <w:pPr>
        <w:pStyle w:val="a4"/>
        <w:ind w:hanging="426"/>
      </w:pPr>
      <w:r w:rsidRPr="003C66BB">
        <w:rPr>
          <w:noProof/>
        </w:rPr>
        <w:drawing>
          <wp:inline distT="0" distB="0" distL="0" distR="0">
            <wp:extent cx="6419850" cy="2200275"/>
            <wp:effectExtent l="0" t="0" r="0" b="0"/>
            <wp:docPr id="1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8177D" w:rsidRPr="001B1696" w:rsidRDefault="0098177D" w:rsidP="0098177D">
      <w:pPr>
        <w:pStyle w:val="a4"/>
        <w:rPr>
          <w:rStyle w:val="FontStyle183"/>
          <w:rFonts w:ascii="Times New Roman" w:hAnsi="Times New Roman" w:cs="Times New Roman"/>
          <w:sz w:val="24"/>
          <w:szCs w:val="24"/>
        </w:rPr>
      </w:pPr>
      <w:r w:rsidRPr="001B1696">
        <w:rPr>
          <w:rStyle w:val="FontStyle183"/>
          <w:rFonts w:ascii="Times New Roman" w:hAnsi="Times New Roman" w:cs="Times New Roman"/>
          <w:sz w:val="24"/>
          <w:szCs w:val="24"/>
        </w:rPr>
        <w:t xml:space="preserve">По итогам </w:t>
      </w:r>
      <w:r w:rsidRPr="001B1696">
        <w:rPr>
          <w:rStyle w:val="FontStyle183"/>
          <w:rFonts w:ascii="Times New Roman" w:hAnsi="Times New Roman" w:cs="Times New Roman"/>
          <w:sz w:val="24"/>
          <w:szCs w:val="24"/>
          <w:lang w:val="en-US"/>
        </w:rPr>
        <w:t>I</w:t>
      </w:r>
      <w:r w:rsidRPr="001B1696">
        <w:rPr>
          <w:rStyle w:val="FontStyle183"/>
          <w:rFonts w:ascii="Times New Roman" w:hAnsi="Times New Roman" w:cs="Times New Roman"/>
          <w:sz w:val="24"/>
          <w:szCs w:val="24"/>
        </w:rPr>
        <w:t xml:space="preserve"> полугодия инфляционный фон сложился на уровне 1,0196 против 1,0342 в январе-июне 2013 года. При этом цены на продовольственные товары повысились на 2,94% (в 2013 году «+»4,47%), тарифы на услуги повысились на 7,2% (в 2013 году «+»5,9%), в совокупности с дефляцией на непродовольственные товары «-2,0%» (в 2013 году «+»0,5%). </w:t>
      </w:r>
    </w:p>
    <w:p w:rsidR="0098177D" w:rsidRPr="001B1696" w:rsidRDefault="0098177D" w:rsidP="0098177D">
      <w:pPr>
        <w:pStyle w:val="a4"/>
        <w:rPr>
          <w:rStyle w:val="FontStyle183"/>
          <w:rFonts w:ascii="Times New Roman" w:hAnsi="Times New Roman" w:cs="Times New Roman"/>
          <w:sz w:val="24"/>
          <w:szCs w:val="24"/>
        </w:rPr>
      </w:pPr>
      <w:r w:rsidRPr="001B1696">
        <w:rPr>
          <w:rStyle w:val="FontStyle183"/>
          <w:rFonts w:ascii="Times New Roman" w:hAnsi="Times New Roman" w:cs="Times New Roman"/>
          <w:sz w:val="24"/>
          <w:szCs w:val="24"/>
        </w:rPr>
        <w:t>Немаловажную роль в снижении совокупного инфляционного давления сыграла взвешенная валютная политика. За шесть месяцев официальный курс доллара США не изменился и сохранился на уровне 11,1 руб. /долл. США.</w:t>
      </w:r>
    </w:p>
    <w:p w:rsidR="0098177D" w:rsidRPr="001B1696" w:rsidRDefault="0098177D" w:rsidP="0098177D">
      <w:pPr>
        <w:spacing w:after="0" w:line="240" w:lineRule="auto"/>
        <w:ind w:firstLine="709"/>
        <w:jc w:val="both"/>
        <w:rPr>
          <w:rFonts w:ascii="Times New Roman" w:hAnsi="Times New Roman"/>
          <w:sz w:val="24"/>
          <w:szCs w:val="24"/>
        </w:rPr>
      </w:pPr>
      <w:r w:rsidRPr="001B1696">
        <w:rPr>
          <w:rFonts w:ascii="Times New Roman" w:hAnsi="Times New Roman"/>
          <w:sz w:val="24"/>
          <w:szCs w:val="24"/>
        </w:rPr>
        <w:t>В тоже время в январе-июне 2014 года следует отметить слабоположительную динамику потребительского рынка (+0,1%) в сопоставимых ценах. При этом розничный товарооборот сократился на 1,2%, в свою очередь платные услуги расширились на 4,5% соответственно.</w:t>
      </w:r>
    </w:p>
    <w:p w:rsidR="0098177D" w:rsidRPr="001B1696" w:rsidRDefault="0098177D" w:rsidP="0098177D">
      <w:pPr>
        <w:pStyle w:val="20"/>
        <w:spacing w:after="0" w:line="240" w:lineRule="auto"/>
        <w:ind w:left="0" w:firstLine="709"/>
        <w:jc w:val="both"/>
        <w:rPr>
          <w:rFonts w:ascii="Times New Roman" w:hAnsi="Times New Roman"/>
          <w:sz w:val="24"/>
          <w:szCs w:val="24"/>
        </w:rPr>
      </w:pPr>
      <w:r w:rsidRPr="001B1696">
        <w:rPr>
          <w:rFonts w:ascii="Times New Roman" w:hAnsi="Times New Roman"/>
          <w:sz w:val="24"/>
          <w:szCs w:val="24"/>
        </w:rPr>
        <w:t>На фоне умеренной динамики цен и потребительского спроса со стороны населения совокупный объем продаж товаров и услуг в январе-июне 2014 года составил 4 675,4 млн. руб., превысив показатель первого полугодия 2013 года в текущих ценах на 1,0%. В сопоставимой оценке его объем сложился практически на уровне базового показателя минувшего года, увеличившись на 0,1%.</w:t>
      </w:r>
    </w:p>
    <w:p w:rsidR="0098177D" w:rsidRDefault="0098177D" w:rsidP="0098177D">
      <w:pPr>
        <w:pStyle w:val="20"/>
        <w:spacing w:after="0" w:line="240" w:lineRule="auto"/>
        <w:ind w:left="-851"/>
        <w:jc w:val="both"/>
        <w:rPr>
          <w:rFonts w:ascii="Times New Roman" w:hAnsi="Times New Roman"/>
          <w:sz w:val="24"/>
          <w:szCs w:val="24"/>
        </w:rPr>
      </w:pPr>
      <w:r w:rsidRPr="002646AD">
        <w:rPr>
          <w:rFonts w:ascii="Times New Roman" w:hAnsi="Times New Roman"/>
          <w:noProof/>
          <w:sz w:val="24"/>
          <w:szCs w:val="24"/>
        </w:rPr>
        <w:drawing>
          <wp:inline distT="0" distB="0" distL="0" distR="0">
            <wp:extent cx="6572250" cy="2009775"/>
            <wp:effectExtent l="0" t="0" r="0" b="0"/>
            <wp:docPr id="13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8177D" w:rsidRPr="002646AD" w:rsidRDefault="0098177D" w:rsidP="0098177D">
      <w:pPr>
        <w:pStyle w:val="20"/>
        <w:spacing w:after="0" w:line="240" w:lineRule="auto"/>
        <w:ind w:left="0" w:firstLine="709"/>
        <w:jc w:val="both"/>
        <w:rPr>
          <w:rFonts w:ascii="Times New Roman" w:hAnsi="Times New Roman"/>
          <w:sz w:val="24"/>
          <w:szCs w:val="24"/>
        </w:rPr>
      </w:pPr>
      <w:r w:rsidRPr="002646AD">
        <w:rPr>
          <w:rFonts w:ascii="Times New Roman" w:hAnsi="Times New Roman"/>
          <w:sz w:val="24"/>
          <w:szCs w:val="24"/>
        </w:rPr>
        <w:lastRenderedPageBreak/>
        <w:t xml:space="preserve">При этом товарный рынок в первом полугодии текущего года демонстрировал </w:t>
      </w:r>
      <w:r w:rsidRPr="002646AD">
        <w:rPr>
          <w:rFonts w:ascii="Times New Roman" w:eastAsia="TimesNewRoman" w:hAnsi="Times New Roman"/>
          <w:sz w:val="24"/>
          <w:szCs w:val="24"/>
        </w:rPr>
        <w:t>понижательную динамику, сократив объемы розничных продаж</w:t>
      </w:r>
      <w:r w:rsidRPr="002646AD">
        <w:rPr>
          <w:rFonts w:ascii="Times New Roman" w:hAnsi="Times New Roman"/>
          <w:sz w:val="24"/>
          <w:szCs w:val="24"/>
        </w:rPr>
        <w:t xml:space="preserve"> на 1,2% (в сопоставимых ценах), тогда как потребление услуг населением</w:t>
      </w:r>
      <w:r>
        <w:rPr>
          <w:rFonts w:ascii="Times New Roman" w:hAnsi="Times New Roman"/>
          <w:sz w:val="24"/>
          <w:szCs w:val="24"/>
        </w:rPr>
        <w:t>,</w:t>
      </w:r>
      <w:r w:rsidRPr="002646AD">
        <w:rPr>
          <w:rFonts w:ascii="Times New Roman" w:hAnsi="Times New Roman"/>
          <w:sz w:val="24"/>
          <w:szCs w:val="24"/>
        </w:rPr>
        <w:t xml:space="preserve"> напротив, расширилось по отношению к аналогичному периоду 2013 года на 4,5% (в сопоставимых ценах). </w:t>
      </w:r>
    </w:p>
    <w:p w:rsidR="0098177D" w:rsidRPr="002646AD" w:rsidRDefault="0098177D" w:rsidP="0098177D">
      <w:pPr>
        <w:spacing w:after="0" w:line="240" w:lineRule="auto"/>
        <w:ind w:firstLine="709"/>
        <w:jc w:val="both"/>
        <w:rPr>
          <w:rFonts w:ascii="Times New Roman" w:hAnsi="Times New Roman"/>
          <w:sz w:val="24"/>
          <w:szCs w:val="24"/>
        </w:rPr>
      </w:pPr>
    </w:p>
    <w:p w:rsidR="0098177D" w:rsidRDefault="0098177D" w:rsidP="0098177D">
      <w:pPr>
        <w:pStyle w:val="a4"/>
        <w:rPr>
          <w:shd w:val="clear" w:color="auto" w:fill="FFFFFF"/>
        </w:rPr>
      </w:pPr>
      <w:r>
        <w:rPr>
          <w:u w:val="single"/>
          <w:shd w:val="clear" w:color="auto" w:fill="FFFFFF"/>
        </w:rPr>
        <w:t>Уровень жизни</w:t>
      </w:r>
      <w:r>
        <w:rPr>
          <w:shd w:val="clear" w:color="auto" w:fill="FFFFFF"/>
        </w:rPr>
        <w:t xml:space="preserve">. </w:t>
      </w:r>
    </w:p>
    <w:p w:rsidR="0098177D" w:rsidRDefault="0098177D" w:rsidP="0098177D">
      <w:pPr>
        <w:spacing w:after="0" w:line="240" w:lineRule="auto"/>
        <w:ind w:firstLine="720"/>
        <w:jc w:val="both"/>
        <w:rPr>
          <w:rFonts w:ascii="Times New Roman" w:hAnsi="Times New Roman"/>
          <w:sz w:val="24"/>
          <w:szCs w:val="24"/>
          <w:shd w:val="clear" w:color="auto" w:fill="FFFFFF"/>
        </w:rPr>
      </w:pPr>
      <w:r w:rsidRPr="00B94BEE">
        <w:rPr>
          <w:rFonts w:ascii="Times New Roman" w:hAnsi="Times New Roman"/>
          <w:sz w:val="24"/>
          <w:szCs w:val="24"/>
          <w:shd w:val="clear" w:color="auto" w:fill="FFFFFF"/>
        </w:rPr>
        <w:t xml:space="preserve">В январе-июне 2014 года, несмотря на сложные условия хозяйствования продолжился рост реальной заработной платы в отраслях экономики. </w:t>
      </w:r>
    </w:p>
    <w:p w:rsidR="0098177D" w:rsidRDefault="0098177D" w:rsidP="0098177D">
      <w:pPr>
        <w:spacing w:after="0" w:line="240" w:lineRule="auto"/>
        <w:ind w:hanging="567"/>
        <w:jc w:val="both"/>
        <w:rPr>
          <w:rFonts w:ascii="Times New Roman" w:hAnsi="Times New Roman"/>
          <w:sz w:val="24"/>
          <w:szCs w:val="24"/>
          <w:shd w:val="clear" w:color="auto" w:fill="FFFFFF"/>
        </w:rPr>
      </w:pPr>
      <w:r w:rsidRPr="00803B92">
        <w:rPr>
          <w:rFonts w:ascii="Times New Roman" w:hAnsi="Times New Roman"/>
          <w:noProof/>
          <w:sz w:val="24"/>
          <w:szCs w:val="24"/>
          <w:shd w:val="clear" w:color="auto" w:fill="FFFFFF"/>
        </w:rPr>
        <w:drawing>
          <wp:inline distT="0" distB="0" distL="0" distR="0">
            <wp:extent cx="6457950" cy="2609850"/>
            <wp:effectExtent l="0" t="0" r="0" b="0"/>
            <wp:docPr id="1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8177D" w:rsidRDefault="0098177D" w:rsidP="0098177D">
      <w:pPr>
        <w:spacing w:after="0" w:line="240" w:lineRule="auto"/>
        <w:ind w:firstLine="708"/>
        <w:jc w:val="both"/>
        <w:rPr>
          <w:rFonts w:ascii="Times New Roman" w:hAnsi="Times New Roman"/>
          <w:sz w:val="24"/>
          <w:szCs w:val="24"/>
        </w:rPr>
      </w:pPr>
      <w:r w:rsidRPr="00B94BEE">
        <w:rPr>
          <w:rFonts w:ascii="Times New Roman" w:hAnsi="Times New Roman"/>
          <w:sz w:val="24"/>
          <w:szCs w:val="24"/>
          <w:shd w:val="clear" w:color="auto" w:fill="FFFFFF"/>
        </w:rPr>
        <w:t>Номинальная заработная плата в целом по республике (кроме субъектов малого предпринимательства и без учета силовых структур) составила 4 020 руб., повысившись на 9,8%, реальная ее величина с учетом корректировки на инфляционный фактор возросла по отношению к базисному уровню на 7,5%.</w:t>
      </w:r>
      <w:r w:rsidRPr="00B94BEE">
        <w:rPr>
          <w:rFonts w:ascii="Times New Roman" w:hAnsi="Times New Roman"/>
          <w:sz w:val="24"/>
          <w:szCs w:val="24"/>
        </w:rPr>
        <w:t xml:space="preserve"> </w:t>
      </w:r>
    </w:p>
    <w:p w:rsidR="0098177D" w:rsidRDefault="0098177D" w:rsidP="0098177D">
      <w:pPr>
        <w:spacing w:after="0" w:line="240" w:lineRule="auto"/>
        <w:ind w:hanging="142"/>
        <w:jc w:val="both"/>
        <w:rPr>
          <w:rFonts w:ascii="Times New Roman" w:hAnsi="Times New Roman"/>
          <w:sz w:val="24"/>
          <w:szCs w:val="24"/>
        </w:rPr>
      </w:pPr>
      <w:r w:rsidRPr="00A44AD4">
        <w:rPr>
          <w:rFonts w:ascii="Times New Roman" w:hAnsi="Times New Roman"/>
          <w:noProof/>
          <w:sz w:val="24"/>
          <w:szCs w:val="24"/>
        </w:rPr>
        <w:drawing>
          <wp:inline distT="0" distB="0" distL="0" distR="0">
            <wp:extent cx="5943600" cy="4514850"/>
            <wp:effectExtent l="0" t="0" r="0" b="0"/>
            <wp:docPr id="13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8177D" w:rsidRPr="0054346F" w:rsidRDefault="0098177D" w:rsidP="0098177D">
      <w:pPr>
        <w:pStyle w:val="a4"/>
        <w:rPr>
          <w:shd w:val="clear" w:color="auto" w:fill="FFFFFF"/>
        </w:rPr>
      </w:pPr>
      <w:r w:rsidRPr="0054346F">
        <w:rPr>
          <w:shd w:val="clear" w:color="auto" w:fill="FFFFFF"/>
        </w:rPr>
        <w:lastRenderedPageBreak/>
        <w:t>В тоже время значимым обстоятельством напряженности в обществе продолжает выступать высокая степень дифференциации размера заработной платы в отраслях экономики (превышение в 5,2 раза), не претерпевшая существенных структурных изменений. Так самый высокий уровень заработной платы традиционно оставался у работников таких отраслей экономики как, «Электро и радиосвязь» (9 274 руб.), «Банки и кредитование» (8 308 руб.), «Страхование» (5 439 руб.), где превышение среднереспубликанского уровня варьировало в пределах 2,3 – 1,4 раза.</w:t>
      </w:r>
    </w:p>
    <w:p w:rsidR="0098177D" w:rsidRPr="001B1696" w:rsidRDefault="0098177D" w:rsidP="0098177D">
      <w:pPr>
        <w:pStyle w:val="a4"/>
        <w:rPr>
          <w:szCs w:val="24"/>
          <w:shd w:val="clear" w:color="auto" w:fill="FFFFFF"/>
        </w:rPr>
      </w:pPr>
      <w:r w:rsidRPr="001B1696">
        <w:rPr>
          <w:szCs w:val="24"/>
          <w:shd w:val="clear" w:color="auto" w:fill="FFFFFF"/>
        </w:rPr>
        <w:t>Вместе с этим, несмотря на сложную ситуацию в республике среднемесячную заработную плату у работников отраслей бюджетной сферы удалось повысить на 12,5% до 2 722 руб., но при этом ее размер составляет 67,7% от среднереспубликанского уровня.</w:t>
      </w:r>
    </w:p>
    <w:p w:rsidR="0098177D" w:rsidRPr="001B1696" w:rsidRDefault="0098177D" w:rsidP="0098177D">
      <w:pPr>
        <w:pStyle w:val="11"/>
        <w:rPr>
          <w:rFonts w:ascii="Times New Roman" w:hAnsi="Times New Roman"/>
          <w:sz w:val="24"/>
          <w:szCs w:val="24"/>
          <w:shd w:val="clear" w:color="auto" w:fill="FFFFFF"/>
        </w:rPr>
      </w:pPr>
      <w:r w:rsidRPr="001B1696">
        <w:rPr>
          <w:rFonts w:ascii="Times New Roman" w:hAnsi="Times New Roman"/>
          <w:sz w:val="24"/>
          <w:szCs w:val="24"/>
          <w:shd w:val="clear" w:color="auto" w:fill="FFFFFF"/>
        </w:rPr>
        <w:t>Средний размер назначенных пенсий за апрель-июнь 2014 года составил 1 351,25 руб., что на 8,2% больше базового показателя 2013 года и на 20,0% выше величины прожиточного минимума пенсионера.</w:t>
      </w:r>
    </w:p>
    <w:p w:rsidR="0098177D" w:rsidRPr="0054346F" w:rsidRDefault="0098177D" w:rsidP="0098177D">
      <w:pPr>
        <w:spacing w:after="0" w:line="240" w:lineRule="auto"/>
        <w:ind w:firstLine="709"/>
        <w:jc w:val="both"/>
        <w:rPr>
          <w:rFonts w:ascii="Times New Roman" w:hAnsi="Times New Roman"/>
          <w:sz w:val="24"/>
          <w:szCs w:val="24"/>
        </w:rPr>
      </w:pPr>
      <w:r w:rsidRPr="0054346F">
        <w:rPr>
          <w:rFonts w:ascii="Times New Roman" w:hAnsi="Times New Roman"/>
          <w:sz w:val="24"/>
          <w:szCs w:val="24"/>
          <w:shd w:val="clear" w:color="auto" w:fill="FFFFFF"/>
        </w:rPr>
        <w:t xml:space="preserve">Таким образом, итоги развития экономики республики в </w:t>
      </w:r>
      <w:r w:rsidRPr="0054346F">
        <w:rPr>
          <w:rFonts w:ascii="Times New Roman" w:hAnsi="Times New Roman"/>
          <w:sz w:val="24"/>
          <w:szCs w:val="24"/>
          <w:lang w:val="en-US"/>
        </w:rPr>
        <w:t>I</w:t>
      </w:r>
      <w:r w:rsidRPr="0054346F">
        <w:rPr>
          <w:rFonts w:ascii="Times New Roman" w:hAnsi="Times New Roman"/>
          <w:sz w:val="24"/>
          <w:szCs w:val="24"/>
        </w:rPr>
        <w:t xml:space="preserve"> полугодии 2014 года</w:t>
      </w:r>
      <w:r w:rsidRPr="0054346F">
        <w:rPr>
          <w:rFonts w:ascii="Times New Roman" w:hAnsi="Times New Roman"/>
          <w:sz w:val="24"/>
          <w:szCs w:val="24"/>
          <w:shd w:val="clear" w:color="auto" w:fill="FFFFFF"/>
        </w:rPr>
        <w:t xml:space="preserve"> на фоне возобновления производственной деятельностью</w:t>
      </w:r>
      <w:r w:rsidRPr="0054346F">
        <w:rPr>
          <w:rFonts w:ascii="Times New Roman" w:hAnsi="Times New Roman"/>
          <w:sz w:val="24"/>
          <w:szCs w:val="24"/>
        </w:rPr>
        <w:t xml:space="preserve"> ведущих предприятий индустрии, предопределили позитивную динамику основных макроэкономических показателей развития по сравнению с аналогичным периодом прошлого года.</w:t>
      </w:r>
      <w:r>
        <w:rPr>
          <w:rFonts w:ascii="Times New Roman" w:hAnsi="Times New Roman"/>
          <w:sz w:val="24"/>
          <w:szCs w:val="24"/>
        </w:rPr>
        <w:t xml:space="preserve"> В тоже время умеренные инфляционное давление и спросовые настроения населения предопределили </w:t>
      </w:r>
      <w:r w:rsidRPr="0054346F">
        <w:rPr>
          <w:rFonts w:ascii="Times New Roman" w:hAnsi="Times New Roman"/>
          <w:sz w:val="24"/>
          <w:szCs w:val="24"/>
        </w:rPr>
        <w:t>понижательную динамику продаж товаров и услуг на внутреннем потребительском рынке.</w:t>
      </w:r>
    </w:p>
    <w:p w:rsidR="0098177D" w:rsidRPr="0054346F" w:rsidRDefault="0098177D" w:rsidP="0098177D">
      <w:pPr>
        <w:spacing w:line="240" w:lineRule="auto"/>
        <w:ind w:firstLine="709"/>
        <w:jc w:val="both"/>
        <w:rPr>
          <w:rFonts w:ascii="Times New Roman" w:hAnsi="Times New Roman"/>
          <w:sz w:val="24"/>
          <w:szCs w:val="24"/>
        </w:rPr>
      </w:pPr>
      <w:r w:rsidRPr="0054346F">
        <w:rPr>
          <w:rFonts w:ascii="Times New Roman" w:hAnsi="Times New Roman"/>
          <w:sz w:val="24"/>
          <w:szCs w:val="24"/>
        </w:rPr>
        <w:t>Вместе с этим</w:t>
      </w:r>
      <w:r>
        <w:rPr>
          <w:rFonts w:ascii="Times New Roman" w:hAnsi="Times New Roman"/>
          <w:sz w:val="24"/>
          <w:szCs w:val="24"/>
        </w:rPr>
        <w:t>,</w:t>
      </w:r>
      <w:r w:rsidRPr="0054346F">
        <w:rPr>
          <w:rFonts w:ascii="Times New Roman" w:hAnsi="Times New Roman"/>
          <w:sz w:val="24"/>
          <w:szCs w:val="24"/>
        </w:rPr>
        <w:t xml:space="preserve"> неопределенность дальнейших перспектив развития, в связи с внешнеполитической и экономической конъюнктурной ситуацией в сопредельных государствах</w:t>
      </w:r>
      <w:r>
        <w:rPr>
          <w:rFonts w:ascii="Times New Roman" w:hAnsi="Times New Roman"/>
          <w:sz w:val="24"/>
          <w:szCs w:val="24"/>
        </w:rPr>
        <w:t xml:space="preserve"> могут скорректировать динамику макроэкономических показателе во второй половине текущего года.</w:t>
      </w:r>
      <w:r w:rsidRPr="0054346F">
        <w:rPr>
          <w:rFonts w:ascii="Times New Roman" w:hAnsi="Times New Roman"/>
          <w:sz w:val="24"/>
          <w:szCs w:val="24"/>
        </w:rPr>
        <w:t xml:space="preserve"> </w:t>
      </w:r>
    </w:p>
    <w:p w:rsidR="001B1696" w:rsidRPr="00F51B73" w:rsidRDefault="001B1696" w:rsidP="001B1696">
      <w:pPr>
        <w:spacing w:after="0" w:line="240" w:lineRule="auto"/>
        <w:ind w:firstLine="720"/>
        <w:jc w:val="both"/>
        <w:rPr>
          <w:rFonts w:ascii="Times New Roman" w:hAnsi="Times New Roman"/>
          <w:b/>
          <w:sz w:val="24"/>
          <w:szCs w:val="24"/>
        </w:rPr>
      </w:pPr>
      <w:r w:rsidRPr="00CF6C7C">
        <w:rPr>
          <w:rFonts w:ascii="Times New Roman" w:hAnsi="Times New Roman"/>
          <w:b/>
          <w:sz w:val="24"/>
          <w:szCs w:val="24"/>
        </w:rPr>
        <w:t>Объем и структура ВВП</w:t>
      </w:r>
    </w:p>
    <w:p w:rsidR="001B1696" w:rsidRDefault="001B1696" w:rsidP="001B1696">
      <w:pPr>
        <w:pStyle w:val="a4"/>
      </w:pPr>
    </w:p>
    <w:p w:rsidR="001B1696" w:rsidRDefault="001B1696" w:rsidP="001B1696">
      <w:pPr>
        <w:pStyle w:val="a4"/>
      </w:pPr>
      <w:r>
        <w:t>Номинальный объем созданного в республике валового внутреннего продукта за январь-июнь 2014 года составил 4 767,5 млн. руб. и соответствовал 429,5 млн. долл., увеличившись по отношению к базовому показателю 2013 года соответственно на 9,5%.</w:t>
      </w:r>
    </w:p>
    <w:p w:rsidR="001B1696" w:rsidRDefault="001B1696" w:rsidP="001B1696">
      <w:pPr>
        <w:pStyle w:val="a4"/>
        <w:jc w:val="center"/>
        <w:rPr>
          <w:b/>
        </w:rPr>
      </w:pPr>
    </w:p>
    <w:p w:rsidR="001B1696" w:rsidRPr="00D055EA" w:rsidRDefault="001B1696" w:rsidP="001B1696">
      <w:pPr>
        <w:pStyle w:val="a4"/>
        <w:jc w:val="center"/>
        <w:rPr>
          <w:b/>
        </w:rPr>
      </w:pPr>
      <w:r w:rsidRPr="00D055EA">
        <w:rPr>
          <w:b/>
        </w:rPr>
        <w:t>Динамика изменения объема ВВП</w:t>
      </w:r>
    </w:p>
    <w:p w:rsidR="001B1696" w:rsidRDefault="001B1696" w:rsidP="001B1696">
      <w:pPr>
        <w:pStyle w:val="a4"/>
        <w:ind w:hanging="567"/>
      </w:pPr>
      <w:r w:rsidRPr="00D055EA">
        <w:rPr>
          <w:noProof/>
        </w:rPr>
        <w:drawing>
          <wp:inline distT="0" distB="0" distL="0" distR="0">
            <wp:extent cx="6610350" cy="2000250"/>
            <wp:effectExtent l="0" t="0" r="0" b="0"/>
            <wp:docPr id="13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B1696" w:rsidRPr="008604AF" w:rsidRDefault="001B1696" w:rsidP="001B1696">
      <w:pPr>
        <w:spacing w:after="0" w:line="240" w:lineRule="auto"/>
        <w:ind w:firstLine="720"/>
        <w:jc w:val="both"/>
        <w:rPr>
          <w:rFonts w:ascii="Times New Roman" w:hAnsi="Times New Roman"/>
          <w:sz w:val="24"/>
          <w:szCs w:val="24"/>
        </w:rPr>
      </w:pPr>
      <w:r>
        <w:rPr>
          <w:rFonts w:ascii="Times New Roman" w:hAnsi="Times New Roman"/>
          <w:sz w:val="24"/>
          <w:szCs w:val="24"/>
        </w:rPr>
        <w:t>Р</w:t>
      </w:r>
      <w:r w:rsidRPr="003E5B73">
        <w:rPr>
          <w:rFonts w:ascii="Times New Roman" w:hAnsi="Times New Roman"/>
          <w:sz w:val="24"/>
          <w:szCs w:val="24"/>
        </w:rPr>
        <w:t>еальный прирост экономики (ВВП в сопоставимых ценах) с учетом корректировки на инфляционный фактор к базисной отметке января-июня 2013 года составил 1,0%, полностью нивелирова</w:t>
      </w:r>
      <w:r>
        <w:rPr>
          <w:rFonts w:ascii="Times New Roman" w:hAnsi="Times New Roman"/>
          <w:sz w:val="24"/>
          <w:szCs w:val="24"/>
        </w:rPr>
        <w:t>в</w:t>
      </w:r>
      <w:r w:rsidRPr="003E5B73">
        <w:rPr>
          <w:rFonts w:ascii="Times New Roman" w:hAnsi="Times New Roman"/>
          <w:sz w:val="24"/>
          <w:szCs w:val="24"/>
        </w:rPr>
        <w:t xml:space="preserve"> прошлогодний реальный спад экономики </w:t>
      </w:r>
      <w:r>
        <w:rPr>
          <w:rFonts w:ascii="Times New Roman" w:hAnsi="Times New Roman"/>
          <w:sz w:val="24"/>
          <w:szCs w:val="24"/>
        </w:rPr>
        <w:br/>
      </w:r>
      <w:r w:rsidRPr="003E5B73">
        <w:rPr>
          <w:rFonts w:ascii="Times New Roman" w:hAnsi="Times New Roman"/>
          <w:sz w:val="24"/>
          <w:szCs w:val="24"/>
        </w:rPr>
        <w:t>(«-»5,1%).</w:t>
      </w:r>
      <w:r w:rsidRPr="000B6BF6">
        <w:rPr>
          <w:color w:val="548DD4" w:themeColor="text2" w:themeTint="99"/>
        </w:rPr>
        <w:t xml:space="preserve"> </w:t>
      </w:r>
      <w:r w:rsidRPr="008604AF">
        <w:rPr>
          <w:rFonts w:ascii="Times New Roman" w:hAnsi="Times New Roman"/>
          <w:sz w:val="24"/>
          <w:szCs w:val="24"/>
        </w:rPr>
        <w:t xml:space="preserve">Данный прирост обеспечен в значительной мере увеличением добавленной стоимости в промышленном секторе </w:t>
      </w:r>
      <w:r>
        <w:rPr>
          <w:rFonts w:ascii="Times New Roman" w:hAnsi="Times New Roman"/>
          <w:sz w:val="24"/>
          <w:szCs w:val="24"/>
        </w:rPr>
        <w:t xml:space="preserve">(«+»34,9%) </w:t>
      </w:r>
      <w:r w:rsidRPr="008604AF">
        <w:rPr>
          <w:rFonts w:ascii="Times New Roman" w:hAnsi="Times New Roman"/>
          <w:sz w:val="24"/>
          <w:szCs w:val="24"/>
        </w:rPr>
        <w:t>и в меньшей степени поддерживался умеренным потребительским спросом в сфере услуг</w:t>
      </w:r>
      <w:r>
        <w:rPr>
          <w:rFonts w:ascii="Times New Roman" w:hAnsi="Times New Roman"/>
          <w:sz w:val="24"/>
          <w:szCs w:val="24"/>
        </w:rPr>
        <w:t xml:space="preserve"> («+»8,3%)</w:t>
      </w:r>
      <w:r w:rsidRPr="008604AF">
        <w:rPr>
          <w:rFonts w:ascii="Times New Roman" w:hAnsi="Times New Roman"/>
          <w:sz w:val="24"/>
          <w:szCs w:val="24"/>
        </w:rPr>
        <w:t>.</w:t>
      </w:r>
    </w:p>
    <w:p w:rsidR="001B1696" w:rsidRDefault="001B1696" w:rsidP="001B1696">
      <w:pPr>
        <w:pStyle w:val="a4"/>
      </w:pPr>
      <w:r w:rsidRPr="008604AF">
        <w:t xml:space="preserve">Дефлятор ВВП, устанавливающий связь между реальным и номинальным ВВП по итогам </w:t>
      </w:r>
      <w:r w:rsidRPr="008604AF">
        <w:rPr>
          <w:lang w:val="en-US"/>
        </w:rPr>
        <w:t>I</w:t>
      </w:r>
      <w:r w:rsidRPr="008604AF">
        <w:t xml:space="preserve"> полугодия 2014 года сложился на уровне 1,0837, расширившись на </w:t>
      </w:r>
      <w:r w:rsidR="0007681A">
        <w:t xml:space="preserve">                        </w:t>
      </w:r>
      <w:r w:rsidRPr="008604AF">
        <w:t xml:space="preserve">4,73 процентных пункта, что стало следствием более благоприятной ценовой конъюнктуры для хозяйствующих субъектов республики. </w:t>
      </w:r>
    </w:p>
    <w:p w:rsidR="001B1696" w:rsidRDefault="001B1696" w:rsidP="001B1696">
      <w:pPr>
        <w:pStyle w:val="a4"/>
        <w:ind w:right="-284" w:hanging="284"/>
      </w:pPr>
      <w:r w:rsidRPr="00D70472">
        <w:rPr>
          <w:noProof/>
        </w:rPr>
        <w:lastRenderedPageBreak/>
        <w:drawing>
          <wp:inline distT="0" distB="0" distL="0" distR="0">
            <wp:extent cx="6381750" cy="2590800"/>
            <wp:effectExtent l="0" t="0" r="0" b="0"/>
            <wp:docPr id="13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B1696" w:rsidRPr="008604AF" w:rsidRDefault="001B1696" w:rsidP="001B1696">
      <w:pPr>
        <w:spacing w:after="0" w:line="240" w:lineRule="auto"/>
        <w:ind w:firstLine="720"/>
        <w:jc w:val="both"/>
        <w:rPr>
          <w:rFonts w:ascii="Times New Roman" w:hAnsi="Times New Roman"/>
          <w:sz w:val="24"/>
          <w:szCs w:val="24"/>
        </w:rPr>
      </w:pPr>
      <w:r>
        <w:rPr>
          <w:rFonts w:ascii="Times New Roman" w:hAnsi="Times New Roman"/>
          <w:sz w:val="24"/>
          <w:szCs w:val="24"/>
        </w:rPr>
        <w:t xml:space="preserve">В структуре валового внутреннего продукта отмечается сокращение долевого представления отраслей сектора услуг (на 0,85 процентных пункта до 75,5%) и чистых налогов на продукты и импорт (на 1,43 процентных пункта до 5,48%). На этом фоне выделяется расширение долевого представления отраслей материального производства (на 2,28 процентных пункта), сформировавших 19,02% добавленной стоимости совокупного показателя. </w:t>
      </w:r>
    </w:p>
    <w:p w:rsidR="001B1696" w:rsidRDefault="001B1696" w:rsidP="001B1696">
      <w:pPr>
        <w:spacing w:after="0" w:line="240" w:lineRule="auto"/>
        <w:ind w:firstLine="709"/>
        <w:jc w:val="both"/>
        <w:rPr>
          <w:rFonts w:ascii="Times New Roman" w:hAnsi="Times New Roman"/>
          <w:sz w:val="24"/>
          <w:szCs w:val="24"/>
        </w:rPr>
      </w:pPr>
      <w:r w:rsidRPr="005E4417">
        <w:rPr>
          <w:rFonts w:ascii="Times New Roman" w:hAnsi="Times New Roman"/>
          <w:sz w:val="24"/>
          <w:szCs w:val="24"/>
        </w:rPr>
        <w:t>Повышение результативности в индустриальном секторе (+34,9%) и отрицательный вклад в структуре формирования ВВП организаций аграрного сектора</w:t>
      </w:r>
      <w:r w:rsidR="0007681A">
        <w:rPr>
          <w:rFonts w:ascii="Times New Roman" w:hAnsi="Times New Roman"/>
          <w:sz w:val="24"/>
          <w:szCs w:val="24"/>
        </w:rPr>
        <w:t xml:space="preserve">         </w:t>
      </w:r>
      <w:r w:rsidRPr="005E4417">
        <w:rPr>
          <w:rFonts w:ascii="Times New Roman" w:hAnsi="Times New Roman"/>
          <w:sz w:val="24"/>
          <w:szCs w:val="24"/>
        </w:rPr>
        <w:t xml:space="preserve"> («-»17,6%) в совокупности с расширением добавленной стоимости в строительстве («+»23,3%) привело к расширению показателей </w:t>
      </w:r>
      <w:r w:rsidRPr="005E4417">
        <w:rPr>
          <w:rFonts w:ascii="Times New Roman" w:hAnsi="Times New Roman"/>
          <w:b/>
          <w:sz w:val="24"/>
          <w:szCs w:val="24"/>
        </w:rPr>
        <w:t>отраслей материального производства</w:t>
      </w:r>
      <w:r w:rsidRPr="005E4417">
        <w:rPr>
          <w:rFonts w:ascii="Times New Roman" w:hAnsi="Times New Roman"/>
          <w:sz w:val="24"/>
          <w:szCs w:val="24"/>
        </w:rPr>
        <w:t xml:space="preserve"> и обеспечило 43,2% прироста совокупного показателя. В результате совокупная номинальная величина вновь созданной добавленной стоимости отраслей материального сектора составила 907,1 млн. руб. и увеличилась на 24,4%.</w:t>
      </w:r>
    </w:p>
    <w:p w:rsidR="001B1696" w:rsidRDefault="001B1696" w:rsidP="001B1696">
      <w:pPr>
        <w:spacing w:after="0" w:line="240" w:lineRule="auto"/>
        <w:ind w:hanging="284"/>
        <w:jc w:val="both"/>
        <w:rPr>
          <w:rFonts w:ascii="Times New Roman" w:hAnsi="Times New Roman"/>
          <w:sz w:val="24"/>
          <w:szCs w:val="24"/>
        </w:rPr>
      </w:pPr>
      <w:r w:rsidRPr="005A55D1">
        <w:rPr>
          <w:rFonts w:ascii="Times New Roman" w:hAnsi="Times New Roman"/>
          <w:noProof/>
          <w:sz w:val="24"/>
          <w:szCs w:val="24"/>
        </w:rPr>
        <w:drawing>
          <wp:inline distT="0" distB="0" distL="0" distR="0">
            <wp:extent cx="6172200" cy="2105025"/>
            <wp:effectExtent l="0" t="0" r="0" b="0"/>
            <wp:docPr id="13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B1696" w:rsidRPr="00CD44E3" w:rsidRDefault="001B1696" w:rsidP="001B1696">
      <w:pPr>
        <w:spacing w:after="0" w:line="240" w:lineRule="auto"/>
        <w:ind w:firstLine="709"/>
        <w:jc w:val="both"/>
        <w:rPr>
          <w:rFonts w:ascii="Times New Roman" w:hAnsi="Times New Roman"/>
          <w:sz w:val="24"/>
          <w:szCs w:val="24"/>
        </w:rPr>
      </w:pPr>
      <w:r w:rsidRPr="00CD44E3">
        <w:rPr>
          <w:rFonts w:ascii="Times New Roman" w:hAnsi="Times New Roman"/>
          <w:sz w:val="24"/>
          <w:szCs w:val="24"/>
        </w:rPr>
        <w:t>В тоже время замедление инфляционных процессов</w:t>
      </w:r>
      <w:r>
        <w:rPr>
          <w:rFonts w:ascii="Times New Roman" w:hAnsi="Times New Roman"/>
          <w:sz w:val="24"/>
          <w:szCs w:val="24"/>
        </w:rPr>
        <w:t>,</w:t>
      </w:r>
      <w:r w:rsidRPr="00CD44E3">
        <w:rPr>
          <w:rFonts w:ascii="Times New Roman" w:hAnsi="Times New Roman"/>
          <w:sz w:val="24"/>
          <w:szCs w:val="24"/>
        </w:rPr>
        <w:t xml:space="preserve"> умеренный потребительский спрос населения </w:t>
      </w:r>
      <w:r>
        <w:rPr>
          <w:rFonts w:ascii="Times New Roman" w:hAnsi="Times New Roman"/>
          <w:sz w:val="24"/>
          <w:szCs w:val="24"/>
        </w:rPr>
        <w:t xml:space="preserve"> в совокупности с режимом жесткой экономии бюджетных средств </w:t>
      </w:r>
      <w:r w:rsidRPr="00CD44E3">
        <w:rPr>
          <w:rFonts w:ascii="Times New Roman" w:hAnsi="Times New Roman"/>
          <w:sz w:val="24"/>
          <w:szCs w:val="24"/>
        </w:rPr>
        <w:t xml:space="preserve">стало итогом сокращения долевого представления отраслей сектора услуг в структуре ВВП на </w:t>
      </w:r>
      <w:r>
        <w:rPr>
          <w:rFonts w:ascii="Times New Roman" w:hAnsi="Times New Roman"/>
          <w:sz w:val="24"/>
          <w:szCs w:val="24"/>
        </w:rPr>
        <w:t>0,85</w:t>
      </w:r>
      <w:r w:rsidRPr="00CD44E3">
        <w:rPr>
          <w:rFonts w:ascii="Times New Roman" w:hAnsi="Times New Roman"/>
          <w:sz w:val="24"/>
          <w:szCs w:val="24"/>
        </w:rPr>
        <w:t xml:space="preserve"> процентных пункта до 75,5%, несмотря на расширение добавленной стоимости на 8,3% до 3 599,3 млн. руб.</w:t>
      </w:r>
    </w:p>
    <w:p w:rsidR="001B1696" w:rsidRDefault="001B1696" w:rsidP="001B1696">
      <w:pPr>
        <w:pStyle w:val="a4"/>
      </w:pPr>
      <w:r>
        <w:t xml:space="preserve">На этом фоне </w:t>
      </w:r>
      <w:r w:rsidRPr="007546D0">
        <w:rPr>
          <w:b/>
        </w:rPr>
        <w:t>производство рыночных услуг</w:t>
      </w:r>
      <w:r>
        <w:t xml:space="preserve"> сохранило положительный тренд, увеличив абсолютную величину вновь созданной добавленной стоимости на 8,8% до 2 012,6 млн. руб., но при этом долевое представительство данного сегмента рынка в структуре ВВП, в результате более активного роста вновь созданной стоимости в индустрии, сократилось на 0,24 процентных пункта и обеспечило 42,2% добавленной стоимости в ВВП.</w:t>
      </w:r>
    </w:p>
    <w:p w:rsidR="001B1696" w:rsidRDefault="001B1696" w:rsidP="001B1696">
      <w:pPr>
        <w:pStyle w:val="a4"/>
        <w:ind w:hanging="284"/>
      </w:pPr>
      <w:r w:rsidRPr="00A82F6A">
        <w:rPr>
          <w:noProof/>
        </w:rPr>
        <w:lastRenderedPageBreak/>
        <w:drawing>
          <wp:inline distT="0" distB="0" distL="0" distR="0">
            <wp:extent cx="6172200" cy="4095750"/>
            <wp:effectExtent l="0" t="0" r="0" b="0"/>
            <wp:docPr id="13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B1696" w:rsidRDefault="001B1696" w:rsidP="001B1696">
      <w:pPr>
        <w:pStyle w:val="a4"/>
      </w:pPr>
    </w:p>
    <w:p w:rsidR="001B1696" w:rsidRPr="00841A9E" w:rsidRDefault="001B1696" w:rsidP="001B1696">
      <w:pPr>
        <w:pStyle w:val="a4"/>
      </w:pPr>
      <w:r w:rsidRPr="00841A9E">
        <w:t xml:space="preserve">Несмотря на то, что объем услуг, предоставляемых организациями торговли и общественного питания, остается наибольшим отраслевым показателем (23,3% или </w:t>
      </w:r>
      <w:r w:rsidR="0007681A">
        <w:t xml:space="preserve">        </w:t>
      </w:r>
      <w:r w:rsidRPr="00841A9E">
        <w:t xml:space="preserve">839,3 млн. руб.), в рассматриваемом периоде отмечается снижение темпов роста </w:t>
      </w:r>
      <w:r>
        <w:t>валовой добавленной стоимости</w:t>
      </w:r>
      <w:r w:rsidRPr="00841A9E">
        <w:t xml:space="preserve"> на 4,0% до 839,3 млн. руб. и долевого участия в формировании </w:t>
      </w:r>
      <w:r>
        <w:t>валового внутреннего продукта</w:t>
      </w:r>
      <w:r w:rsidRPr="00841A9E">
        <w:t xml:space="preserve"> на 2,48 процентных пункта до 17,6%.</w:t>
      </w:r>
    </w:p>
    <w:p w:rsidR="001B1696" w:rsidRPr="00841A9E" w:rsidRDefault="001B1696" w:rsidP="001B1696">
      <w:pPr>
        <w:pStyle w:val="a4"/>
      </w:pPr>
      <w:r w:rsidRPr="00841A9E">
        <w:t xml:space="preserve">Существенное увеличение </w:t>
      </w:r>
      <w:r>
        <w:t>валовой добавленной стоимости</w:t>
      </w:r>
      <w:r w:rsidRPr="00841A9E">
        <w:t xml:space="preserve"> в рассматриваемом периоде продолжает демонстрировать финансовый сектор «+»53,6% до 318,2 млн. руб. Расширение кредитования позволило банкам нарастить процентные доходы, что на фоне снижения процентных расходов предопределило расширение вклада отрасли в структуре сферы услуг на 1</w:t>
      </w:r>
      <w:r w:rsidR="00AF6E1E">
        <w:t>,97 процентных пункта до 6,67%.</w:t>
      </w:r>
    </w:p>
    <w:p w:rsidR="001B1696" w:rsidRPr="00841A9E" w:rsidRDefault="001B1696" w:rsidP="001B1696">
      <w:pPr>
        <w:pStyle w:val="a4"/>
      </w:pPr>
      <w:r w:rsidRPr="00841A9E">
        <w:t>Транспортные организации также демонстрировали повышение результативности. Добавленная стоимость отрасли увеличилась в номинальном выражении на 19,3%, достигнув 181,5 млн. руб.</w:t>
      </w:r>
      <w:r>
        <w:t>, сформировав 9,0% добавленной стоимости рыночного сегмента услуг и 3,81% добавленной стоимости совокупного показателя.</w:t>
      </w:r>
    </w:p>
    <w:p w:rsidR="001B1696" w:rsidRPr="00841A9E" w:rsidRDefault="001B1696" w:rsidP="001B1696">
      <w:pPr>
        <w:pStyle w:val="a4"/>
      </w:pPr>
      <w:r w:rsidRPr="007709DD">
        <w:t>Превышение базисных показателей отмечалось по организациям связи и по организациям осуществляющих операции с недвижимым имуществом, ВДС данных секторов расширилась соответственно на 8,4% и на 20,0% до189,0 млн. руб. и до</w:t>
      </w:r>
      <w:r w:rsidR="0007681A">
        <w:t xml:space="preserve">         </w:t>
      </w:r>
      <w:r w:rsidRPr="007709DD">
        <w:t xml:space="preserve"> 119,8 млн. руб., что</w:t>
      </w:r>
      <w:r w:rsidRPr="00841A9E">
        <w:t xml:space="preserve"> </w:t>
      </w:r>
      <w:r>
        <w:t>обеспечило</w:t>
      </w:r>
      <w:r w:rsidRPr="00841A9E">
        <w:t xml:space="preserve"> 3,97% и 2,51% совокупного показателя.</w:t>
      </w:r>
    </w:p>
    <w:p w:rsidR="001B1696" w:rsidRPr="00841A9E" w:rsidRDefault="001B1696" w:rsidP="001B1696">
      <w:pPr>
        <w:pStyle w:val="a4"/>
      </w:pPr>
      <w:r w:rsidRPr="00841A9E">
        <w:t xml:space="preserve">Организациями жилищно-коммунального хозяйства в рассматриваемом периоде создано 163,2 млн. руб. добавленной стоимости, номинальный объем которой сократился на 2,7%, </w:t>
      </w:r>
      <w:r>
        <w:t xml:space="preserve">а долевое участие в структуре валового внутреннего продукта сузилось на </w:t>
      </w:r>
      <w:r w:rsidR="0007681A">
        <w:t xml:space="preserve">        </w:t>
      </w:r>
      <w:r>
        <w:t xml:space="preserve">0,43 процентных пункта до </w:t>
      </w:r>
      <w:r w:rsidRPr="00841A9E">
        <w:t>3,42%.</w:t>
      </w:r>
    </w:p>
    <w:p w:rsidR="001B1696" w:rsidRPr="00FB1D50" w:rsidRDefault="001B1696" w:rsidP="001B1696">
      <w:pPr>
        <w:spacing w:after="0" w:line="240" w:lineRule="auto"/>
        <w:ind w:firstLine="709"/>
        <w:jc w:val="both"/>
        <w:rPr>
          <w:rFonts w:ascii="Times New Roman" w:hAnsi="Times New Roman"/>
          <w:sz w:val="24"/>
          <w:szCs w:val="24"/>
        </w:rPr>
      </w:pPr>
      <w:r w:rsidRPr="00FB1D50">
        <w:rPr>
          <w:rFonts w:ascii="Times New Roman" w:hAnsi="Times New Roman"/>
          <w:sz w:val="24"/>
          <w:szCs w:val="24"/>
        </w:rPr>
        <w:t xml:space="preserve">Динамика составляющих </w:t>
      </w:r>
      <w:r w:rsidRPr="00FB1D50">
        <w:rPr>
          <w:rFonts w:ascii="Times New Roman" w:hAnsi="Times New Roman"/>
          <w:b/>
          <w:sz w:val="24"/>
          <w:szCs w:val="24"/>
        </w:rPr>
        <w:t>нерыночных услуг</w:t>
      </w:r>
      <w:r w:rsidRPr="00FB1D50">
        <w:rPr>
          <w:rFonts w:ascii="Times New Roman" w:hAnsi="Times New Roman"/>
          <w:sz w:val="24"/>
          <w:szCs w:val="24"/>
        </w:rPr>
        <w:t xml:space="preserve"> и их долевое участие в совокупном показателе (ВВП) отражают ситуацию с исполнением государственного бюджета и участие государства в распределительном процессе услуг. </w:t>
      </w:r>
    </w:p>
    <w:p w:rsidR="001B1696" w:rsidRPr="00841A9E" w:rsidRDefault="001B1696" w:rsidP="001B1696">
      <w:pPr>
        <w:pStyle w:val="a4"/>
        <w:ind w:hanging="567"/>
      </w:pPr>
      <w:r w:rsidRPr="00F42EED">
        <w:rPr>
          <w:noProof/>
        </w:rPr>
        <w:lastRenderedPageBreak/>
        <w:drawing>
          <wp:inline distT="0" distB="0" distL="0" distR="0">
            <wp:extent cx="6534150" cy="2981325"/>
            <wp:effectExtent l="0" t="0" r="0" b="0"/>
            <wp:docPr id="14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B1696" w:rsidRDefault="001B1696" w:rsidP="001B1696">
      <w:pPr>
        <w:spacing w:after="0" w:line="240" w:lineRule="auto"/>
        <w:jc w:val="both"/>
        <w:rPr>
          <w:rFonts w:ascii="Times New Roman" w:hAnsi="Times New Roman"/>
          <w:sz w:val="28"/>
          <w:szCs w:val="28"/>
        </w:rPr>
      </w:pPr>
    </w:p>
    <w:p w:rsidR="001B1696" w:rsidRDefault="001B1696" w:rsidP="001B1696">
      <w:pPr>
        <w:spacing w:after="0" w:line="240" w:lineRule="auto"/>
        <w:ind w:firstLine="709"/>
        <w:jc w:val="both"/>
        <w:rPr>
          <w:rFonts w:ascii="Times New Roman" w:hAnsi="Times New Roman"/>
          <w:sz w:val="28"/>
          <w:szCs w:val="28"/>
        </w:rPr>
      </w:pPr>
      <w:r>
        <w:rPr>
          <w:rFonts w:ascii="Times New Roman" w:hAnsi="Times New Roman"/>
          <w:sz w:val="24"/>
          <w:szCs w:val="24"/>
        </w:rPr>
        <w:t>Несмотря на складывающуюся ситуацию в республике, с</w:t>
      </w:r>
      <w:r w:rsidRPr="004A7009">
        <w:rPr>
          <w:rFonts w:ascii="Times New Roman" w:hAnsi="Times New Roman"/>
          <w:sz w:val="24"/>
          <w:szCs w:val="24"/>
        </w:rPr>
        <w:t>охранение приоритета политики государства в области отраслей социальной направленности (</w:t>
      </w:r>
      <w:r w:rsidRPr="004A7009">
        <w:rPr>
          <w:rFonts w:ascii="Times New Roman" w:hAnsi="Times New Roman"/>
          <w:b/>
          <w:sz w:val="24"/>
          <w:szCs w:val="24"/>
        </w:rPr>
        <w:t>здравоохранение, социальное обеспечение, образование)</w:t>
      </w:r>
      <w:r w:rsidRPr="004A7009">
        <w:rPr>
          <w:rFonts w:ascii="Times New Roman" w:hAnsi="Times New Roman"/>
          <w:sz w:val="24"/>
          <w:szCs w:val="24"/>
        </w:rPr>
        <w:t xml:space="preserve"> позволило обеспечить свыше половины (</w:t>
      </w:r>
      <w:r>
        <w:rPr>
          <w:rFonts w:ascii="Times New Roman" w:hAnsi="Times New Roman"/>
          <w:sz w:val="24"/>
          <w:szCs w:val="24"/>
        </w:rPr>
        <w:t>53,3</w:t>
      </w:r>
      <w:r w:rsidRPr="004A7009">
        <w:rPr>
          <w:rFonts w:ascii="Times New Roman" w:hAnsi="Times New Roman"/>
          <w:sz w:val="24"/>
          <w:szCs w:val="24"/>
        </w:rPr>
        <w:t>%) валовой добавленной стоимости сектора нерыночных услуг</w:t>
      </w:r>
      <w:r w:rsidRPr="00F00387">
        <w:rPr>
          <w:rFonts w:ascii="Times New Roman" w:hAnsi="Times New Roman"/>
          <w:sz w:val="24"/>
          <w:szCs w:val="24"/>
        </w:rPr>
        <w:t xml:space="preserve"> </w:t>
      </w:r>
      <w:r w:rsidRPr="004A7009">
        <w:rPr>
          <w:rFonts w:ascii="Times New Roman" w:hAnsi="Times New Roman"/>
          <w:sz w:val="24"/>
          <w:szCs w:val="24"/>
        </w:rPr>
        <w:t xml:space="preserve">или </w:t>
      </w:r>
      <w:r>
        <w:rPr>
          <w:rFonts w:ascii="Times New Roman" w:hAnsi="Times New Roman"/>
          <w:sz w:val="24"/>
          <w:szCs w:val="24"/>
        </w:rPr>
        <w:t>17,73</w:t>
      </w:r>
      <w:r w:rsidRPr="004A7009">
        <w:rPr>
          <w:rFonts w:ascii="Times New Roman" w:hAnsi="Times New Roman"/>
          <w:sz w:val="24"/>
          <w:szCs w:val="24"/>
        </w:rPr>
        <w:t>% совокупного ВВП</w:t>
      </w:r>
      <w:r>
        <w:rPr>
          <w:rFonts w:ascii="Times New Roman" w:hAnsi="Times New Roman"/>
          <w:sz w:val="24"/>
          <w:szCs w:val="24"/>
        </w:rPr>
        <w:t xml:space="preserve">, абсолютная номинальная величина, которой увеличилась на 6,8%. Долевое участие </w:t>
      </w:r>
      <w:r w:rsidRPr="004A7009">
        <w:rPr>
          <w:rFonts w:ascii="Times New Roman" w:hAnsi="Times New Roman"/>
          <w:sz w:val="24"/>
          <w:szCs w:val="24"/>
        </w:rPr>
        <w:t>остальны</w:t>
      </w:r>
      <w:r>
        <w:rPr>
          <w:rFonts w:ascii="Times New Roman" w:hAnsi="Times New Roman"/>
          <w:sz w:val="24"/>
          <w:szCs w:val="24"/>
        </w:rPr>
        <w:t>х</w:t>
      </w:r>
      <w:r w:rsidRPr="004A7009">
        <w:rPr>
          <w:rFonts w:ascii="Times New Roman" w:hAnsi="Times New Roman"/>
          <w:sz w:val="24"/>
          <w:szCs w:val="24"/>
        </w:rPr>
        <w:t xml:space="preserve"> составляющи</w:t>
      </w:r>
      <w:r>
        <w:rPr>
          <w:rFonts w:ascii="Times New Roman" w:hAnsi="Times New Roman"/>
          <w:sz w:val="24"/>
          <w:szCs w:val="24"/>
        </w:rPr>
        <w:t>х</w:t>
      </w:r>
      <w:r w:rsidRPr="004A7009">
        <w:rPr>
          <w:rFonts w:ascii="Times New Roman" w:hAnsi="Times New Roman"/>
          <w:sz w:val="24"/>
          <w:szCs w:val="24"/>
        </w:rPr>
        <w:t xml:space="preserve"> </w:t>
      </w:r>
      <w:r>
        <w:rPr>
          <w:rFonts w:ascii="Times New Roman" w:hAnsi="Times New Roman"/>
          <w:sz w:val="24"/>
          <w:szCs w:val="24"/>
        </w:rPr>
        <w:t>нерыночного сектора осталось практически на уровне базовых показателей минувшего года</w:t>
      </w:r>
      <w:r w:rsidRPr="004A7009">
        <w:rPr>
          <w:rFonts w:ascii="Times New Roman" w:hAnsi="Times New Roman"/>
          <w:sz w:val="24"/>
          <w:szCs w:val="24"/>
        </w:rPr>
        <w:t>, исключение составляют прочие отрасли</w:t>
      </w:r>
      <w:r>
        <w:rPr>
          <w:rFonts w:ascii="Times New Roman" w:hAnsi="Times New Roman"/>
          <w:sz w:val="24"/>
          <w:szCs w:val="24"/>
        </w:rPr>
        <w:t xml:space="preserve">, </w:t>
      </w:r>
      <w:r w:rsidRPr="004A7009">
        <w:rPr>
          <w:rFonts w:ascii="Times New Roman" w:hAnsi="Times New Roman"/>
          <w:sz w:val="24"/>
          <w:szCs w:val="24"/>
        </w:rPr>
        <w:t>включающие расходы на субсидирование бюджетов других уровней, финансирование государственных целевых программ, а также финансирование возврата кредитных средств по государственному долгу</w:t>
      </w:r>
      <w:r>
        <w:rPr>
          <w:rFonts w:ascii="Times New Roman" w:hAnsi="Times New Roman"/>
          <w:sz w:val="24"/>
          <w:szCs w:val="24"/>
        </w:rPr>
        <w:t>, несмотря на расширение данной компоненты на 7,3% ее вклад в формировании ВВП сузился на 0,16 процентных пункта до 8,21%.</w:t>
      </w:r>
    </w:p>
    <w:p w:rsidR="001B1696" w:rsidRPr="007F5644" w:rsidRDefault="001B1696" w:rsidP="001B1696">
      <w:pPr>
        <w:spacing w:after="0" w:line="240" w:lineRule="auto"/>
        <w:ind w:firstLine="709"/>
        <w:jc w:val="both"/>
        <w:rPr>
          <w:rFonts w:ascii="Times New Roman" w:hAnsi="Times New Roman"/>
          <w:sz w:val="24"/>
          <w:szCs w:val="24"/>
        </w:rPr>
      </w:pPr>
      <w:r w:rsidRPr="007F5644">
        <w:rPr>
          <w:rFonts w:ascii="Times New Roman" w:hAnsi="Times New Roman"/>
          <w:sz w:val="24"/>
          <w:szCs w:val="24"/>
        </w:rPr>
        <w:t xml:space="preserve">В результате </w:t>
      </w:r>
      <w:r>
        <w:rPr>
          <w:rFonts w:ascii="Times New Roman" w:hAnsi="Times New Roman"/>
          <w:sz w:val="24"/>
          <w:szCs w:val="24"/>
        </w:rPr>
        <w:t>сокращения</w:t>
      </w:r>
      <w:r w:rsidRPr="007F5644">
        <w:rPr>
          <w:rFonts w:ascii="Times New Roman" w:hAnsi="Times New Roman"/>
          <w:sz w:val="24"/>
          <w:szCs w:val="24"/>
        </w:rPr>
        <w:t xml:space="preserve"> поступлений по налог</w:t>
      </w:r>
      <w:r>
        <w:rPr>
          <w:rFonts w:ascii="Times New Roman" w:hAnsi="Times New Roman"/>
          <w:sz w:val="24"/>
          <w:szCs w:val="24"/>
        </w:rPr>
        <w:t>ам</w:t>
      </w:r>
      <w:r w:rsidRPr="007F5644">
        <w:rPr>
          <w:rFonts w:ascii="Times New Roman" w:hAnsi="Times New Roman"/>
          <w:sz w:val="24"/>
          <w:szCs w:val="24"/>
        </w:rPr>
        <w:t xml:space="preserve"> на внешнюю торговлю и внешнеэкономические операции</w:t>
      </w:r>
      <w:r>
        <w:rPr>
          <w:rFonts w:ascii="Times New Roman" w:hAnsi="Times New Roman"/>
          <w:sz w:val="24"/>
          <w:szCs w:val="24"/>
        </w:rPr>
        <w:t xml:space="preserve"> («-»4,3%)</w:t>
      </w:r>
      <w:r w:rsidRPr="007F5644">
        <w:rPr>
          <w:rFonts w:ascii="Times New Roman" w:hAnsi="Times New Roman"/>
          <w:sz w:val="24"/>
          <w:szCs w:val="24"/>
        </w:rPr>
        <w:t xml:space="preserve"> и акцизов </w:t>
      </w:r>
      <w:r>
        <w:rPr>
          <w:rFonts w:ascii="Times New Roman" w:hAnsi="Times New Roman"/>
          <w:sz w:val="24"/>
          <w:szCs w:val="24"/>
        </w:rPr>
        <w:t>(«-»22,2%)</w:t>
      </w:r>
      <w:r w:rsidRPr="007F5644">
        <w:rPr>
          <w:rFonts w:ascii="Times New Roman" w:hAnsi="Times New Roman"/>
          <w:sz w:val="24"/>
          <w:szCs w:val="24"/>
        </w:rPr>
        <w:t xml:space="preserve"> на фоне </w:t>
      </w:r>
      <w:r>
        <w:rPr>
          <w:rFonts w:ascii="Times New Roman" w:hAnsi="Times New Roman"/>
          <w:sz w:val="24"/>
          <w:szCs w:val="24"/>
        </w:rPr>
        <w:t xml:space="preserve">расширения </w:t>
      </w:r>
      <w:r w:rsidRPr="007F5644">
        <w:rPr>
          <w:rFonts w:ascii="Times New Roman" w:hAnsi="Times New Roman"/>
          <w:sz w:val="24"/>
          <w:szCs w:val="24"/>
        </w:rPr>
        <w:t xml:space="preserve">субсидирования государством товаров и услуг </w:t>
      </w:r>
      <w:r>
        <w:rPr>
          <w:rFonts w:ascii="Times New Roman" w:hAnsi="Times New Roman"/>
          <w:sz w:val="24"/>
          <w:szCs w:val="24"/>
        </w:rPr>
        <w:t>на 2</w:t>
      </w:r>
      <w:r w:rsidRPr="007F5644">
        <w:rPr>
          <w:rFonts w:ascii="Times New Roman" w:hAnsi="Times New Roman"/>
          <w:sz w:val="24"/>
          <w:szCs w:val="24"/>
        </w:rPr>
        <w:t>,0%</w:t>
      </w:r>
      <w:r>
        <w:rPr>
          <w:rFonts w:ascii="Times New Roman" w:hAnsi="Times New Roman"/>
          <w:sz w:val="24"/>
          <w:szCs w:val="24"/>
        </w:rPr>
        <w:t>,</w:t>
      </w:r>
      <w:r w:rsidRPr="007F5644">
        <w:rPr>
          <w:rFonts w:ascii="Times New Roman" w:hAnsi="Times New Roman"/>
          <w:sz w:val="24"/>
          <w:szCs w:val="24"/>
        </w:rPr>
        <w:t xml:space="preserve"> объем доходов государства, суммируемый по статье </w:t>
      </w:r>
      <w:r w:rsidRPr="007F5644">
        <w:rPr>
          <w:rFonts w:ascii="Times New Roman" w:hAnsi="Times New Roman"/>
          <w:b/>
          <w:sz w:val="24"/>
          <w:szCs w:val="24"/>
        </w:rPr>
        <w:t xml:space="preserve">«чистые налоги на продукты и импорт» </w:t>
      </w:r>
      <w:r w:rsidRPr="007F5644">
        <w:rPr>
          <w:rFonts w:ascii="Times New Roman" w:hAnsi="Times New Roman"/>
          <w:sz w:val="24"/>
          <w:szCs w:val="24"/>
        </w:rPr>
        <w:t xml:space="preserve">(за вычетом субсидий) </w:t>
      </w:r>
      <w:r>
        <w:rPr>
          <w:rFonts w:ascii="Times New Roman" w:hAnsi="Times New Roman"/>
          <w:sz w:val="24"/>
          <w:szCs w:val="24"/>
        </w:rPr>
        <w:t xml:space="preserve">сократился на 13,2% </w:t>
      </w:r>
      <w:r w:rsidRPr="007F5644">
        <w:rPr>
          <w:rFonts w:ascii="Times New Roman" w:hAnsi="Times New Roman"/>
          <w:sz w:val="24"/>
          <w:szCs w:val="24"/>
        </w:rPr>
        <w:t xml:space="preserve">до </w:t>
      </w:r>
      <w:r>
        <w:rPr>
          <w:rFonts w:ascii="Times New Roman" w:hAnsi="Times New Roman"/>
          <w:sz w:val="24"/>
          <w:szCs w:val="24"/>
        </w:rPr>
        <w:t>261,1</w:t>
      </w:r>
      <w:r w:rsidRPr="007F5644">
        <w:rPr>
          <w:rFonts w:ascii="Times New Roman" w:hAnsi="Times New Roman"/>
          <w:sz w:val="24"/>
          <w:szCs w:val="24"/>
        </w:rPr>
        <w:t xml:space="preserve"> млн. руб., а его доля в структуре ВВП </w:t>
      </w:r>
      <w:r>
        <w:rPr>
          <w:rFonts w:ascii="Times New Roman" w:hAnsi="Times New Roman"/>
          <w:sz w:val="24"/>
          <w:szCs w:val="24"/>
        </w:rPr>
        <w:t>сузилась</w:t>
      </w:r>
      <w:r w:rsidRPr="007F5644">
        <w:rPr>
          <w:rFonts w:ascii="Times New Roman" w:hAnsi="Times New Roman"/>
          <w:sz w:val="24"/>
          <w:szCs w:val="24"/>
        </w:rPr>
        <w:t xml:space="preserve"> до </w:t>
      </w:r>
      <w:r>
        <w:rPr>
          <w:rFonts w:ascii="Times New Roman" w:hAnsi="Times New Roman"/>
          <w:sz w:val="24"/>
          <w:szCs w:val="24"/>
        </w:rPr>
        <w:t>5</w:t>
      </w:r>
      <w:r w:rsidRPr="007F5644">
        <w:rPr>
          <w:rFonts w:ascii="Times New Roman" w:hAnsi="Times New Roman"/>
          <w:sz w:val="24"/>
          <w:szCs w:val="24"/>
        </w:rPr>
        <w:t>,</w:t>
      </w:r>
      <w:r>
        <w:rPr>
          <w:rFonts w:ascii="Times New Roman" w:hAnsi="Times New Roman"/>
          <w:sz w:val="24"/>
          <w:szCs w:val="24"/>
        </w:rPr>
        <w:t>48</w:t>
      </w:r>
      <w:r w:rsidRPr="007F5644">
        <w:rPr>
          <w:rFonts w:ascii="Times New Roman" w:hAnsi="Times New Roman"/>
          <w:sz w:val="24"/>
          <w:szCs w:val="24"/>
        </w:rPr>
        <w:t>%</w:t>
      </w:r>
      <w:r>
        <w:rPr>
          <w:rFonts w:ascii="Times New Roman" w:hAnsi="Times New Roman"/>
          <w:sz w:val="24"/>
          <w:szCs w:val="24"/>
        </w:rPr>
        <w:br/>
      </w:r>
      <w:r w:rsidRPr="007F5644">
        <w:rPr>
          <w:rFonts w:ascii="Times New Roman" w:hAnsi="Times New Roman"/>
          <w:sz w:val="24"/>
          <w:szCs w:val="24"/>
        </w:rPr>
        <w:t>(</w:t>
      </w:r>
      <w:r>
        <w:rPr>
          <w:rFonts w:ascii="Times New Roman" w:hAnsi="Times New Roman"/>
          <w:sz w:val="24"/>
          <w:szCs w:val="24"/>
        </w:rPr>
        <w:t>«-»1,43</w:t>
      </w:r>
      <w:r w:rsidRPr="007F5644">
        <w:rPr>
          <w:rFonts w:ascii="Times New Roman" w:hAnsi="Times New Roman"/>
          <w:sz w:val="24"/>
          <w:szCs w:val="24"/>
        </w:rPr>
        <w:t xml:space="preserve"> процентных пункта)</w:t>
      </w:r>
      <w:r>
        <w:rPr>
          <w:rFonts w:ascii="Times New Roman" w:hAnsi="Times New Roman"/>
          <w:sz w:val="24"/>
          <w:szCs w:val="24"/>
        </w:rPr>
        <w:t>.</w:t>
      </w:r>
    </w:p>
    <w:p w:rsidR="001B1696" w:rsidRPr="002D1878" w:rsidRDefault="001B1696" w:rsidP="001B1696">
      <w:pPr>
        <w:pStyle w:val="22"/>
        <w:spacing w:after="0" w:line="240" w:lineRule="auto"/>
        <w:ind w:firstLine="709"/>
        <w:jc w:val="both"/>
        <w:rPr>
          <w:rFonts w:ascii="Times New Roman" w:hAnsi="Times New Roman"/>
          <w:sz w:val="24"/>
          <w:szCs w:val="24"/>
        </w:rPr>
      </w:pPr>
      <w:r w:rsidRPr="002D1878">
        <w:rPr>
          <w:rFonts w:ascii="Times New Roman" w:hAnsi="Times New Roman"/>
          <w:sz w:val="24"/>
          <w:szCs w:val="24"/>
        </w:rPr>
        <w:t xml:space="preserve">Таким образом, структурные сдвиги в экономике в январе-июне 2014 года, определялись восстановлением ритмичной хозяйственной деятельности ряда крупных промышленных предприятий и преломлением негативного тренда в строительстве, при этом сдерживающим фактором выступал </w:t>
      </w:r>
      <w:r w:rsidRPr="002D1878">
        <w:rPr>
          <w:rFonts w:ascii="Times New Roman" w:hAnsi="Times New Roman"/>
          <w:sz w:val="24"/>
          <w:szCs w:val="24"/>
          <w:shd w:val="clear" w:color="auto" w:fill="FFFFFF"/>
        </w:rPr>
        <w:t>отрицательный вклад аграрного сектора в формирование совокупного показателя, нивелировавшего определившийся прирост результативности в отраслях товарного производства.</w:t>
      </w:r>
      <w:r w:rsidRPr="002D1878">
        <w:rPr>
          <w:rFonts w:ascii="Times New Roman" w:hAnsi="Times New Roman"/>
          <w:sz w:val="24"/>
          <w:szCs w:val="24"/>
        </w:rPr>
        <w:t xml:space="preserve"> Наряду с этим, прирост добавленной стоимости в отраслях сферы услуг оказал определяющее влияние на повышение результативности в экономике, сформировав 66,5% прироста добавленной стоимости в целом по экономике. </w:t>
      </w:r>
    </w:p>
    <w:p w:rsidR="00DE2491" w:rsidRDefault="00DE2491" w:rsidP="00256B36">
      <w:pPr>
        <w:pStyle w:val="a4"/>
        <w:ind w:firstLine="426"/>
      </w:pPr>
    </w:p>
    <w:p w:rsidR="0029681F" w:rsidRPr="00926192" w:rsidRDefault="0029681F" w:rsidP="0029681F">
      <w:pPr>
        <w:spacing w:after="0" w:line="240" w:lineRule="auto"/>
        <w:ind w:firstLine="720"/>
        <w:contextualSpacing/>
        <w:jc w:val="both"/>
        <w:rPr>
          <w:rFonts w:ascii="Times New Roman" w:hAnsi="Times New Roman"/>
          <w:b/>
          <w:sz w:val="24"/>
          <w:szCs w:val="24"/>
        </w:rPr>
      </w:pPr>
      <w:r w:rsidRPr="00CF6C7C">
        <w:rPr>
          <w:rFonts w:ascii="Times New Roman" w:hAnsi="Times New Roman"/>
          <w:b/>
          <w:sz w:val="24"/>
          <w:szCs w:val="24"/>
        </w:rPr>
        <w:t>Денежно-кредитная политика</w:t>
      </w:r>
    </w:p>
    <w:p w:rsidR="0029681F" w:rsidRPr="00926192" w:rsidRDefault="0029681F" w:rsidP="0029681F">
      <w:pPr>
        <w:spacing w:before="120" w:after="0" w:line="240" w:lineRule="auto"/>
        <w:ind w:firstLine="709"/>
        <w:jc w:val="both"/>
        <w:rPr>
          <w:rFonts w:ascii="Times New Roman" w:hAnsi="Times New Roman"/>
          <w:sz w:val="24"/>
          <w:szCs w:val="24"/>
        </w:rPr>
      </w:pPr>
      <w:r w:rsidRPr="00926192">
        <w:rPr>
          <w:rFonts w:ascii="Times New Roman" w:hAnsi="Times New Roman"/>
          <w:sz w:val="24"/>
          <w:szCs w:val="24"/>
        </w:rPr>
        <w:t xml:space="preserve">Ситуация в монетарной сфере республики по итогам </w:t>
      </w:r>
      <w:r w:rsidRPr="00926192">
        <w:rPr>
          <w:rFonts w:ascii="Times New Roman" w:hAnsi="Times New Roman"/>
          <w:sz w:val="24"/>
          <w:szCs w:val="24"/>
          <w:lang w:val="en-US"/>
        </w:rPr>
        <w:t>I</w:t>
      </w:r>
      <w:r w:rsidRPr="00926192">
        <w:rPr>
          <w:rFonts w:ascii="Times New Roman" w:hAnsi="Times New Roman"/>
          <w:sz w:val="24"/>
          <w:szCs w:val="24"/>
        </w:rPr>
        <w:t xml:space="preserve"> полугодия характеризовалась положительными тенденциями. Объём совокупного денежного предложения увеличился на 3,3% (на 196,1 млн. руб.) до 6 142,6 млн. руб. На его динамику практически в равной степени повлияло изменение как рублёвой (+5,0% до </w:t>
      </w:r>
      <w:r>
        <w:rPr>
          <w:rFonts w:ascii="Times New Roman" w:hAnsi="Times New Roman"/>
          <w:sz w:val="24"/>
          <w:szCs w:val="24"/>
        </w:rPr>
        <w:t xml:space="preserve">        </w:t>
      </w:r>
      <w:r w:rsidRPr="00926192">
        <w:rPr>
          <w:rFonts w:ascii="Times New Roman" w:hAnsi="Times New Roman"/>
          <w:sz w:val="24"/>
          <w:szCs w:val="24"/>
        </w:rPr>
        <w:t>2 215,2 млн. руб.), так и валютной (+2,3% до 3 927,4 млн. руб.) составляющих.</w:t>
      </w:r>
    </w:p>
    <w:p w:rsidR="0029681F" w:rsidRPr="00926192" w:rsidRDefault="0029681F" w:rsidP="0029681F">
      <w:pPr>
        <w:spacing w:after="0" w:line="240" w:lineRule="auto"/>
        <w:ind w:firstLine="709"/>
        <w:jc w:val="both"/>
        <w:rPr>
          <w:rFonts w:ascii="Times New Roman" w:hAnsi="Times New Roman"/>
          <w:sz w:val="24"/>
          <w:szCs w:val="24"/>
        </w:rPr>
      </w:pPr>
      <w:r w:rsidRPr="00926192">
        <w:rPr>
          <w:rFonts w:ascii="Times New Roman" w:hAnsi="Times New Roman"/>
          <w:sz w:val="24"/>
          <w:szCs w:val="24"/>
        </w:rPr>
        <w:lastRenderedPageBreak/>
        <w:t>Расширению рублёвого денежного предложения способствовал рост объёма наличных денежных средств в обращении на 5,9% (на 52,2 млн. руб.) до 933,4 млн. руб. Объём безналичной составляющей денежного агрегата увеличился на 54,3 млн. руб. до 1 281,8 млн. руб. (+4,4%), или 57,9% рублёвого денежного предложения, что было обусловлено пополнением текущих счетов и срочных депозитов юридических лиц – на 52,1 млн. руб. до 1 001,9 млн. руб. (+5,5%).</w:t>
      </w:r>
    </w:p>
    <w:p w:rsidR="0029681F" w:rsidRPr="00926192" w:rsidRDefault="0029681F" w:rsidP="0029681F">
      <w:pPr>
        <w:spacing w:after="0" w:line="240" w:lineRule="auto"/>
        <w:ind w:firstLine="709"/>
        <w:jc w:val="both"/>
        <w:rPr>
          <w:rFonts w:ascii="Times New Roman" w:hAnsi="Times New Roman"/>
          <w:sz w:val="24"/>
          <w:szCs w:val="24"/>
        </w:rPr>
      </w:pPr>
      <w:r w:rsidRPr="00926192">
        <w:rPr>
          <w:rFonts w:ascii="Times New Roman" w:hAnsi="Times New Roman"/>
          <w:sz w:val="24"/>
          <w:szCs w:val="24"/>
        </w:rPr>
        <w:t>В течение января - июня 2014 года значение официального курса доллара США сохранялось на отметке 11,10 руб. ПМР. Совокупная ёмкость наличного сегмента валютного рынка составила в эквиваленте 360,7 млн. долл., что на 3,8</w:t>
      </w:r>
      <w:r w:rsidRPr="00926192">
        <w:rPr>
          <w:rFonts w:ascii="Times New Roman" w:hAnsi="Times New Roman"/>
          <w:color w:val="000000"/>
          <w:sz w:val="24"/>
          <w:szCs w:val="24"/>
        </w:rPr>
        <w:t>% ниже отметки января-июня 2013 года. Итогом операций на наличном сегменте валютного рынка стала нетто-покупка банками и кредитными организациями валютных средств, сумма которых сократилась относительно базисного уровня в 2,3 раза до 25,8 млн. долл. в эквиваленте.</w:t>
      </w:r>
      <w:r w:rsidRPr="00926192">
        <w:rPr>
          <w:rFonts w:ascii="Times New Roman" w:hAnsi="Times New Roman"/>
          <w:sz w:val="24"/>
          <w:szCs w:val="24"/>
        </w:rPr>
        <w:t xml:space="preserve"> Средневзвешенный рыночный курс покупки у клиентов наличного доллара США сложился на отметке 11,0138 руб. ПМР, продажи – 11,1329 руб. ПМР.</w:t>
      </w:r>
    </w:p>
    <w:p w:rsidR="0029681F" w:rsidRPr="00926192" w:rsidRDefault="0029681F" w:rsidP="0029681F">
      <w:pPr>
        <w:spacing w:after="0" w:line="240" w:lineRule="auto"/>
        <w:ind w:firstLine="709"/>
        <w:jc w:val="both"/>
        <w:rPr>
          <w:rFonts w:ascii="Times New Roman" w:hAnsi="Times New Roman"/>
          <w:sz w:val="24"/>
          <w:szCs w:val="24"/>
        </w:rPr>
      </w:pPr>
      <w:r w:rsidRPr="00926192">
        <w:rPr>
          <w:rFonts w:ascii="Times New Roman" w:hAnsi="Times New Roman"/>
          <w:sz w:val="24"/>
          <w:szCs w:val="24"/>
        </w:rPr>
        <w:t>Совокупный оборот конверсионных операций на внутреннем валютном аукционе банков составил 679,4 млн. в долларовом эквиваленте (+5,1%), а чистая продажа банками хозяйствующим субъектам безналичных валютных средств – 49,1 млн. долл.                 (98,7 млн. долл. годом ранее). Средневзвешенный курс покупки банками у своих клиентов доллара США составил 11,0963 руб. ПМР, продажи – 11,1468 руб. ПМР.</w:t>
      </w:r>
    </w:p>
    <w:p w:rsidR="0029681F" w:rsidRPr="00926192" w:rsidRDefault="0029681F" w:rsidP="0029681F">
      <w:pPr>
        <w:widowControl w:val="0"/>
        <w:spacing w:after="0" w:line="240" w:lineRule="auto"/>
        <w:ind w:firstLine="709"/>
        <w:contextualSpacing/>
        <w:jc w:val="both"/>
        <w:rPr>
          <w:rFonts w:ascii="Times New Roman" w:hAnsi="Times New Roman"/>
          <w:sz w:val="24"/>
          <w:szCs w:val="24"/>
        </w:rPr>
      </w:pPr>
    </w:p>
    <w:p w:rsidR="0029681F" w:rsidRPr="00926192" w:rsidRDefault="0029681F" w:rsidP="0029681F">
      <w:pPr>
        <w:widowControl w:val="0"/>
        <w:spacing w:after="0" w:line="240" w:lineRule="auto"/>
        <w:ind w:firstLine="709"/>
        <w:contextualSpacing/>
        <w:jc w:val="both"/>
        <w:rPr>
          <w:rFonts w:ascii="Times New Roman" w:hAnsi="Times New Roman"/>
          <w:b/>
          <w:i/>
          <w:color w:val="000000"/>
          <w:sz w:val="24"/>
          <w:szCs w:val="24"/>
        </w:rPr>
      </w:pPr>
      <w:r w:rsidRPr="00926192">
        <w:rPr>
          <w:rFonts w:ascii="Times New Roman" w:hAnsi="Times New Roman"/>
          <w:b/>
          <w:i/>
          <w:color w:val="000000"/>
          <w:sz w:val="24"/>
          <w:szCs w:val="24"/>
        </w:rPr>
        <w:t>Монетарная сфера</w:t>
      </w:r>
    </w:p>
    <w:p w:rsidR="0029681F" w:rsidRDefault="0029681F" w:rsidP="0029681F">
      <w:pPr>
        <w:spacing w:line="240" w:lineRule="auto"/>
        <w:ind w:firstLine="709"/>
        <w:contextualSpacing/>
        <w:jc w:val="both"/>
        <w:rPr>
          <w:rFonts w:ascii="Times New Roman" w:hAnsi="Times New Roman"/>
          <w:sz w:val="24"/>
          <w:szCs w:val="24"/>
        </w:rPr>
      </w:pPr>
      <w:r w:rsidRPr="00926192">
        <w:rPr>
          <w:rFonts w:ascii="Times New Roman" w:hAnsi="Times New Roman"/>
          <w:sz w:val="24"/>
          <w:szCs w:val="24"/>
        </w:rPr>
        <w:t>Расширению рублёвого денежного предложения способствовал рост объёма наличных денежных средств в обращении на 5,9% (+52,2 млн. руб.) до 933,4 млн. руб., из которых 6,0 млн. руб. (0,6%) были представлены юбилейными и памятными монетами. В результате, удельный вес наличности в структуре итогового показателя увеличился с начала отчётного года на 0,3 процентных пункта и на 1 июля 2014 года составил 42,1%.</w:t>
      </w:r>
    </w:p>
    <w:p w:rsidR="0007681A" w:rsidRDefault="0007681A" w:rsidP="0029681F">
      <w:pPr>
        <w:spacing w:line="240" w:lineRule="auto"/>
        <w:ind w:firstLine="709"/>
        <w:contextualSpacing/>
        <w:jc w:val="both"/>
        <w:rPr>
          <w:rFonts w:ascii="Times New Roman" w:hAnsi="Times New Roman"/>
          <w:sz w:val="24"/>
          <w:szCs w:val="24"/>
        </w:rPr>
      </w:pPr>
    </w:p>
    <w:p w:rsidR="0029681F" w:rsidRDefault="0029681F" w:rsidP="0029681F">
      <w:pPr>
        <w:spacing w:line="240" w:lineRule="auto"/>
        <w:contextualSpacing/>
        <w:jc w:val="right"/>
        <w:rPr>
          <w:rFonts w:ascii="Times New Roman" w:hAnsi="Times New Roman"/>
          <w:sz w:val="24"/>
          <w:szCs w:val="24"/>
        </w:rPr>
      </w:pPr>
      <w:r w:rsidRPr="00D70A3E">
        <w:rPr>
          <w:rFonts w:ascii="Times New Roman" w:hAnsi="Times New Roman"/>
          <w:sz w:val="24"/>
          <w:szCs w:val="24"/>
        </w:rPr>
        <w:t>Таблица №</w:t>
      </w:r>
      <w:r w:rsidR="0007681A">
        <w:rPr>
          <w:rFonts w:ascii="Times New Roman" w:hAnsi="Times New Roman"/>
          <w:sz w:val="24"/>
          <w:szCs w:val="24"/>
        </w:rPr>
        <w:t>3</w:t>
      </w:r>
    </w:p>
    <w:p w:rsidR="0029681F" w:rsidRDefault="0029681F" w:rsidP="0029681F">
      <w:pPr>
        <w:spacing w:line="240" w:lineRule="auto"/>
        <w:contextualSpacing/>
        <w:jc w:val="center"/>
        <w:rPr>
          <w:rFonts w:ascii="Times New Roman" w:hAnsi="Times New Roman"/>
          <w:b/>
          <w:color w:val="000000"/>
          <w:sz w:val="24"/>
          <w:szCs w:val="24"/>
        </w:rPr>
      </w:pPr>
      <w:r w:rsidRPr="00926192">
        <w:rPr>
          <w:rFonts w:ascii="Times New Roman" w:hAnsi="Times New Roman"/>
          <w:b/>
          <w:color w:val="000000"/>
          <w:sz w:val="24"/>
          <w:szCs w:val="24"/>
        </w:rPr>
        <w:t>Структура и динамика денежного предложения</w:t>
      </w:r>
    </w:p>
    <w:tbl>
      <w:tblPr>
        <w:tblW w:w="93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8"/>
        <w:gridCol w:w="1250"/>
        <w:gridCol w:w="980"/>
        <w:gridCol w:w="1120"/>
        <w:gridCol w:w="1120"/>
        <w:gridCol w:w="934"/>
      </w:tblGrid>
      <w:tr w:rsidR="0029681F" w:rsidRPr="0029681F" w:rsidTr="0029681F">
        <w:trPr>
          <w:cantSplit/>
          <w:trHeight w:val="7"/>
        </w:trPr>
        <w:tc>
          <w:tcPr>
            <w:tcW w:w="3928" w:type="dxa"/>
            <w:vMerge w:val="restart"/>
            <w:shd w:val="clear" w:color="auto" w:fill="EEECE1"/>
          </w:tcPr>
          <w:p w:rsidR="0029681F" w:rsidRPr="0029681F" w:rsidRDefault="0029681F" w:rsidP="0029681F">
            <w:pPr>
              <w:spacing w:after="0" w:line="240" w:lineRule="auto"/>
              <w:ind w:right="-1"/>
              <w:contextualSpacing/>
              <w:jc w:val="both"/>
              <w:rPr>
                <w:rFonts w:ascii="Times New Roman" w:hAnsi="Times New Roman"/>
                <w:color w:val="000000"/>
                <w:sz w:val="20"/>
                <w:szCs w:val="20"/>
              </w:rPr>
            </w:pPr>
          </w:p>
        </w:tc>
        <w:tc>
          <w:tcPr>
            <w:tcW w:w="2230" w:type="dxa"/>
            <w:gridSpan w:val="2"/>
            <w:shd w:val="clear" w:color="auto" w:fill="EEECE1"/>
            <w:vAlign w:val="center"/>
          </w:tcPr>
          <w:p w:rsidR="0029681F" w:rsidRPr="0029681F" w:rsidRDefault="0029681F" w:rsidP="0029681F">
            <w:pPr>
              <w:spacing w:after="0" w:line="240" w:lineRule="auto"/>
              <w:contextualSpacing/>
              <w:jc w:val="center"/>
              <w:rPr>
                <w:rFonts w:ascii="Times New Roman" w:hAnsi="Times New Roman"/>
                <w:color w:val="000000"/>
                <w:sz w:val="20"/>
                <w:szCs w:val="20"/>
              </w:rPr>
            </w:pPr>
            <w:r w:rsidRPr="0029681F">
              <w:rPr>
                <w:rFonts w:ascii="Times New Roman" w:hAnsi="Times New Roman"/>
                <w:color w:val="000000"/>
                <w:sz w:val="20"/>
                <w:szCs w:val="20"/>
              </w:rPr>
              <w:t>на 01.01.2014 г.</w:t>
            </w:r>
          </w:p>
        </w:tc>
        <w:tc>
          <w:tcPr>
            <w:tcW w:w="2240" w:type="dxa"/>
            <w:gridSpan w:val="2"/>
            <w:shd w:val="clear" w:color="auto" w:fill="EEECE1"/>
            <w:vAlign w:val="center"/>
          </w:tcPr>
          <w:p w:rsidR="0029681F" w:rsidRPr="0029681F" w:rsidRDefault="0029681F" w:rsidP="0029681F">
            <w:pPr>
              <w:spacing w:after="0" w:line="240" w:lineRule="auto"/>
              <w:contextualSpacing/>
              <w:jc w:val="center"/>
              <w:rPr>
                <w:rFonts w:ascii="Times New Roman" w:hAnsi="Times New Roman"/>
                <w:color w:val="000000"/>
                <w:sz w:val="20"/>
                <w:szCs w:val="20"/>
              </w:rPr>
            </w:pPr>
            <w:r w:rsidRPr="0029681F">
              <w:rPr>
                <w:rFonts w:ascii="Times New Roman" w:hAnsi="Times New Roman"/>
                <w:color w:val="000000"/>
                <w:sz w:val="20"/>
                <w:szCs w:val="20"/>
              </w:rPr>
              <w:t>на 01.07.2014 г.</w:t>
            </w:r>
          </w:p>
        </w:tc>
        <w:tc>
          <w:tcPr>
            <w:tcW w:w="934" w:type="dxa"/>
            <w:vMerge w:val="restart"/>
            <w:shd w:val="clear" w:color="auto" w:fill="EEECE1"/>
          </w:tcPr>
          <w:p w:rsidR="0029681F" w:rsidRPr="0029681F" w:rsidRDefault="0029681F" w:rsidP="0029681F">
            <w:pPr>
              <w:spacing w:after="0" w:line="240" w:lineRule="auto"/>
              <w:ind w:left="-108" w:right="-108"/>
              <w:contextualSpacing/>
              <w:jc w:val="center"/>
              <w:rPr>
                <w:rFonts w:ascii="Times New Roman" w:hAnsi="Times New Roman"/>
                <w:color w:val="000000"/>
                <w:sz w:val="20"/>
                <w:szCs w:val="20"/>
              </w:rPr>
            </w:pPr>
            <w:r w:rsidRPr="0029681F">
              <w:rPr>
                <w:rFonts w:ascii="Times New Roman" w:hAnsi="Times New Roman"/>
                <w:color w:val="000000"/>
                <w:sz w:val="20"/>
                <w:szCs w:val="20"/>
              </w:rPr>
              <w:t>темп</w:t>
            </w:r>
          </w:p>
          <w:p w:rsidR="0029681F" w:rsidRPr="0029681F" w:rsidRDefault="0029681F" w:rsidP="0029681F">
            <w:pPr>
              <w:spacing w:after="0" w:line="240" w:lineRule="auto"/>
              <w:ind w:left="-108" w:right="-108"/>
              <w:contextualSpacing/>
              <w:jc w:val="center"/>
              <w:rPr>
                <w:rFonts w:ascii="Times New Roman" w:hAnsi="Times New Roman"/>
                <w:color w:val="000000"/>
                <w:sz w:val="20"/>
                <w:szCs w:val="20"/>
              </w:rPr>
            </w:pPr>
            <w:r w:rsidRPr="0029681F">
              <w:rPr>
                <w:rFonts w:ascii="Times New Roman" w:hAnsi="Times New Roman"/>
                <w:color w:val="000000"/>
                <w:sz w:val="20"/>
                <w:szCs w:val="20"/>
              </w:rPr>
              <w:t>роста, %</w:t>
            </w:r>
          </w:p>
        </w:tc>
      </w:tr>
      <w:tr w:rsidR="0029681F" w:rsidRPr="0029681F" w:rsidTr="0029681F">
        <w:trPr>
          <w:cantSplit/>
          <w:trHeight w:val="212"/>
        </w:trPr>
        <w:tc>
          <w:tcPr>
            <w:tcW w:w="3928" w:type="dxa"/>
            <w:vMerge/>
          </w:tcPr>
          <w:p w:rsidR="0029681F" w:rsidRPr="0029681F" w:rsidRDefault="0029681F" w:rsidP="0029681F">
            <w:pPr>
              <w:spacing w:after="0" w:line="240" w:lineRule="auto"/>
              <w:ind w:right="-1"/>
              <w:contextualSpacing/>
              <w:jc w:val="both"/>
              <w:rPr>
                <w:rFonts w:ascii="Times New Roman" w:hAnsi="Times New Roman"/>
                <w:color w:val="000000"/>
                <w:sz w:val="20"/>
                <w:szCs w:val="20"/>
              </w:rPr>
            </w:pPr>
          </w:p>
        </w:tc>
        <w:tc>
          <w:tcPr>
            <w:tcW w:w="1250" w:type="dxa"/>
            <w:shd w:val="clear" w:color="auto" w:fill="EEECE1"/>
          </w:tcPr>
          <w:p w:rsidR="0029681F" w:rsidRPr="0029681F" w:rsidRDefault="0029681F" w:rsidP="0029681F">
            <w:pPr>
              <w:spacing w:after="0" w:line="240" w:lineRule="auto"/>
              <w:contextualSpacing/>
              <w:jc w:val="center"/>
              <w:rPr>
                <w:rFonts w:ascii="Times New Roman" w:hAnsi="Times New Roman"/>
                <w:color w:val="000000"/>
                <w:sz w:val="20"/>
                <w:szCs w:val="20"/>
              </w:rPr>
            </w:pPr>
            <w:r w:rsidRPr="0029681F">
              <w:rPr>
                <w:rFonts w:ascii="Times New Roman" w:hAnsi="Times New Roman"/>
                <w:color w:val="000000"/>
                <w:sz w:val="20"/>
                <w:szCs w:val="20"/>
              </w:rPr>
              <w:t>млн. руб.</w:t>
            </w:r>
          </w:p>
        </w:tc>
        <w:tc>
          <w:tcPr>
            <w:tcW w:w="980" w:type="dxa"/>
            <w:shd w:val="clear" w:color="auto" w:fill="EEECE1"/>
          </w:tcPr>
          <w:p w:rsidR="0029681F" w:rsidRPr="0029681F" w:rsidRDefault="0029681F" w:rsidP="0029681F">
            <w:pPr>
              <w:pStyle w:val="3"/>
              <w:spacing w:before="0" w:line="240" w:lineRule="auto"/>
              <w:ind w:right="-108" w:hanging="80"/>
              <w:contextualSpacing/>
              <w:rPr>
                <w:rFonts w:ascii="Times New Roman" w:hAnsi="Times New Roman"/>
                <w:b w:val="0"/>
                <w:i/>
                <w:color w:val="000000"/>
                <w:sz w:val="20"/>
                <w:szCs w:val="20"/>
              </w:rPr>
            </w:pPr>
            <w:r w:rsidRPr="0029681F">
              <w:rPr>
                <w:rFonts w:ascii="Times New Roman" w:hAnsi="Times New Roman"/>
                <w:b w:val="0"/>
                <w:color w:val="000000"/>
                <w:sz w:val="20"/>
                <w:szCs w:val="20"/>
              </w:rPr>
              <w:t>уд. вес, %</w:t>
            </w:r>
          </w:p>
        </w:tc>
        <w:tc>
          <w:tcPr>
            <w:tcW w:w="1120" w:type="dxa"/>
            <w:tcBorders>
              <w:bottom w:val="double" w:sz="4" w:space="0" w:color="auto"/>
            </w:tcBorders>
            <w:shd w:val="clear" w:color="auto" w:fill="EEECE1"/>
          </w:tcPr>
          <w:p w:rsidR="0029681F" w:rsidRPr="0029681F" w:rsidRDefault="0029681F" w:rsidP="0029681F">
            <w:pPr>
              <w:spacing w:after="0" w:line="240" w:lineRule="auto"/>
              <w:contextualSpacing/>
              <w:jc w:val="center"/>
              <w:rPr>
                <w:rFonts w:ascii="Times New Roman" w:hAnsi="Times New Roman"/>
                <w:color w:val="000000"/>
                <w:sz w:val="20"/>
                <w:szCs w:val="20"/>
              </w:rPr>
            </w:pPr>
            <w:r w:rsidRPr="0029681F">
              <w:rPr>
                <w:rFonts w:ascii="Times New Roman" w:hAnsi="Times New Roman"/>
                <w:color w:val="000000"/>
                <w:sz w:val="20"/>
                <w:szCs w:val="20"/>
              </w:rPr>
              <w:t>млн. руб.</w:t>
            </w:r>
          </w:p>
        </w:tc>
        <w:tc>
          <w:tcPr>
            <w:tcW w:w="1120" w:type="dxa"/>
            <w:shd w:val="clear" w:color="auto" w:fill="EEECE1"/>
          </w:tcPr>
          <w:p w:rsidR="0029681F" w:rsidRPr="0029681F" w:rsidRDefault="0029681F" w:rsidP="0029681F">
            <w:pPr>
              <w:pStyle w:val="3"/>
              <w:spacing w:before="0" w:line="240" w:lineRule="auto"/>
              <w:ind w:right="-108"/>
              <w:contextualSpacing/>
              <w:rPr>
                <w:rFonts w:ascii="Times New Roman" w:hAnsi="Times New Roman"/>
                <w:b w:val="0"/>
                <w:i/>
                <w:color w:val="000000"/>
                <w:sz w:val="20"/>
                <w:szCs w:val="20"/>
              </w:rPr>
            </w:pPr>
            <w:r w:rsidRPr="0029681F">
              <w:rPr>
                <w:rFonts w:ascii="Times New Roman" w:hAnsi="Times New Roman"/>
                <w:b w:val="0"/>
                <w:color w:val="000000"/>
                <w:sz w:val="20"/>
                <w:szCs w:val="20"/>
              </w:rPr>
              <w:t>уд. вес, %</w:t>
            </w:r>
          </w:p>
        </w:tc>
        <w:tc>
          <w:tcPr>
            <w:tcW w:w="934" w:type="dxa"/>
            <w:vMerge/>
            <w:shd w:val="clear" w:color="auto" w:fill="C0C0C0"/>
          </w:tcPr>
          <w:p w:rsidR="0029681F" w:rsidRPr="0029681F" w:rsidRDefault="0029681F" w:rsidP="0029681F">
            <w:pPr>
              <w:pStyle w:val="3"/>
              <w:spacing w:before="0" w:line="240" w:lineRule="auto"/>
              <w:ind w:left="-91" w:right="-94"/>
              <w:contextualSpacing/>
              <w:rPr>
                <w:rFonts w:ascii="Times New Roman" w:hAnsi="Times New Roman"/>
                <w:b w:val="0"/>
                <w:color w:val="000000"/>
                <w:sz w:val="20"/>
                <w:szCs w:val="20"/>
              </w:rPr>
            </w:pPr>
          </w:p>
        </w:tc>
      </w:tr>
      <w:tr w:rsidR="0029681F" w:rsidRPr="0029681F" w:rsidTr="0029681F">
        <w:trPr>
          <w:cantSplit/>
          <w:trHeight w:val="132"/>
        </w:trPr>
        <w:tc>
          <w:tcPr>
            <w:tcW w:w="3928" w:type="dxa"/>
            <w:tcBorders>
              <w:top w:val="double" w:sz="4" w:space="0" w:color="auto"/>
              <w:bottom w:val="single" w:sz="4" w:space="0" w:color="auto"/>
            </w:tcBorders>
            <w:shd w:val="clear" w:color="auto" w:fill="FFFFFF"/>
          </w:tcPr>
          <w:p w:rsidR="0029681F" w:rsidRPr="0029681F" w:rsidRDefault="0029681F" w:rsidP="0029681F">
            <w:pPr>
              <w:pStyle w:val="3"/>
              <w:spacing w:before="0" w:line="240" w:lineRule="auto"/>
              <w:ind w:right="-1"/>
              <w:contextualSpacing/>
              <w:rPr>
                <w:rFonts w:ascii="Times New Roman" w:hAnsi="Times New Roman"/>
                <w:b w:val="0"/>
                <w:i/>
                <w:color w:val="000000"/>
                <w:sz w:val="20"/>
                <w:szCs w:val="20"/>
              </w:rPr>
            </w:pPr>
            <w:r w:rsidRPr="0029681F">
              <w:rPr>
                <w:rFonts w:ascii="Times New Roman" w:hAnsi="Times New Roman"/>
                <w:b w:val="0"/>
                <w:color w:val="000000"/>
                <w:sz w:val="20"/>
                <w:szCs w:val="20"/>
              </w:rPr>
              <w:t>Полная денежная масса (М3)</w:t>
            </w:r>
          </w:p>
        </w:tc>
        <w:tc>
          <w:tcPr>
            <w:tcW w:w="1250" w:type="dxa"/>
            <w:tcBorders>
              <w:top w:val="double" w:sz="4" w:space="0" w:color="auto"/>
              <w:bottom w:val="single" w:sz="4" w:space="0" w:color="auto"/>
            </w:tcBorders>
            <w:shd w:val="clear" w:color="auto" w:fill="FFFFFF"/>
            <w:vAlign w:val="bottom"/>
          </w:tcPr>
          <w:p w:rsidR="0029681F" w:rsidRPr="0029681F" w:rsidRDefault="0029681F" w:rsidP="0029681F">
            <w:pPr>
              <w:spacing w:after="0" w:line="240" w:lineRule="auto"/>
              <w:ind w:right="113"/>
              <w:contextualSpacing/>
              <w:jc w:val="right"/>
              <w:rPr>
                <w:rFonts w:ascii="Times New Roman" w:hAnsi="Times New Roman"/>
                <w:sz w:val="20"/>
                <w:szCs w:val="20"/>
              </w:rPr>
            </w:pPr>
            <w:r w:rsidRPr="0029681F">
              <w:rPr>
                <w:rFonts w:ascii="Times New Roman" w:hAnsi="Times New Roman"/>
                <w:sz w:val="20"/>
                <w:szCs w:val="20"/>
              </w:rPr>
              <w:t>5 946,6</w:t>
            </w:r>
          </w:p>
        </w:tc>
        <w:tc>
          <w:tcPr>
            <w:tcW w:w="980" w:type="dxa"/>
            <w:tcBorders>
              <w:top w:val="double" w:sz="4" w:space="0" w:color="auto"/>
              <w:bottom w:val="single" w:sz="4" w:space="0" w:color="auto"/>
            </w:tcBorders>
            <w:shd w:val="clear" w:color="auto" w:fill="FFFFFF"/>
            <w:vAlign w:val="bottom"/>
          </w:tcPr>
          <w:p w:rsidR="0029681F" w:rsidRPr="0029681F" w:rsidRDefault="0029681F" w:rsidP="0029681F">
            <w:pPr>
              <w:spacing w:after="0" w:line="240" w:lineRule="auto"/>
              <w:ind w:right="227"/>
              <w:contextualSpacing/>
              <w:jc w:val="right"/>
              <w:rPr>
                <w:rFonts w:ascii="Times New Roman" w:hAnsi="Times New Roman"/>
                <w:sz w:val="20"/>
                <w:szCs w:val="20"/>
              </w:rPr>
            </w:pPr>
            <w:r w:rsidRPr="0029681F">
              <w:rPr>
                <w:rFonts w:ascii="Times New Roman" w:hAnsi="Times New Roman"/>
                <w:sz w:val="20"/>
                <w:szCs w:val="20"/>
              </w:rPr>
              <w:t>100,0</w:t>
            </w:r>
          </w:p>
        </w:tc>
        <w:tc>
          <w:tcPr>
            <w:tcW w:w="1120" w:type="dxa"/>
            <w:tcBorders>
              <w:top w:val="double" w:sz="4" w:space="0" w:color="auto"/>
              <w:bottom w:val="single" w:sz="4" w:space="0" w:color="auto"/>
            </w:tcBorders>
            <w:shd w:val="clear" w:color="auto" w:fill="FFFFFF"/>
            <w:vAlign w:val="bottom"/>
          </w:tcPr>
          <w:p w:rsidR="0029681F" w:rsidRPr="0029681F" w:rsidRDefault="0029681F" w:rsidP="0029681F">
            <w:pPr>
              <w:spacing w:after="0" w:line="240" w:lineRule="auto"/>
              <w:ind w:right="113"/>
              <w:contextualSpacing/>
              <w:jc w:val="right"/>
              <w:rPr>
                <w:rFonts w:ascii="Times New Roman" w:hAnsi="Times New Roman"/>
                <w:sz w:val="20"/>
                <w:szCs w:val="20"/>
              </w:rPr>
            </w:pPr>
            <w:r w:rsidRPr="0029681F">
              <w:rPr>
                <w:rFonts w:ascii="Times New Roman" w:hAnsi="Times New Roman"/>
                <w:sz w:val="20"/>
                <w:szCs w:val="20"/>
              </w:rPr>
              <w:t>6 142,6</w:t>
            </w:r>
          </w:p>
        </w:tc>
        <w:tc>
          <w:tcPr>
            <w:tcW w:w="1120" w:type="dxa"/>
            <w:tcBorders>
              <w:top w:val="double" w:sz="4" w:space="0" w:color="auto"/>
              <w:bottom w:val="single" w:sz="4" w:space="0" w:color="auto"/>
            </w:tcBorders>
            <w:shd w:val="clear" w:color="auto" w:fill="FFFFFF"/>
            <w:vAlign w:val="bottom"/>
          </w:tcPr>
          <w:p w:rsidR="0029681F" w:rsidRPr="0029681F" w:rsidRDefault="0029681F" w:rsidP="0029681F">
            <w:pPr>
              <w:spacing w:after="0" w:line="240" w:lineRule="auto"/>
              <w:ind w:right="227"/>
              <w:contextualSpacing/>
              <w:jc w:val="right"/>
              <w:rPr>
                <w:rFonts w:ascii="Times New Roman" w:hAnsi="Times New Roman"/>
                <w:sz w:val="20"/>
                <w:szCs w:val="20"/>
              </w:rPr>
            </w:pPr>
            <w:r w:rsidRPr="0029681F">
              <w:rPr>
                <w:rFonts w:ascii="Times New Roman" w:hAnsi="Times New Roman"/>
                <w:sz w:val="20"/>
                <w:szCs w:val="20"/>
              </w:rPr>
              <w:t>100,0</w:t>
            </w:r>
          </w:p>
        </w:tc>
        <w:tc>
          <w:tcPr>
            <w:tcW w:w="934" w:type="dxa"/>
            <w:tcBorders>
              <w:top w:val="double" w:sz="4" w:space="0" w:color="auto"/>
              <w:bottom w:val="single" w:sz="4" w:space="0" w:color="auto"/>
            </w:tcBorders>
            <w:shd w:val="clear" w:color="auto" w:fill="FFFFFF"/>
            <w:vAlign w:val="bottom"/>
          </w:tcPr>
          <w:p w:rsidR="0029681F" w:rsidRPr="0029681F" w:rsidRDefault="0029681F" w:rsidP="0029681F">
            <w:pPr>
              <w:spacing w:after="0" w:line="240" w:lineRule="auto"/>
              <w:ind w:right="129"/>
              <w:contextualSpacing/>
              <w:jc w:val="right"/>
              <w:rPr>
                <w:rFonts w:ascii="Times New Roman" w:hAnsi="Times New Roman"/>
                <w:sz w:val="20"/>
                <w:szCs w:val="20"/>
              </w:rPr>
            </w:pPr>
            <w:r w:rsidRPr="0029681F">
              <w:rPr>
                <w:rFonts w:ascii="Times New Roman" w:hAnsi="Times New Roman"/>
                <w:sz w:val="20"/>
                <w:szCs w:val="20"/>
              </w:rPr>
              <w:t>103,3</w:t>
            </w:r>
          </w:p>
        </w:tc>
      </w:tr>
      <w:tr w:rsidR="0029681F" w:rsidRPr="0029681F" w:rsidTr="0029681F">
        <w:trPr>
          <w:cantSplit/>
          <w:trHeight w:val="136"/>
        </w:trPr>
        <w:tc>
          <w:tcPr>
            <w:tcW w:w="3928" w:type="dxa"/>
            <w:tcBorders>
              <w:top w:val="single" w:sz="4" w:space="0" w:color="auto"/>
              <w:bottom w:val="nil"/>
            </w:tcBorders>
            <w:shd w:val="clear" w:color="auto" w:fill="FFFFFF"/>
          </w:tcPr>
          <w:p w:rsidR="0029681F" w:rsidRPr="0029681F" w:rsidRDefault="0029681F" w:rsidP="0029681F">
            <w:pPr>
              <w:pStyle w:val="3"/>
              <w:spacing w:before="0" w:line="240" w:lineRule="auto"/>
              <w:ind w:left="32" w:right="-1" w:firstLine="112"/>
              <w:contextualSpacing/>
              <w:rPr>
                <w:rFonts w:ascii="Times New Roman" w:hAnsi="Times New Roman"/>
                <w:b w:val="0"/>
                <w:i/>
                <w:color w:val="000000"/>
                <w:sz w:val="20"/>
                <w:szCs w:val="20"/>
              </w:rPr>
            </w:pPr>
            <w:r w:rsidRPr="0029681F">
              <w:rPr>
                <w:rFonts w:ascii="Times New Roman" w:hAnsi="Times New Roman"/>
                <w:b w:val="0"/>
                <w:color w:val="000000"/>
                <w:sz w:val="20"/>
                <w:szCs w:val="20"/>
              </w:rPr>
              <w:t>в том числе:</w:t>
            </w:r>
          </w:p>
        </w:tc>
        <w:tc>
          <w:tcPr>
            <w:tcW w:w="1250" w:type="dxa"/>
            <w:tcBorders>
              <w:top w:val="single" w:sz="4" w:space="0" w:color="auto"/>
              <w:bottom w:val="nil"/>
            </w:tcBorders>
            <w:shd w:val="clear" w:color="auto" w:fill="FFFFFF"/>
            <w:vAlign w:val="bottom"/>
          </w:tcPr>
          <w:p w:rsidR="0029681F" w:rsidRPr="0029681F" w:rsidRDefault="0029681F" w:rsidP="0029681F">
            <w:pPr>
              <w:spacing w:after="0" w:line="240" w:lineRule="auto"/>
              <w:ind w:right="113"/>
              <w:contextualSpacing/>
              <w:jc w:val="right"/>
              <w:rPr>
                <w:rFonts w:ascii="Times New Roman" w:hAnsi="Times New Roman"/>
                <w:sz w:val="20"/>
                <w:szCs w:val="20"/>
              </w:rPr>
            </w:pPr>
          </w:p>
        </w:tc>
        <w:tc>
          <w:tcPr>
            <w:tcW w:w="980" w:type="dxa"/>
            <w:tcBorders>
              <w:top w:val="single" w:sz="4" w:space="0" w:color="auto"/>
              <w:bottom w:val="nil"/>
            </w:tcBorders>
            <w:shd w:val="clear" w:color="auto" w:fill="FFFFFF"/>
            <w:vAlign w:val="bottom"/>
          </w:tcPr>
          <w:p w:rsidR="0029681F" w:rsidRPr="0029681F" w:rsidRDefault="0029681F" w:rsidP="0029681F">
            <w:pPr>
              <w:spacing w:after="0" w:line="240" w:lineRule="auto"/>
              <w:ind w:right="227"/>
              <w:contextualSpacing/>
              <w:jc w:val="right"/>
              <w:rPr>
                <w:rFonts w:ascii="Times New Roman" w:hAnsi="Times New Roman"/>
                <w:sz w:val="20"/>
                <w:szCs w:val="20"/>
              </w:rPr>
            </w:pPr>
          </w:p>
        </w:tc>
        <w:tc>
          <w:tcPr>
            <w:tcW w:w="1120" w:type="dxa"/>
            <w:tcBorders>
              <w:top w:val="single" w:sz="4" w:space="0" w:color="auto"/>
              <w:bottom w:val="nil"/>
            </w:tcBorders>
            <w:shd w:val="clear" w:color="auto" w:fill="FFFFFF"/>
            <w:vAlign w:val="bottom"/>
          </w:tcPr>
          <w:p w:rsidR="0029681F" w:rsidRPr="0029681F" w:rsidRDefault="0029681F" w:rsidP="0029681F">
            <w:pPr>
              <w:spacing w:after="0" w:line="240" w:lineRule="auto"/>
              <w:ind w:right="113"/>
              <w:contextualSpacing/>
              <w:jc w:val="right"/>
              <w:rPr>
                <w:rFonts w:ascii="Times New Roman" w:hAnsi="Times New Roman"/>
                <w:sz w:val="20"/>
                <w:szCs w:val="20"/>
              </w:rPr>
            </w:pPr>
          </w:p>
        </w:tc>
        <w:tc>
          <w:tcPr>
            <w:tcW w:w="1120" w:type="dxa"/>
            <w:tcBorders>
              <w:top w:val="single" w:sz="4" w:space="0" w:color="auto"/>
              <w:bottom w:val="nil"/>
            </w:tcBorders>
            <w:shd w:val="clear" w:color="auto" w:fill="FFFFFF"/>
            <w:vAlign w:val="bottom"/>
          </w:tcPr>
          <w:p w:rsidR="0029681F" w:rsidRPr="0029681F" w:rsidRDefault="0029681F" w:rsidP="0029681F">
            <w:pPr>
              <w:spacing w:after="0" w:line="240" w:lineRule="auto"/>
              <w:ind w:right="227"/>
              <w:contextualSpacing/>
              <w:jc w:val="right"/>
              <w:rPr>
                <w:rFonts w:ascii="Times New Roman" w:hAnsi="Times New Roman"/>
                <w:sz w:val="20"/>
                <w:szCs w:val="20"/>
              </w:rPr>
            </w:pPr>
          </w:p>
        </w:tc>
        <w:tc>
          <w:tcPr>
            <w:tcW w:w="934" w:type="dxa"/>
            <w:tcBorders>
              <w:top w:val="single" w:sz="4" w:space="0" w:color="auto"/>
              <w:bottom w:val="nil"/>
            </w:tcBorders>
            <w:shd w:val="clear" w:color="auto" w:fill="FFFFFF"/>
            <w:vAlign w:val="bottom"/>
          </w:tcPr>
          <w:p w:rsidR="0029681F" w:rsidRPr="0029681F" w:rsidRDefault="0029681F" w:rsidP="0029681F">
            <w:pPr>
              <w:spacing w:after="0" w:line="240" w:lineRule="auto"/>
              <w:ind w:right="129"/>
              <w:contextualSpacing/>
              <w:jc w:val="right"/>
              <w:rPr>
                <w:rFonts w:ascii="Times New Roman" w:hAnsi="Times New Roman"/>
                <w:sz w:val="20"/>
                <w:szCs w:val="20"/>
              </w:rPr>
            </w:pPr>
          </w:p>
        </w:tc>
      </w:tr>
      <w:tr w:rsidR="0029681F" w:rsidRPr="0029681F" w:rsidTr="0029681F">
        <w:trPr>
          <w:cantSplit/>
          <w:trHeight w:val="110"/>
        </w:trPr>
        <w:tc>
          <w:tcPr>
            <w:tcW w:w="3928" w:type="dxa"/>
            <w:tcBorders>
              <w:top w:val="nil"/>
            </w:tcBorders>
            <w:shd w:val="clear" w:color="auto" w:fill="FFFFFF"/>
          </w:tcPr>
          <w:p w:rsidR="0029681F" w:rsidRPr="0029681F" w:rsidRDefault="0029681F" w:rsidP="0029681F">
            <w:pPr>
              <w:pStyle w:val="3"/>
              <w:spacing w:before="0" w:line="240" w:lineRule="auto"/>
              <w:ind w:left="116" w:right="-108" w:firstLine="12"/>
              <w:contextualSpacing/>
              <w:rPr>
                <w:rFonts w:ascii="Times New Roman" w:hAnsi="Times New Roman"/>
                <w:b w:val="0"/>
                <w:i/>
                <w:color w:val="000000"/>
                <w:sz w:val="20"/>
                <w:szCs w:val="20"/>
              </w:rPr>
            </w:pPr>
            <w:r w:rsidRPr="0029681F">
              <w:rPr>
                <w:rFonts w:ascii="Times New Roman" w:hAnsi="Times New Roman"/>
                <w:b w:val="0"/>
                <w:color w:val="000000"/>
                <w:sz w:val="20"/>
                <w:szCs w:val="20"/>
              </w:rPr>
              <w:t>Национальная денежная масса (М2х)</w:t>
            </w:r>
          </w:p>
        </w:tc>
        <w:tc>
          <w:tcPr>
            <w:tcW w:w="1250" w:type="dxa"/>
            <w:tcBorders>
              <w:top w:val="nil"/>
            </w:tcBorders>
            <w:shd w:val="clear" w:color="auto" w:fill="FFFFFF"/>
            <w:vAlign w:val="bottom"/>
          </w:tcPr>
          <w:p w:rsidR="0029681F" w:rsidRPr="0029681F" w:rsidRDefault="0029681F" w:rsidP="0029681F">
            <w:pPr>
              <w:spacing w:after="0" w:line="240" w:lineRule="auto"/>
              <w:ind w:right="113"/>
              <w:contextualSpacing/>
              <w:jc w:val="right"/>
              <w:rPr>
                <w:rFonts w:ascii="Times New Roman" w:hAnsi="Times New Roman"/>
                <w:sz w:val="20"/>
                <w:szCs w:val="20"/>
              </w:rPr>
            </w:pPr>
            <w:r w:rsidRPr="0029681F">
              <w:rPr>
                <w:rFonts w:ascii="Times New Roman" w:hAnsi="Times New Roman"/>
                <w:sz w:val="20"/>
                <w:szCs w:val="20"/>
              </w:rPr>
              <w:t>2 108,8</w:t>
            </w:r>
          </w:p>
        </w:tc>
        <w:tc>
          <w:tcPr>
            <w:tcW w:w="980" w:type="dxa"/>
            <w:tcBorders>
              <w:top w:val="nil"/>
            </w:tcBorders>
            <w:shd w:val="clear" w:color="auto" w:fill="FFFFFF"/>
            <w:vAlign w:val="bottom"/>
          </w:tcPr>
          <w:p w:rsidR="0029681F" w:rsidRPr="0029681F" w:rsidRDefault="0029681F" w:rsidP="0029681F">
            <w:pPr>
              <w:spacing w:after="0" w:line="240" w:lineRule="auto"/>
              <w:ind w:right="227"/>
              <w:contextualSpacing/>
              <w:jc w:val="right"/>
              <w:rPr>
                <w:rFonts w:ascii="Times New Roman" w:hAnsi="Times New Roman"/>
                <w:sz w:val="20"/>
                <w:szCs w:val="20"/>
              </w:rPr>
            </w:pPr>
            <w:r w:rsidRPr="0029681F">
              <w:rPr>
                <w:rFonts w:ascii="Times New Roman" w:hAnsi="Times New Roman"/>
                <w:sz w:val="20"/>
                <w:szCs w:val="20"/>
              </w:rPr>
              <w:t>35,5</w:t>
            </w:r>
          </w:p>
        </w:tc>
        <w:tc>
          <w:tcPr>
            <w:tcW w:w="1120" w:type="dxa"/>
            <w:tcBorders>
              <w:top w:val="nil"/>
            </w:tcBorders>
            <w:shd w:val="clear" w:color="auto" w:fill="FFFFFF"/>
            <w:vAlign w:val="bottom"/>
          </w:tcPr>
          <w:p w:rsidR="0029681F" w:rsidRPr="0029681F" w:rsidRDefault="0029681F" w:rsidP="0029681F">
            <w:pPr>
              <w:spacing w:after="0" w:line="240" w:lineRule="auto"/>
              <w:ind w:right="113"/>
              <w:contextualSpacing/>
              <w:jc w:val="right"/>
              <w:rPr>
                <w:rFonts w:ascii="Times New Roman" w:hAnsi="Times New Roman"/>
                <w:sz w:val="20"/>
                <w:szCs w:val="20"/>
              </w:rPr>
            </w:pPr>
            <w:r w:rsidRPr="0029681F">
              <w:rPr>
                <w:rFonts w:ascii="Times New Roman" w:hAnsi="Times New Roman"/>
                <w:sz w:val="20"/>
                <w:szCs w:val="20"/>
              </w:rPr>
              <w:t>2 215,2</w:t>
            </w:r>
          </w:p>
        </w:tc>
        <w:tc>
          <w:tcPr>
            <w:tcW w:w="1120" w:type="dxa"/>
            <w:tcBorders>
              <w:top w:val="nil"/>
            </w:tcBorders>
            <w:shd w:val="clear" w:color="auto" w:fill="FFFFFF"/>
            <w:vAlign w:val="bottom"/>
          </w:tcPr>
          <w:p w:rsidR="0029681F" w:rsidRPr="0029681F" w:rsidRDefault="0029681F" w:rsidP="0029681F">
            <w:pPr>
              <w:spacing w:after="0" w:line="240" w:lineRule="auto"/>
              <w:ind w:right="227"/>
              <w:contextualSpacing/>
              <w:jc w:val="right"/>
              <w:rPr>
                <w:rFonts w:ascii="Times New Roman" w:hAnsi="Times New Roman"/>
                <w:sz w:val="20"/>
                <w:szCs w:val="20"/>
              </w:rPr>
            </w:pPr>
            <w:r w:rsidRPr="0029681F">
              <w:rPr>
                <w:rFonts w:ascii="Times New Roman" w:hAnsi="Times New Roman"/>
                <w:sz w:val="20"/>
                <w:szCs w:val="20"/>
              </w:rPr>
              <w:t>36,1</w:t>
            </w:r>
          </w:p>
        </w:tc>
        <w:tc>
          <w:tcPr>
            <w:tcW w:w="934" w:type="dxa"/>
            <w:tcBorders>
              <w:top w:val="nil"/>
            </w:tcBorders>
            <w:shd w:val="clear" w:color="auto" w:fill="FFFFFF"/>
            <w:vAlign w:val="bottom"/>
          </w:tcPr>
          <w:p w:rsidR="0029681F" w:rsidRPr="0029681F" w:rsidRDefault="0029681F" w:rsidP="0029681F">
            <w:pPr>
              <w:spacing w:after="0" w:line="240" w:lineRule="auto"/>
              <w:ind w:right="129"/>
              <w:contextualSpacing/>
              <w:jc w:val="right"/>
              <w:rPr>
                <w:rFonts w:ascii="Times New Roman" w:hAnsi="Times New Roman"/>
                <w:sz w:val="20"/>
                <w:szCs w:val="20"/>
              </w:rPr>
            </w:pPr>
            <w:r w:rsidRPr="0029681F">
              <w:rPr>
                <w:rFonts w:ascii="Times New Roman" w:hAnsi="Times New Roman"/>
                <w:sz w:val="20"/>
                <w:szCs w:val="20"/>
              </w:rPr>
              <w:t>105,0</w:t>
            </w:r>
          </w:p>
        </w:tc>
      </w:tr>
      <w:tr w:rsidR="0029681F" w:rsidRPr="0029681F" w:rsidTr="0029681F">
        <w:trPr>
          <w:cantSplit/>
          <w:trHeight w:val="19"/>
        </w:trPr>
        <w:tc>
          <w:tcPr>
            <w:tcW w:w="3928" w:type="dxa"/>
            <w:tcBorders>
              <w:bottom w:val="single" w:sz="4" w:space="0" w:color="FFFFFF"/>
            </w:tcBorders>
            <w:shd w:val="clear" w:color="auto" w:fill="FFFFFF"/>
          </w:tcPr>
          <w:p w:rsidR="0029681F" w:rsidRPr="0029681F" w:rsidRDefault="0029681F" w:rsidP="0029681F">
            <w:pPr>
              <w:pStyle w:val="3"/>
              <w:tabs>
                <w:tab w:val="left" w:pos="612"/>
              </w:tabs>
              <w:spacing w:before="0" w:line="240" w:lineRule="auto"/>
              <w:ind w:left="270" w:right="-108"/>
              <w:contextualSpacing/>
              <w:rPr>
                <w:rFonts w:ascii="Times New Roman" w:hAnsi="Times New Roman"/>
                <w:b w:val="0"/>
                <w:i/>
                <w:color w:val="000000"/>
                <w:sz w:val="20"/>
                <w:szCs w:val="20"/>
              </w:rPr>
            </w:pPr>
            <w:r w:rsidRPr="0029681F">
              <w:rPr>
                <w:rFonts w:ascii="Times New Roman" w:hAnsi="Times New Roman"/>
                <w:b w:val="0"/>
                <w:color w:val="000000"/>
                <w:sz w:val="20"/>
                <w:szCs w:val="20"/>
              </w:rPr>
              <w:t>в том числе</w:t>
            </w:r>
            <w:r w:rsidRPr="0029681F">
              <w:rPr>
                <w:rFonts w:ascii="Times New Roman" w:hAnsi="Times New Roman"/>
                <w:b w:val="0"/>
                <w:color w:val="000000"/>
                <w:sz w:val="20"/>
                <w:szCs w:val="20"/>
                <w:lang w:val="en-US"/>
              </w:rPr>
              <w:t>:</w:t>
            </w:r>
          </w:p>
        </w:tc>
        <w:tc>
          <w:tcPr>
            <w:tcW w:w="1250" w:type="dxa"/>
            <w:tcBorders>
              <w:bottom w:val="single" w:sz="4" w:space="0" w:color="FFFFFF"/>
            </w:tcBorders>
            <w:shd w:val="clear" w:color="auto" w:fill="FFFFFF"/>
            <w:vAlign w:val="bottom"/>
          </w:tcPr>
          <w:p w:rsidR="0029681F" w:rsidRPr="0029681F" w:rsidRDefault="0029681F" w:rsidP="0029681F">
            <w:pPr>
              <w:spacing w:after="0" w:line="240" w:lineRule="auto"/>
              <w:ind w:right="113"/>
              <w:contextualSpacing/>
              <w:jc w:val="right"/>
              <w:rPr>
                <w:rFonts w:ascii="Times New Roman" w:hAnsi="Times New Roman"/>
                <w:sz w:val="20"/>
                <w:szCs w:val="20"/>
              </w:rPr>
            </w:pPr>
          </w:p>
        </w:tc>
        <w:tc>
          <w:tcPr>
            <w:tcW w:w="980" w:type="dxa"/>
            <w:tcBorders>
              <w:bottom w:val="single" w:sz="4" w:space="0" w:color="FFFFFF"/>
            </w:tcBorders>
            <w:shd w:val="clear" w:color="auto" w:fill="FFFFFF"/>
            <w:vAlign w:val="bottom"/>
          </w:tcPr>
          <w:p w:rsidR="0029681F" w:rsidRPr="0029681F" w:rsidRDefault="0029681F" w:rsidP="0029681F">
            <w:pPr>
              <w:spacing w:after="0" w:line="240" w:lineRule="auto"/>
              <w:ind w:right="227"/>
              <w:contextualSpacing/>
              <w:jc w:val="right"/>
              <w:rPr>
                <w:rFonts w:ascii="Times New Roman" w:hAnsi="Times New Roman"/>
                <w:sz w:val="20"/>
                <w:szCs w:val="20"/>
              </w:rPr>
            </w:pPr>
          </w:p>
        </w:tc>
        <w:tc>
          <w:tcPr>
            <w:tcW w:w="1120" w:type="dxa"/>
            <w:tcBorders>
              <w:bottom w:val="single" w:sz="4" w:space="0" w:color="FFFFFF"/>
            </w:tcBorders>
            <w:shd w:val="clear" w:color="auto" w:fill="FFFFFF"/>
            <w:vAlign w:val="bottom"/>
          </w:tcPr>
          <w:p w:rsidR="0029681F" w:rsidRPr="0029681F" w:rsidRDefault="0029681F" w:rsidP="0029681F">
            <w:pPr>
              <w:spacing w:after="0" w:line="240" w:lineRule="auto"/>
              <w:ind w:right="113"/>
              <w:contextualSpacing/>
              <w:jc w:val="right"/>
              <w:rPr>
                <w:rFonts w:ascii="Times New Roman" w:hAnsi="Times New Roman"/>
                <w:sz w:val="20"/>
                <w:szCs w:val="20"/>
              </w:rPr>
            </w:pPr>
          </w:p>
        </w:tc>
        <w:tc>
          <w:tcPr>
            <w:tcW w:w="1120" w:type="dxa"/>
            <w:tcBorders>
              <w:bottom w:val="single" w:sz="4" w:space="0" w:color="FFFFFF"/>
            </w:tcBorders>
            <w:shd w:val="clear" w:color="auto" w:fill="FFFFFF"/>
            <w:vAlign w:val="bottom"/>
          </w:tcPr>
          <w:p w:rsidR="0029681F" w:rsidRPr="0029681F" w:rsidRDefault="0029681F" w:rsidP="0029681F">
            <w:pPr>
              <w:spacing w:after="0" w:line="240" w:lineRule="auto"/>
              <w:ind w:right="227"/>
              <w:contextualSpacing/>
              <w:jc w:val="right"/>
              <w:rPr>
                <w:rFonts w:ascii="Times New Roman" w:hAnsi="Times New Roman"/>
                <w:sz w:val="20"/>
                <w:szCs w:val="20"/>
              </w:rPr>
            </w:pPr>
          </w:p>
        </w:tc>
        <w:tc>
          <w:tcPr>
            <w:tcW w:w="934" w:type="dxa"/>
            <w:tcBorders>
              <w:bottom w:val="single" w:sz="4" w:space="0" w:color="FFFFFF"/>
            </w:tcBorders>
            <w:shd w:val="clear" w:color="auto" w:fill="FFFFFF"/>
            <w:vAlign w:val="bottom"/>
          </w:tcPr>
          <w:p w:rsidR="0029681F" w:rsidRPr="0029681F" w:rsidRDefault="0029681F" w:rsidP="0029681F">
            <w:pPr>
              <w:spacing w:after="0" w:line="240" w:lineRule="auto"/>
              <w:ind w:right="129"/>
              <w:contextualSpacing/>
              <w:jc w:val="right"/>
              <w:rPr>
                <w:rFonts w:ascii="Times New Roman" w:hAnsi="Times New Roman"/>
                <w:sz w:val="20"/>
                <w:szCs w:val="20"/>
              </w:rPr>
            </w:pPr>
          </w:p>
        </w:tc>
      </w:tr>
      <w:tr w:rsidR="0029681F" w:rsidRPr="0029681F" w:rsidTr="0029681F">
        <w:trPr>
          <w:cantSplit/>
          <w:trHeight w:val="17"/>
        </w:trPr>
        <w:tc>
          <w:tcPr>
            <w:tcW w:w="3928" w:type="dxa"/>
            <w:tcBorders>
              <w:top w:val="single" w:sz="4" w:space="0" w:color="FFFFFF"/>
              <w:bottom w:val="single" w:sz="4" w:space="0" w:color="auto"/>
            </w:tcBorders>
            <w:shd w:val="clear" w:color="auto" w:fill="FFFFFF"/>
          </w:tcPr>
          <w:p w:rsidR="0029681F" w:rsidRPr="0029681F" w:rsidRDefault="0029681F" w:rsidP="0029681F">
            <w:pPr>
              <w:pStyle w:val="3"/>
              <w:tabs>
                <w:tab w:val="left" w:pos="176"/>
                <w:tab w:val="left" w:pos="612"/>
              </w:tabs>
              <w:spacing w:before="0" w:line="240" w:lineRule="auto"/>
              <w:ind w:left="270" w:right="-108"/>
              <w:contextualSpacing/>
              <w:rPr>
                <w:rFonts w:ascii="Times New Roman" w:hAnsi="Times New Roman"/>
                <w:b w:val="0"/>
                <w:i/>
                <w:color w:val="000000"/>
                <w:sz w:val="20"/>
                <w:szCs w:val="20"/>
              </w:rPr>
            </w:pPr>
            <w:r w:rsidRPr="0029681F">
              <w:rPr>
                <w:rFonts w:ascii="Times New Roman" w:hAnsi="Times New Roman"/>
                <w:b w:val="0"/>
                <w:color w:val="000000"/>
                <w:sz w:val="20"/>
                <w:szCs w:val="20"/>
              </w:rPr>
              <w:t>- наличные деньги в обращении</w:t>
            </w:r>
          </w:p>
        </w:tc>
        <w:tc>
          <w:tcPr>
            <w:tcW w:w="1250" w:type="dxa"/>
            <w:tcBorders>
              <w:top w:val="single" w:sz="4" w:space="0" w:color="FFFFFF"/>
              <w:bottom w:val="single" w:sz="4" w:space="0" w:color="auto"/>
            </w:tcBorders>
            <w:shd w:val="clear" w:color="auto" w:fill="FFFFFF"/>
            <w:vAlign w:val="bottom"/>
          </w:tcPr>
          <w:p w:rsidR="0029681F" w:rsidRPr="0029681F" w:rsidRDefault="0029681F" w:rsidP="0029681F">
            <w:pPr>
              <w:spacing w:after="0" w:line="240" w:lineRule="auto"/>
              <w:ind w:right="113"/>
              <w:contextualSpacing/>
              <w:jc w:val="right"/>
              <w:rPr>
                <w:rFonts w:ascii="Times New Roman" w:hAnsi="Times New Roman"/>
                <w:sz w:val="20"/>
                <w:szCs w:val="20"/>
              </w:rPr>
            </w:pPr>
            <w:r w:rsidRPr="0029681F">
              <w:rPr>
                <w:rFonts w:ascii="Times New Roman" w:hAnsi="Times New Roman"/>
                <w:sz w:val="20"/>
                <w:szCs w:val="20"/>
              </w:rPr>
              <w:t>881,2</w:t>
            </w:r>
          </w:p>
        </w:tc>
        <w:tc>
          <w:tcPr>
            <w:tcW w:w="980" w:type="dxa"/>
            <w:tcBorders>
              <w:top w:val="single" w:sz="4" w:space="0" w:color="FFFFFF"/>
              <w:bottom w:val="single" w:sz="4" w:space="0" w:color="auto"/>
            </w:tcBorders>
            <w:shd w:val="clear" w:color="auto" w:fill="FFFFFF"/>
            <w:vAlign w:val="bottom"/>
          </w:tcPr>
          <w:p w:rsidR="0029681F" w:rsidRPr="0029681F" w:rsidRDefault="0029681F" w:rsidP="0029681F">
            <w:pPr>
              <w:spacing w:after="0" w:line="240" w:lineRule="auto"/>
              <w:ind w:right="227"/>
              <w:contextualSpacing/>
              <w:jc w:val="right"/>
              <w:rPr>
                <w:rFonts w:ascii="Times New Roman" w:hAnsi="Times New Roman"/>
                <w:sz w:val="20"/>
                <w:szCs w:val="20"/>
              </w:rPr>
            </w:pPr>
            <w:r w:rsidRPr="0029681F">
              <w:rPr>
                <w:rFonts w:ascii="Times New Roman" w:hAnsi="Times New Roman"/>
                <w:sz w:val="20"/>
                <w:szCs w:val="20"/>
              </w:rPr>
              <w:t>14,8</w:t>
            </w:r>
          </w:p>
        </w:tc>
        <w:tc>
          <w:tcPr>
            <w:tcW w:w="1120" w:type="dxa"/>
            <w:tcBorders>
              <w:top w:val="single" w:sz="4" w:space="0" w:color="FFFFFF"/>
              <w:bottom w:val="single" w:sz="4" w:space="0" w:color="auto"/>
            </w:tcBorders>
            <w:shd w:val="clear" w:color="auto" w:fill="FFFFFF"/>
            <w:vAlign w:val="bottom"/>
          </w:tcPr>
          <w:p w:rsidR="0029681F" w:rsidRPr="0029681F" w:rsidRDefault="0029681F" w:rsidP="0029681F">
            <w:pPr>
              <w:spacing w:after="0" w:line="240" w:lineRule="auto"/>
              <w:ind w:right="113"/>
              <w:contextualSpacing/>
              <w:jc w:val="right"/>
              <w:rPr>
                <w:rFonts w:ascii="Times New Roman" w:hAnsi="Times New Roman"/>
                <w:sz w:val="20"/>
                <w:szCs w:val="20"/>
              </w:rPr>
            </w:pPr>
            <w:r w:rsidRPr="0029681F">
              <w:rPr>
                <w:rFonts w:ascii="Times New Roman" w:hAnsi="Times New Roman"/>
                <w:sz w:val="20"/>
                <w:szCs w:val="20"/>
              </w:rPr>
              <w:t>933,4</w:t>
            </w:r>
          </w:p>
        </w:tc>
        <w:tc>
          <w:tcPr>
            <w:tcW w:w="1120" w:type="dxa"/>
            <w:tcBorders>
              <w:top w:val="single" w:sz="4" w:space="0" w:color="FFFFFF"/>
              <w:bottom w:val="single" w:sz="4" w:space="0" w:color="auto"/>
            </w:tcBorders>
            <w:shd w:val="clear" w:color="auto" w:fill="FFFFFF"/>
            <w:vAlign w:val="bottom"/>
          </w:tcPr>
          <w:p w:rsidR="0029681F" w:rsidRPr="0029681F" w:rsidRDefault="0029681F" w:rsidP="0029681F">
            <w:pPr>
              <w:spacing w:after="0" w:line="240" w:lineRule="auto"/>
              <w:ind w:right="227"/>
              <w:contextualSpacing/>
              <w:jc w:val="right"/>
              <w:rPr>
                <w:rFonts w:ascii="Times New Roman" w:hAnsi="Times New Roman"/>
                <w:sz w:val="20"/>
                <w:szCs w:val="20"/>
              </w:rPr>
            </w:pPr>
            <w:r w:rsidRPr="0029681F">
              <w:rPr>
                <w:rFonts w:ascii="Times New Roman" w:hAnsi="Times New Roman"/>
                <w:sz w:val="20"/>
                <w:szCs w:val="20"/>
              </w:rPr>
              <w:t>15,2</w:t>
            </w:r>
          </w:p>
        </w:tc>
        <w:tc>
          <w:tcPr>
            <w:tcW w:w="934" w:type="dxa"/>
            <w:tcBorders>
              <w:top w:val="single" w:sz="4" w:space="0" w:color="FFFFFF"/>
              <w:bottom w:val="single" w:sz="4" w:space="0" w:color="auto"/>
            </w:tcBorders>
            <w:shd w:val="clear" w:color="auto" w:fill="FFFFFF"/>
            <w:vAlign w:val="bottom"/>
          </w:tcPr>
          <w:p w:rsidR="0029681F" w:rsidRPr="0029681F" w:rsidRDefault="0029681F" w:rsidP="0029681F">
            <w:pPr>
              <w:spacing w:after="0" w:line="240" w:lineRule="auto"/>
              <w:ind w:right="129"/>
              <w:contextualSpacing/>
              <w:jc w:val="right"/>
              <w:rPr>
                <w:rFonts w:ascii="Times New Roman" w:hAnsi="Times New Roman"/>
                <w:sz w:val="20"/>
                <w:szCs w:val="20"/>
              </w:rPr>
            </w:pPr>
            <w:r w:rsidRPr="0029681F">
              <w:rPr>
                <w:rFonts w:ascii="Times New Roman" w:hAnsi="Times New Roman"/>
                <w:sz w:val="20"/>
                <w:szCs w:val="20"/>
              </w:rPr>
              <w:t>105,9</w:t>
            </w:r>
          </w:p>
        </w:tc>
      </w:tr>
      <w:tr w:rsidR="0029681F" w:rsidRPr="0029681F" w:rsidTr="0029681F">
        <w:trPr>
          <w:cantSplit/>
          <w:trHeight w:val="17"/>
        </w:trPr>
        <w:tc>
          <w:tcPr>
            <w:tcW w:w="3928" w:type="dxa"/>
            <w:tcBorders>
              <w:top w:val="single" w:sz="4" w:space="0" w:color="FFFFFF"/>
              <w:bottom w:val="single" w:sz="4" w:space="0" w:color="auto"/>
            </w:tcBorders>
            <w:shd w:val="clear" w:color="auto" w:fill="FFFFFF"/>
          </w:tcPr>
          <w:p w:rsidR="0029681F" w:rsidRPr="0029681F" w:rsidRDefault="0029681F" w:rsidP="0029681F">
            <w:pPr>
              <w:pStyle w:val="3"/>
              <w:tabs>
                <w:tab w:val="left" w:pos="176"/>
                <w:tab w:val="left" w:pos="612"/>
              </w:tabs>
              <w:spacing w:before="0" w:line="240" w:lineRule="auto"/>
              <w:ind w:left="270" w:right="-108"/>
              <w:contextualSpacing/>
              <w:rPr>
                <w:rFonts w:ascii="Times New Roman" w:hAnsi="Times New Roman"/>
                <w:b w:val="0"/>
                <w:i/>
                <w:color w:val="000000"/>
                <w:sz w:val="20"/>
                <w:szCs w:val="20"/>
              </w:rPr>
            </w:pPr>
            <w:r w:rsidRPr="0029681F">
              <w:rPr>
                <w:rFonts w:ascii="Times New Roman" w:hAnsi="Times New Roman"/>
                <w:b w:val="0"/>
                <w:color w:val="000000"/>
                <w:sz w:val="20"/>
                <w:szCs w:val="20"/>
                <w:lang w:val="en-US"/>
              </w:rPr>
              <w:t>-</w:t>
            </w:r>
            <w:r w:rsidRPr="0029681F">
              <w:rPr>
                <w:rFonts w:ascii="Times New Roman" w:hAnsi="Times New Roman"/>
                <w:b w:val="0"/>
                <w:color w:val="000000"/>
                <w:sz w:val="20"/>
                <w:szCs w:val="20"/>
              </w:rPr>
              <w:t xml:space="preserve"> безналичные денежные средства</w:t>
            </w:r>
          </w:p>
        </w:tc>
        <w:tc>
          <w:tcPr>
            <w:tcW w:w="1250" w:type="dxa"/>
            <w:tcBorders>
              <w:top w:val="single" w:sz="4" w:space="0" w:color="FFFFFF"/>
              <w:bottom w:val="single" w:sz="4" w:space="0" w:color="auto"/>
            </w:tcBorders>
            <w:shd w:val="clear" w:color="auto" w:fill="FFFFFF"/>
            <w:vAlign w:val="bottom"/>
          </w:tcPr>
          <w:p w:rsidR="0029681F" w:rsidRPr="0029681F" w:rsidRDefault="0029681F" w:rsidP="0029681F">
            <w:pPr>
              <w:spacing w:after="0" w:line="240" w:lineRule="auto"/>
              <w:ind w:right="113"/>
              <w:contextualSpacing/>
              <w:jc w:val="right"/>
              <w:rPr>
                <w:rFonts w:ascii="Times New Roman" w:hAnsi="Times New Roman"/>
                <w:sz w:val="20"/>
                <w:szCs w:val="20"/>
              </w:rPr>
            </w:pPr>
            <w:r w:rsidRPr="0029681F">
              <w:rPr>
                <w:rFonts w:ascii="Times New Roman" w:hAnsi="Times New Roman"/>
                <w:sz w:val="20"/>
                <w:szCs w:val="20"/>
              </w:rPr>
              <w:t>1 227,6</w:t>
            </w:r>
          </w:p>
        </w:tc>
        <w:tc>
          <w:tcPr>
            <w:tcW w:w="980" w:type="dxa"/>
            <w:tcBorders>
              <w:top w:val="single" w:sz="4" w:space="0" w:color="FFFFFF"/>
              <w:bottom w:val="single" w:sz="4" w:space="0" w:color="auto"/>
            </w:tcBorders>
            <w:shd w:val="clear" w:color="auto" w:fill="FFFFFF"/>
            <w:vAlign w:val="bottom"/>
          </w:tcPr>
          <w:p w:rsidR="0029681F" w:rsidRPr="0029681F" w:rsidRDefault="0029681F" w:rsidP="0029681F">
            <w:pPr>
              <w:spacing w:after="0" w:line="240" w:lineRule="auto"/>
              <w:ind w:right="227"/>
              <w:contextualSpacing/>
              <w:jc w:val="right"/>
              <w:rPr>
                <w:rFonts w:ascii="Times New Roman" w:hAnsi="Times New Roman"/>
                <w:sz w:val="20"/>
                <w:szCs w:val="20"/>
              </w:rPr>
            </w:pPr>
            <w:r w:rsidRPr="0029681F">
              <w:rPr>
                <w:rFonts w:ascii="Times New Roman" w:hAnsi="Times New Roman"/>
                <w:sz w:val="20"/>
                <w:szCs w:val="20"/>
              </w:rPr>
              <w:t>20,6</w:t>
            </w:r>
          </w:p>
        </w:tc>
        <w:tc>
          <w:tcPr>
            <w:tcW w:w="1120" w:type="dxa"/>
            <w:tcBorders>
              <w:top w:val="single" w:sz="4" w:space="0" w:color="FFFFFF"/>
              <w:bottom w:val="single" w:sz="4" w:space="0" w:color="auto"/>
            </w:tcBorders>
            <w:shd w:val="clear" w:color="auto" w:fill="FFFFFF"/>
            <w:vAlign w:val="bottom"/>
          </w:tcPr>
          <w:p w:rsidR="0029681F" w:rsidRPr="0029681F" w:rsidRDefault="0029681F" w:rsidP="0029681F">
            <w:pPr>
              <w:spacing w:after="0" w:line="240" w:lineRule="auto"/>
              <w:ind w:right="113"/>
              <w:contextualSpacing/>
              <w:jc w:val="right"/>
              <w:rPr>
                <w:rFonts w:ascii="Times New Roman" w:hAnsi="Times New Roman"/>
                <w:sz w:val="20"/>
                <w:szCs w:val="20"/>
              </w:rPr>
            </w:pPr>
            <w:r w:rsidRPr="0029681F">
              <w:rPr>
                <w:rFonts w:ascii="Times New Roman" w:hAnsi="Times New Roman"/>
                <w:sz w:val="20"/>
                <w:szCs w:val="20"/>
              </w:rPr>
              <w:t>1 281,8</w:t>
            </w:r>
          </w:p>
        </w:tc>
        <w:tc>
          <w:tcPr>
            <w:tcW w:w="1120" w:type="dxa"/>
            <w:tcBorders>
              <w:top w:val="single" w:sz="4" w:space="0" w:color="FFFFFF"/>
              <w:bottom w:val="single" w:sz="4" w:space="0" w:color="auto"/>
            </w:tcBorders>
            <w:shd w:val="clear" w:color="auto" w:fill="FFFFFF"/>
            <w:vAlign w:val="bottom"/>
          </w:tcPr>
          <w:p w:rsidR="0029681F" w:rsidRPr="0029681F" w:rsidRDefault="0029681F" w:rsidP="0029681F">
            <w:pPr>
              <w:spacing w:after="0" w:line="240" w:lineRule="auto"/>
              <w:ind w:right="227"/>
              <w:contextualSpacing/>
              <w:jc w:val="right"/>
              <w:rPr>
                <w:rFonts w:ascii="Times New Roman" w:hAnsi="Times New Roman"/>
                <w:sz w:val="20"/>
                <w:szCs w:val="20"/>
              </w:rPr>
            </w:pPr>
            <w:r w:rsidRPr="0029681F">
              <w:rPr>
                <w:rFonts w:ascii="Times New Roman" w:hAnsi="Times New Roman"/>
                <w:sz w:val="20"/>
                <w:szCs w:val="20"/>
              </w:rPr>
              <w:t>20,9</w:t>
            </w:r>
          </w:p>
        </w:tc>
        <w:tc>
          <w:tcPr>
            <w:tcW w:w="934" w:type="dxa"/>
            <w:tcBorders>
              <w:top w:val="single" w:sz="4" w:space="0" w:color="FFFFFF"/>
              <w:bottom w:val="single" w:sz="4" w:space="0" w:color="auto"/>
            </w:tcBorders>
            <w:shd w:val="clear" w:color="auto" w:fill="FFFFFF"/>
            <w:vAlign w:val="bottom"/>
          </w:tcPr>
          <w:p w:rsidR="0029681F" w:rsidRPr="0029681F" w:rsidRDefault="0029681F" w:rsidP="0029681F">
            <w:pPr>
              <w:spacing w:after="0" w:line="240" w:lineRule="auto"/>
              <w:ind w:right="129"/>
              <w:contextualSpacing/>
              <w:jc w:val="right"/>
              <w:rPr>
                <w:rFonts w:ascii="Times New Roman" w:hAnsi="Times New Roman"/>
                <w:sz w:val="20"/>
                <w:szCs w:val="20"/>
              </w:rPr>
            </w:pPr>
            <w:r w:rsidRPr="0029681F">
              <w:rPr>
                <w:rFonts w:ascii="Times New Roman" w:hAnsi="Times New Roman"/>
                <w:sz w:val="20"/>
                <w:szCs w:val="20"/>
              </w:rPr>
              <w:t>104,4</w:t>
            </w:r>
          </w:p>
        </w:tc>
      </w:tr>
      <w:tr w:rsidR="0029681F" w:rsidRPr="0029681F" w:rsidTr="0029681F">
        <w:trPr>
          <w:trHeight w:val="36"/>
        </w:trPr>
        <w:tc>
          <w:tcPr>
            <w:tcW w:w="3928" w:type="dxa"/>
            <w:shd w:val="clear" w:color="auto" w:fill="FFFFFF"/>
          </w:tcPr>
          <w:p w:rsidR="0029681F" w:rsidRPr="0029681F" w:rsidRDefault="0029681F" w:rsidP="0029681F">
            <w:pPr>
              <w:tabs>
                <w:tab w:val="left" w:pos="0"/>
                <w:tab w:val="left" w:pos="612"/>
              </w:tabs>
              <w:spacing w:after="0" w:line="240" w:lineRule="auto"/>
              <w:ind w:left="144" w:right="-1"/>
              <w:contextualSpacing/>
              <w:rPr>
                <w:rFonts w:ascii="Times New Roman" w:hAnsi="Times New Roman"/>
                <w:color w:val="000000"/>
                <w:sz w:val="20"/>
                <w:szCs w:val="20"/>
              </w:rPr>
            </w:pPr>
            <w:r w:rsidRPr="0029681F">
              <w:rPr>
                <w:rFonts w:ascii="Times New Roman" w:hAnsi="Times New Roman"/>
                <w:color w:val="000000"/>
                <w:sz w:val="20"/>
                <w:szCs w:val="20"/>
              </w:rPr>
              <w:t>Денежная масса в иностранной валюте</w:t>
            </w:r>
          </w:p>
        </w:tc>
        <w:tc>
          <w:tcPr>
            <w:tcW w:w="1250" w:type="dxa"/>
            <w:shd w:val="clear" w:color="auto" w:fill="FFFFFF"/>
          </w:tcPr>
          <w:p w:rsidR="0029681F" w:rsidRPr="0029681F" w:rsidRDefault="0029681F" w:rsidP="0029681F">
            <w:pPr>
              <w:spacing w:after="0" w:line="240" w:lineRule="auto"/>
              <w:ind w:right="113"/>
              <w:contextualSpacing/>
              <w:jc w:val="right"/>
              <w:rPr>
                <w:rFonts w:ascii="Times New Roman" w:hAnsi="Times New Roman"/>
                <w:sz w:val="20"/>
                <w:szCs w:val="20"/>
              </w:rPr>
            </w:pPr>
            <w:r w:rsidRPr="0029681F">
              <w:rPr>
                <w:rFonts w:ascii="Times New Roman" w:hAnsi="Times New Roman"/>
                <w:sz w:val="20"/>
                <w:szCs w:val="20"/>
              </w:rPr>
              <w:t>3 837,8</w:t>
            </w:r>
          </w:p>
        </w:tc>
        <w:tc>
          <w:tcPr>
            <w:tcW w:w="980" w:type="dxa"/>
            <w:shd w:val="clear" w:color="auto" w:fill="FFFFFF"/>
          </w:tcPr>
          <w:p w:rsidR="0029681F" w:rsidRPr="0029681F" w:rsidRDefault="0029681F" w:rsidP="0029681F">
            <w:pPr>
              <w:spacing w:after="0" w:line="240" w:lineRule="auto"/>
              <w:ind w:right="227"/>
              <w:contextualSpacing/>
              <w:jc w:val="right"/>
              <w:rPr>
                <w:rFonts w:ascii="Times New Roman" w:hAnsi="Times New Roman"/>
                <w:sz w:val="20"/>
                <w:szCs w:val="20"/>
              </w:rPr>
            </w:pPr>
            <w:r w:rsidRPr="0029681F">
              <w:rPr>
                <w:rFonts w:ascii="Times New Roman" w:hAnsi="Times New Roman"/>
                <w:sz w:val="20"/>
                <w:szCs w:val="20"/>
              </w:rPr>
              <w:t>64,5</w:t>
            </w:r>
          </w:p>
        </w:tc>
        <w:tc>
          <w:tcPr>
            <w:tcW w:w="1120" w:type="dxa"/>
            <w:shd w:val="clear" w:color="auto" w:fill="FFFFFF"/>
          </w:tcPr>
          <w:p w:rsidR="0029681F" w:rsidRPr="0029681F" w:rsidRDefault="0029681F" w:rsidP="0029681F">
            <w:pPr>
              <w:spacing w:after="0" w:line="240" w:lineRule="auto"/>
              <w:ind w:right="113"/>
              <w:contextualSpacing/>
              <w:jc w:val="right"/>
              <w:rPr>
                <w:rFonts w:ascii="Times New Roman" w:hAnsi="Times New Roman"/>
                <w:sz w:val="20"/>
                <w:szCs w:val="20"/>
              </w:rPr>
            </w:pPr>
            <w:r w:rsidRPr="0029681F">
              <w:rPr>
                <w:rFonts w:ascii="Times New Roman" w:hAnsi="Times New Roman"/>
                <w:sz w:val="20"/>
                <w:szCs w:val="20"/>
              </w:rPr>
              <w:t>3 927,4</w:t>
            </w:r>
          </w:p>
        </w:tc>
        <w:tc>
          <w:tcPr>
            <w:tcW w:w="1120" w:type="dxa"/>
            <w:shd w:val="clear" w:color="auto" w:fill="FFFFFF"/>
          </w:tcPr>
          <w:p w:rsidR="0029681F" w:rsidRPr="0029681F" w:rsidRDefault="0029681F" w:rsidP="0029681F">
            <w:pPr>
              <w:spacing w:after="0" w:line="240" w:lineRule="auto"/>
              <w:ind w:right="227"/>
              <w:contextualSpacing/>
              <w:jc w:val="right"/>
              <w:rPr>
                <w:rFonts w:ascii="Times New Roman" w:hAnsi="Times New Roman"/>
                <w:sz w:val="20"/>
                <w:szCs w:val="20"/>
              </w:rPr>
            </w:pPr>
            <w:r w:rsidRPr="0029681F">
              <w:rPr>
                <w:rFonts w:ascii="Times New Roman" w:hAnsi="Times New Roman"/>
                <w:sz w:val="20"/>
                <w:szCs w:val="20"/>
              </w:rPr>
              <w:t>63,9</w:t>
            </w:r>
          </w:p>
        </w:tc>
        <w:tc>
          <w:tcPr>
            <w:tcW w:w="934" w:type="dxa"/>
            <w:shd w:val="clear" w:color="auto" w:fill="FFFFFF"/>
          </w:tcPr>
          <w:p w:rsidR="0029681F" w:rsidRPr="0029681F" w:rsidRDefault="0029681F" w:rsidP="0029681F">
            <w:pPr>
              <w:spacing w:after="0" w:line="240" w:lineRule="auto"/>
              <w:ind w:right="129"/>
              <w:contextualSpacing/>
              <w:jc w:val="right"/>
              <w:rPr>
                <w:rFonts w:ascii="Times New Roman" w:hAnsi="Times New Roman"/>
                <w:sz w:val="20"/>
                <w:szCs w:val="20"/>
              </w:rPr>
            </w:pPr>
            <w:r w:rsidRPr="0029681F">
              <w:rPr>
                <w:rFonts w:ascii="Times New Roman" w:hAnsi="Times New Roman"/>
                <w:sz w:val="20"/>
                <w:szCs w:val="20"/>
              </w:rPr>
              <w:t>102,3</w:t>
            </w:r>
          </w:p>
        </w:tc>
      </w:tr>
    </w:tbl>
    <w:p w:rsidR="0029681F" w:rsidRPr="00926192" w:rsidRDefault="0029681F" w:rsidP="0029681F">
      <w:pPr>
        <w:spacing w:after="0" w:line="240" w:lineRule="auto"/>
        <w:ind w:firstLine="709"/>
        <w:jc w:val="both"/>
        <w:rPr>
          <w:rFonts w:ascii="Times New Roman" w:hAnsi="Times New Roman"/>
          <w:sz w:val="24"/>
          <w:szCs w:val="24"/>
        </w:rPr>
      </w:pPr>
      <w:r w:rsidRPr="00926192">
        <w:rPr>
          <w:rFonts w:ascii="Times New Roman" w:hAnsi="Times New Roman"/>
          <w:sz w:val="24"/>
          <w:szCs w:val="24"/>
        </w:rPr>
        <w:t>На расширение рублёвой денежной массы оказало влияние и пополнение текущих счетов и срочных депозитов юридических лиц. Таким образом, объём безналичной составляющей денежного агрегата увеличился на 54,3 млн. руб. до 1 281,8 млн. руб. (+4,4%), или 57,9% рублёвого денежного предложения.</w:t>
      </w:r>
    </w:p>
    <w:p w:rsidR="0029681F" w:rsidRDefault="0029681F" w:rsidP="0007681A">
      <w:pPr>
        <w:widowControl w:val="0"/>
        <w:spacing w:after="0" w:line="240" w:lineRule="auto"/>
        <w:ind w:firstLine="709"/>
        <w:jc w:val="both"/>
        <w:rPr>
          <w:rFonts w:ascii="Times New Roman" w:hAnsi="Times New Roman"/>
          <w:sz w:val="24"/>
          <w:szCs w:val="24"/>
        </w:rPr>
      </w:pPr>
      <w:r w:rsidRPr="00926192">
        <w:rPr>
          <w:rFonts w:ascii="Times New Roman" w:hAnsi="Times New Roman"/>
          <w:sz w:val="24"/>
          <w:szCs w:val="24"/>
        </w:rPr>
        <w:t>Денежная масса, номинированная в иностранной валюте, по сравнению с объёмом рублёвой составляющей, характеризовалась менее активными темпами,</w:t>
      </w:r>
      <w:r w:rsidRPr="00926192">
        <w:rPr>
          <w:rFonts w:ascii="Times New Roman" w:hAnsi="Times New Roman"/>
          <w:color w:val="000000"/>
          <w:sz w:val="24"/>
          <w:szCs w:val="24"/>
        </w:rPr>
        <w:t xml:space="preserve"> вследствие чего степень валютизации денежного предложения незначительно уменьшилась (-0,6 п.п.) до 63,9%.</w:t>
      </w:r>
      <w:r w:rsidRPr="00926192">
        <w:rPr>
          <w:rFonts w:ascii="Times New Roman" w:hAnsi="Times New Roman"/>
          <w:sz w:val="24"/>
          <w:szCs w:val="24"/>
        </w:rPr>
        <w:t xml:space="preserve"> В абсолютном выражении валютная компонента увеличилась на 2,3%                   (на 89,6 млн. руб.), и на 1 июля 2014 года сложилась на отметке 3 927,4 млн. руб.</w:t>
      </w:r>
    </w:p>
    <w:p w:rsidR="0007681A" w:rsidRPr="00926192" w:rsidRDefault="0007681A" w:rsidP="0007681A">
      <w:pPr>
        <w:spacing w:after="0" w:line="240" w:lineRule="auto"/>
        <w:ind w:firstLine="709"/>
        <w:jc w:val="both"/>
        <w:rPr>
          <w:rFonts w:ascii="Times New Roman" w:hAnsi="Times New Roman"/>
          <w:color w:val="000000"/>
          <w:sz w:val="24"/>
          <w:szCs w:val="24"/>
        </w:rPr>
      </w:pPr>
      <w:r w:rsidRPr="00926192">
        <w:rPr>
          <w:rFonts w:ascii="Times New Roman" w:hAnsi="Times New Roman"/>
          <w:color w:val="000000"/>
          <w:sz w:val="24"/>
          <w:szCs w:val="24"/>
        </w:rPr>
        <w:t xml:space="preserve">По итогам первой половины 2014 года объём наличных денежных средств характеризовался умерено повышательной динамикой </w:t>
      </w:r>
      <w:r w:rsidRPr="00926192">
        <w:rPr>
          <w:rFonts w:ascii="Times New Roman" w:hAnsi="Times New Roman"/>
          <w:sz w:val="24"/>
          <w:szCs w:val="24"/>
        </w:rPr>
        <w:t>(+2,1%)</w:t>
      </w:r>
      <w:r w:rsidRPr="00926192">
        <w:rPr>
          <w:rFonts w:ascii="Times New Roman" w:hAnsi="Times New Roman"/>
          <w:color w:val="000000"/>
          <w:sz w:val="24"/>
          <w:szCs w:val="24"/>
        </w:rPr>
        <w:t xml:space="preserve"> до 1 050,0 млн. руб., из которых 116,6 млн. руб. находятся в кассах банков. При этом значительное сокращение последних (-20,7%, или 30,5 млн. руб.) было компенсировано ростом </w:t>
      </w:r>
      <w:r w:rsidRPr="00926192">
        <w:rPr>
          <w:rFonts w:ascii="Times New Roman" w:hAnsi="Times New Roman"/>
          <w:sz w:val="24"/>
          <w:szCs w:val="24"/>
        </w:rPr>
        <w:t>сумм обращающейся вне касс банков денежной наличности.</w:t>
      </w:r>
      <w:r w:rsidRPr="00926192">
        <w:rPr>
          <w:rFonts w:ascii="Times New Roman" w:hAnsi="Times New Roman"/>
          <w:color w:val="000000"/>
          <w:sz w:val="24"/>
          <w:szCs w:val="24"/>
        </w:rPr>
        <w:t xml:space="preserve"> В структуре денежной базы на долю наличной составляю</w:t>
      </w:r>
      <w:r>
        <w:rPr>
          <w:rFonts w:ascii="Times New Roman" w:hAnsi="Times New Roman"/>
          <w:color w:val="000000"/>
          <w:sz w:val="24"/>
          <w:szCs w:val="24"/>
        </w:rPr>
        <w:t>щей пришлось 58,5% (-2,6 п.п.).</w:t>
      </w:r>
    </w:p>
    <w:p w:rsidR="0029681F" w:rsidRPr="00D70A3E" w:rsidRDefault="0029681F" w:rsidP="0029681F">
      <w:pPr>
        <w:widowControl w:val="0"/>
        <w:spacing w:after="0" w:line="240" w:lineRule="auto"/>
        <w:jc w:val="right"/>
        <w:rPr>
          <w:rFonts w:ascii="Times New Roman" w:hAnsi="Times New Roman"/>
          <w:bCs/>
          <w:iCs/>
          <w:sz w:val="24"/>
          <w:szCs w:val="24"/>
        </w:rPr>
      </w:pPr>
      <w:r w:rsidRPr="00D70A3E">
        <w:rPr>
          <w:rFonts w:ascii="Times New Roman" w:hAnsi="Times New Roman"/>
          <w:bCs/>
          <w:iCs/>
          <w:sz w:val="24"/>
          <w:szCs w:val="24"/>
        </w:rPr>
        <w:lastRenderedPageBreak/>
        <w:t>Таблица №</w:t>
      </w:r>
      <w:r w:rsidR="0007681A">
        <w:rPr>
          <w:rFonts w:ascii="Times New Roman" w:hAnsi="Times New Roman"/>
          <w:bCs/>
          <w:iCs/>
          <w:sz w:val="24"/>
          <w:szCs w:val="24"/>
        </w:rPr>
        <w:t>4</w:t>
      </w:r>
    </w:p>
    <w:p w:rsidR="0029681F" w:rsidRPr="00926192" w:rsidRDefault="0029681F" w:rsidP="0029681F">
      <w:pPr>
        <w:spacing w:after="0" w:line="240" w:lineRule="auto"/>
        <w:jc w:val="center"/>
        <w:rPr>
          <w:rFonts w:ascii="Times New Roman" w:hAnsi="Times New Roman"/>
          <w:b/>
          <w:sz w:val="24"/>
          <w:szCs w:val="24"/>
        </w:rPr>
      </w:pPr>
      <w:r w:rsidRPr="00926192">
        <w:rPr>
          <w:rFonts w:ascii="Times New Roman" w:hAnsi="Times New Roman"/>
          <w:b/>
          <w:sz w:val="24"/>
          <w:szCs w:val="24"/>
        </w:rPr>
        <w:t>Структура и динамика полной денежной массы</w:t>
      </w:r>
    </w:p>
    <w:tbl>
      <w:tblPr>
        <w:tblW w:w="9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40"/>
        <w:gridCol w:w="1204"/>
        <w:gridCol w:w="1204"/>
        <w:gridCol w:w="1204"/>
        <w:gridCol w:w="1205"/>
        <w:gridCol w:w="1270"/>
      </w:tblGrid>
      <w:tr w:rsidR="0029681F" w:rsidRPr="00926192" w:rsidTr="000320B8">
        <w:trPr>
          <w:cantSplit/>
          <w:trHeight w:val="102"/>
        </w:trPr>
        <w:tc>
          <w:tcPr>
            <w:tcW w:w="3440" w:type="dxa"/>
            <w:vMerge w:val="restart"/>
            <w:shd w:val="clear" w:color="auto" w:fill="EEECE1"/>
          </w:tcPr>
          <w:p w:rsidR="0029681F" w:rsidRPr="00926192" w:rsidRDefault="0029681F" w:rsidP="0029681F">
            <w:pPr>
              <w:spacing w:after="0" w:line="240" w:lineRule="auto"/>
              <w:ind w:left="-108"/>
              <w:contextualSpacing/>
              <w:jc w:val="both"/>
              <w:rPr>
                <w:rFonts w:ascii="Times New Roman" w:hAnsi="Times New Roman"/>
                <w:color w:val="000000"/>
                <w:sz w:val="20"/>
                <w:szCs w:val="20"/>
              </w:rPr>
            </w:pPr>
          </w:p>
        </w:tc>
        <w:tc>
          <w:tcPr>
            <w:tcW w:w="2408" w:type="dxa"/>
            <w:gridSpan w:val="2"/>
            <w:shd w:val="clear" w:color="auto" w:fill="EEECE1"/>
            <w:vAlign w:val="center"/>
          </w:tcPr>
          <w:p w:rsidR="0029681F" w:rsidRPr="00926192" w:rsidRDefault="0029681F" w:rsidP="0029681F">
            <w:pPr>
              <w:spacing w:after="0" w:line="240" w:lineRule="auto"/>
              <w:contextualSpacing/>
              <w:jc w:val="center"/>
              <w:rPr>
                <w:rFonts w:ascii="Times New Roman" w:hAnsi="Times New Roman"/>
                <w:color w:val="000000"/>
                <w:sz w:val="20"/>
                <w:szCs w:val="20"/>
              </w:rPr>
            </w:pPr>
            <w:r w:rsidRPr="00926192">
              <w:rPr>
                <w:rFonts w:ascii="Times New Roman" w:hAnsi="Times New Roman"/>
                <w:color w:val="000000"/>
                <w:sz w:val="20"/>
                <w:szCs w:val="20"/>
              </w:rPr>
              <w:t>на 01.01.2014 г.</w:t>
            </w:r>
          </w:p>
        </w:tc>
        <w:tc>
          <w:tcPr>
            <w:tcW w:w="2409" w:type="dxa"/>
            <w:gridSpan w:val="2"/>
            <w:shd w:val="clear" w:color="auto" w:fill="EEECE1"/>
            <w:vAlign w:val="center"/>
          </w:tcPr>
          <w:p w:rsidR="0029681F" w:rsidRPr="00926192" w:rsidRDefault="0029681F" w:rsidP="0029681F">
            <w:pPr>
              <w:spacing w:after="0" w:line="240" w:lineRule="auto"/>
              <w:contextualSpacing/>
              <w:jc w:val="center"/>
              <w:rPr>
                <w:rFonts w:ascii="Times New Roman" w:hAnsi="Times New Roman"/>
                <w:color w:val="000000"/>
                <w:sz w:val="20"/>
                <w:szCs w:val="20"/>
              </w:rPr>
            </w:pPr>
            <w:r w:rsidRPr="00926192">
              <w:rPr>
                <w:rFonts w:ascii="Times New Roman" w:hAnsi="Times New Roman"/>
                <w:color w:val="000000"/>
                <w:sz w:val="20"/>
                <w:szCs w:val="20"/>
              </w:rPr>
              <w:t>на 01.07.2014 г.</w:t>
            </w:r>
          </w:p>
        </w:tc>
        <w:tc>
          <w:tcPr>
            <w:tcW w:w="1270" w:type="dxa"/>
            <w:vMerge w:val="restart"/>
            <w:shd w:val="clear" w:color="auto" w:fill="EEECE1"/>
            <w:vAlign w:val="center"/>
          </w:tcPr>
          <w:p w:rsidR="0029681F" w:rsidRPr="00926192" w:rsidRDefault="0029681F" w:rsidP="0029681F">
            <w:pPr>
              <w:spacing w:after="0" w:line="240" w:lineRule="auto"/>
              <w:contextualSpacing/>
              <w:jc w:val="center"/>
              <w:rPr>
                <w:rFonts w:ascii="Times New Roman" w:hAnsi="Times New Roman"/>
                <w:color w:val="000000"/>
                <w:sz w:val="20"/>
                <w:szCs w:val="20"/>
              </w:rPr>
            </w:pPr>
            <w:r w:rsidRPr="00926192">
              <w:rPr>
                <w:rFonts w:ascii="Times New Roman" w:hAnsi="Times New Roman"/>
                <w:color w:val="000000"/>
                <w:sz w:val="20"/>
                <w:szCs w:val="20"/>
              </w:rPr>
              <w:t>темп роста, %</w:t>
            </w:r>
          </w:p>
        </w:tc>
      </w:tr>
      <w:tr w:rsidR="0029681F" w:rsidRPr="00926192" w:rsidTr="000320B8">
        <w:trPr>
          <w:cantSplit/>
          <w:trHeight w:val="264"/>
        </w:trPr>
        <w:tc>
          <w:tcPr>
            <w:tcW w:w="3440" w:type="dxa"/>
            <w:vMerge/>
            <w:tcBorders>
              <w:bottom w:val="double" w:sz="4" w:space="0" w:color="auto"/>
            </w:tcBorders>
          </w:tcPr>
          <w:p w:rsidR="0029681F" w:rsidRPr="00926192" w:rsidRDefault="0029681F" w:rsidP="000320B8">
            <w:pPr>
              <w:spacing w:line="240" w:lineRule="auto"/>
              <w:ind w:left="-108"/>
              <w:contextualSpacing/>
              <w:jc w:val="both"/>
              <w:rPr>
                <w:rFonts w:ascii="Times New Roman" w:hAnsi="Times New Roman"/>
                <w:color w:val="000000"/>
                <w:sz w:val="20"/>
                <w:szCs w:val="20"/>
              </w:rPr>
            </w:pPr>
          </w:p>
        </w:tc>
        <w:tc>
          <w:tcPr>
            <w:tcW w:w="1204" w:type="dxa"/>
            <w:tcBorders>
              <w:bottom w:val="double" w:sz="4" w:space="0" w:color="auto"/>
            </w:tcBorders>
            <w:shd w:val="clear" w:color="auto" w:fill="EEECE1"/>
            <w:vAlign w:val="center"/>
          </w:tcPr>
          <w:p w:rsidR="0029681F" w:rsidRPr="00926192" w:rsidRDefault="0029681F" w:rsidP="000320B8">
            <w:pPr>
              <w:spacing w:line="240" w:lineRule="auto"/>
              <w:contextualSpacing/>
              <w:jc w:val="center"/>
              <w:rPr>
                <w:rFonts w:ascii="Times New Roman" w:hAnsi="Times New Roman"/>
                <w:color w:val="000000"/>
                <w:sz w:val="20"/>
                <w:szCs w:val="20"/>
              </w:rPr>
            </w:pPr>
            <w:r w:rsidRPr="00926192">
              <w:rPr>
                <w:rFonts w:ascii="Times New Roman" w:hAnsi="Times New Roman"/>
                <w:color w:val="000000"/>
                <w:sz w:val="20"/>
                <w:szCs w:val="20"/>
              </w:rPr>
              <w:t>млн. руб.</w:t>
            </w:r>
          </w:p>
        </w:tc>
        <w:tc>
          <w:tcPr>
            <w:tcW w:w="1204" w:type="dxa"/>
            <w:tcBorders>
              <w:bottom w:val="double" w:sz="4" w:space="0" w:color="auto"/>
            </w:tcBorders>
            <w:shd w:val="clear" w:color="auto" w:fill="EEECE1"/>
            <w:vAlign w:val="center"/>
          </w:tcPr>
          <w:p w:rsidR="0029681F" w:rsidRPr="00926192" w:rsidRDefault="0029681F" w:rsidP="000320B8">
            <w:pPr>
              <w:spacing w:line="240" w:lineRule="auto"/>
              <w:contextualSpacing/>
              <w:jc w:val="center"/>
              <w:rPr>
                <w:rFonts w:ascii="Times New Roman" w:hAnsi="Times New Roman"/>
                <w:color w:val="000000"/>
                <w:sz w:val="20"/>
                <w:szCs w:val="20"/>
              </w:rPr>
            </w:pPr>
            <w:r w:rsidRPr="00926192">
              <w:rPr>
                <w:rFonts w:ascii="Times New Roman" w:hAnsi="Times New Roman"/>
                <w:color w:val="000000"/>
                <w:sz w:val="20"/>
                <w:szCs w:val="20"/>
              </w:rPr>
              <w:t>уд. вес, %</w:t>
            </w:r>
          </w:p>
        </w:tc>
        <w:tc>
          <w:tcPr>
            <w:tcW w:w="1204" w:type="dxa"/>
            <w:tcBorders>
              <w:bottom w:val="double" w:sz="4" w:space="0" w:color="auto"/>
            </w:tcBorders>
            <w:shd w:val="clear" w:color="auto" w:fill="EEECE1"/>
            <w:vAlign w:val="center"/>
          </w:tcPr>
          <w:p w:rsidR="0029681F" w:rsidRPr="00926192" w:rsidRDefault="0029681F" w:rsidP="000320B8">
            <w:pPr>
              <w:spacing w:line="240" w:lineRule="auto"/>
              <w:contextualSpacing/>
              <w:jc w:val="center"/>
              <w:rPr>
                <w:rFonts w:ascii="Times New Roman" w:hAnsi="Times New Roman"/>
                <w:color w:val="000000"/>
                <w:sz w:val="20"/>
                <w:szCs w:val="20"/>
              </w:rPr>
            </w:pPr>
            <w:r w:rsidRPr="00926192">
              <w:rPr>
                <w:rFonts w:ascii="Times New Roman" w:hAnsi="Times New Roman"/>
                <w:color w:val="000000"/>
                <w:sz w:val="20"/>
                <w:szCs w:val="20"/>
              </w:rPr>
              <w:t>млн. руб.</w:t>
            </w:r>
          </w:p>
        </w:tc>
        <w:tc>
          <w:tcPr>
            <w:tcW w:w="1205" w:type="dxa"/>
            <w:tcBorders>
              <w:bottom w:val="double" w:sz="4" w:space="0" w:color="auto"/>
            </w:tcBorders>
            <w:shd w:val="clear" w:color="auto" w:fill="EEECE1"/>
            <w:vAlign w:val="center"/>
          </w:tcPr>
          <w:p w:rsidR="0029681F" w:rsidRPr="00926192" w:rsidRDefault="0029681F" w:rsidP="000320B8">
            <w:pPr>
              <w:spacing w:line="240" w:lineRule="auto"/>
              <w:contextualSpacing/>
              <w:jc w:val="center"/>
              <w:rPr>
                <w:rFonts w:ascii="Times New Roman" w:hAnsi="Times New Roman"/>
                <w:color w:val="000000"/>
                <w:sz w:val="20"/>
                <w:szCs w:val="20"/>
              </w:rPr>
            </w:pPr>
            <w:r w:rsidRPr="00926192">
              <w:rPr>
                <w:rFonts w:ascii="Times New Roman" w:hAnsi="Times New Roman"/>
                <w:color w:val="000000"/>
                <w:sz w:val="20"/>
                <w:szCs w:val="20"/>
              </w:rPr>
              <w:t>уд. вес, %</w:t>
            </w:r>
          </w:p>
        </w:tc>
        <w:tc>
          <w:tcPr>
            <w:tcW w:w="1270" w:type="dxa"/>
            <w:vMerge/>
            <w:tcBorders>
              <w:bottom w:val="double" w:sz="4" w:space="0" w:color="auto"/>
            </w:tcBorders>
          </w:tcPr>
          <w:p w:rsidR="0029681F" w:rsidRPr="00926192" w:rsidRDefault="0029681F" w:rsidP="000320B8">
            <w:pPr>
              <w:spacing w:line="240" w:lineRule="auto"/>
              <w:contextualSpacing/>
              <w:jc w:val="both"/>
              <w:rPr>
                <w:rFonts w:ascii="Times New Roman" w:hAnsi="Times New Roman"/>
                <w:color w:val="000000"/>
                <w:sz w:val="20"/>
                <w:szCs w:val="20"/>
              </w:rPr>
            </w:pPr>
          </w:p>
        </w:tc>
      </w:tr>
      <w:tr w:rsidR="0029681F" w:rsidRPr="00926192" w:rsidTr="000320B8">
        <w:trPr>
          <w:trHeight w:val="150"/>
        </w:trPr>
        <w:tc>
          <w:tcPr>
            <w:tcW w:w="3440" w:type="dxa"/>
            <w:tcBorders>
              <w:top w:val="double" w:sz="4" w:space="0" w:color="auto"/>
            </w:tcBorders>
            <w:shd w:val="clear" w:color="auto" w:fill="FFFFFF"/>
            <w:vAlign w:val="center"/>
          </w:tcPr>
          <w:p w:rsidR="0029681F" w:rsidRPr="00926192" w:rsidRDefault="0029681F" w:rsidP="0029681F">
            <w:pPr>
              <w:spacing w:after="0" w:line="240" w:lineRule="auto"/>
              <w:contextualSpacing/>
              <w:rPr>
                <w:rFonts w:ascii="Times New Roman" w:hAnsi="Times New Roman"/>
                <w:color w:val="000000"/>
                <w:sz w:val="20"/>
                <w:szCs w:val="20"/>
              </w:rPr>
            </w:pPr>
            <w:r w:rsidRPr="00926192">
              <w:rPr>
                <w:rFonts w:ascii="Times New Roman" w:hAnsi="Times New Roman"/>
                <w:color w:val="000000"/>
                <w:sz w:val="20"/>
                <w:szCs w:val="20"/>
              </w:rPr>
              <w:t>Денежная база</w:t>
            </w:r>
          </w:p>
        </w:tc>
        <w:tc>
          <w:tcPr>
            <w:tcW w:w="1204" w:type="dxa"/>
            <w:tcBorders>
              <w:top w:val="double" w:sz="4" w:space="0" w:color="auto"/>
            </w:tcBorders>
            <w:shd w:val="clear" w:color="auto" w:fill="FFFFFF"/>
            <w:vAlign w:val="bottom"/>
          </w:tcPr>
          <w:p w:rsidR="0029681F" w:rsidRPr="00926192" w:rsidRDefault="0029681F" w:rsidP="0029681F">
            <w:pPr>
              <w:spacing w:after="0" w:line="240" w:lineRule="auto"/>
              <w:ind w:right="176"/>
              <w:contextualSpacing/>
              <w:jc w:val="right"/>
              <w:rPr>
                <w:rFonts w:ascii="Times New Roman" w:hAnsi="Times New Roman"/>
                <w:color w:val="000000"/>
                <w:sz w:val="20"/>
                <w:szCs w:val="20"/>
              </w:rPr>
            </w:pPr>
            <w:r w:rsidRPr="00926192">
              <w:rPr>
                <w:rFonts w:ascii="Times New Roman" w:hAnsi="Times New Roman"/>
                <w:color w:val="000000"/>
                <w:sz w:val="20"/>
                <w:szCs w:val="20"/>
              </w:rPr>
              <w:t>1 683,1</w:t>
            </w:r>
          </w:p>
        </w:tc>
        <w:tc>
          <w:tcPr>
            <w:tcW w:w="1204" w:type="dxa"/>
            <w:tcBorders>
              <w:top w:val="double" w:sz="4" w:space="0" w:color="auto"/>
            </w:tcBorders>
            <w:shd w:val="clear" w:color="auto" w:fill="FFFFFF"/>
            <w:vAlign w:val="bottom"/>
          </w:tcPr>
          <w:p w:rsidR="0029681F" w:rsidRPr="00926192" w:rsidRDefault="0029681F" w:rsidP="0029681F">
            <w:pPr>
              <w:spacing w:after="0" w:line="240" w:lineRule="auto"/>
              <w:ind w:right="176"/>
              <w:contextualSpacing/>
              <w:jc w:val="right"/>
              <w:rPr>
                <w:rFonts w:ascii="Times New Roman" w:hAnsi="Times New Roman"/>
                <w:color w:val="000000"/>
                <w:sz w:val="20"/>
                <w:szCs w:val="20"/>
              </w:rPr>
            </w:pPr>
            <w:r w:rsidRPr="00926192">
              <w:rPr>
                <w:rFonts w:ascii="Times New Roman" w:hAnsi="Times New Roman"/>
                <w:color w:val="000000"/>
                <w:sz w:val="20"/>
                <w:szCs w:val="20"/>
              </w:rPr>
              <w:t>100,0</w:t>
            </w:r>
          </w:p>
        </w:tc>
        <w:tc>
          <w:tcPr>
            <w:tcW w:w="1204" w:type="dxa"/>
            <w:tcBorders>
              <w:top w:val="double" w:sz="4" w:space="0" w:color="auto"/>
            </w:tcBorders>
            <w:shd w:val="clear" w:color="auto" w:fill="FFFFFF"/>
            <w:vAlign w:val="bottom"/>
          </w:tcPr>
          <w:p w:rsidR="0029681F" w:rsidRPr="00926192" w:rsidRDefault="0029681F" w:rsidP="0029681F">
            <w:pPr>
              <w:spacing w:after="0" w:line="240" w:lineRule="auto"/>
              <w:ind w:right="176"/>
              <w:contextualSpacing/>
              <w:jc w:val="right"/>
              <w:rPr>
                <w:rFonts w:ascii="Times New Roman" w:hAnsi="Times New Roman"/>
                <w:sz w:val="20"/>
                <w:szCs w:val="20"/>
              </w:rPr>
            </w:pPr>
            <w:r w:rsidRPr="00926192">
              <w:rPr>
                <w:rFonts w:ascii="Times New Roman" w:hAnsi="Times New Roman"/>
                <w:sz w:val="20"/>
                <w:szCs w:val="20"/>
              </w:rPr>
              <w:t>1 793,4</w:t>
            </w:r>
          </w:p>
        </w:tc>
        <w:tc>
          <w:tcPr>
            <w:tcW w:w="1205" w:type="dxa"/>
            <w:tcBorders>
              <w:top w:val="double" w:sz="4" w:space="0" w:color="auto"/>
            </w:tcBorders>
            <w:shd w:val="clear" w:color="auto" w:fill="FFFFFF"/>
            <w:vAlign w:val="bottom"/>
          </w:tcPr>
          <w:p w:rsidR="0029681F" w:rsidRPr="00926192" w:rsidRDefault="0029681F" w:rsidP="0029681F">
            <w:pPr>
              <w:spacing w:after="0" w:line="240" w:lineRule="auto"/>
              <w:ind w:right="176"/>
              <w:contextualSpacing/>
              <w:jc w:val="right"/>
              <w:rPr>
                <w:rFonts w:ascii="Times New Roman" w:hAnsi="Times New Roman"/>
                <w:color w:val="000000"/>
                <w:sz w:val="20"/>
                <w:szCs w:val="20"/>
              </w:rPr>
            </w:pPr>
            <w:r w:rsidRPr="00926192">
              <w:rPr>
                <w:rFonts w:ascii="Times New Roman" w:hAnsi="Times New Roman"/>
                <w:color w:val="000000"/>
                <w:sz w:val="20"/>
                <w:szCs w:val="20"/>
              </w:rPr>
              <w:t>100,0</w:t>
            </w:r>
          </w:p>
        </w:tc>
        <w:tc>
          <w:tcPr>
            <w:tcW w:w="1270" w:type="dxa"/>
            <w:tcBorders>
              <w:top w:val="double" w:sz="4" w:space="0" w:color="auto"/>
            </w:tcBorders>
            <w:shd w:val="clear" w:color="auto" w:fill="FFFFFF"/>
            <w:vAlign w:val="bottom"/>
          </w:tcPr>
          <w:p w:rsidR="0029681F" w:rsidRPr="00926192" w:rsidRDefault="0029681F" w:rsidP="0029681F">
            <w:pPr>
              <w:spacing w:after="0" w:line="240" w:lineRule="auto"/>
              <w:ind w:right="176"/>
              <w:contextualSpacing/>
              <w:jc w:val="right"/>
              <w:rPr>
                <w:rFonts w:ascii="Times New Roman" w:hAnsi="Times New Roman"/>
                <w:color w:val="000000"/>
                <w:sz w:val="20"/>
                <w:szCs w:val="20"/>
              </w:rPr>
            </w:pPr>
            <w:r w:rsidRPr="00926192">
              <w:rPr>
                <w:rFonts w:ascii="Times New Roman" w:hAnsi="Times New Roman"/>
                <w:color w:val="000000"/>
                <w:sz w:val="20"/>
                <w:szCs w:val="20"/>
              </w:rPr>
              <w:t>106,6</w:t>
            </w:r>
          </w:p>
        </w:tc>
      </w:tr>
      <w:tr w:rsidR="0029681F" w:rsidRPr="00926192" w:rsidTr="000320B8">
        <w:trPr>
          <w:trHeight w:val="95"/>
        </w:trPr>
        <w:tc>
          <w:tcPr>
            <w:tcW w:w="3440" w:type="dxa"/>
            <w:tcBorders>
              <w:bottom w:val="nil"/>
            </w:tcBorders>
            <w:shd w:val="clear" w:color="auto" w:fill="FFFFFF"/>
            <w:vAlign w:val="center"/>
          </w:tcPr>
          <w:p w:rsidR="0029681F" w:rsidRPr="00926192" w:rsidRDefault="0029681F" w:rsidP="0029681F">
            <w:pPr>
              <w:spacing w:after="0" w:line="240" w:lineRule="auto"/>
              <w:ind w:left="74" w:firstLine="102"/>
              <w:contextualSpacing/>
              <w:rPr>
                <w:rFonts w:ascii="Times New Roman" w:hAnsi="Times New Roman"/>
                <w:color w:val="000000"/>
                <w:sz w:val="20"/>
                <w:szCs w:val="20"/>
              </w:rPr>
            </w:pPr>
            <w:r w:rsidRPr="00926192">
              <w:rPr>
                <w:rFonts w:ascii="Times New Roman" w:hAnsi="Times New Roman"/>
                <w:color w:val="000000"/>
                <w:sz w:val="20"/>
                <w:szCs w:val="20"/>
              </w:rPr>
              <w:t>в том числе:</w:t>
            </w:r>
          </w:p>
        </w:tc>
        <w:tc>
          <w:tcPr>
            <w:tcW w:w="1204" w:type="dxa"/>
            <w:tcBorders>
              <w:bottom w:val="nil"/>
            </w:tcBorders>
            <w:shd w:val="clear" w:color="auto" w:fill="FFFFFF"/>
            <w:vAlign w:val="bottom"/>
          </w:tcPr>
          <w:p w:rsidR="0029681F" w:rsidRPr="00926192" w:rsidRDefault="0029681F" w:rsidP="0029681F">
            <w:pPr>
              <w:spacing w:after="0" w:line="240" w:lineRule="auto"/>
              <w:ind w:right="176"/>
              <w:contextualSpacing/>
              <w:rPr>
                <w:rFonts w:ascii="Times New Roman" w:hAnsi="Times New Roman"/>
                <w:sz w:val="20"/>
                <w:szCs w:val="20"/>
              </w:rPr>
            </w:pPr>
          </w:p>
        </w:tc>
        <w:tc>
          <w:tcPr>
            <w:tcW w:w="1204" w:type="dxa"/>
            <w:tcBorders>
              <w:bottom w:val="nil"/>
            </w:tcBorders>
            <w:shd w:val="clear" w:color="auto" w:fill="FFFFFF"/>
            <w:vAlign w:val="bottom"/>
          </w:tcPr>
          <w:p w:rsidR="0029681F" w:rsidRPr="00926192" w:rsidRDefault="0029681F" w:rsidP="0029681F">
            <w:pPr>
              <w:spacing w:after="0" w:line="240" w:lineRule="auto"/>
              <w:ind w:right="176"/>
              <w:contextualSpacing/>
              <w:jc w:val="right"/>
              <w:rPr>
                <w:rFonts w:ascii="Times New Roman" w:hAnsi="Times New Roman"/>
                <w:color w:val="000000"/>
                <w:sz w:val="20"/>
                <w:szCs w:val="20"/>
              </w:rPr>
            </w:pPr>
          </w:p>
        </w:tc>
        <w:tc>
          <w:tcPr>
            <w:tcW w:w="1204" w:type="dxa"/>
            <w:tcBorders>
              <w:bottom w:val="nil"/>
            </w:tcBorders>
            <w:shd w:val="clear" w:color="auto" w:fill="FFFFFF"/>
            <w:vAlign w:val="bottom"/>
          </w:tcPr>
          <w:p w:rsidR="0029681F" w:rsidRPr="00926192" w:rsidRDefault="0029681F" w:rsidP="0029681F">
            <w:pPr>
              <w:spacing w:after="0" w:line="240" w:lineRule="auto"/>
              <w:ind w:right="176"/>
              <w:contextualSpacing/>
              <w:rPr>
                <w:rFonts w:ascii="Times New Roman" w:hAnsi="Times New Roman"/>
                <w:sz w:val="20"/>
                <w:szCs w:val="20"/>
              </w:rPr>
            </w:pPr>
          </w:p>
        </w:tc>
        <w:tc>
          <w:tcPr>
            <w:tcW w:w="1205" w:type="dxa"/>
            <w:tcBorders>
              <w:bottom w:val="nil"/>
            </w:tcBorders>
            <w:shd w:val="clear" w:color="auto" w:fill="FFFFFF"/>
            <w:vAlign w:val="bottom"/>
          </w:tcPr>
          <w:p w:rsidR="0029681F" w:rsidRPr="00926192" w:rsidRDefault="0029681F" w:rsidP="0029681F">
            <w:pPr>
              <w:spacing w:after="0" w:line="240" w:lineRule="auto"/>
              <w:ind w:right="176"/>
              <w:contextualSpacing/>
              <w:jc w:val="right"/>
              <w:rPr>
                <w:rFonts w:ascii="Times New Roman" w:hAnsi="Times New Roman"/>
                <w:color w:val="000000"/>
                <w:sz w:val="20"/>
                <w:szCs w:val="20"/>
              </w:rPr>
            </w:pPr>
          </w:p>
        </w:tc>
        <w:tc>
          <w:tcPr>
            <w:tcW w:w="1270" w:type="dxa"/>
            <w:tcBorders>
              <w:bottom w:val="nil"/>
            </w:tcBorders>
            <w:shd w:val="clear" w:color="auto" w:fill="FFFFFF"/>
            <w:vAlign w:val="bottom"/>
          </w:tcPr>
          <w:p w:rsidR="0029681F" w:rsidRPr="00926192" w:rsidRDefault="0029681F" w:rsidP="0029681F">
            <w:pPr>
              <w:spacing w:after="0" w:line="240" w:lineRule="auto"/>
              <w:ind w:right="176"/>
              <w:contextualSpacing/>
              <w:jc w:val="right"/>
              <w:rPr>
                <w:rFonts w:ascii="Times New Roman" w:hAnsi="Times New Roman"/>
                <w:color w:val="000000"/>
                <w:sz w:val="20"/>
                <w:szCs w:val="20"/>
              </w:rPr>
            </w:pPr>
          </w:p>
        </w:tc>
      </w:tr>
      <w:tr w:rsidR="0029681F" w:rsidRPr="00926192" w:rsidTr="000320B8">
        <w:trPr>
          <w:trHeight w:val="346"/>
        </w:trPr>
        <w:tc>
          <w:tcPr>
            <w:tcW w:w="3440" w:type="dxa"/>
            <w:tcBorders>
              <w:top w:val="nil"/>
              <w:bottom w:val="nil"/>
            </w:tcBorders>
            <w:shd w:val="clear" w:color="auto" w:fill="FFFFFF"/>
            <w:vAlign w:val="center"/>
          </w:tcPr>
          <w:p w:rsidR="0029681F" w:rsidRPr="00926192" w:rsidRDefault="0029681F" w:rsidP="0029681F">
            <w:pPr>
              <w:spacing w:after="0" w:line="240" w:lineRule="auto"/>
              <w:ind w:left="176"/>
              <w:contextualSpacing/>
              <w:rPr>
                <w:rFonts w:ascii="Times New Roman" w:hAnsi="Times New Roman"/>
                <w:color w:val="000000"/>
                <w:sz w:val="20"/>
                <w:szCs w:val="20"/>
              </w:rPr>
            </w:pPr>
            <w:r w:rsidRPr="00926192">
              <w:rPr>
                <w:rFonts w:ascii="Times New Roman" w:hAnsi="Times New Roman"/>
                <w:color w:val="000000"/>
                <w:sz w:val="20"/>
                <w:szCs w:val="20"/>
              </w:rPr>
              <w:t>- наличные деньги в обращении</w:t>
            </w:r>
          </w:p>
        </w:tc>
        <w:tc>
          <w:tcPr>
            <w:tcW w:w="1204" w:type="dxa"/>
            <w:tcBorders>
              <w:top w:val="nil"/>
              <w:bottom w:val="nil"/>
            </w:tcBorders>
            <w:shd w:val="clear" w:color="auto" w:fill="FFFFFF"/>
            <w:vAlign w:val="bottom"/>
          </w:tcPr>
          <w:p w:rsidR="0029681F" w:rsidRPr="00926192" w:rsidRDefault="0029681F" w:rsidP="0029681F">
            <w:pPr>
              <w:spacing w:after="0" w:line="240" w:lineRule="auto"/>
              <w:ind w:right="176"/>
              <w:contextualSpacing/>
              <w:jc w:val="right"/>
              <w:rPr>
                <w:rFonts w:ascii="Times New Roman" w:hAnsi="Times New Roman"/>
                <w:color w:val="000000"/>
                <w:sz w:val="20"/>
                <w:szCs w:val="20"/>
              </w:rPr>
            </w:pPr>
            <w:r w:rsidRPr="00926192">
              <w:rPr>
                <w:rFonts w:ascii="Times New Roman" w:hAnsi="Times New Roman"/>
                <w:color w:val="000000"/>
                <w:sz w:val="20"/>
                <w:szCs w:val="20"/>
              </w:rPr>
              <w:t>881,2</w:t>
            </w:r>
          </w:p>
        </w:tc>
        <w:tc>
          <w:tcPr>
            <w:tcW w:w="1204" w:type="dxa"/>
            <w:tcBorders>
              <w:top w:val="nil"/>
              <w:bottom w:val="nil"/>
            </w:tcBorders>
            <w:shd w:val="clear" w:color="auto" w:fill="FFFFFF"/>
            <w:vAlign w:val="bottom"/>
          </w:tcPr>
          <w:p w:rsidR="0029681F" w:rsidRPr="00926192" w:rsidRDefault="0029681F" w:rsidP="0029681F">
            <w:pPr>
              <w:spacing w:after="0" w:line="240" w:lineRule="auto"/>
              <w:ind w:right="176"/>
              <w:contextualSpacing/>
              <w:jc w:val="right"/>
              <w:rPr>
                <w:rFonts w:ascii="Times New Roman" w:hAnsi="Times New Roman"/>
                <w:color w:val="000000"/>
                <w:sz w:val="20"/>
                <w:szCs w:val="20"/>
              </w:rPr>
            </w:pPr>
            <w:r w:rsidRPr="00926192">
              <w:rPr>
                <w:rFonts w:ascii="Times New Roman" w:hAnsi="Times New Roman"/>
                <w:color w:val="000000"/>
                <w:sz w:val="20"/>
                <w:szCs w:val="20"/>
              </w:rPr>
              <w:t>52,4</w:t>
            </w:r>
          </w:p>
        </w:tc>
        <w:tc>
          <w:tcPr>
            <w:tcW w:w="1204" w:type="dxa"/>
            <w:tcBorders>
              <w:top w:val="nil"/>
              <w:bottom w:val="nil"/>
            </w:tcBorders>
            <w:shd w:val="clear" w:color="auto" w:fill="FFFFFF"/>
            <w:vAlign w:val="bottom"/>
          </w:tcPr>
          <w:p w:rsidR="0029681F" w:rsidRPr="00926192" w:rsidRDefault="0029681F" w:rsidP="0029681F">
            <w:pPr>
              <w:spacing w:after="0" w:line="240" w:lineRule="auto"/>
              <w:ind w:right="176"/>
              <w:contextualSpacing/>
              <w:jc w:val="right"/>
              <w:rPr>
                <w:rFonts w:ascii="Times New Roman" w:hAnsi="Times New Roman"/>
                <w:color w:val="000000"/>
                <w:sz w:val="20"/>
                <w:szCs w:val="20"/>
              </w:rPr>
            </w:pPr>
            <w:r w:rsidRPr="00926192">
              <w:rPr>
                <w:rFonts w:ascii="Times New Roman" w:hAnsi="Times New Roman"/>
                <w:color w:val="000000"/>
                <w:sz w:val="20"/>
                <w:szCs w:val="20"/>
              </w:rPr>
              <w:t>933,4</w:t>
            </w:r>
          </w:p>
        </w:tc>
        <w:tc>
          <w:tcPr>
            <w:tcW w:w="1205" w:type="dxa"/>
            <w:tcBorders>
              <w:top w:val="nil"/>
              <w:bottom w:val="nil"/>
            </w:tcBorders>
            <w:shd w:val="clear" w:color="auto" w:fill="FFFFFF"/>
            <w:vAlign w:val="bottom"/>
          </w:tcPr>
          <w:p w:rsidR="0029681F" w:rsidRPr="00926192" w:rsidRDefault="0029681F" w:rsidP="0029681F">
            <w:pPr>
              <w:spacing w:after="0" w:line="240" w:lineRule="auto"/>
              <w:ind w:right="176"/>
              <w:contextualSpacing/>
              <w:jc w:val="right"/>
              <w:rPr>
                <w:rFonts w:ascii="Times New Roman" w:hAnsi="Times New Roman"/>
                <w:color w:val="000000"/>
                <w:sz w:val="20"/>
                <w:szCs w:val="20"/>
              </w:rPr>
            </w:pPr>
            <w:r w:rsidRPr="00926192">
              <w:rPr>
                <w:rFonts w:ascii="Times New Roman" w:hAnsi="Times New Roman"/>
                <w:color w:val="000000"/>
                <w:sz w:val="20"/>
                <w:szCs w:val="20"/>
              </w:rPr>
              <w:t>52,0</w:t>
            </w:r>
          </w:p>
        </w:tc>
        <w:tc>
          <w:tcPr>
            <w:tcW w:w="1270" w:type="dxa"/>
            <w:tcBorders>
              <w:top w:val="nil"/>
              <w:bottom w:val="nil"/>
            </w:tcBorders>
            <w:shd w:val="clear" w:color="auto" w:fill="FFFFFF"/>
            <w:vAlign w:val="bottom"/>
          </w:tcPr>
          <w:p w:rsidR="0029681F" w:rsidRPr="00926192" w:rsidRDefault="0029681F" w:rsidP="0029681F">
            <w:pPr>
              <w:spacing w:after="0" w:line="240" w:lineRule="auto"/>
              <w:ind w:right="176"/>
              <w:contextualSpacing/>
              <w:jc w:val="right"/>
              <w:rPr>
                <w:rFonts w:ascii="Times New Roman" w:hAnsi="Times New Roman"/>
                <w:color w:val="000000"/>
                <w:sz w:val="20"/>
                <w:szCs w:val="20"/>
              </w:rPr>
            </w:pPr>
            <w:r w:rsidRPr="00926192">
              <w:rPr>
                <w:rFonts w:ascii="Times New Roman" w:hAnsi="Times New Roman"/>
                <w:color w:val="000000"/>
                <w:sz w:val="20"/>
                <w:szCs w:val="20"/>
              </w:rPr>
              <w:t>105,9</w:t>
            </w:r>
          </w:p>
        </w:tc>
      </w:tr>
      <w:tr w:rsidR="0029681F" w:rsidRPr="00926192" w:rsidTr="000320B8">
        <w:trPr>
          <w:trHeight w:val="346"/>
        </w:trPr>
        <w:tc>
          <w:tcPr>
            <w:tcW w:w="3440" w:type="dxa"/>
            <w:tcBorders>
              <w:top w:val="nil"/>
              <w:bottom w:val="nil"/>
            </w:tcBorders>
            <w:shd w:val="clear" w:color="auto" w:fill="FFFFFF"/>
            <w:vAlign w:val="center"/>
          </w:tcPr>
          <w:p w:rsidR="0029681F" w:rsidRPr="00926192" w:rsidRDefault="0029681F" w:rsidP="0029681F">
            <w:pPr>
              <w:spacing w:after="0" w:line="240" w:lineRule="auto"/>
              <w:ind w:left="74" w:firstLine="102"/>
              <w:contextualSpacing/>
              <w:rPr>
                <w:rFonts w:ascii="Times New Roman" w:hAnsi="Times New Roman"/>
                <w:color w:val="000000"/>
                <w:sz w:val="20"/>
                <w:szCs w:val="20"/>
              </w:rPr>
            </w:pPr>
            <w:r w:rsidRPr="00926192">
              <w:rPr>
                <w:rFonts w:ascii="Times New Roman" w:hAnsi="Times New Roman"/>
                <w:color w:val="000000"/>
                <w:sz w:val="20"/>
                <w:szCs w:val="20"/>
              </w:rPr>
              <w:t>- средства в кассах банков</w:t>
            </w:r>
          </w:p>
        </w:tc>
        <w:tc>
          <w:tcPr>
            <w:tcW w:w="1204" w:type="dxa"/>
            <w:tcBorders>
              <w:top w:val="nil"/>
              <w:bottom w:val="nil"/>
            </w:tcBorders>
            <w:shd w:val="clear" w:color="auto" w:fill="FFFFFF"/>
            <w:vAlign w:val="bottom"/>
          </w:tcPr>
          <w:p w:rsidR="0029681F" w:rsidRPr="00926192" w:rsidRDefault="0029681F" w:rsidP="0029681F">
            <w:pPr>
              <w:spacing w:after="0" w:line="240" w:lineRule="auto"/>
              <w:ind w:right="176"/>
              <w:contextualSpacing/>
              <w:jc w:val="right"/>
              <w:rPr>
                <w:rFonts w:ascii="Times New Roman" w:hAnsi="Times New Roman"/>
                <w:color w:val="000000"/>
                <w:sz w:val="20"/>
                <w:szCs w:val="20"/>
              </w:rPr>
            </w:pPr>
            <w:r w:rsidRPr="00926192">
              <w:rPr>
                <w:rFonts w:ascii="Times New Roman" w:hAnsi="Times New Roman"/>
                <w:color w:val="000000"/>
                <w:sz w:val="20"/>
                <w:szCs w:val="20"/>
              </w:rPr>
              <w:t>147,2</w:t>
            </w:r>
          </w:p>
        </w:tc>
        <w:tc>
          <w:tcPr>
            <w:tcW w:w="1204" w:type="dxa"/>
            <w:tcBorders>
              <w:top w:val="nil"/>
              <w:bottom w:val="nil"/>
            </w:tcBorders>
            <w:shd w:val="clear" w:color="auto" w:fill="FFFFFF"/>
            <w:vAlign w:val="bottom"/>
          </w:tcPr>
          <w:p w:rsidR="0029681F" w:rsidRPr="00926192" w:rsidRDefault="0029681F" w:rsidP="0029681F">
            <w:pPr>
              <w:spacing w:after="0" w:line="240" w:lineRule="auto"/>
              <w:ind w:right="176"/>
              <w:contextualSpacing/>
              <w:jc w:val="right"/>
              <w:rPr>
                <w:rFonts w:ascii="Times New Roman" w:hAnsi="Times New Roman"/>
                <w:color w:val="000000"/>
                <w:sz w:val="20"/>
                <w:szCs w:val="20"/>
              </w:rPr>
            </w:pPr>
            <w:r w:rsidRPr="00926192">
              <w:rPr>
                <w:rFonts w:ascii="Times New Roman" w:hAnsi="Times New Roman"/>
                <w:color w:val="000000"/>
                <w:sz w:val="20"/>
                <w:szCs w:val="20"/>
              </w:rPr>
              <w:t>8,7</w:t>
            </w:r>
          </w:p>
        </w:tc>
        <w:tc>
          <w:tcPr>
            <w:tcW w:w="1204" w:type="dxa"/>
            <w:tcBorders>
              <w:top w:val="nil"/>
              <w:bottom w:val="nil"/>
            </w:tcBorders>
            <w:shd w:val="clear" w:color="auto" w:fill="FFFFFF"/>
            <w:vAlign w:val="bottom"/>
          </w:tcPr>
          <w:p w:rsidR="0029681F" w:rsidRPr="00926192" w:rsidRDefault="0029681F" w:rsidP="0029681F">
            <w:pPr>
              <w:spacing w:after="0" w:line="240" w:lineRule="auto"/>
              <w:ind w:right="176"/>
              <w:contextualSpacing/>
              <w:jc w:val="right"/>
              <w:rPr>
                <w:rFonts w:ascii="Times New Roman" w:hAnsi="Times New Roman"/>
                <w:color w:val="000000"/>
                <w:sz w:val="20"/>
                <w:szCs w:val="20"/>
              </w:rPr>
            </w:pPr>
            <w:r w:rsidRPr="00926192">
              <w:rPr>
                <w:rFonts w:ascii="Times New Roman" w:hAnsi="Times New Roman"/>
                <w:color w:val="000000"/>
                <w:sz w:val="20"/>
                <w:szCs w:val="20"/>
              </w:rPr>
              <w:t>116,6</w:t>
            </w:r>
          </w:p>
        </w:tc>
        <w:tc>
          <w:tcPr>
            <w:tcW w:w="1205" w:type="dxa"/>
            <w:tcBorders>
              <w:top w:val="nil"/>
              <w:bottom w:val="nil"/>
            </w:tcBorders>
            <w:shd w:val="clear" w:color="auto" w:fill="FFFFFF"/>
            <w:vAlign w:val="bottom"/>
          </w:tcPr>
          <w:p w:rsidR="0029681F" w:rsidRPr="00926192" w:rsidRDefault="0029681F" w:rsidP="0029681F">
            <w:pPr>
              <w:spacing w:after="0" w:line="240" w:lineRule="auto"/>
              <w:ind w:right="176"/>
              <w:contextualSpacing/>
              <w:jc w:val="right"/>
              <w:rPr>
                <w:rFonts w:ascii="Times New Roman" w:hAnsi="Times New Roman"/>
                <w:color w:val="000000"/>
                <w:sz w:val="20"/>
                <w:szCs w:val="20"/>
              </w:rPr>
            </w:pPr>
            <w:r w:rsidRPr="00926192">
              <w:rPr>
                <w:rFonts w:ascii="Times New Roman" w:hAnsi="Times New Roman"/>
                <w:color w:val="000000"/>
                <w:sz w:val="20"/>
                <w:szCs w:val="20"/>
              </w:rPr>
              <w:t>6,5</w:t>
            </w:r>
          </w:p>
        </w:tc>
        <w:tc>
          <w:tcPr>
            <w:tcW w:w="1270" w:type="dxa"/>
            <w:tcBorders>
              <w:top w:val="nil"/>
              <w:bottom w:val="nil"/>
            </w:tcBorders>
            <w:shd w:val="clear" w:color="auto" w:fill="FFFFFF"/>
            <w:vAlign w:val="bottom"/>
          </w:tcPr>
          <w:p w:rsidR="0029681F" w:rsidRPr="00926192" w:rsidRDefault="0029681F" w:rsidP="0029681F">
            <w:pPr>
              <w:spacing w:after="0" w:line="240" w:lineRule="auto"/>
              <w:ind w:right="176"/>
              <w:contextualSpacing/>
              <w:jc w:val="right"/>
              <w:rPr>
                <w:rFonts w:ascii="Times New Roman" w:hAnsi="Times New Roman"/>
                <w:color w:val="000000"/>
                <w:sz w:val="20"/>
                <w:szCs w:val="20"/>
              </w:rPr>
            </w:pPr>
            <w:r w:rsidRPr="00926192">
              <w:rPr>
                <w:rFonts w:ascii="Times New Roman" w:hAnsi="Times New Roman"/>
                <w:color w:val="000000"/>
                <w:sz w:val="20"/>
                <w:szCs w:val="20"/>
              </w:rPr>
              <w:t>79,3</w:t>
            </w:r>
          </w:p>
        </w:tc>
      </w:tr>
      <w:tr w:rsidR="0029681F" w:rsidRPr="00D70A3E" w:rsidTr="000320B8">
        <w:trPr>
          <w:trHeight w:val="367"/>
        </w:trPr>
        <w:tc>
          <w:tcPr>
            <w:tcW w:w="3440" w:type="dxa"/>
            <w:tcBorders>
              <w:top w:val="nil"/>
              <w:bottom w:val="single" w:sz="4" w:space="0" w:color="auto"/>
            </w:tcBorders>
            <w:shd w:val="clear" w:color="auto" w:fill="FFFFFF"/>
            <w:vAlign w:val="center"/>
          </w:tcPr>
          <w:p w:rsidR="0029681F" w:rsidRPr="00926192" w:rsidRDefault="0029681F" w:rsidP="0029681F">
            <w:pPr>
              <w:spacing w:after="0" w:line="240" w:lineRule="auto"/>
              <w:ind w:left="312" w:hanging="136"/>
              <w:contextualSpacing/>
              <w:rPr>
                <w:rFonts w:ascii="Times New Roman" w:hAnsi="Times New Roman"/>
                <w:color w:val="000000"/>
                <w:sz w:val="20"/>
                <w:szCs w:val="20"/>
              </w:rPr>
            </w:pPr>
            <w:r w:rsidRPr="00926192">
              <w:rPr>
                <w:rFonts w:ascii="Times New Roman" w:hAnsi="Times New Roman"/>
                <w:color w:val="000000"/>
                <w:sz w:val="20"/>
                <w:szCs w:val="20"/>
              </w:rPr>
              <w:t>- корреспондентские счета коммерческих банков</w:t>
            </w:r>
          </w:p>
        </w:tc>
        <w:tc>
          <w:tcPr>
            <w:tcW w:w="1204" w:type="dxa"/>
            <w:tcBorders>
              <w:top w:val="nil"/>
              <w:bottom w:val="single" w:sz="4" w:space="0" w:color="auto"/>
            </w:tcBorders>
            <w:shd w:val="clear" w:color="auto" w:fill="FFFFFF"/>
            <w:vAlign w:val="bottom"/>
          </w:tcPr>
          <w:p w:rsidR="0029681F" w:rsidRPr="00926192" w:rsidRDefault="0029681F" w:rsidP="0029681F">
            <w:pPr>
              <w:spacing w:after="0" w:line="240" w:lineRule="auto"/>
              <w:ind w:right="176"/>
              <w:contextualSpacing/>
              <w:jc w:val="right"/>
              <w:rPr>
                <w:rFonts w:ascii="Times New Roman" w:hAnsi="Times New Roman"/>
                <w:color w:val="000000"/>
                <w:sz w:val="20"/>
                <w:szCs w:val="20"/>
              </w:rPr>
            </w:pPr>
            <w:r w:rsidRPr="00926192">
              <w:rPr>
                <w:rFonts w:ascii="Times New Roman" w:hAnsi="Times New Roman"/>
                <w:color w:val="000000"/>
                <w:sz w:val="20"/>
                <w:szCs w:val="20"/>
              </w:rPr>
              <w:t>654,7</w:t>
            </w:r>
          </w:p>
        </w:tc>
        <w:tc>
          <w:tcPr>
            <w:tcW w:w="1204" w:type="dxa"/>
            <w:tcBorders>
              <w:top w:val="nil"/>
              <w:bottom w:val="single" w:sz="4" w:space="0" w:color="auto"/>
            </w:tcBorders>
            <w:shd w:val="clear" w:color="auto" w:fill="FFFFFF"/>
            <w:vAlign w:val="bottom"/>
          </w:tcPr>
          <w:p w:rsidR="0029681F" w:rsidRPr="00926192" w:rsidRDefault="0029681F" w:rsidP="0029681F">
            <w:pPr>
              <w:spacing w:after="0" w:line="240" w:lineRule="auto"/>
              <w:ind w:right="176"/>
              <w:contextualSpacing/>
              <w:jc w:val="right"/>
              <w:rPr>
                <w:rFonts w:ascii="Times New Roman" w:hAnsi="Times New Roman"/>
                <w:color w:val="000000"/>
                <w:sz w:val="20"/>
                <w:szCs w:val="20"/>
              </w:rPr>
            </w:pPr>
            <w:r w:rsidRPr="00926192">
              <w:rPr>
                <w:rFonts w:ascii="Times New Roman" w:hAnsi="Times New Roman"/>
                <w:color w:val="000000"/>
                <w:sz w:val="20"/>
                <w:szCs w:val="20"/>
              </w:rPr>
              <w:t>38,9</w:t>
            </w:r>
          </w:p>
        </w:tc>
        <w:tc>
          <w:tcPr>
            <w:tcW w:w="1204" w:type="dxa"/>
            <w:tcBorders>
              <w:top w:val="nil"/>
              <w:bottom w:val="single" w:sz="4" w:space="0" w:color="auto"/>
            </w:tcBorders>
            <w:shd w:val="clear" w:color="auto" w:fill="FFFFFF"/>
            <w:vAlign w:val="bottom"/>
          </w:tcPr>
          <w:p w:rsidR="0029681F" w:rsidRPr="00926192" w:rsidRDefault="0029681F" w:rsidP="0029681F">
            <w:pPr>
              <w:spacing w:after="0" w:line="240" w:lineRule="auto"/>
              <w:ind w:right="176"/>
              <w:contextualSpacing/>
              <w:jc w:val="right"/>
              <w:rPr>
                <w:rFonts w:ascii="Times New Roman" w:hAnsi="Times New Roman"/>
                <w:color w:val="000000"/>
                <w:sz w:val="20"/>
                <w:szCs w:val="20"/>
              </w:rPr>
            </w:pPr>
            <w:r w:rsidRPr="00926192">
              <w:rPr>
                <w:rFonts w:ascii="Times New Roman" w:hAnsi="Times New Roman"/>
                <w:color w:val="000000"/>
                <w:sz w:val="20"/>
                <w:szCs w:val="20"/>
              </w:rPr>
              <w:t>743,3</w:t>
            </w:r>
          </w:p>
        </w:tc>
        <w:tc>
          <w:tcPr>
            <w:tcW w:w="1205" w:type="dxa"/>
            <w:tcBorders>
              <w:top w:val="nil"/>
              <w:bottom w:val="single" w:sz="4" w:space="0" w:color="auto"/>
            </w:tcBorders>
            <w:shd w:val="clear" w:color="auto" w:fill="FFFFFF"/>
            <w:vAlign w:val="bottom"/>
          </w:tcPr>
          <w:p w:rsidR="0029681F" w:rsidRPr="00926192" w:rsidRDefault="0029681F" w:rsidP="0029681F">
            <w:pPr>
              <w:spacing w:after="0" w:line="240" w:lineRule="auto"/>
              <w:ind w:right="176"/>
              <w:contextualSpacing/>
              <w:jc w:val="right"/>
              <w:rPr>
                <w:rFonts w:ascii="Times New Roman" w:hAnsi="Times New Roman"/>
                <w:color w:val="000000"/>
                <w:sz w:val="20"/>
                <w:szCs w:val="20"/>
              </w:rPr>
            </w:pPr>
            <w:r w:rsidRPr="00926192">
              <w:rPr>
                <w:rFonts w:ascii="Times New Roman" w:hAnsi="Times New Roman"/>
                <w:color w:val="000000"/>
                <w:sz w:val="20"/>
                <w:szCs w:val="20"/>
              </w:rPr>
              <w:t>41,4</w:t>
            </w:r>
          </w:p>
        </w:tc>
        <w:tc>
          <w:tcPr>
            <w:tcW w:w="1270" w:type="dxa"/>
            <w:tcBorders>
              <w:top w:val="nil"/>
              <w:bottom w:val="single" w:sz="4" w:space="0" w:color="auto"/>
            </w:tcBorders>
            <w:shd w:val="clear" w:color="auto" w:fill="FFFFFF"/>
            <w:vAlign w:val="bottom"/>
          </w:tcPr>
          <w:p w:rsidR="0029681F" w:rsidRPr="00D70A3E" w:rsidRDefault="0029681F" w:rsidP="0029681F">
            <w:pPr>
              <w:spacing w:after="0" w:line="240" w:lineRule="auto"/>
              <w:ind w:right="176"/>
              <w:contextualSpacing/>
              <w:jc w:val="right"/>
              <w:rPr>
                <w:rFonts w:ascii="Times New Roman" w:hAnsi="Times New Roman"/>
                <w:color w:val="000000"/>
                <w:sz w:val="20"/>
                <w:szCs w:val="20"/>
              </w:rPr>
            </w:pPr>
            <w:r w:rsidRPr="00926192">
              <w:rPr>
                <w:rFonts w:ascii="Times New Roman" w:hAnsi="Times New Roman"/>
                <w:color w:val="000000"/>
                <w:sz w:val="20"/>
                <w:szCs w:val="20"/>
              </w:rPr>
              <w:t>113,5</w:t>
            </w:r>
          </w:p>
        </w:tc>
      </w:tr>
    </w:tbl>
    <w:p w:rsidR="0029681F" w:rsidRPr="00DA4C88" w:rsidRDefault="0029681F" w:rsidP="0029681F">
      <w:pPr>
        <w:spacing w:after="0" w:line="240" w:lineRule="auto"/>
        <w:ind w:firstLine="709"/>
        <w:jc w:val="both"/>
        <w:rPr>
          <w:rFonts w:ascii="Times New Roman" w:hAnsi="Times New Roman"/>
          <w:color w:val="000000"/>
          <w:sz w:val="24"/>
          <w:szCs w:val="24"/>
        </w:rPr>
      </w:pPr>
      <w:r w:rsidRPr="00926192">
        <w:rPr>
          <w:rFonts w:ascii="Times New Roman" w:hAnsi="Times New Roman"/>
          <w:sz w:val="24"/>
          <w:szCs w:val="24"/>
        </w:rPr>
        <w:t xml:space="preserve">В итоге, </w:t>
      </w:r>
      <w:r w:rsidRPr="00926192">
        <w:rPr>
          <w:rFonts w:ascii="Times New Roman" w:hAnsi="Times New Roman"/>
          <w:color w:val="000000"/>
          <w:sz w:val="24"/>
          <w:szCs w:val="24"/>
        </w:rPr>
        <w:t xml:space="preserve">расширение рублёвой денежной </w:t>
      </w:r>
      <w:r w:rsidRPr="00926192">
        <w:rPr>
          <w:rFonts w:ascii="Times New Roman" w:hAnsi="Times New Roman"/>
          <w:sz w:val="24"/>
          <w:szCs w:val="24"/>
        </w:rPr>
        <w:t>базы н</w:t>
      </w:r>
      <w:r w:rsidRPr="00926192">
        <w:rPr>
          <w:rFonts w:ascii="Times New Roman" w:hAnsi="Times New Roman"/>
          <w:color w:val="000000"/>
          <w:sz w:val="24"/>
          <w:szCs w:val="24"/>
        </w:rPr>
        <w:t>а фоне умеренного роста национальной денежной массы обусловило понижение денежного мультипликатора с 1,25 до 1,24.</w:t>
      </w:r>
    </w:p>
    <w:p w:rsidR="0029681F" w:rsidRDefault="0029681F" w:rsidP="0029681F">
      <w:pPr>
        <w:widowControl w:val="0"/>
        <w:spacing w:before="120" w:line="240" w:lineRule="auto"/>
        <w:ind w:firstLine="709"/>
        <w:contextualSpacing/>
        <w:jc w:val="both"/>
        <w:rPr>
          <w:rFonts w:ascii="Times New Roman" w:hAnsi="Times New Roman"/>
          <w:sz w:val="24"/>
          <w:szCs w:val="24"/>
        </w:rPr>
      </w:pPr>
    </w:p>
    <w:p w:rsidR="0029681F" w:rsidRPr="00926192" w:rsidRDefault="0029681F" w:rsidP="0029681F">
      <w:pPr>
        <w:widowControl w:val="0"/>
        <w:spacing w:after="0" w:line="240" w:lineRule="auto"/>
        <w:ind w:firstLine="709"/>
        <w:jc w:val="both"/>
        <w:rPr>
          <w:rFonts w:ascii="Times New Roman" w:hAnsi="Times New Roman"/>
          <w:b/>
          <w:i/>
          <w:color w:val="000000"/>
          <w:sz w:val="24"/>
          <w:szCs w:val="24"/>
        </w:rPr>
      </w:pPr>
      <w:r w:rsidRPr="00926192">
        <w:rPr>
          <w:rFonts w:ascii="Times New Roman" w:hAnsi="Times New Roman"/>
          <w:b/>
          <w:i/>
          <w:color w:val="000000"/>
          <w:sz w:val="24"/>
          <w:szCs w:val="24"/>
        </w:rPr>
        <w:t>Валютная сфера</w:t>
      </w:r>
    </w:p>
    <w:p w:rsidR="0029681F" w:rsidRPr="00926192" w:rsidRDefault="0029681F" w:rsidP="0029681F">
      <w:pPr>
        <w:spacing w:after="0" w:line="240" w:lineRule="auto"/>
        <w:ind w:firstLine="709"/>
        <w:contextualSpacing/>
        <w:jc w:val="both"/>
        <w:rPr>
          <w:rFonts w:ascii="Times New Roman" w:hAnsi="Times New Roman"/>
          <w:color w:val="000000"/>
          <w:sz w:val="24"/>
          <w:szCs w:val="24"/>
        </w:rPr>
      </w:pPr>
      <w:r w:rsidRPr="00926192">
        <w:rPr>
          <w:rFonts w:ascii="Times New Roman" w:hAnsi="Times New Roman"/>
          <w:color w:val="000000"/>
          <w:sz w:val="24"/>
          <w:szCs w:val="24"/>
        </w:rPr>
        <w:t xml:space="preserve">В течение января-июня 2014 года официальный курс доллара США сохранялся на отметке 11,10 руб. ПМР. Динамика рыночного курса американской валюты на внутреннем валютном рынке республики практически не изменилась относительно параметров             I полугодия 2013 года. Средневзвешенный курс покупки клиентами наличного доллара составил 11,13 руб. (+0,9 копейки к уровню января-июня 2013 года), безналичного –            11,14 руб. (+0,2 копейки соответственно). </w:t>
      </w:r>
    </w:p>
    <w:p w:rsidR="0029681F" w:rsidRPr="00926192" w:rsidRDefault="0029681F" w:rsidP="0029681F">
      <w:pPr>
        <w:spacing w:after="0" w:line="240" w:lineRule="auto"/>
        <w:ind w:firstLine="709"/>
        <w:contextualSpacing/>
        <w:jc w:val="both"/>
        <w:rPr>
          <w:rFonts w:ascii="Times New Roman" w:hAnsi="Times New Roman"/>
          <w:color w:val="000000"/>
          <w:sz w:val="24"/>
          <w:szCs w:val="24"/>
        </w:rPr>
      </w:pPr>
      <w:r w:rsidRPr="00926192">
        <w:rPr>
          <w:rFonts w:ascii="Times New Roman" w:hAnsi="Times New Roman"/>
          <w:color w:val="000000"/>
          <w:sz w:val="24"/>
          <w:szCs w:val="24"/>
        </w:rPr>
        <w:t>Совокупная ёмкость наличного сегмента валютного рынка составила в эквиваленте 360,7 млн. долл., что на 3,8% ниже отметки января-июня 2013 года (в I полугодии прошлого года наблюдался рост почти на 30%). Абсолютная величина наличной иностранной валюты, проданной клиентами обменных пунктов коммерческих банков и небанковских кредитных организаций, снизилась на 11,0% до 193,2 млн. долл. Традиционно большая часть сделок проводилась в долларом США (59,4%), однако в сравнении с отметкой годичной давности её реализация снизилась на 16,5% до             114,7 млн. долл. В то же время объём купленной клиентами валюты превысил базисный уровень на 6,1%, достигнув 167,4 млн. долл. Структурное преобладание осталось за сделками с долларом США – на их долю пришлось порядка 81% совокупного значения, или 136,0 млн. долл. Итогом операций на наличном сегменте валютного рынка стала нетто-продажа, сумма которой сократилась относительно базисного уровня в 2,3 раза до 25,8 млн. долл. в эквиваленте.</w:t>
      </w:r>
    </w:p>
    <w:p w:rsidR="0029681F" w:rsidRPr="00926192" w:rsidRDefault="0029681F" w:rsidP="0029681F">
      <w:pPr>
        <w:spacing w:after="0" w:line="240" w:lineRule="auto"/>
        <w:ind w:firstLine="709"/>
        <w:jc w:val="both"/>
        <w:rPr>
          <w:rFonts w:ascii="Times New Roman" w:hAnsi="Times New Roman"/>
          <w:color w:val="000000"/>
          <w:sz w:val="24"/>
          <w:szCs w:val="24"/>
        </w:rPr>
      </w:pPr>
      <w:r w:rsidRPr="00926192">
        <w:rPr>
          <w:rFonts w:ascii="Times New Roman" w:hAnsi="Times New Roman"/>
          <w:color w:val="000000"/>
          <w:sz w:val="24"/>
          <w:szCs w:val="24"/>
        </w:rPr>
        <w:t>На безналичном сегменте валютного рынка фиксировалась разнонаправленная динамика. Так, на внутреннем валютном аукционе банков был отмечен умеренный рост совокупной ёмкости операций (+5,1% до 679,4 млн. долл.). Порядка 53% объёма реализованной валюты было представлено американским долларом, сумма операций с которым возросла на 1,8% до 167,2 млн. долл. Сумма безналичной иностранной валюты, купленной клиентами, составила в эквиваленте 364,2 млн. долл., сократившись на 2,2% относительно сопоставимой отметки 2013 года. Большая часть конвертированной валюты (73,4%) была представлена долларами США, объём операций с которыми уменьшился на 10,1% до 267,2 млн. долл. Результатом конверсий, осуществлённых на внутреннем валютном аукционе, стала нетто-покупка юридическими лицами иностранной валюты в пределах 49,1 млн. долл.</w:t>
      </w:r>
    </w:p>
    <w:p w:rsidR="0029681F" w:rsidRPr="00926192" w:rsidRDefault="0029681F" w:rsidP="0029681F">
      <w:pPr>
        <w:widowControl w:val="0"/>
        <w:spacing w:after="0" w:line="240" w:lineRule="auto"/>
        <w:ind w:firstLine="709"/>
        <w:jc w:val="both"/>
        <w:rPr>
          <w:rFonts w:ascii="Times New Roman" w:hAnsi="Times New Roman"/>
          <w:color w:val="000000"/>
          <w:sz w:val="24"/>
          <w:szCs w:val="24"/>
        </w:rPr>
      </w:pPr>
      <w:r w:rsidRPr="00926192">
        <w:rPr>
          <w:rFonts w:ascii="Times New Roman" w:hAnsi="Times New Roman"/>
          <w:color w:val="000000"/>
          <w:sz w:val="24"/>
          <w:szCs w:val="24"/>
        </w:rPr>
        <w:t>Таким образом, общее сальдо валютных операций банков и кредитных организаций со своими клиентами на наличном и безналичном сегментах составило -23,3 млн. долл. (чистая продажа банковским сектором иностранной валюты).</w:t>
      </w:r>
    </w:p>
    <w:p w:rsidR="0029681F" w:rsidRPr="00926192" w:rsidRDefault="0029681F" w:rsidP="0029681F">
      <w:pPr>
        <w:tabs>
          <w:tab w:val="left" w:pos="4816"/>
        </w:tabs>
        <w:spacing w:line="240" w:lineRule="auto"/>
        <w:ind w:firstLine="709"/>
        <w:contextualSpacing/>
        <w:jc w:val="both"/>
        <w:rPr>
          <w:rFonts w:ascii="Times New Roman" w:hAnsi="Times New Roman"/>
          <w:sz w:val="24"/>
          <w:szCs w:val="24"/>
        </w:rPr>
      </w:pPr>
    </w:p>
    <w:p w:rsidR="0029681F" w:rsidRPr="00926192" w:rsidRDefault="0029681F" w:rsidP="0029681F">
      <w:pPr>
        <w:widowControl w:val="0"/>
        <w:spacing w:after="0" w:line="240" w:lineRule="auto"/>
        <w:ind w:firstLine="709"/>
        <w:jc w:val="both"/>
        <w:rPr>
          <w:rFonts w:ascii="Times New Roman" w:hAnsi="Times New Roman"/>
          <w:b/>
          <w:bCs/>
          <w:i/>
          <w:iCs/>
          <w:sz w:val="24"/>
          <w:szCs w:val="24"/>
        </w:rPr>
      </w:pPr>
      <w:r w:rsidRPr="00926192">
        <w:rPr>
          <w:rFonts w:ascii="Times New Roman" w:hAnsi="Times New Roman"/>
          <w:b/>
          <w:bCs/>
          <w:i/>
          <w:iCs/>
          <w:sz w:val="24"/>
          <w:szCs w:val="24"/>
        </w:rPr>
        <w:t>Кредитная деятельность ПРБ</w:t>
      </w:r>
    </w:p>
    <w:p w:rsidR="0029681F" w:rsidRPr="00926192" w:rsidRDefault="0029681F" w:rsidP="0029681F">
      <w:pPr>
        <w:spacing w:after="0" w:line="240" w:lineRule="auto"/>
        <w:ind w:firstLine="709"/>
        <w:jc w:val="both"/>
        <w:rPr>
          <w:rFonts w:ascii="Times New Roman" w:hAnsi="Times New Roman"/>
          <w:sz w:val="24"/>
          <w:szCs w:val="24"/>
        </w:rPr>
      </w:pPr>
      <w:r w:rsidRPr="00926192">
        <w:rPr>
          <w:rFonts w:ascii="Times New Roman" w:hAnsi="Times New Roman"/>
          <w:sz w:val="24"/>
          <w:szCs w:val="24"/>
        </w:rPr>
        <w:t xml:space="preserve">По состоянию на 1 июля 2014 года совокупная задолженность коммерческих банков перед Приднестровским республиканским банком составила 511,5 млн. руб., в том </w:t>
      </w:r>
      <w:r w:rsidRPr="00926192">
        <w:rPr>
          <w:rFonts w:ascii="Times New Roman" w:hAnsi="Times New Roman"/>
          <w:sz w:val="24"/>
          <w:szCs w:val="24"/>
        </w:rPr>
        <w:lastRenderedPageBreak/>
        <w:t xml:space="preserve">числе по кредитам – 96,2 млн. руб. (включая просроченную ОАО «Бендерысоцбанк» в сумме 9 млн. руб.), по депозитам – 415,3 млн. руб. </w:t>
      </w:r>
    </w:p>
    <w:p w:rsidR="0029681F" w:rsidRPr="00926192" w:rsidRDefault="0029681F" w:rsidP="0029681F">
      <w:pPr>
        <w:spacing w:line="235" w:lineRule="auto"/>
        <w:ind w:firstLine="709"/>
        <w:contextualSpacing/>
        <w:jc w:val="both"/>
        <w:rPr>
          <w:rFonts w:ascii="Times New Roman" w:hAnsi="Times New Roman"/>
          <w:snapToGrid w:val="0"/>
          <w:sz w:val="24"/>
          <w:szCs w:val="24"/>
        </w:rPr>
      </w:pPr>
      <w:r w:rsidRPr="00926192">
        <w:rPr>
          <w:rFonts w:ascii="Times New Roman" w:hAnsi="Times New Roman"/>
          <w:sz w:val="24"/>
          <w:szCs w:val="24"/>
        </w:rPr>
        <w:t xml:space="preserve">Задолженность государства по кредитам перед Приднестровским республиканским банком составила </w:t>
      </w:r>
      <w:r w:rsidRPr="00926192">
        <w:rPr>
          <w:rFonts w:ascii="Times New Roman" w:hAnsi="Times New Roman"/>
          <w:snapToGrid w:val="0"/>
          <w:sz w:val="24"/>
          <w:szCs w:val="24"/>
        </w:rPr>
        <w:t xml:space="preserve">69,8 </w:t>
      </w:r>
      <w:r w:rsidRPr="00926192">
        <w:rPr>
          <w:rFonts w:ascii="Times New Roman" w:hAnsi="Times New Roman"/>
          <w:sz w:val="24"/>
          <w:szCs w:val="24"/>
        </w:rPr>
        <w:t>млн. руб</w:t>
      </w:r>
      <w:r w:rsidRPr="00926192">
        <w:rPr>
          <w:rFonts w:ascii="Times New Roman" w:hAnsi="Times New Roman"/>
          <w:snapToGrid w:val="0"/>
          <w:sz w:val="24"/>
          <w:szCs w:val="24"/>
        </w:rPr>
        <w:t xml:space="preserve">. </w:t>
      </w:r>
    </w:p>
    <w:p w:rsidR="0029681F" w:rsidRPr="00926192" w:rsidRDefault="0029681F" w:rsidP="0029681F">
      <w:pPr>
        <w:spacing w:line="235" w:lineRule="auto"/>
        <w:ind w:firstLine="709"/>
        <w:contextualSpacing/>
        <w:jc w:val="both"/>
        <w:rPr>
          <w:rFonts w:ascii="Times New Roman" w:hAnsi="Times New Roman"/>
          <w:sz w:val="24"/>
          <w:szCs w:val="24"/>
        </w:rPr>
      </w:pPr>
    </w:p>
    <w:p w:rsidR="0029681F" w:rsidRPr="00926192" w:rsidRDefault="0029681F" w:rsidP="0029681F">
      <w:pPr>
        <w:widowControl w:val="0"/>
        <w:spacing w:after="0" w:line="240" w:lineRule="auto"/>
        <w:ind w:firstLine="709"/>
        <w:jc w:val="both"/>
        <w:rPr>
          <w:rFonts w:ascii="Times New Roman" w:hAnsi="Times New Roman"/>
          <w:b/>
          <w:bCs/>
          <w:i/>
          <w:iCs/>
          <w:sz w:val="24"/>
          <w:szCs w:val="24"/>
        </w:rPr>
      </w:pPr>
      <w:r w:rsidRPr="00926192">
        <w:rPr>
          <w:rFonts w:ascii="Times New Roman" w:hAnsi="Times New Roman"/>
          <w:b/>
          <w:bCs/>
          <w:i/>
          <w:iCs/>
          <w:sz w:val="24"/>
          <w:szCs w:val="24"/>
        </w:rPr>
        <w:t>Кредитование экономики коммерческими банками</w:t>
      </w:r>
    </w:p>
    <w:p w:rsidR="0029681F" w:rsidRPr="0029681F" w:rsidRDefault="0029681F" w:rsidP="0029681F">
      <w:pPr>
        <w:pStyle w:val="31"/>
        <w:spacing w:after="0" w:line="240" w:lineRule="auto"/>
        <w:ind w:left="0" w:firstLine="709"/>
        <w:jc w:val="both"/>
        <w:rPr>
          <w:rFonts w:ascii="Times New Roman" w:hAnsi="Times New Roman"/>
          <w:color w:val="000000"/>
          <w:sz w:val="24"/>
          <w:szCs w:val="24"/>
        </w:rPr>
      </w:pPr>
      <w:r w:rsidRPr="0029681F">
        <w:rPr>
          <w:rFonts w:ascii="Times New Roman" w:hAnsi="Times New Roman"/>
          <w:color w:val="000000"/>
          <w:sz w:val="24"/>
          <w:szCs w:val="24"/>
        </w:rPr>
        <w:t xml:space="preserve">За отчётный период задолженность корпоративных клиентов и населения увеличилась на 8,8%, или на 314,0 млн. руб., составив на 1 июля 2014 года </w:t>
      </w:r>
      <w:r w:rsidR="0007681A">
        <w:rPr>
          <w:rFonts w:ascii="Times New Roman" w:hAnsi="Times New Roman"/>
          <w:color w:val="000000"/>
          <w:sz w:val="24"/>
          <w:szCs w:val="24"/>
        </w:rPr>
        <w:t xml:space="preserve">                        </w:t>
      </w:r>
      <w:r w:rsidRPr="0029681F">
        <w:rPr>
          <w:rFonts w:ascii="Times New Roman" w:hAnsi="Times New Roman"/>
          <w:color w:val="000000"/>
          <w:sz w:val="24"/>
          <w:szCs w:val="24"/>
        </w:rPr>
        <w:t xml:space="preserve">3 886,3 млн. руб., или 57,9% суммарных активов-нетто банковской системы. Доминирующее положение по-прежнему занимают кредиты, предоставленные корпоративным клиентам (72,6%), объём которых в абсолютном выражении увеличился на 7,7% до 2 821,3 млн. руб. </w:t>
      </w:r>
    </w:p>
    <w:p w:rsidR="0029681F" w:rsidRPr="00926192" w:rsidRDefault="0029681F" w:rsidP="0029681F">
      <w:pPr>
        <w:widowControl w:val="0"/>
        <w:spacing w:after="0" w:line="240" w:lineRule="auto"/>
        <w:ind w:firstLine="709"/>
        <w:jc w:val="both"/>
        <w:rPr>
          <w:rFonts w:ascii="Times New Roman" w:hAnsi="Times New Roman"/>
          <w:color w:val="000000"/>
          <w:sz w:val="24"/>
          <w:szCs w:val="24"/>
        </w:rPr>
      </w:pPr>
      <w:r w:rsidRPr="00926192">
        <w:rPr>
          <w:rFonts w:ascii="Times New Roman" w:hAnsi="Times New Roman"/>
          <w:color w:val="000000"/>
          <w:sz w:val="24"/>
          <w:szCs w:val="24"/>
        </w:rPr>
        <w:t xml:space="preserve">С точки зрения распределения корпоративного кредитного портфеля банковской системы по видам экономической деятельности, основными потребителями кредитных продуктов остаются такие отрасли, как промышленность, транспорт, связь и ТЭК, на долю которых пришлось 39,8% совокупного показателя, или 1 123,9 млн. руб. (+82,3 млн. руб. к уровню на начало года). Организациям агропромышленного комплекса было выдано 22,5% кредитов, что в абсолютном выражении соответствует 634,4. </w:t>
      </w:r>
      <w:r w:rsidR="0007681A">
        <w:rPr>
          <w:rFonts w:ascii="Times New Roman" w:hAnsi="Times New Roman"/>
          <w:color w:val="000000"/>
          <w:sz w:val="24"/>
          <w:szCs w:val="24"/>
        </w:rPr>
        <w:t>м</w:t>
      </w:r>
      <w:r w:rsidRPr="00926192">
        <w:rPr>
          <w:rFonts w:ascii="Times New Roman" w:hAnsi="Times New Roman"/>
          <w:color w:val="000000"/>
          <w:sz w:val="24"/>
          <w:szCs w:val="24"/>
        </w:rPr>
        <w:t>лн</w:t>
      </w:r>
      <w:r>
        <w:rPr>
          <w:rFonts w:ascii="Times New Roman" w:hAnsi="Times New Roman"/>
          <w:color w:val="000000"/>
          <w:sz w:val="24"/>
          <w:szCs w:val="24"/>
        </w:rPr>
        <w:t>.</w:t>
      </w:r>
      <w:r w:rsidRPr="00926192">
        <w:rPr>
          <w:rFonts w:ascii="Times New Roman" w:hAnsi="Times New Roman"/>
          <w:color w:val="000000"/>
          <w:sz w:val="24"/>
          <w:szCs w:val="24"/>
        </w:rPr>
        <w:t xml:space="preserve"> руб.                     (+53,2 млн. руб.). Финансовые вливания в торгово-посредническую сеть увеличились на 24,8 млн. руб. до 512,5 млн. руб., или 18,2% совокупного показателя. Объём задолженности Правительства </w:t>
      </w:r>
      <w:r>
        <w:rPr>
          <w:rFonts w:ascii="Times New Roman" w:hAnsi="Times New Roman"/>
          <w:color w:val="000000"/>
          <w:sz w:val="24"/>
          <w:szCs w:val="24"/>
        </w:rPr>
        <w:t xml:space="preserve">ПМР </w:t>
      </w:r>
      <w:r w:rsidRPr="00926192">
        <w:rPr>
          <w:rFonts w:ascii="Times New Roman" w:hAnsi="Times New Roman"/>
          <w:color w:val="000000"/>
          <w:sz w:val="24"/>
          <w:szCs w:val="24"/>
        </w:rPr>
        <w:t>и бюджетных организаций за I полугодие 2014 года составил 66,6 млн. руб. против 16,3 млн. руб. на начало 2014 года. Сокращением задолженности по банковским кредитам характеризовалась деятельность строительных предприятий (-15,9%, или на 4,1 млн. руб., до 21,7 млн. руб.).</w:t>
      </w:r>
    </w:p>
    <w:p w:rsidR="0029681F" w:rsidRPr="00926192" w:rsidRDefault="0029681F" w:rsidP="0029681F">
      <w:pPr>
        <w:spacing w:after="0" w:line="240" w:lineRule="auto"/>
        <w:ind w:firstLine="709"/>
        <w:jc w:val="both"/>
        <w:rPr>
          <w:rFonts w:ascii="Times New Roman" w:hAnsi="Times New Roman"/>
          <w:color w:val="000000"/>
          <w:sz w:val="24"/>
          <w:szCs w:val="24"/>
        </w:rPr>
      </w:pPr>
      <w:r w:rsidRPr="00926192">
        <w:rPr>
          <w:rFonts w:ascii="Times New Roman" w:hAnsi="Times New Roman"/>
          <w:color w:val="000000"/>
          <w:sz w:val="24"/>
          <w:szCs w:val="24"/>
        </w:rPr>
        <w:t>Объём задолженности физических лиц по итогам первых шести месяцев 2014 года увеличился на 11,8%, или на 112,6 млн. руб., и по состоянию на 1 июля сложился на уровне 1 065,0 млн. руб., что соответствует 15,9% совокупных активов-нетто и 27,4% в структуре кредитов нефинансовому сектору.</w:t>
      </w:r>
    </w:p>
    <w:p w:rsidR="0029681F" w:rsidRPr="00926192" w:rsidRDefault="0029681F" w:rsidP="0029681F">
      <w:pPr>
        <w:widowControl w:val="0"/>
        <w:spacing w:after="0" w:line="240" w:lineRule="auto"/>
        <w:ind w:firstLine="709"/>
        <w:jc w:val="both"/>
        <w:rPr>
          <w:rFonts w:ascii="Times New Roman" w:hAnsi="Times New Roman"/>
          <w:b/>
          <w:bCs/>
          <w:i/>
          <w:iCs/>
          <w:sz w:val="24"/>
          <w:szCs w:val="24"/>
        </w:rPr>
      </w:pPr>
    </w:p>
    <w:p w:rsidR="0029681F" w:rsidRPr="00926192" w:rsidRDefault="0029681F" w:rsidP="0029681F">
      <w:pPr>
        <w:widowControl w:val="0"/>
        <w:spacing w:after="0" w:line="240" w:lineRule="auto"/>
        <w:ind w:firstLine="709"/>
        <w:jc w:val="both"/>
        <w:rPr>
          <w:rFonts w:ascii="Times New Roman" w:hAnsi="Times New Roman"/>
          <w:b/>
          <w:bCs/>
          <w:i/>
          <w:iCs/>
          <w:sz w:val="24"/>
          <w:szCs w:val="24"/>
        </w:rPr>
      </w:pPr>
      <w:r w:rsidRPr="00926192">
        <w:rPr>
          <w:rFonts w:ascii="Times New Roman" w:hAnsi="Times New Roman"/>
          <w:b/>
          <w:bCs/>
          <w:i/>
          <w:iCs/>
          <w:sz w:val="24"/>
          <w:szCs w:val="24"/>
        </w:rPr>
        <w:t xml:space="preserve">Инструменты денежно-кредитного регулирования </w:t>
      </w:r>
    </w:p>
    <w:p w:rsidR="0029681F" w:rsidRPr="00926192" w:rsidRDefault="0029681F" w:rsidP="0029681F">
      <w:pPr>
        <w:spacing w:after="0" w:line="240" w:lineRule="auto"/>
        <w:ind w:firstLine="709"/>
        <w:jc w:val="both"/>
        <w:rPr>
          <w:rFonts w:ascii="Times New Roman" w:hAnsi="Times New Roman"/>
          <w:sz w:val="24"/>
          <w:szCs w:val="24"/>
        </w:rPr>
      </w:pPr>
      <w:r w:rsidRPr="00926192">
        <w:rPr>
          <w:rFonts w:ascii="Times New Roman" w:hAnsi="Times New Roman"/>
          <w:sz w:val="24"/>
          <w:szCs w:val="24"/>
        </w:rPr>
        <w:t xml:space="preserve">В </w:t>
      </w:r>
      <w:r w:rsidRPr="00926192">
        <w:rPr>
          <w:rFonts w:ascii="Times New Roman" w:hAnsi="Times New Roman"/>
          <w:sz w:val="24"/>
          <w:szCs w:val="24"/>
          <w:lang w:val="en-US"/>
        </w:rPr>
        <w:t>I</w:t>
      </w:r>
      <w:r w:rsidRPr="00926192">
        <w:rPr>
          <w:rFonts w:ascii="Times New Roman" w:hAnsi="Times New Roman"/>
          <w:sz w:val="24"/>
          <w:szCs w:val="24"/>
        </w:rPr>
        <w:t xml:space="preserve"> полугодии 2014 года норматив обязательных резервов остался неизменным и сохранился на уровне 8% от обязательств кредитных организаций перед юридическими лицами в рублях ПМР и 14% от обязательств кредитных организаций перед юридическими лицами в иностранной валюте. С целью недопущения давления на валютный рынок в условиях избыточной рублёвой ликвидности производились изменения нормативов обязательных резервов по обязательствам кредитной организации перед юридическими лицами в рублях ПМР: с 1 мая 2014 года с 8% до 10% и с 1 июня 2014 с 10% до 12%. При этом депонирование обязательных резервов осуществляется исключительно рублями ПМР.</w:t>
      </w:r>
    </w:p>
    <w:p w:rsidR="0029681F" w:rsidRPr="00926192" w:rsidRDefault="0029681F" w:rsidP="0029681F">
      <w:pPr>
        <w:spacing w:after="0" w:line="240" w:lineRule="auto"/>
        <w:ind w:firstLine="709"/>
        <w:jc w:val="both"/>
        <w:rPr>
          <w:rFonts w:ascii="Times New Roman" w:hAnsi="Times New Roman"/>
          <w:sz w:val="24"/>
          <w:szCs w:val="24"/>
        </w:rPr>
      </w:pPr>
      <w:r w:rsidRPr="00926192">
        <w:rPr>
          <w:rFonts w:ascii="Times New Roman" w:hAnsi="Times New Roman"/>
          <w:sz w:val="24"/>
          <w:szCs w:val="24"/>
        </w:rPr>
        <w:t xml:space="preserve">В I полугодии 2014 года Приднестровский республиканский банк продолжал использовать краткосрочные депозитные операции «овернайт». Совокупный объём денежных средств, объявленный Приднестровским республиканским банком к привлечению в депозиты «овернайт» в течение одного рабочего дня, составил                      200 млн. руб. ПМР, доходность по депозитам – 0,6% годовых. </w:t>
      </w:r>
    </w:p>
    <w:p w:rsidR="0029681F" w:rsidRPr="00926192" w:rsidRDefault="0029681F" w:rsidP="0029681F">
      <w:pPr>
        <w:spacing w:after="0" w:line="240" w:lineRule="auto"/>
        <w:ind w:firstLine="709"/>
        <w:jc w:val="both"/>
        <w:rPr>
          <w:rFonts w:ascii="Times New Roman" w:hAnsi="Times New Roman"/>
          <w:sz w:val="24"/>
          <w:szCs w:val="24"/>
        </w:rPr>
      </w:pPr>
      <w:r w:rsidRPr="00926192">
        <w:rPr>
          <w:rFonts w:ascii="Times New Roman" w:hAnsi="Times New Roman"/>
          <w:sz w:val="24"/>
          <w:szCs w:val="24"/>
        </w:rPr>
        <w:t>В I полугодии ставка рефинансирования была снижена с 4,5% годовых до 4,0%. Данное решение было принято с учётом сложившихся на внутреннем потребительском рынке тенденций в сфере ценообразования, для оказания содействия в уменьшении конечной стоимости заимствований на межбанковском рынке и повышении доступности кредитных ресурсов для субъектов экономики.</w:t>
      </w:r>
    </w:p>
    <w:p w:rsidR="0029681F" w:rsidRPr="00926192" w:rsidRDefault="0029681F" w:rsidP="0029681F">
      <w:pPr>
        <w:widowControl w:val="0"/>
        <w:spacing w:after="0" w:line="240" w:lineRule="auto"/>
        <w:ind w:firstLine="709"/>
        <w:jc w:val="both"/>
        <w:rPr>
          <w:rFonts w:ascii="Times New Roman" w:hAnsi="Times New Roman"/>
          <w:b/>
          <w:bCs/>
          <w:i/>
          <w:iCs/>
          <w:sz w:val="24"/>
          <w:szCs w:val="24"/>
        </w:rPr>
      </w:pPr>
    </w:p>
    <w:p w:rsidR="0007681A" w:rsidRDefault="0007681A" w:rsidP="0029681F">
      <w:pPr>
        <w:widowControl w:val="0"/>
        <w:spacing w:after="0" w:line="240" w:lineRule="auto"/>
        <w:ind w:firstLine="709"/>
        <w:contextualSpacing/>
        <w:jc w:val="both"/>
        <w:rPr>
          <w:rFonts w:ascii="Times New Roman" w:hAnsi="Times New Roman"/>
          <w:b/>
          <w:bCs/>
          <w:i/>
          <w:iCs/>
          <w:sz w:val="24"/>
          <w:szCs w:val="24"/>
        </w:rPr>
      </w:pPr>
    </w:p>
    <w:p w:rsidR="0007681A" w:rsidRDefault="0007681A" w:rsidP="0029681F">
      <w:pPr>
        <w:widowControl w:val="0"/>
        <w:spacing w:after="0" w:line="240" w:lineRule="auto"/>
        <w:ind w:firstLine="709"/>
        <w:contextualSpacing/>
        <w:jc w:val="both"/>
        <w:rPr>
          <w:rFonts w:ascii="Times New Roman" w:hAnsi="Times New Roman"/>
          <w:b/>
          <w:bCs/>
          <w:i/>
          <w:iCs/>
          <w:sz w:val="24"/>
          <w:szCs w:val="24"/>
        </w:rPr>
      </w:pPr>
    </w:p>
    <w:p w:rsidR="0029681F" w:rsidRPr="00926192" w:rsidRDefault="0029681F" w:rsidP="0029681F">
      <w:pPr>
        <w:widowControl w:val="0"/>
        <w:spacing w:after="0" w:line="240" w:lineRule="auto"/>
        <w:ind w:firstLine="709"/>
        <w:contextualSpacing/>
        <w:jc w:val="both"/>
        <w:rPr>
          <w:rFonts w:ascii="Times New Roman" w:hAnsi="Times New Roman"/>
          <w:b/>
          <w:bCs/>
          <w:i/>
          <w:iCs/>
          <w:sz w:val="24"/>
          <w:szCs w:val="24"/>
        </w:rPr>
      </w:pPr>
      <w:r w:rsidRPr="00926192">
        <w:rPr>
          <w:rFonts w:ascii="Times New Roman" w:hAnsi="Times New Roman"/>
          <w:b/>
          <w:bCs/>
          <w:i/>
          <w:iCs/>
          <w:sz w:val="24"/>
          <w:szCs w:val="24"/>
        </w:rPr>
        <w:lastRenderedPageBreak/>
        <w:t>Противодействие легализации (отмыванию) доходов, полученных преступным путем</w:t>
      </w:r>
    </w:p>
    <w:p w:rsidR="0029681F" w:rsidRPr="00926192" w:rsidRDefault="0029681F" w:rsidP="0029681F">
      <w:pPr>
        <w:tabs>
          <w:tab w:val="left" w:pos="720"/>
        </w:tabs>
        <w:spacing w:before="120" w:after="0" w:line="240" w:lineRule="auto"/>
        <w:ind w:firstLine="709"/>
        <w:contextualSpacing/>
        <w:jc w:val="both"/>
        <w:rPr>
          <w:rFonts w:ascii="Times New Roman" w:hAnsi="Times New Roman"/>
          <w:sz w:val="24"/>
          <w:szCs w:val="24"/>
        </w:rPr>
      </w:pPr>
      <w:r w:rsidRPr="00926192">
        <w:rPr>
          <w:rFonts w:ascii="Times New Roman" w:hAnsi="Times New Roman"/>
          <w:sz w:val="24"/>
          <w:szCs w:val="24"/>
        </w:rPr>
        <w:t>В рамках реализации функций, установленных статьей 12 Закона Приднестровской Молдавской Республики от 6 апреля 2009 года №704-З-IV «О противодействии легализации (отмыванию) доходов, полученных преступным путём, и финансированию терроризма» осуществлялись следующие мероприятия:</w:t>
      </w:r>
    </w:p>
    <w:p w:rsidR="0029681F" w:rsidRPr="00926192" w:rsidRDefault="0029681F" w:rsidP="0029681F">
      <w:pPr>
        <w:spacing w:after="0" w:line="240" w:lineRule="auto"/>
        <w:ind w:firstLine="709"/>
        <w:jc w:val="both"/>
        <w:rPr>
          <w:rFonts w:ascii="Times New Roman" w:hAnsi="Times New Roman"/>
          <w:sz w:val="24"/>
          <w:szCs w:val="24"/>
        </w:rPr>
      </w:pPr>
      <w:r w:rsidRPr="00926192">
        <w:rPr>
          <w:rFonts w:ascii="Times New Roman" w:hAnsi="Times New Roman"/>
          <w:sz w:val="24"/>
          <w:szCs w:val="24"/>
        </w:rPr>
        <w:t>1) На учёт поставлены 2 организации, осуществляющие операции с денежными средствами и иным имуществом.</w:t>
      </w:r>
    </w:p>
    <w:p w:rsidR="0029681F" w:rsidRPr="00926192" w:rsidRDefault="0029681F" w:rsidP="0029681F">
      <w:pPr>
        <w:spacing w:line="240" w:lineRule="auto"/>
        <w:ind w:firstLine="709"/>
        <w:contextualSpacing/>
        <w:jc w:val="both"/>
        <w:rPr>
          <w:rFonts w:ascii="Times New Roman" w:hAnsi="Times New Roman"/>
          <w:sz w:val="24"/>
          <w:szCs w:val="24"/>
        </w:rPr>
      </w:pPr>
      <w:r w:rsidRPr="00926192">
        <w:rPr>
          <w:rFonts w:ascii="Times New Roman" w:hAnsi="Times New Roman"/>
          <w:sz w:val="24"/>
          <w:szCs w:val="24"/>
        </w:rPr>
        <w:t xml:space="preserve">2) Количество сообщений, поступивших в Единую информационную систему в сфере противодействия легализации (отмыванию) доходов, полученных преступным путём, и финансированию терроризма от субъектов первичного мониторинга об операциях (сделках) с денежными средствами или иным имуществом, составило          1 709 единиц. </w:t>
      </w:r>
    </w:p>
    <w:p w:rsidR="0029681F" w:rsidRPr="00926192" w:rsidRDefault="0029681F" w:rsidP="0029681F">
      <w:pPr>
        <w:tabs>
          <w:tab w:val="left" w:pos="720"/>
        </w:tabs>
        <w:spacing w:after="0" w:line="240" w:lineRule="auto"/>
        <w:ind w:firstLine="709"/>
        <w:jc w:val="both"/>
        <w:rPr>
          <w:rFonts w:ascii="Times New Roman" w:hAnsi="Times New Roman"/>
          <w:sz w:val="24"/>
          <w:szCs w:val="24"/>
        </w:rPr>
      </w:pPr>
      <w:r w:rsidRPr="00926192">
        <w:rPr>
          <w:rFonts w:ascii="Times New Roman" w:hAnsi="Times New Roman"/>
          <w:sz w:val="24"/>
          <w:szCs w:val="24"/>
        </w:rPr>
        <w:t>В правоохранительные органы направлено 9 сообщений, содержащих сведения об операциях с денежными средствами, в отношении которых имелись достаточные основания полагать, что они связаны с легализацией (отмыванием) доходов, полученных преступным путём, и финансированием терроризма.</w:t>
      </w:r>
    </w:p>
    <w:p w:rsidR="0029681F" w:rsidRPr="00926192" w:rsidRDefault="0029681F" w:rsidP="0029681F">
      <w:pPr>
        <w:tabs>
          <w:tab w:val="left" w:pos="720"/>
        </w:tabs>
        <w:spacing w:after="0" w:line="240" w:lineRule="auto"/>
        <w:ind w:firstLine="709"/>
        <w:jc w:val="both"/>
        <w:rPr>
          <w:rFonts w:ascii="Times New Roman" w:hAnsi="Times New Roman"/>
          <w:sz w:val="24"/>
          <w:szCs w:val="24"/>
        </w:rPr>
      </w:pPr>
      <w:r w:rsidRPr="00926192">
        <w:rPr>
          <w:rFonts w:ascii="Times New Roman" w:hAnsi="Times New Roman"/>
          <w:sz w:val="24"/>
          <w:szCs w:val="24"/>
        </w:rPr>
        <w:t>3) В Прокуратуру ПМР направлены</w:t>
      </w:r>
      <w:r w:rsidRPr="00926192">
        <w:rPr>
          <w:rFonts w:ascii="Times New Roman" w:hAnsi="Times New Roman"/>
          <w:color w:val="FF0000"/>
          <w:sz w:val="24"/>
          <w:szCs w:val="24"/>
        </w:rPr>
        <w:t xml:space="preserve"> </w:t>
      </w:r>
      <w:r w:rsidRPr="00926192">
        <w:rPr>
          <w:rFonts w:ascii="Times New Roman" w:hAnsi="Times New Roman"/>
          <w:sz w:val="24"/>
          <w:szCs w:val="24"/>
        </w:rPr>
        <w:t>6 материалов о выявленных фактах нарушения.</w:t>
      </w:r>
    </w:p>
    <w:p w:rsidR="0029681F" w:rsidRPr="002C6588" w:rsidRDefault="0029681F" w:rsidP="0029681F">
      <w:pPr>
        <w:spacing w:line="240" w:lineRule="auto"/>
        <w:ind w:firstLine="709"/>
        <w:contextualSpacing/>
        <w:jc w:val="both"/>
        <w:rPr>
          <w:rFonts w:ascii="Times New Roman" w:hAnsi="Times New Roman"/>
          <w:sz w:val="24"/>
          <w:szCs w:val="24"/>
        </w:rPr>
      </w:pPr>
      <w:r w:rsidRPr="00926192">
        <w:rPr>
          <w:rFonts w:ascii="Times New Roman" w:hAnsi="Times New Roman"/>
          <w:sz w:val="24"/>
          <w:szCs w:val="24"/>
        </w:rPr>
        <w:t xml:space="preserve">В </w:t>
      </w:r>
      <w:r w:rsidRPr="00926192">
        <w:rPr>
          <w:rFonts w:ascii="Times New Roman" w:hAnsi="Times New Roman"/>
          <w:sz w:val="24"/>
          <w:szCs w:val="24"/>
          <w:lang w:val="en-US"/>
        </w:rPr>
        <w:t>I</w:t>
      </w:r>
      <w:r w:rsidRPr="00926192">
        <w:rPr>
          <w:rFonts w:ascii="Times New Roman" w:hAnsi="Times New Roman"/>
          <w:sz w:val="24"/>
          <w:szCs w:val="24"/>
        </w:rPr>
        <w:t xml:space="preserve"> полугодии 2014 года продолжилось совершенствование нормативно-правовой базы в данной сфере.</w:t>
      </w:r>
    </w:p>
    <w:p w:rsidR="0029681F" w:rsidRPr="002528ED" w:rsidRDefault="0029681F" w:rsidP="0029681F">
      <w:pPr>
        <w:spacing w:line="240" w:lineRule="auto"/>
        <w:contextualSpacing/>
        <w:jc w:val="both"/>
        <w:rPr>
          <w:rFonts w:ascii="Times New Roman" w:hAnsi="Times New Roman"/>
          <w:sz w:val="24"/>
          <w:szCs w:val="24"/>
        </w:rPr>
      </w:pPr>
    </w:p>
    <w:p w:rsidR="000320B8" w:rsidRDefault="000320B8" w:rsidP="000320B8">
      <w:pPr>
        <w:widowControl w:val="0"/>
        <w:tabs>
          <w:tab w:val="left" w:pos="630"/>
        </w:tabs>
        <w:autoSpaceDE w:val="0"/>
        <w:autoSpaceDN w:val="0"/>
        <w:adjustRightInd w:val="0"/>
        <w:spacing w:after="0" w:line="240" w:lineRule="auto"/>
        <w:ind w:firstLine="720"/>
        <w:jc w:val="both"/>
        <w:rPr>
          <w:rFonts w:ascii="Times New Roman" w:hAnsi="Times New Roman"/>
          <w:b/>
          <w:sz w:val="24"/>
          <w:szCs w:val="24"/>
        </w:rPr>
      </w:pPr>
      <w:r w:rsidRPr="00827768">
        <w:rPr>
          <w:rFonts w:ascii="Times New Roman" w:hAnsi="Times New Roman"/>
          <w:b/>
          <w:sz w:val="24"/>
          <w:szCs w:val="24"/>
        </w:rPr>
        <w:t>Исполнение Консолидированного бюджета</w:t>
      </w:r>
    </w:p>
    <w:p w:rsidR="000320B8" w:rsidRPr="00D848B3" w:rsidRDefault="000320B8" w:rsidP="000320B8">
      <w:pPr>
        <w:widowControl w:val="0"/>
        <w:autoSpaceDE w:val="0"/>
        <w:autoSpaceDN w:val="0"/>
        <w:adjustRightInd w:val="0"/>
        <w:spacing w:after="0" w:line="240" w:lineRule="auto"/>
        <w:ind w:firstLine="720"/>
        <w:jc w:val="both"/>
        <w:rPr>
          <w:rFonts w:ascii="Times New Roman" w:hAnsi="Times New Roman"/>
          <w:b/>
          <w:sz w:val="24"/>
          <w:szCs w:val="24"/>
        </w:rPr>
      </w:pPr>
    </w:p>
    <w:p w:rsidR="000320B8" w:rsidRPr="009654EB" w:rsidRDefault="00DD2973" w:rsidP="000320B8">
      <w:pPr>
        <w:spacing w:after="0" w:line="240" w:lineRule="auto"/>
        <w:ind w:firstLine="709"/>
        <w:jc w:val="both"/>
        <w:rPr>
          <w:rFonts w:ascii="Times New Roman" w:hAnsi="Times New Roman"/>
          <w:sz w:val="24"/>
          <w:szCs w:val="24"/>
        </w:rPr>
      </w:pPr>
      <w:r>
        <w:rPr>
          <w:rFonts w:ascii="Times New Roman" w:hAnsi="Times New Roman"/>
          <w:sz w:val="24"/>
          <w:szCs w:val="24"/>
        </w:rPr>
        <w:t>В</w:t>
      </w:r>
      <w:r w:rsidR="000320B8" w:rsidRPr="009654EB">
        <w:rPr>
          <w:rFonts w:ascii="Times New Roman" w:hAnsi="Times New Roman"/>
          <w:sz w:val="24"/>
          <w:szCs w:val="24"/>
        </w:rPr>
        <w:t xml:space="preserve"> условиях достаточно сложной общеэкономической ситуации, бюджетная политика Приднестровской Молдавс</w:t>
      </w:r>
      <w:r>
        <w:rPr>
          <w:rFonts w:ascii="Times New Roman" w:hAnsi="Times New Roman"/>
          <w:sz w:val="24"/>
          <w:szCs w:val="24"/>
        </w:rPr>
        <w:t xml:space="preserve">кой Республики в январе – июне </w:t>
      </w:r>
      <w:r w:rsidR="000320B8" w:rsidRPr="009654EB">
        <w:rPr>
          <w:rFonts w:ascii="Times New Roman" w:hAnsi="Times New Roman"/>
          <w:sz w:val="24"/>
          <w:szCs w:val="24"/>
        </w:rPr>
        <w:t>2014 года была направлена на эффективное использование бюджетных средств</w:t>
      </w:r>
      <w:r w:rsidR="00827768">
        <w:rPr>
          <w:rFonts w:ascii="Times New Roman" w:hAnsi="Times New Roman"/>
          <w:sz w:val="24"/>
          <w:szCs w:val="24"/>
        </w:rPr>
        <w:t xml:space="preserve"> и </w:t>
      </w:r>
      <w:r w:rsidR="000320B8" w:rsidRPr="009654EB">
        <w:rPr>
          <w:rFonts w:ascii="Times New Roman" w:hAnsi="Times New Roman"/>
          <w:sz w:val="24"/>
          <w:szCs w:val="24"/>
        </w:rPr>
        <w:t xml:space="preserve">повышение </w:t>
      </w:r>
      <w:r w:rsidR="00827768">
        <w:rPr>
          <w:rFonts w:ascii="Times New Roman" w:hAnsi="Times New Roman"/>
          <w:sz w:val="24"/>
          <w:szCs w:val="24"/>
        </w:rPr>
        <w:t>результативности</w:t>
      </w:r>
      <w:r w:rsidR="000320B8" w:rsidRPr="009654EB">
        <w:rPr>
          <w:rFonts w:ascii="Times New Roman" w:hAnsi="Times New Roman"/>
          <w:sz w:val="24"/>
          <w:szCs w:val="24"/>
        </w:rPr>
        <w:t xml:space="preserve"> налоговой системы.</w:t>
      </w:r>
    </w:p>
    <w:p w:rsidR="000320B8" w:rsidRPr="009654EB" w:rsidRDefault="000320B8" w:rsidP="000320B8">
      <w:pPr>
        <w:spacing w:after="0" w:line="240" w:lineRule="auto"/>
        <w:ind w:firstLine="709"/>
        <w:jc w:val="both"/>
        <w:rPr>
          <w:rFonts w:ascii="Times New Roman" w:hAnsi="Times New Roman"/>
          <w:sz w:val="24"/>
          <w:szCs w:val="24"/>
        </w:rPr>
      </w:pPr>
      <w:r w:rsidRPr="009654EB">
        <w:rPr>
          <w:rFonts w:ascii="Times New Roman" w:hAnsi="Times New Roman"/>
          <w:sz w:val="24"/>
          <w:szCs w:val="24"/>
        </w:rPr>
        <w:t xml:space="preserve">В доходную часть консолидированного бюджета поступило средств на сумму 1 594 473 988 руб., что составляет </w:t>
      </w:r>
      <w:r w:rsidRPr="009654EB">
        <w:rPr>
          <w:rFonts w:ascii="Times New Roman" w:hAnsi="Times New Roman"/>
          <w:bCs/>
          <w:sz w:val="24"/>
          <w:szCs w:val="24"/>
        </w:rPr>
        <w:t>102,4</w:t>
      </w:r>
      <w:r w:rsidRPr="009654EB">
        <w:rPr>
          <w:rFonts w:ascii="Times New Roman" w:hAnsi="Times New Roman"/>
          <w:sz w:val="24"/>
          <w:szCs w:val="24"/>
        </w:rPr>
        <w:t>% от запланированного объема                         (1 556 763 042 руб. ПМР), или 121,0% по отношению</w:t>
      </w:r>
      <w:r w:rsidRPr="009654EB">
        <w:rPr>
          <w:rFonts w:ascii="Times New Roman" w:hAnsi="Times New Roman"/>
          <w:b/>
          <w:sz w:val="24"/>
          <w:szCs w:val="24"/>
        </w:rPr>
        <w:t xml:space="preserve"> </w:t>
      </w:r>
      <w:r w:rsidRPr="009654EB">
        <w:rPr>
          <w:rFonts w:ascii="Times New Roman" w:hAnsi="Times New Roman"/>
          <w:sz w:val="24"/>
          <w:szCs w:val="24"/>
        </w:rPr>
        <w:t>к январю – июню 2013 года. В целом, обеспечена положительная динамика доходов консолидированного бюджета по отношению к аналогичному периоду 2013 года.</w:t>
      </w:r>
      <w:r w:rsidRPr="009654EB">
        <w:rPr>
          <w:sz w:val="24"/>
          <w:szCs w:val="24"/>
        </w:rPr>
        <w:t xml:space="preserve"> </w:t>
      </w:r>
    </w:p>
    <w:tbl>
      <w:tblPr>
        <w:tblpPr w:leftFromText="180" w:rightFromText="180" w:vertAnchor="text" w:horzAnchor="margin" w:tblpXSpec="center" w:tblpY="858"/>
        <w:tblW w:w="7905" w:type="dxa"/>
        <w:tblLook w:val="0000"/>
      </w:tblPr>
      <w:tblGrid>
        <w:gridCol w:w="2675"/>
        <w:gridCol w:w="1481"/>
        <w:gridCol w:w="1481"/>
        <w:gridCol w:w="773"/>
        <w:gridCol w:w="1495"/>
      </w:tblGrid>
      <w:tr w:rsidR="0007681A" w:rsidRPr="00E91104" w:rsidTr="00B671DB">
        <w:trPr>
          <w:cantSplit/>
          <w:trHeight w:val="256"/>
        </w:trPr>
        <w:tc>
          <w:tcPr>
            <w:tcW w:w="2675" w:type="dxa"/>
            <w:tcBorders>
              <w:top w:val="single" w:sz="4" w:space="0" w:color="auto"/>
              <w:left w:val="single" w:sz="8" w:space="0" w:color="auto"/>
              <w:bottom w:val="nil"/>
              <w:right w:val="nil"/>
            </w:tcBorders>
            <w:noWrap/>
          </w:tcPr>
          <w:p w:rsidR="0007681A" w:rsidRPr="00E91104" w:rsidRDefault="0007681A" w:rsidP="00B671DB">
            <w:pPr>
              <w:spacing w:after="0" w:line="240" w:lineRule="auto"/>
              <w:ind w:left="-1134"/>
              <w:contextualSpacing/>
              <w:rPr>
                <w:rFonts w:ascii="Times New Roman" w:hAnsi="Times New Roman"/>
                <w:b/>
                <w:bCs/>
              </w:rPr>
            </w:pPr>
            <w:r w:rsidRPr="00E91104">
              <w:rPr>
                <w:rFonts w:ascii="Times New Roman" w:hAnsi="Times New Roman"/>
                <w:b/>
                <w:bCs/>
              </w:rPr>
              <w:t> </w:t>
            </w:r>
          </w:p>
        </w:tc>
        <w:tc>
          <w:tcPr>
            <w:tcW w:w="1449" w:type="dxa"/>
            <w:vMerge w:val="restart"/>
            <w:tcBorders>
              <w:top w:val="single" w:sz="4" w:space="0" w:color="auto"/>
              <w:left w:val="single" w:sz="8" w:space="0" w:color="auto"/>
              <w:bottom w:val="single" w:sz="8" w:space="0" w:color="000000"/>
              <w:right w:val="single" w:sz="8" w:space="0" w:color="auto"/>
            </w:tcBorders>
            <w:noWrap/>
            <w:vAlign w:val="center"/>
          </w:tcPr>
          <w:p w:rsidR="0007681A" w:rsidRPr="00E91104" w:rsidRDefault="0007681A" w:rsidP="00B671DB">
            <w:pPr>
              <w:spacing w:after="0" w:line="240" w:lineRule="auto"/>
              <w:contextualSpacing/>
              <w:jc w:val="center"/>
              <w:rPr>
                <w:rFonts w:ascii="Times New Roman" w:hAnsi="Times New Roman"/>
                <w:b/>
                <w:bCs/>
              </w:rPr>
            </w:pPr>
            <w:r w:rsidRPr="00E91104">
              <w:rPr>
                <w:rFonts w:ascii="Times New Roman" w:hAnsi="Times New Roman"/>
                <w:b/>
                <w:bCs/>
              </w:rPr>
              <w:t>План</w:t>
            </w:r>
          </w:p>
        </w:tc>
        <w:tc>
          <w:tcPr>
            <w:tcW w:w="1431" w:type="dxa"/>
            <w:vMerge w:val="restart"/>
            <w:tcBorders>
              <w:top w:val="single" w:sz="4" w:space="0" w:color="auto"/>
              <w:left w:val="single" w:sz="8" w:space="0" w:color="auto"/>
              <w:bottom w:val="single" w:sz="8" w:space="0" w:color="000000"/>
              <w:right w:val="single" w:sz="8" w:space="0" w:color="auto"/>
            </w:tcBorders>
            <w:noWrap/>
            <w:vAlign w:val="center"/>
          </w:tcPr>
          <w:p w:rsidR="0007681A" w:rsidRPr="00E91104" w:rsidRDefault="0007681A" w:rsidP="00B671DB">
            <w:pPr>
              <w:spacing w:after="0" w:line="240" w:lineRule="auto"/>
              <w:contextualSpacing/>
              <w:jc w:val="center"/>
              <w:rPr>
                <w:rFonts w:ascii="Times New Roman" w:hAnsi="Times New Roman"/>
                <w:b/>
                <w:bCs/>
              </w:rPr>
            </w:pPr>
            <w:r w:rsidRPr="00E91104">
              <w:rPr>
                <w:rFonts w:ascii="Times New Roman" w:hAnsi="Times New Roman"/>
                <w:b/>
                <w:bCs/>
              </w:rPr>
              <w:t>Факт</w:t>
            </w:r>
          </w:p>
        </w:tc>
        <w:tc>
          <w:tcPr>
            <w:tcW w:w="773" w:type="dxa"/>
            <w:vMerge w:val="restart"/>
            <w:tcBorders>
              <w:top w:val="single" w:sz="4" w:space="0" w:color="auto"/>
              <w:left w:val="nil"/>
              <w:right w:val="single" w:sz="8" w:space="0" w:color="auto"/>
            </w:tcBorders>
            <w:noWrap/>
            <w:vAlign w:val="center"/>
          </w:tcPr>
          <w:p w:rsidR="0007681A" w:rsidRPr="00E91104" w:rsidRDefault="0007681A" w:rsidP="00B671DB">
            <w:pPr>
              <w:spacing w:after="0" w:line="240" w:lineRule="auto"/>
              <w:contextualSpacing/>
              <w:jc w:val="center"/>
              <w:rPr>
                <w:rFonts w:ascii="Times New Roman" w:hAnsi="Times New Roman"/>
                <w:b/>
                <w:bCs/>
              </w:rPr>
            </w:pPr>
            <w:r w:rsidRPr="00E91104">
              <w:rPr>
                <w:rFonts w:ascii="Times New Roman" w:hAnsi="Times New Roman"/>
                <w:b/>
                <w:bCs/>
              </w:rPr>
              <w:t>%</w:t>
            </w:r>
          </w:p>
          <w:p w:rsidR="0007681A" w:rsidRPr="00E91104" w:rsidRDefault="0007681A" w:rsidP="00B671DB">
            <w:pPr>
              <w:spacing w:after="0" w:line="240" w:lineRule="auto"/>
              <w:ind w:left="-270" w:right="-334"/>
              <w:contextualSpacing/>
              <w:jc w:val="center"/>
              <w:rPr>
                <w:rFonts w:ascii="Times New Roman" w:hAnsi="Times New Roman"/>
                <w:b/>
                <w:bCs/>
              </w:rPr>
            </w:pPr>
            <w:r w:rsidRPr="00E91104">
              <w:rPr>
                <w:rFonts w:ascii="Times New Roman" w:hAnsi="Times New Roman"/>
                <w:b/>
                <w:bCs/>
              </w:rPr>
              <w:t>исполн.</w:t>
            </w:r>
          </w:p>
        </w:tc>
        <w:tc>
          <w:tcPr>
            <w:tcW w:w="1577" w:type="dxa"/>
            <w:vMerge w:val="restart"/>
            <w:tcBorders>
              <w:top w:val="single" w:sz="4" w:space="0" w:color="auto"/>
              <w:left w:val="nil"/>
              <w:right w:val="single" w:sz="8" w:space="0" w:color="auto"/>
            </w:tcBorders>
          </w:tcPr>
          <w:p w:rsidR="0007681A" w:rsidRPr="00E91104" w:rsidRDefault="0007681A" w:rsidP="00B671DB">
            <w:pPr>
              <w:spacing w:after="0" w:line="240" w:lineRule="auto"/>
              <w:ind w:left="-59"/>
              <w:contextualSpacing/>
              <w:jc w:val="center"/>
              <w:rPr>
                <w:rFonts w:ascii="Times New Roman" w:hAnsi="Times New Roman"/>
                <w:b/>
                <w:bCs/>
              </w:rPr>
            </w:pPr>
            <w:r w:rsidRPr="00E91104">
              <w:rPr>
                <w:rFonts w:ascii="Times New Roman" w:hAnsi="Times New Roman"/>
                <w:b/>
                <w:bCs/>
              </w:rPr>
              <w:t>Темп роста 2014 года к 2013 году, %</w:t>
            </w:r>
          </w:p>
        </w:tc>
      </w:tr>
      <w:tr w:rsidR="0007681A" w:rsidRPr="00E91104" w:rsidTr="00B671DB">
        <w:trPr>
          <w:cantSplit/>
          <w:trHeight w:val="549"/>
        </w:trPr>
        <w:tc>
          <w:tcPr>
            <w:tcW w:w="2675" w:type="dxa"/>
            <w:tcBorders>
              <w:top w:val="nil"/>
              <w:left w:val="single" w:sz="8" w:space="0" w:color="auto"/>
              <w:bottom w:val="single" w:sz="8" w:space="0" w:color="auto"/>
              <w:right w:val="nil"/>
            </w:tcBorders>
            <w:noWrap/>
          </w:tcPr>
          <w:p w:rsidR="0007681A" w:rsidRPr="00E91104" w:rsidRDefault="0007681A" w:rsidP="00B671DB">
            <w:pPr>
              <w:spacing w:after="0" w:line="240" w:lineRule="auto"/>
              <w:contextualSpacing/>
              <w:rPr>
                <w:rFonts w:ascii="Times New Roman" w:hAnsi="Times New Roman"/>
                <w:b/>
                <w:bCs/>
              </w:rPr>
            </w:pPr>
            <w:r w:rsidRPr="00E91104">
              <w:rPr>
                <w:rFonts w:ascii="Times New Roman" w:hAnsi="Times New Roman"/>
                <w:b/>
                <w:bCs/>
              </w:rPr>
              <w:t> </w:t>
            </w:r>
          </w:p>
        </w:tc>
        <w:tc>
          <w:tcPr>
            <w:tcW w:w="1449" w:type="dxa"/>
            <w:vMerge/>
            <w:tcBorders>
              <w:top w:val="single" w:sz="4" w:space="0" w:color="auto"/>
              <w:left w:val="single" w:sz="8" w:space="0" w:color="auto"/>
              <w:bottom w:val="single" w:sz="8" w:space="0" w:color="000000"/>
              <w:right w:val="single" w:sz="8" w:space="0" w:color="auto"/>
            </w:tcBorders>
            <w:vAlign w:val="center"/>
          </w:tcPr>
          <w:p w:rsidR="0007681A" w:rsidRPr="00E91104" w:rsidRDefault="0007681A" w:rsidP="00B671DB">
            <w:pPr>
              <w:spacing w:after="0" w:line="240" w:lineRule="auto"/>
              <w:contextualSpacing/>
              <w:jc w:val="center"/>
              <w:rPr>
                <w:rFonts w:ascii="Times New Roman" w:hAnsi="Times New Roman"/>
                <w:b/>
                <w:bCs/>
              </w:rPr>
            </w:pPr>
          </w:p>
        </w:tc>
        <w:tc>
          <w:tcPr>
            <w:tcW w:w="1431" w:type="dxa"/>
            <w:vMerge/>
            <w:tcBorders>
              <w:top w:val="single" w:sz="4" w:space="0" w:color="auto"/>
              <w:left w:val="single" w:sz="8" w:space="0" w:color="auto"/>
              <w:bottom w:val="single" w:sz="8" w:space="0" w:color="000000"/>
              <w:right w:val="single" w:sz="8" w:space="0" w:color="auto"/>
            </w:tcBorders>
            <w:vAlign w:val="center"/>
          </w:tcPr>
          <w:p w:rsidR="0007681A" w:rsidRPr="00E91104" w:rsidRDefault="0007681A" w:rsidP="00B671DB">
            <w:pPr>
              <w:spacing w:after="0" w:line="240" w:lineRule="auto"/>
              <w:contextualSpacing/>
              <w:jc w:val="center"/>
              <w:rPr>
                <w:rFonts w:ascii="Times New Roman" w:hAnsi="Times New Roman"/>
                <w:b/>
                <w:bCs/>
              </w:rPr>
            </w:pPr>
          </w:p>
        </w:tc>
        <w:tc>
          <w:tcPr>
            <w:tcW w:w="773" w:type="dxa"/>
            <w:vMerge/>
            <w:tcBorders>
              <w:left w:val="nil"/>
              <w:bottom w:val="single" w:sz="8" w:space="0" w:color="auto"/>
              <w:right w:val="single" w:sz="8" w:space="0" w:color="auto"/>
            </w:tcBorders>
            <w:noWrap/>
            <w:vAlign w:val="bottom"/>
          </w:tcPr>
          <w:p w:rsidR="0007681A" w:rsidRPr="00E91104" w:rsidRDefault="0007681A" w:rsidP="00B671DB">
            <w:pPr>
              <w:spacing w:after="0" w:line="240" w:lineRule="auto"/>
              <w:contextualSpacing/>
              <w:jc w:val="center"/>
              <w:rPr>
                <w:rFonts w:ascii="Times New Roman" w:hAnsi="Times New Roman"/>
                <w:b/>
                <w:bCs/>
              </w:rPr>
            </w:pPr>
          </w:p>
        </w:tc>
        <w:tc>
          <w:tcPr>
            <w:tcW w:w="1577" w:type="dxa"/>
            <w:vMerge/>
            <w:tcBorders>
              <w:left w:val="nil"/>
              <w:bottom w:val="single" w:sz="8" w:space="0" w:color="auto"/>
              <w:right w:val="single" w:sz="8" w:space="0" w:color="auto"/>
            </w:tcBorders>
          </w:tcPr>
          <w:p w:rsidR="0007681A" w:rsidRPr="00E91104" w:rsidRDefault="0007681A" w:rsidP="00B671DB">
            <w:pPr>
              <w:spacing w:after="0" w:line="240" w:lineRule="auto"/>
              <w:contextualSpacing/>
              <w:jc w:val="center"/>
              <w:rPr>
                <w:rFonts w:ascii="Times New Roman" w:hAnsi="Times New Roman"/>
                <w:b/>
                <w:bCs/>
              </w:rPr>
            </w:pPr>
          </w:p>
        </w:tc>
      </w:tr>
      <w:tr w:rsidR="0007681A" w:rsidRPr="00E91104" w:rsidTr="00B671DB">
        <w:trPr>
          <w:trHeight w:val="562"/>
        </w:trPr>
        <w:tc>
          <w:tcPr>
            <w:tcW w:w="2675" w:type="dxa"/>
            <w:tcBorders>
              <w:top w:val="nil"/>
              <w:left w:val="single" w:sz="8" w:space="0" w:color="auto"/>
              <w:bottom w:val="nil"/>
              <w:right w:val="nil"/>
            </w:tcBorders>
            <w:noWrap/>
          </w:tcPr>
          <w:p w:rsidR="0007681A" w:rsidRPr="00E91104" w:rsidRDefault="0007681A" w:rsidP="00B671DB">
            <w:pPr>
              <w:spacing w:after="0" w:line="240" w:lineRule="auto"/>
              <w:ind w:left="-56"/>
              <w:contextualSpacing/>
              <w:rPr>
                <w:rFonts w:ascii="Times New Roman" w:hAnsi="Times New Roman"/>
                <w:b/>
                <w:bCs/>
              </w:rPr>
            </w:pPr>
            <w:r w:rsidRPr="00E91104">
              <w:rPr>
                <w:rFonts w:ascii="Times New Roman" w:hAnsi="Times New Roman"/>
                <w:b/>
                <w:bCs/>
              </w:rPr>
              <w:t>Консолидированный бюджет, в т.ч.:</w:t>
            </w:r>
          </w:p>
        </w:tc>
        <w:tc>
          <w:tcPr>
            <w:tcW w:w="1449" w:type="dxa"/>
            <w:tcBorders>
              <w:top w:val="nil"/>
              <w:left w:val="single" w:sz="8" w:space="0" w:color="auto"/>
              <w:bottom w:val="single" w:sz="4" w:space="0" w:color="000000"/>
              <w:right w:val="single" w:sz="8" w:space="0" w:color="auto"/>
            </w:tcBorders>
            <w:noWrap/>
            <w:vAlign w:val="center"/>
          </w:tcPr>
          <w:p w:rsidR="0007681A" w:rsidRPr="00E91104" w:rsidRDefault="0007681A" w:rsidP="00B671DB">
            <w:pPr>
              <w:spacing w:after="0" w:line="240" w:lineRule="auto"/>
              <w:contextualSpacing/>
              <w:jc w:val="center"/>
              <w:rPr>
                <w:rFonts w:ascii="Times New Roman" w:hAnsi="Times New Roman"/>
                <w:b/>
                <w:bCs/>
              </w:rPr>
            </w:pPr>
            <w:r w:rsidRPr="00E91104">
              <w:rPr>
                <w:rFonts w:ascii="Times New Roman" w:hAnsi="Times New Roman"/>
                <w:b/>
                <w:bCs/>
              </w:rPr>
              <w:t>1 556 763 042</w:t>
            </w:r>
          </w:p>
        </w:tc>
        <w:tc>
          <w:tcPr>
            <w:tcW w:w="1431" w:type="dxa"/>
            <w:tcBorders>
              <w:top w:val="nil"/>
              <w:left w:val="single" w:sz="8" w:space="0" w:color="auto"/>
              <w:bottom w:val="nil"/>
              <w:right w:val="single" w:sz="8" w:space="0" w:color="auto"/>
            </w:tcBorders>
            <w:noWrap/>
            <w:vAlign w:val="center"/>
          </w:tcPr>
          <w:p w:rsidR="0007681A" w:rsidRPr="00E91104" w:rsidRDefault="0007681A" w:rsidP="00B671DB">
            <w:pPr>
              <w:spacing w:after="0" w:line="240" w:lineRule="auto"/>
              <w:contextualSpacing/>
              <w:jc w:val="center"/>
              <w:rPr>
                <w:rFonts w:ascii="Times New Roman" w:hAnsi="Times New Roman"/>
                <w:b/>
                <w:bCs/>
              </w:rPr>
            </w:pPr>
            <w:r w:rsidRPr="00E91104">
              <w:rPr>
                <w:rFonts w:ascii="Times New Roman" w:hAnsi="Times New Roman"/>
                <w:b/>
                <w:bCs/>
              </w:rPr>
              <w:t>1 594 473 988</w:t>
            </w:r>
          </w:p>
        </w:tc>
        <w:tc>
          <w:tcPr>
            <w:tcW w:w="773" w:type="dxa"/>
            <w:tcBorders>
              <w:top w:val="nil"/>
              <w:left w:val="single" w:sz="8" w:space="0" w:color="auto"/>
              <w:bottom w:val="single" w:sz="4" w:space="0" w:color="000000"/>
              <w:right w:val="single" w:sz="8" w:space="0" w:color="auto"/>
            </w:tcBorders>
            <w:noWrap/>
            <w:vAlign w:val="center"/>
          </w:tcPr>
          <w:p w:rsidR="0007681A" w:rsidRPr="00E91104" w:rsidRDefault="0007681A" w:rsidP="00B671DB">
            <w:pPr>
              <w:spacing w:after="0" w:line="240" w:lineRule="auto"/>
              <w:contextualSpacing/>
              <w:jc w:val="center"/>
              <w:rPr>
                <w:rFonts w:ascii="Times New Roman" w:hAnsi="Times New Roman"/>
                <w:b/>
                <w:bCs/>
              </w:rPr>
            </w:pPr>
            <w:r w:rsidRPr="00E91104">
              <w:rPr>
                <w:rFonts w:ascii="Times New Roman" w:hAnsi="Times New Roman"/>
                <w:b/>
                <w:bCs/>
              </w:rPr>
              <w:t>102,4</w:t>
            </w:r>
          </w:p>
        </w:tc>
        <w:tc>
          <w:tcPr>
            <w:tcW w:w="1577" w:type="dxa"/>
            <w:tcBorders>
              <w:top w:val="nil"/>
              <w:left w:val="single" w:sz="8" w:space="0" w:color="auto"/>
              <w:bottom w:val="single" w:sz="4" w:space="0" w:color="000000"/>
              <w:right w:val="single" w:sz="8" w:space="0" w:color="auto"/>
            </w:tcBorders>
            <w:vAlign w:val="center"/>
          </w:tcPr>
          <w:p w:rsidR="0007681A" w:rsidRPr="00E91104" w:rsidRDefault="0007681A" w:rsidP="00B671DB">
            <w:pPr>
              <w:spacing w:after="0" w:line="240" w:lineRule="auto"/>
              <w:contextualSpacing/>
              <w:jc w:val="center"/>
              <w:rPr>
                <w:rFonts w:ascii="Times New Roman" w:hAnsi="Times New Roman"/>
                <w:b/>
                <w:bCs/>
              </w:rPr>
            </w:pPr>
            <w:r w:rsidRPr="00E91104">
              <w:rPr>
                <w:rFonts w:ascii="Times New Roman" w:hAnsi="Times New Roman"/>
                <w:b/>
                <w:bCs/>
              </w:rPr>
              <w:t>121,0</w:t>
            </w:r>
          </w:p>
        </w:tc>
      </w:tr>
      <w:tr w:rsidR="0007681A" w:rsidRPr="00E91104" w:rsidTr="00B671DB">
        <w:trPr>
          <w:trHeight w:val="424"/>
        </w:trPr>
        <w:tc>
          <w:tcPr>
            <w:tcW w:w="2675" w:type="dxa"/>
            <w:tcBorders>
              <w:top w:val="single" w:sz="4" w:space="0" w:color="auto"/>
              <w:left w:val="single" w:sz="8" w:space="0" w:color="auto"/>
              <w:bottom w:val="single" w:sz="4" w:space="0" w:color="auto"/>
              <w:right w:val="nil"/>
            </w:tcBorders>
            <w:noWrap/>
          </w:tcPr>
          <w:p w:rsidR="0007681A" w:rsidRPr="00E91104" w:rsidRDefault="0007681A" w:rsidP="00B671DB">
            <w:pPr>
              <w:spacing w:after="0" w:line="240" w:lineRule="auto"/>
              <w:ind w:left="-56"/>
              <w:contextualSpacing/>
              <w:rPr>
                <w:rFonts w:ascii="Times New Roman" w:hAnsi="Times New Roman"/>
                <w:bCs/>
              </w:rPr>
            </w:pPr>
            <w:r w:rsidRPr="00E91104">
              <w:rPr>
                <w:rFonts w:ascii="Times New Roman" w:hAnsi="Times New Roman"/>
                <w:bCs/>
              </w:rPr>
              <w:t>Республиканский бюджет</w:t>
            </w:r>
          </w:p>
        </w:tc>
        <w:tc>
          <w:tcPr>
            <w:tcW w:w="1449" w:type="dxa"/>
            <w:tcBorders>
              <w:top w:val="nil"/>
              <w:left w:val="single" w:sz="8" w:space="0" w:color="auto"/>
              <w:bottom w:val="single" w:sz="4" w:space="0" w:color="auto"/>
              <w:right w:val="single" w:sz="8" w:space="0" w:color="auto"/>
            </w:tcBorders>
            <w:noWrap/>
            <w:vAlign w:val="center"/>
          </w:tcPr>
          <w:p w:rsidR="0007681A" w:rsidRPr="00E91104" w:rsidRDefault="0007681A" w:rsidP="00B671DB">
            <w:pPr>
              <w:spacing w:after="0" w:line="240" w:lineRule="auto"/>
              <w:contextualSpacing/>
              <w:jc w:val="center"/>
              <w:rPr>
                <w:rFonts w:ascii="Times New Roman" w:hAnsi="Times New Roman"/>
                <w:bCs/>
              </w:rPr>
            </w:pPr>
            <w:r w:rsidRPr="00E91104">
              <w:rPr>
                <w:rFonts w:ascii="Times New Roman" w:hAnsi="Times New Roman"/>
                <w:bCs/>
              </w:rPr>
              <w:t>1 147 262 517</w:t>
            </w:r>
          </w:p>
        </w:tc>
        <w:tc>
          <w:tcPr>
            <w:tcW w:w="1431" w:type="dxa"/>
            <w:tcBorders>
              <w:top w:val="single" w:sz="4" w:space="0" w:color="auto"/>
              <w:left w:val="nil"/>
              <w:bottom w:val="single" w:sz="4" w:space="0" w:color="auto"/>
              <w:right w:val="single" w:sz="8" w:space="0" w:color="auto"/>
            </w:tcBorders>
            <w:noWrap/>
            <w:vAlign w:val="center"/>
          </w:tcPr>
          <w:p w:rsidR="0007681A" w:rsidRPr="00E91104" w:rsidRDefault="0007681A" w:rsidP="00B671DB">
            <w:pPr>
              <w:spacing w:after="0" w:line="240" w:lineRule="auto"/>
              <w:contextualSpacing/>
              <w:jc w:val="center"/>
              <w:rPr>
                <w:rFonts w:ascii="Times New Roman" w:hAnsi="Times New Roman"/>
                <w:bCs/>
              </w:rPr>
            </w:pPr>
            <w:r w:rsidRPr="00E91104">
              <w:rPr>
                <w:rFonts w:ascii="Times New Roman" w:hAnsi="Times New Roman"/>
                <w:bCs/>
              </w:rPr>
              <w:t>1 142 884 341</w:t>
            </w:r>
          </w:p>
        </w:tc>
        <w:tc>
          <w:tcPr>
            <w:tcW w:w="773" w:type="dxa"/>
            <w:tcBorders>
              <w:top w:val="nil"/>
              <w:left w:val="nil"/>
              <w:bottom w:val="single" w:sz="4" w:space="0" w:color="auto"/>
              <w:right w:val="single" w:sz="8" w:space="0" w:color="auto"/>
            </w:tcBorders>
            <w:noWrap/>
            <w:vAlign w:val="center"/>
          </w:tcPr>
          <w:p w:rsidR="0007681A" w:rsidRPr="00E91104" w:rsidRDefault="0007681A" w:rsidP="00B671DB">
            <w:pPr>
              <w:spacing w:after="0" w:line="240" w:lineRule="auto"/>
              <w:contextualSpacing/>
              <w:jc w:val="center"/>
              <w:rPr>
                <w:rFonts w:ascii="Times New Roman" w:hAnsi="Times New Roman"/>
                <w:bCs/>
              </w:rPr>
            </w:pPr>
            <w:r w:rsidRPr="00E91104">
              <w:rPr>
                <w:rFonts w:ascii="Times New Roman" w:hAnsi="Times New Roman"/>
                <w:bCs/>
              </w:rPr>
              <w:t>99,6</w:t>
            </w:r>
          </w:p>
        </w:tc>
        <w:tc>
          <w:tcPr>
            <w:tcW w:w="1577" w:type="dxa"/>
            <w:tcBorders>
              <w:top w:val="nil"/>
              <w:left w:val="nil"/>
              <w:bottom w:val="single" w:sz="4" w:space="0" w:color="auto"/>
              <w:right w:val="single" w:sz="8" w:space="0" w:color="auto"/>
            </w:tcBorders>
            <w:vAlign w:val="center"/>
          </w:tcPr>
          <w:p w:rsidR="0007681A" w:rsidRPr="00E91104" w:rsidRDefault="0007681A" w:rsidP="00B671DB">
            <w:pPr>
              <w:spacing w:after="0" w:line="240" w:lineRule="auto"/>
              <w:contextualSpacing/>
              <w:jc w:val="center"/>
              <w:rPr>
                <w:rFonts w:ascii="Times New Roman" w:hAnsi="Times New Roman"/>
                <w:bCs/>
              </w:rPr>
            </w:pPr>
            <w:r w:rsidRPr="00E91104">
              <w:rPr>
                <w:rFonts w:ascii="Times New Roman" w:hAnsi="Times New Roman"/>
                <w:bCs/>
              </w:rPr>
              <w:t>130,0</w:t>
            </w:r>
          </w:p>
        </w:tc>
      </w:tr>
      <w:tr w:rsidR="0007681A" w:rsidRPr="00E91104" w:rsidTr="00B671DB">
        <w:trPr>
          <w:trHeight w:val="417"/>
        </w:trPr>
        <w:tc>
          <w:tcPr>
            <w:tcW w:w="2675" w:type="dxa"/>
            <w:tcBorders>
              <w:top w:val="nil"/>
              <w:left w:val="single" w:sz="8" w:space="0" w:color="auto"/>
              <w:bottom w:val="single" w:sz="4" w:space="0" w:color="auto"/>
              <w:right w:val="nil"/>
            </w:tcBorders>
            <w:noWrap/>
          </w:tcPr>
          <w:p w:rsidR="0007681A" w:rsidRPr="00E91104" w:rsidRDefault="0007681A" w:rsidP="00B671DB">
            <w:pPr>
              <w:spacing w:after="0" w:line="240" w:lineRule="auto"/>
              <w:ind w:left="-56"/>
              <w:rPr>
                <w:rFonts w:ascii="Times New Roman" w:hAnsi="Times New Roman"/>
                <w:bCs/>
              </w:rPr>
            </w:pPr>
            <w:r w:rsidRPr="00E91104">
              <w:rPr>
                <w:rFonts w:ascii="Times New Roman" w:hAnsi="Times New Roman"/>
                <w:bCs/>
              </w:rPr>
              <w:t>Местные бюджеты</w:t>
            </w:r>
          </w:p>
        </w:tc>
        <w:tc>
          <w:tcPr>
            <w:tcW w:w="1449" w:type="dxa"/>
            <w:tcBorders>
              <w:top w:val="nil"/>
              <w:left w:val="single" w:sz="8" w:space="0" w:color="auto"/>
              <w:bottom w:val="single" w:sz="4" w:space="0" w:color="auto"/>
              <w:right w:val="single" w:sz="8" w:space="0" w:color="auto"/>
            </w:tcBorders>
            <w:noWrap/>
            <w:vAlign w:val="center"/>
          </w:tcPr>
          <w:p w:rsidR="0007681A" w:rsidRPr="00E91104" w:rsidRDefault="0007681A" w:rsidP="00B671DB">
            <w:pPr>
              <w:spacing w:after="0" w:line="240" w:lineRule="auto"/>
              <w:jc w:val="center"/>
              <w:rPr>
                <w:rFonts w:ascii="Times New Roman" w:hAnsi="Times New Roman"/>
                <w:bCs/>
              </w:rPr>
            </w:pPr>
            <w:r w:rsidRPr="00E91104">
              <w:rPr>
                <w:rFonts w:ascii="Times New Roman" w:hAnsi="Times New Roman"/>
                <w:bCs/>
              </w:rPr>
              <w:t>409 500 525</w:t>
            </w:r>
          </w:p>
        </w:tc>
        <w:tc>
          <w:tcPr>
            <w:tcW w:w="1431" w:type="dxa"/>
            <w:tcBorders>
              <w:top w:val="nil"/>
              <w:left w:val="nil"/>
              <w:bottom w:val="single" w:sz="4" w:space="0" w:color="auto"/>
              <w:right w:val="single" w:sz="8" w:space="0" w:color="auto"/>
            </w:tcBorders>
            <w:noWrap/>
            <w:vAlign w:val="center"/>
          </w:tcPr>
          <w:p w:rsidR="0007681A" w:rsidRPr="00E91104" w:rsidRDefault="0007681A" w:rsidP="00B671DB">
            <w:pPr>
              <w:spacing w:after="0" w:line="240" w:lineRule="auto"/>
              <w:jc w:val="center"/>
              <w:rPr>
                <w:rFonts w:ascii="Times New Roman" w:hAnsi="Times New Roman"/>
                <w:bCs/>
              </w:rPr>
            </w:pPr>
            <w:r w:rsidRPr="00E91104">
              <w:rPr>
                <w:rFonts w:ascii="Times New Roman" w:hAnsi="Times New Roman"/>
                <w:bCs/>
              </w:rPr>
              <w:t>451 589 647</w:t>
            </w:r>
          </w:p>
        </w:tc>
        <w:tc>
          <w:tcPr>
            <w:tcW w:w="773" w:type="dxa"/>
            <w:tcBorders>
              <w:top w:val="nil"/>
              <w:left w:val="nil"/>
              <w:bottom w:val="single" w:sz="4" w:space="0" w:color="auto"/>
              <w:right w:val="single" w:sz="8" w:space="0" w:color="auto"/>
            </w:tcBorders>
            <w:noWrap/>
            <w:vAlign w:val="center"/>
          </w:tcPr>
          <w:p w:rsidR="0007681A" w:rsidRPr="00E91104" w:rsidRDefault="0007681A" w:rsidP="00B671DB">
            <w:pPr>
              <w:spacing w:after="0" w:line="240" w:lineRule="auto"/>
              <w:jc w:val="center"/>
              <w:rPr>
                <w:rFonts w:ascii="Times New Roman" w:hAnsi="Times New Roman"/>
                <w:bCs/>
              </w:rPr>
            </w:pPr>
            <w:r w:rsidRPr="00E91104">
              <w:rPr>
                <w:rFonts w:ascii="Times New Roman" w:hAnsi="Times New Roman"/>
                <w:bCs/>
              </w:rPr>
              <w:t>110,3</w:t>
            </w:r>
          </w:p>
        </w:tc>
        <w:tc>
          <w:tcPr>
            <w:tcW w:w="1577" w:type="dxa"/>
            <w:tcBorders>
              <w:top w:val="nil"/>
              <w:left w:val="nil"/>
              <w:bottom w:val="single" w:sz="4" w:space="0" w:color="auto"/>
              <w:right w:val="single" w:sz="8" w:space="0" w:color="auto"/>
            </w:tcBorders>
            <w:vAlign w:val="center"/>
          </w:tcPr>
          <w:p w:rsidR="0007681A" w:rsidRPr="00E91104" w:rsidRDefault="0007681A" w:rsidP="00B671DB">
            <w:pPr>
              <w:spacing w:after="0" w:line="240" w:lineRule="auto"/>
              <w:jc w:val="center"/>
              <w:rPr>
                <w:rFonts w:ascii="Times New Roman" w:hAnsi="Times New Roman"/>
                <w:bCs/>
              </w:rPr>
            </w:pPr>
            <w:r w:rsidRPr="00E91104">
              <w:rPr>
                <w:rFonts w:ascii="Times New Roman" w:hAnsi="Times New Roman"/>
                <w:bCs/>
              </w:rPr>
              <w:t>103,3</w:t>
            </w:r>
          </w:p>
        </w:tc>
      </w:tr>
    </w:tbl>
    <w:p w:rsidR="00B671DB" w:rsidRPr="00B671DB" w:rsidRDefault="00B671DB" w:rsidP="00B671DB">
      <w:pPr>
        <w:spacing w:after="0" w:line="240" w:lineRule="auto"/>
        <w:ind w:firstLine="709"/>
        <w:jc w:val="center"/>
        <w:rPr>
          <w:rFonts w:ascii="Times New Roman" w:hAnsi="Times New Roman"/>
          <w:sz w:val="24"/>
          <w:szCs w:val="24"/>
        </w:rPr>
      </w:pPr>
      <w:r>
        <w:rPr>
          <w:rFonts w:ascii="Times New Roman" w:hAnsi="Times New Roman"/>
          <w:sz w:val="24"/>
          <w:szCs w:val="24"/>
        </w:rPr>
        <w:t xml:space="preserve">                                                                                                          </w:t>
      </w:r>
      <w:r w:rsidRPr="00B671DB">
        <w:rPr>
          <w:rFonts w:ascii="Times New Roman" w:hAnsi="Times New Roman"/>
          <w:sz w:val="24"/>
          <w:szCs w:val="24"/>
        </w:rPr>
        <w:t xml:space="preserve">Таблица № </w:t>
      </w:r>
      <w:r>
        <w:rPr>
          <w:rFonts w:ascii="Times New Roman" w:hAnsi="Times New Roman"/>
          <w:sz w:val="24"/>
          <w:szCs w:val="24"/>
        </w:rPr>
        <w:t>5</w:t>
      </w:r>
    </w:p>
    <w:p w:rsidR="00B671DB" w:rsidRDefault="00B671DB" w:rsidP="00B671DB">
      <w:pPr>
        <w:spacing w:after="0" w:line="240" w:lineRule="auto"/>
        <w:ind w:firstLine="709"/>
        <w:jc w:val="center"/>
        <w:rPr>
          <w:rFonts w:ascii="Times New Roman" w:hAnsi="Times New Roman"/>
          <w:b/>
          <w:sz w:val="24"/>
          <w:szCs w:val="24"/>
        </w:rPr>
      </w:pPr>
      <w:r w:rsidRPr="00B671DB">
        <w:rPr>
          <w:rFonts w:ascii="Times New Roman" w:hAnsi="Times New Roman"/>
          <w:b/>
          <w:sz w:val="24"/>
          <w:szCs w:val="24"/>
        </w:rPr>
        <w:t xml:space="preserve">Структура исполнения доходной части консолидированного бюджета </w:t>
      </w:r>
    </w:p>
    <w:p w:rsidR="000320B8" w:rsidRPr="00B671DB" w:rsidRDefault="00B671DB" w:rsidP="00B671DB">
      <w:pPr>
        <w:spacing w:after="0" w:line="240" w:lineRule="auto"/>
        <w:ind w:firstLine="709"/>
        <w:jc w:val="center"/>
        <w:rPr>
          <w:rFonts w:ascii="Times New Roman" w:hAnsi="Times New Roman"/>
          <w:b/>
          <w:sz w:val="24"/>
          <w:szCs w:val="24"/>
        </w:rPr>
      </w:pPr>
      <w:r w:rsidRPr="00B671DB">
        <w:rPr>
          <w:rFonts w:ascii="Times New Roman" w:hAnsi="Times New Roman"/>
          <w:b/>
          <w:sz w:val="24"/>
          <w:szCs w:val="24"/>
        </w:rPr>
        <w:t>за I полугодие 2014 года</w:t>
      </w:r>
    </w:p>
    <w:p w:rsidR="000320B8" w:rsidRDefault="000320B8" w:rsidP="000320B8">
      <w:pPr>
        <w:spacing w:after="0" w:line="240" w:lineRule="auto"/>
        <w:ind w:firstLine="709"/>
        <w:jc w:val="both"/>
        <w:rPr>
          <w:rFonts w:ascii="Times New Roman" w:hAnsi="Times New Roman"/>
          <w:sz w:val="24"/>
          <w:szCs w:val="24"/>
        </w:rPr>
      </w:pPr>
    </w:p>
    <w:p w:rsidR="000320B8" w:rsidRDefault="000320B8" w:rsidP="000320B8">
      <w:pPr>
        <w:spacing w:after="0" w:line="240" w:lineRule="auto"/>
        <w:ind w:firstLine="709"/>
        <w:jc w:val="both"/>
        <w:rPr>
          <w:rFonts w:ascii="Times New Roman" w:hAnsi="Times New Roman"/>
          <w:sz w:val="24"/>
          <w:szCs w:val="24"/>
        </w:rPr>
      </w:pPr>
    </w:p>
    <w:p w:rsidR="00B671DB" w:rsidRDefault="00B671DB" w:rsidP="000320B8">
      <w:pPr>
        <w:spacing w:after="0" w:line="240" w:lineRule="auto"/>
        <w:ind w:firstLine="709"/>
        <w:jc w:val="both"/>
        <w:rPr>
          <w:rFonts w:ascii="Times New Roman" w:hAnsi="Times New Roman"/>
          <w:sz w:val="24"/>
          <w:szCs w:val="24"/>
        </w:rPr>
      </w:pPr>
    </w:p>
    <w:p w:rsidR="00B671DB" w:rsidRDefault="00B671DB" w:rsidP="000320B8">
      <w:pPr>
        <w:spacing w:after="0" w:line="240" w:lineRule="auto"/>
        <w:ind w:firstLine="709"/>
        <w:jc w:val="both"/>
        <w:rPr>
          <w:rFonts w:ascii="Times New Roman" w:hAnsi="Times New Roman"/>
          <w:sz w:val="24"/>
          <w:szCs w:val="24"/>
        </w:rPr>
      </w:pPr>
    </w:p>
    <w:p w:rsidR="00B671DB" w:rsidRDefault="00B671DB" w:rsidP="000320B8">
      <w:pPr>
        <w:spacing w:after="0" w:line="240" w:lineRule="auto"/>
        <w:ind w:firstLine="709"/>
        <w:jc w:val="both"/>
        <w:rPr>
          <w:rFonts w:ascii="Times New Roman" w:hAnsi="Times New Roman"/>
          <w:sz w:val="24"/>
          <w:szCs w:val="24"/>
        </w:rPr>
      </w:pPr>
    </w:p>
    <w:p w:rsidR="00B671DB" w:rsidRDefault="00B671DB" w:rsidP="000320B8">
      <w:pPr>
        <w:spacing w:after="0" w:line="240" w:lineRule="auto"/>
        <w:ind w:firstLine="709"/>
        <w:jc w:val="both"/>
        <w:rPr>
          <w:rFonts w:ascii="Times New Roman" w:hAnsi="Times New Roman"/>
          <w:sz w:val="24"/>
          <w:szCs w:val="24"/>
        </w:rPr>
      </w:pPr>
    </w:p>
    <w:p w:rsidR="000320B8" w:rsidRPr="007610F2" w:rsidRDefault="00B671DB" w:rsidP="000320B8">
      <w:pPr>
        <w:spacing w:after="0" w:line="240" w:lineRule="auto"/>
        <w:ind w:firstLine="709"/>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71552" behindDoc="0" locked="0" layoutInCell="1" allowOverlap="1">
            <wp:simplePos x="0" y="0"/>
            <wp:positionH relativeFrom="margin">
              <wp:posOffset>129540</wp:posOffset>
            </wp:positionH>
            <wp:positionV relativeFrom="margin">
              <wp:posOffset>22860</wp:posOffset>
            </wp:positionV>
            <wp:extent cx="2238375" cy="2924175"/>
            <wp:effectExtent l="0" t="0" r="0" b="0"/>
            <wp:wrapSquare wrapText="bothSides"/>
            <wp:docPr id="1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0320B8" w:rsidRPr="009654EB">
        <w:rPr>
          <w:rFonts w:ascii="Times New Roman" w:hAnsi="Times New Roman"/>
          <w:sz w:val="24"/>
          <w:szCs w:val="24"/>
        </w:rPr>
        <w:t xml:space="preserve">В </w:t>
      </w:r>
      <w:r w:rsidR="000320B8" w:rsidRPr="009654EB">
        <w:rPr>
          <w:rFonts w:ascii="Times New Roman" w:hAnsi="Times New Roman"/>
          <w:sz w:val="24"/>
          <w:szCs w:val="24"/>
          <w:lang w:val="en-US"/>
        </w:rPr>
        <w:t>I</w:t>
      </w:r>
      <w:r w:rsidR="000320B8" w:rsidRPr="009654EB">
        <w:rPr>
          <w:rFonts w:ascii="Times New Roman" w:hAnsi="Times New Roman"/>
          <w:sz w:val="24"/>
          <w:szCs w:val="24"/>
        </w:rPr>
        <w:t xml:space="preserve"> полугодие 2014 года отмечены незначительные изменения в формировании консолидированного бюджета. В рассматриваемом периоде доходы республиканского бюджета составили 1 142 884 341</w:t>
      </w:r>
      <w:r w:rsidR="000320B8" w:rsidRPr="009654EB">
        <w:rPr>
          <w:rFonts w:ascii="Times New Roman" w:hAnsi="Times New Roman"/>
          <w:b/>
          <w:bCs/>
          <w:sz w:val="24"/>
          <w:szCs w:val="24"/>
        </w:rPr>
        <w:t xml:space="preserve"> </w:t>
      </w:r>
      <w:r w:rsidR="000320B8" w:rsidRPr="009654EB">
        <w:rPr>
          <w:rFonts w:ascii="Times New Roman" w:hAnsi="Times New Roman"/>
          <w:sz w:val="24"/>
          <w:szCs w:val="24"/>
        </w:rPr>
        <w:t>руб. (71,68% в сумме доходов консолидированного бюджета), что выше на 4,82 процентных пункта соответствующего периода 2013 года, при соответствующем сокращении долевого участия поступлений местных бюджетов, доля которых составила 28,32% (451 589 647 руб.), в январе – июне 2013 года – 33,14%.</w:t>
      </w:r>
    </w:p>
    <w:p w:rsidR="000320B8" w:rsidRPr="00F721BB" w:rsidRDefault="000320B8" w:rsidP="000320B8">
      <w:pPr>
        <w:spacing w:after="0" w:line="240" w:lineRule="auto"/>
        <w:ind w:firstLine="709"/>
        <w:jc w:val="both"/>
        <w:rPr>
          <w:rFonts w:ascii="Times New Roman" w:hAnsi="Times New Roman"/>
          <w:sz w:val="24"/>
          <w:szCs w:val="24"/>
        </w:rPr>
      </w:pPr>
      <w:r w:rsidRPr="00A27408">
        <w:rPr>
          <w:rFonts w:ascii="Times New Roman" w:hAnsi="Times New Roman"/>
          <w:sz w:val="24"/>
          <w:szCs w:val="24"/>
        </w:rPr>
        <w:t>Удельный вес доходной части консолидированного бюджета в ВВП</w:t>
      </w:r>
      <w:r w:rsidRPr="00A27408">
        <w:rPr>
          <w:rFonts w:ascii="Times New Roman" w:hAnsi="Times New Roman"/>
          <w:b/>
          <w:sz w:val="24"/>
          <w:szCs w:val="24"/>
        </w:rPr>
        <w:t xml:space="preserve"> </w:t>
      </w:r>
      <w:r w:rsidRPr="00A27408">
        <w:rPr>
          <w:rFonts w:ascii="Times New Roman" w:hAnsi="Times New Roman"/>
          <w:sz w:val="24"/>
          <w:szCs w:val="24"/>
        </w:rPr>
        <w:t xml:space="preserve">за </w:t>
      </w:r>
      <w:r w:rsidR="00E91104">
        <w:rPr>
          <w:rFonts w:ascii="Times New Roman" w:hAnsi="Times New Roman"/>
          <w:sz w:val="24"/>
          <w:szCs w:val="24"/>
        </w:rPr>
        <w:t xml:space="preserve">              </w:t>
      </w:r>
      <w:r w:rsidRPr="00A27408">
        <w:rPr>
          <w:rFonts w:ascii="Times New Roman" w:hAnsi="Times New Roman"/>
          <w:sz w:val="24"/>
          <w:szCs w:val="24"/>
        </w:rPr>
        <w:t>январь – июнь 2014 года немного увеличился по сравнению с соответствующим периодом 2013 года (31,05%) и составил 33,44%.</w:t>
      </w:r>
    </w:p>
    <w:p w:rsidR="000320B8" w:rsidRPr="009654EB" w:rsidRDefault="000320B8" w:rsidP="000320B8">
      <w:pPr>
        <w:spacing w:after="0" w:line="240" w:lineRule="auto"/>
        <w:jc w:val="right"/>
        <w:rPr>
          <w:rFonts w:ascii="Times New Roman" w:hAnsi="Times New Roman"/>
          <w:sz w:val="28"/>
          <w:szCs w:val="28"/>
        </w:rPr>
      </w:pPr>
      <w:r w:rsidRPr="009654EB">
        <w:rPr>
          <w:rFonts w:ascii="Times New Roman" w:hAnsi="Times New Roman"/>
          <w:sz w:val="24"/>
          <w:szCs w:val="24"/>
        </w:rPr>
        <w:t>Таблица №</w:t>
      </w:r>
      <w:r w:rsidRPr="009654EB">
        <w:rPr>
          <w:rFonts w:ascii="Times New Roman" w:hAnsi="Times New Roman"/>
          <w:sz w:val="28"/>
          <w:szCs w:val="28"/>
        </w:rPr>
        <w:t xml:space="preserve"> </w:t>
      </w:r>
      <w:r w:rsidR="00350E5C">
        <w:rPr>
          <w:rFonts w:ascii="Times New Roman" w:hAnsi="Times New Roman"/>
          <w:sz w:val="24"/>
          <w:szCs w:val="24"/>
        </w:rPr>
        <w:t>6</w:t>
      </w:r>
    </w:p>
    <w:p w:rsidR="000320B8" w:rsidRPr="009654EB" w:rsidRDefault="000320B8" w:rsidP="000320B8">
      <w:pPr>
        <w:spacing w:after="0" w:line="240" w:lineRule="auto"/>
        <w:ind w:firstLine="720"/>
        <w:jc w:val="center"/>
        <w:rPr>
          <w:rFonts w:ascii="Times New Roman" w:hAnsi="Times New Roman"/>
          <w:b/>
          <w:sz w:val="24"/>
          <w:szCs w:val="24"/>
        </w:rPr>
      </w:pPr>
      <w:r w:rsidRPr="009654EB">
        <w:rPr>
          <w:rFonts w:ascii="Times New Roman" w:hAnsi="Times New Roman"/>
          <w:b/>
          <w:sz w:val="24"/>
          <w:szCs w:val="24"/>
        </w:rPr>
        <w:t xml:space="preserve">Структура поступлений в доходную часть </w:t>
      </w:r>
    </w:p>
    <w:p w:rsidR="000320B8" w:rsidRPr="009654EB" w:rsidRDefault="000320B8" w:rsidP="000320B8">
      <w:pPr>
        <w:tabs>
          <w:tab w:val="left" w:pos="4914"/>
        </w:tabs>
        <w:spacing w:after="0" w:line="240" w:lineRule="auto"/>
        <w:ind w:left="-567" w:firstLine="1287"/>
        <w:jc w:val="center"/>
        <w:rPr>
          <w:rFonts w:ascii="Times New Roman" w:hAnsi="Times New Roman"/>
          <w:b/>
          <w:sz w:val="24"/>
          <w:szCs w:val="24"/>
        </w:rPr>
      </w:pPr>
      <w:r w:rsidRPr="009654EB">
        <w:rPr>
          <w:rFonts w:ascii="Times New Roman" w:hAnsi="Times New Roman"/>
          <w:b/>
          <w:sz w:val="24"/>
          <w:szCs w:val="24"/>
        </w:rPr>
        <w:t>Консолидированного бюджета (руб.)</w:t>
      </w:r>
    </w:p>
    <w:tbl>
      <w:tblPr>
        <w:tblW w:w="9216" w:type="dxa"/>
        <w:jc w:val="center"/>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4"/>
        <w:gridCol w:w="1529"/>
        <w:gridCol w:w="711"/>
        <w:gridCol w:w="1563"/>
        <w:gridCol w:w="808"/>
        <w:gridCol w:w="1381"/>
      </w:tblGrid>
      <w:tr w:rsidR="000320B8" w:rsidRPr="009654EB" w:rsidTr="000320B8">
        <w:trPr>
          <w:trHeight w:val="224"/>
          <w:jc w:val="center"/>
        </w:trPr>
        <w:tc>
          <w:tcPr>
            <w:tcW w:w="3224" w:type="dxa"/>
            <w:vMerge w:val="restart"/>
            <w:vAlign w:val="center"/>
          </w:tcPr>
          <w:p w:rsidR="000320B8" w:rsidRPr="009654EB" w:rsidRDefault="000320B8" w:rsidP="000320B8">
            <w:pPr>
              <w:spacing w:after="0" w:line="240" w:lineRule="auto"/>
              <w:contextualSpacing/>
              <w:jc w:val="center"/>
              <w:rPr>
                <w:rFonts w:ascii="Times New Roman" w:hAnsi="Times New Roman"/>
                <w:b/>
              </w:rPr>
            </w:pPr>
            <w:r w:rsidRPr="009654EB">
              <w:rPr>
                <w:rFonts w:ascii="Times New Roman" w:hAnsi="Times New Roman"/>
                <w:b/>
              </w:rPr>
              <w:t>Вид платежа</w:t>
            </w:r>
          </w:p>
        </w:tc>
        <w:tc>
          <w:tcPr>
            <w:tcW w:w="2240" w:type="dxa"/>
            <w:gridSpan w:val="2"/>
            <w:vAlign w:val="center"/>
          </w:tcPr>
          <w:p w:rsidR="000320B8" w:rsidRPr="009654EB" w:rsidRDefault="000320B8" w:rsidP="000320B8">
            <w:pPr>
              <w:spacing w:after="0" w:line="240" w:lineRule="auto"/>
              <w:ind w:left="-148" w:right="-156"/>
              <w:contextualSpacing/>
              <w:jc w:val="center"/>
              <w:rPr>
                <w:rFonts w:ascii="Times New Roman" w:hAnsi="Times New Roman"/>
                <w:b/>
              </w:rPr>
            </w:pPr>
            <w:r w:rsidRPr="009654EB">
              <w:rPr>
                <w:rFonts w:ascii="Times New Roman" w:hAnsi="Times New Roman"/>
                <w:b/>
                <w:lang w:val="en-US"/>
              </w:rPr>
              <w:t>I</w:t>
            </w:r>
            <w:r w:rsidRPr="009654EB">
              <w:rPr>
                <w:rFonts w:ascii="Times New Roman" w:hAnsi="Times New Roman"/>
                <w:b/>
              </w:rPr>
              <w:t xml:space="preserve"> полугодие 2013 года</w:t>
            </w:r>
          </w:p>
        </w:tc>
        <w:tc>
          <w:tcPr>
            <w:tcW w:w="2371" w:type="dxa"/>
            <w:gridSpan w:val="2"/>
            <w:vAlign w:val="center"/>
          </w:tcPr>
          <w:p w:rsidR="000320B8" w:rsidRPr="009654EB" w:rsidRDefault="000320B8" w:rsidP="000320B8">
            <w:pPr>
              <w:spacing w:after="0" w:line="240" w:lineRule="auto"/>
              <w:ind w:left="-60"/>
              <w:contextualSpacing/>
              <w:jc w:val="center"/>
              <w:rPr>
                <w:rFonts w:ascii="Times New Roman" w:hAnsi="Times New Roman"/>
                <w:b/>
              </w:rPr>
            </w:pPr>
            <w:r w:rsidRPr="009654EB">
              <w:rPr>
                <w:rFonts w:ascii="Times New Roman" w:hAnsi="Times New Roman"/>
                <w:b/>
                <w:lang w:val="en-US"/>
              </w:rPr>
              <w:t xml:space="preserve">I полугодие </w:t>
            </w:r>
            <w:r w:rsidRPr="009654EB">
              <w:rPr>
                <w:rFonts w:ascii="Times New Roman" w:hAnsi="Times New Roman"/>
                <w:b/>
              </w:rPr>
              <w:t>2014 года</w:t>
            </w:r>
          </w:p>
        </w:tc>
        <w:tc>
          <w:tcPr>
            <w:tcW w:w="1381" w:type="dxa"/>
            <w:vMerge w:val="restart"/>
            <w:vAlign w:val="center"/>
          </w:tcPr>
          <w:p w:rsidR="000320B8" w:rsidRPr="009654EB" w:rsidRDefault="000320B8" w:rsidP="000320B8">
            <w:pPr>
              <w:spacing w:after="0" w:line="240" w:lineRule="auto"/>
              <w:contextualSpacing/>
              <w:jc w:val="center"/>
              <w:rPr>
                <w:rFonts w:ascii="Times New Roman" w:hAnsi="Times New Roman"/>
                <w:b/>
              </w:rPr>
            </w:pPr>
            <w:r w:rsidRPr="009654EB">
              <w:rPr>
                <w:rFonts w:ascii="Times New Roman" w:hAnsi="Times New Roman"/>
                <w:b/>
              </w:rPr>
              <w:t>Темп роста/спада  2014г. к 2013г, %.</w:t>
            </w:r>
          </w:p>
          <w:p w:rsidR="000320B8" w:rsidRPr="009654EB" w:rsidRDefault="000320B8" w:rsidP="000320B8">
            <w:pPr>
              <w:spacing w:after="0" w:line="240" w:lineRule="auto"/>
              <w:ind w:left="-213" w:hanging="9"/>
              <w:contextualSpacing/>
              <w:jc w:val="center"/>
              <w:rPr>
                <w:rFonts w:ascii="Times New Roman" w:hAnsi="Times New Roman"/>
                <w:b/>
              </w:rPr>
            </w:pPr>
          </w:p>
        </w:tc>
      </w:tr>
      <w:tr w:rsidR="000320B8" w:rsidRPr="009654EB" w:rsidTr="000320B8">
        <w:trPr>
          <w:trHeight w:val="593"/>
          <w:jc w:val="center"/>
        </w:trPr>
        <w:tc>
          <w:tcPr>
            <w:tcW w:w="3224" w:type="dxa"/>
            <w:vMerge/>
            <w:vAlign w:val="center"/>
          </w:tcPr>
          <w:p w:rsidR="000320B8" w:rsidRPr="009654EB" w:rsidRDefault="000320B8" w:rsidP="000320B8">
            <w:pPr>
              <w:spacing w:after="0" w:line="240" w:lineRule="auto"/>
              <w:contextualSpacing/>
              <w:jc w:val="center"/>
              <w:rPr>
                <w:rFonts w:ascii="Times New Roman" w:hAnsi="Times New Roman"/>
                <w:b/>
              </w:rPr>
            </w:pPr>
          </w:p>
        </w:tc>
        <w:tc>
          <w:tcPr>
            <w:tcW w:w="1529" w:type="dxa"/>
            <w:vAlign w:val="center"/>
          </w:tcPr>
          <w:p w:rsidR="000320B8" w:rsidRPr="009654EB" w:rsidRDefault="000320B8" w:rsidP="000320B8">
            <w:pPr>
              <w:spacing w:after="0" w:line="240" w:lineRule="auto"/>
              <w:contextualSpacing/>
              <w:jc w:val="center"/>
              <w:rPr>
                <w:rFonts w:ascii="Times New Roman" w:hAnsi="Times New Roman"/>
                <w:b/>
              </w:rPr>
            </w:pPr>
            <w:r w:rsidRPr="009654EB">
              <w:rPr>
                <w:rFonts w:ascii="Times New Roman" w:hAnsi="Times New Roman"/>
                <w:b/>
              </w:rPr>
              <w:t>факт</w:t>
            </w:r>
          </w:p>
        </w:tc>
        <w:tc>
          <w:tcPr>
            <w:tcW w:w="711" w:type="dxa"/>
            <w:vAlign w:val="center"/>
          </w:tcPr>
          <w:p w:rsidR="000320B8" w:rsidRPr="009654EB" w:rsidRDefault="000320B8" w:rsidP="000320B8">
            <w:pPr>
              <w:spacing w:after="0" w:line="240" w:lineRule="auto"/>
              <w:contextualSpacing/>
              <w:jc w:val="center"/>
              <w:rPr>
                <w:rFonts w:ascii="Times New Roman" w:hAnsi="Times New Roman"/>
                <w:b/>
              </w:rPr>
            </w:pPr>
            <w:r w:rsidRPr="009654EB">
              <w:rPr>
                <w:rFonts w:ascii="Times New Roman" w:hAnsi="Times New Roman"/>
                <w:b/>
              </w:rPr>
              <w:t>уд. вес, %</w:t>
            </w:r>
          </w:p>
        </w:tc>
        <w:tc>
          <w:tcPr>
            <w:tcW w:w="1563" w:type="dxa"/>
            <w:vAlign w:val="center"/>
          </w:tcPr>
          <w:p w:rsidR="000320B8" w:rsidRPr="009654EB" w:rsidRDefault="000320B8" w:rsidP="000320B8">
            <w:pPr>
              <w:spacing w:after="0" w:line="240" w:lineRule="auto"/>
              <w:contextualSpacing/>
              <w:jc w:val="center"/>
              <w:rPr>
                <w:rFonts w:ascii="Times New Roman" w:hAnsi="Times New Roman"/>
                <w:b/>
              </w:rPr>
            </w:pPr>
            <w:r w:rsidRPr="009654EB">
              <w:rPr>
                <w:rFonts w:ascii="Times New Roman" w:hAnsi="Times New Roman"/>
                <w:b/>
              </w:rPr>
              <w:t>факт</w:t>
            </w:r>
          </w:p>
        </w:tc>
        <w:tc>
          <w:tcPr>
            <w:tcW w:w="808" w:type="dxa"/>
            <w:shd w:val="clear" w:color="auto" w:fill="auto"/>
            <w:vAlign w:val="center"/>
          </w:tcPr>
          <w:p w:rsidR="000320B8" w:rsidRPr="009654EB" w:rsidRDefault="000320B8" w:rsidP="000320B8">
            <w:pPr>
              <w:spacing w:after="0" w:line="240" w:lineRule="auto"/>
              <w:contextualSpacing/>
              <w:jc w:val="center"/>
              <w:rPr>
                <w:rFonts w:ascii="Times New Roman" w:hAnsi="Times New Roman"/>
                <w:b/>
              </w:rPr>
            </w:pPr>
            <w:r w:rsidRPr="009654EB">
              <w:rPr>
                <w:rFonts w:ascii="Times New Roman" w:hAnsi="Times New Roman"/>
                <w:b/>
              </w:rPr>
              <w:t>уд. вес, %</w:t>
            </w:r>
          </w:p>
        </w:tc>
        <w:tc>
          <w:tcPr>
            <w:tcW w:w="1381" w:type="dxa"/>
            <w:vMerge/>
            <w:shd w:val="clear" w:color="auto" w:fill="auto"/>
            <w:vAlign w:val="center"/>
          </w:tcPr>
          <w:p w:rsidR="000320B8" w:rsidRPr="009654EB" w:rsidRDefault="000320B8" w:rsidP="000320B8">
            <w:pPr>
              <w:spacing w:after="0" w:line="240" w:lineRule="auto"/>
              <w:ind w:left="-213" w:hanging="9"/>
              <w:contextualSpacing/>
              <w:jc w:val="center"/>
              <w:rPr>
                <w:rFonts w:ascii="Times New Roman" w:hAnsi="Times New Roman"/>
                <w:b/>
              </w:rPr>
            </w:pPr>
          </w:p>
        </w:tc>
      </w:tr>
      <w:tr w:rsidR="000320B8" w:rsidRPr="009654EB" w:rsidTr="000320B8">
        <w:trPr>
          <w:trHeight w:val="384"/>
          <w:jc w:val="center"/>
        </w:trPr>
        <w:tc>
          <w:tcPr>
            <w:tcW w:w="3224" w:type="dxa"/>
            <w:vAlign w:val="center"/>
          </w:tcPr>
          <w:p w:rsidR="000320B8" w:rsidRPr="009654EB" w:rsidRDefault="000320B8" w:rsidP="000320B8">
            <w:pPr>
              <w:spacing w:after="0" w:line="240" w:lineRule="auto"/>
              <w:ind w:left="-54" w:firstLine="14"/>
              <w:contextualSpacing/>
              <w:rPr>
                <w:rFonts w:ascii="Times New Roman" w:hAnsi="Times New Roman"/>
                <w:b/>
                <w:bCs/>
              </w:rPr>
            </w:pPr>
            <w:r w:rsidRPr="009654EB">
              <w:rPr>
                <w:rFonts w:ascii="Times New Roman" w:hAnsi="Times New Roman"/>
                <w:b/>
                <w:bCs/>
              </w:rPr>
              <w:t>Доходы всего, в т.ч.</w:t>
            </w:r>
          </w:p>
        </w:tc>
        <w:tc>
          <w:tcPr>
            <w:tcW w:w="1529" w:type="dxa"/>
            <w:vAlign w:val="bottom"/>
          </w:tcPr>
          <w:p w:rsidR="000320B8" w:rsidRPr="009654EB" w:rsidRDefault="000320B8" w:rsidP="000320B8">
            <w:pPr>
              <w:spacing w:after="0" w:line="240" w:lineRule="auto"/>
              <w:contextualSpacing/>
              <w:jc w:val="right"/>
              <w:rPr>
                <w:rFonts w:ascii="Times New Roman" w:hAnsi="Times New Roman"/>
                <w:b/>
                <w:bCs/>
              </w:rPr>
            </w:pPr>
            <w:r w:rsidRPr="009654EB">
              <w:rPr>
                <w:rFonts w:ascii="Times New Roman" w:hAnsi="Times New Roman"/>
                <w:b/>
                <w:bCs/>
              </w:rPr>
              <w:t>1 318 542 636</w:t>
            </w:r>
          </w:p>
        </w:tc>
        <w:tc>
          <w:tcPr>
            <w:tcW w:w="711" w:type="dxa"/>
            <w:vAlign w:val="bottom"/>
          </w:tcPr>
          <w:p w:rsidR="000320B8" w:rsidRPr="009654EB" w:rsidRDefault="000320B8" w:rsidP="000320B8">
            <w:pPr>
              <w:spacing w:after="0" w:line="240" w:lineRule="auto"/>
              <w:contextualSpacing/>
              <w:jc w:val="right"/>
              <w:rPr>
                <w:rFonts w:ascii="Times New Roman" w:hAnsi="Times New Roman"/>
                <w:b/>
                <w:bCs/>
              </w:rPr>
            </w:pPr>
            <w:r w:rsidRPr="009654EB">
              <w:rPr>
                <w:rFonts w:ascii="Times New Roman" w:hAnsi="Times New Roman"/>
                <w:b/>
                <w:bCs/>
              </w:rPr>
              <w:t>100,0</w:t>
            </w:r>
          </w:p>
        </w:tc>
        <w:tc>
          <w:tcPr>
            <w:tcW w:w="1563" w:type="dxa"/>
            <w:vAlign w:val="bottom"/>
          </w:tcPr>
          <w:p w:rsidR="000320B8" w:rsidRPr="009654EB" w:rsidRDefault="000320B8" w:rsidP="000320B8">
            <w:pPr>
              <w:spacing w:after="0" w:line="240" w:lineRule="auto"/>
              <w:contextualSpacing/>
              <w:jc w:val="right"/>
              <w:rPr>
                <w:rFonts w:ascii="Times New Roman" w:hAnsi="Times New Roman"/>
                <w:b/>
                <w:bCs/>
              </w:rPr>
            </w:pPr>
            <w:r w:rsidRPr="009654EB">
              <w:rPr>
                <w:rFonts w:ascii="Times New Roman" w:hAnsi="Times New Roman"/>
                <w:b/>
                <w:bCs/>
              </w:rPr>
              <w:t>1 594 473 988</w:t>
            </w:r>
          </w:p>
        </w:tc>
        <w:tc>
          <w:tcPr>
            <w:tcW w:w="808" w:type="dxa"/>
            <w:vAlign w:val="bottom"/>
          </w:tcPr>
          <w:p w:rsidR="000320B8" w:rsidRPr="009654EB" w:rsidRDefault="000320B8" w:rsidP="000320B8">
            <w:pPr>
              <w:spacing w:after="0" w:line="240" w:lineRule="auto"/>
              <w:contextualSpacing/>
              <w:jc w:val="right"/>
              <w:rPr>
                <w:rFonts w:ascii="Times New Roman" w:hAnsi="Times New Roman"/>
                <w:b/>
                <w:bCs/>
              </w:rPr>
            </w:pPr>
            <w:r w:rsidRPr="009654EB">
              <w:rPr>
                <w:rFonts w:ascii="Times New Roman" w:hAnsi="Times New Roman"/>
                <w:b/>
                <w:bCs/>
              </w:rPr>
              <w:t>100,0</w:t>
            </w:r>
          </w:p>
        </w:tc>
        <w:tc>
          <w:tcPr>
            <w:tcW w:w="1381" w:type="dxa"/>
            <w:vAlign w:val="bottom"/>
          </w:tcPr>
          <w:p w:rsidR="000320B8" w:rsidRPr="009654EB" w:rsidRDefault="000320B8" w:rsidP="000320B8">
            <w:pPr>
              <w:spacing w:after="0" w:line="240" w:lineRule="auto"/>
              <w:contextualSpacing/>
              <w:jc w:val="right"/>
              <w:rPr>
                <w:rFonts w:ascii="Times New Roman" w:hAnsi="Times New Roman"/>
                <w:b/>
              </w:rPr>
            </w:pPr>
            <w:r w:rsidRPr="009654EB">
              <w:rPr>
                <w:rFonts w:ascii="Times New Roman" w:hAnsi="Times New Roman"/>
                <w:b/>
              </w:rPr>
              <w:t>120,9</w:t>
            </w:r>
          </w:p>
        </w:tc>
      </w:tr>
      <w:tr w:rsidR="000320B8" w:rsidRPr="009654EB" w:rsidTr="000320B8">
        <w:trPr>
          <w:trHeight w:val="242"/>
          <w:jc w:val="center"/>
        </w:trPr>
        <w:tc>
          <w:tcPr>
            <w:tcW w:w="3224" w:type="dxa"/>
          </w:tcPr>
          <w:p w:rsidR="000320B8" w:rsidRPr="009654EB" w:rsidRDefault="000320B8" w:rsidP="000320B8">
            <w:pPr>
              <w:spacing w:after="0" w:line="240" w:lineRule="auto"/>
              <w:ind w:left="-54" w:firstLine="14"/>
              <w:contextualSpacing/>
              <w:rPr>
                <w:rFonts w:ascii="Times New Roman" w:hAnsi="Times New Roman"/>
              </w:rPr>
            </w:pPr>
            <w:r w:rsidRPr="009654EB">
              <w:rPr>
                <w:rFonts w:ascii="Times New Roman" w:hAnsi="Times New Roman"/>
              </w:rPr>
              <w:t>Налоговые платежи</w:t>
            </w:r>
          </w:p>
        </w:tc>
        <w:tc>
          <w:tcPr>
            <w:tcW w:w="1529" w:type="dxa"/>
            <w:vAlign w:val="bottom"/>
          </w:tcPr>
          <w:p w:rsidR="000320B8" w:rsidRPr="009654EB" w:rsidRDefault="000320B8" w:rsidP="000320B8">
            <w:pPr>
              <w:spacing w:after="0" w:line="240" w:lineRule="auto"/>
              <w:contextualSpacing/>
              <w:jc w:val="right"/>
              <w:rPr>
                <w:rFonts w:ascii="Times New Roman" w:hAnsi="Times New Roman"/>
              </w:rPr>
            </w:pPr>
            <w:r w:rsidRPr="009654EB">
              <w:rPr>
                <w:rFonts w:ascii="Times New Roman" w:hAnsi="Times New Roman"/>
              </w:rPr>
              <w:t>1 094 191 048</w:t>
            </w:r>
          </w:p>
        </w:tc>
        <w:tc>
          <w:tcPr>
            <w:tcW w:w="711" w:type="dxa"/>
            <w:vAlign w:val="bottom"/>
          </w:tcPr>
          <w:p w:rsidR="000320B8" w:rsidRPr="009654EB" w:rsidRDefault="000320B8" w:rsidP="000320B8">
            <w:pPr>
              <w:spacing w:after="0" w:line="240" w:lineRule="auto"/>
              <w:contextualSpacing/>
              <w:jc w:val="right"/>
              <w:rPr>
                <w:rFonts w:ascii="Times New Roman" w:hAnsi="Times New Roman"/>
              </w:rPr>
            </w:pPr>
            <w:r w:rsidRPr="009654EB">
              <w:rPr>
                <w:rFonts w:ascii="Times New Roman" w:hAnsi="Times New Roman"/>
              </w:rPr>
              <w:t>83,0</w:t>
            </w:r>
          </w:p>
        </w:tc>
        <w:tc>
          <w:tcPr>
            <w:tcW w:w="1563" w:type="dxa"/>
            <w:vAlign w:val="bottom"/>
          </w:tcPr>
          <w:p w:rsidR="000320B8" w:rsidRPr="009654EB" w:rsidRDefault="000320B8" w:rsidP="000320B8">
            <w:pPr>
              <w:spacing w:after="0" w:line="240" w:lineRule="auto"/>
              <w:contextualSpacing/>
              <w:jc w:val="right"/>
              <w:rPr>
                <w:rFonts w:ascii="Times New Roman" w:hAnsi="Times New Roman"/>
              </w:rPr>
            </w:pPr>
            <w:r w:rsidRPr="009654EB">
              <w:rPr>
                <w:rFonts w:ascii="Times New Roman" w:hAnsi="Times New Roman"/>
              </w:rPr>
              <w:t>1 338 483 888</w:t>
            </w:r>
          </w:p>
        </w:tc>
        <w:tc>
          <w:tcPr>
            <w:tcW w:w="808" w:type="dxa"/>
            <w:vAlign w:val="bottom"/>
          </w:tcPr>
          <w:p w:rsidR="000320B8" w:rsidRPr="009654EB" w:rsidRDefault="000320B8" w:rsidP="000320B8">
            <w:pPr>
              <w:spacing w:after="0" w:line="240" w:lineRule="auto"/>
              <w:contextualSpacing/>
              <w:jc w:val="right"/>
              <w:rPr>
                <w:rFonts w:ascii="Times New Roman" w:hAnsi="Times New Roman"/>
              </w:rPr>
            </w:pPr>
            <w:r w:rsidRPr="009654EB">
              <w:rPr>
                <w:rFonts w:ascii="Times New Roman" w:hAnsi="Times New Roman"/>
              </w:rPr>
              <w:t>83,9</w:t>
            </w:r>
          </w:p>
        </w:tc>
        <w:tc>
          <w:tcPr>
            <w:tcW w:w="1381" w:type="dxa"/>
            <w:vAlign w:val="bottom"/>
          </w:tcPr>
          <w:p w:rsidR="000320B8" w:rsidRPr="009654EB" w:rsidRDefault="000320B8" w:rsidP="000320B8">
            <w:pPr>
              <w:spacing w:after="0" w:line="240" w:lineRule="auto"/>
              <w:contextualSpacing/>
              <w:jc w:val="right"/>
              <w:rPr>
                <w:rFonts w:ascii="Times New Roman" w:hAnsi="Times New Roman"/>
              </w:rPr>
            </w:pPr>
            <w:r w:rsidRPr="009654EB">
              <w:rPr>
                <w:rFonts w:ascii="Times New Roman" w:hAnsi="Times New Roman"/>
              </w:rPr>
              <w:t>122,3</w:t>
            </w:r>
          </w:p>
        </w:tc>
      </w:tr>
      <w:tr w:rsidR="000320B8" w:rsidRPr="009654EB" w:rsidTr="000320B8">
        <w:trPr>
          <w:trHeight w:val="195"/>
          <w:jc w:val="center"/>
        </w:trPr>
        <w:tc>
          <w:tcPr>
            <w:tcW w:w="3224" w:type="dxa"/>
          </w:tcPr>
          <w:p w:rsidR="000320B8" w:rsidRPr="009654EB" w:rsidRDefault="000320B8" w:rsidP="000320B8">
            <w:pPr>
              <w:spacing w:after="0" w:line="240" w:lineRule="auto"/>
              <w:ind w:left="-54" w:firstLine="14"/>
              <w:contextualSpacing/>
              <w:rPr>
                <w:rFonts w:ascii="Times New Roman" w:hAnsi="Times New Roman"/>
              </w:rPr>
            </w:pPr>
            <w:r w:rsidRPr="009654EB">
              <w:rPr>
                <w:rFonts w:ascii="Times New Roman" w:hAnsi="Times New Roman"/>
              </w:rPr>
              <w:t>Неналоговые платежи, всего</w:t>
            </w:r>
          </w:p>
        </w:tc>
        <w:tc>
          <w:tcPr>
            <w:tcW w:w="1529" w:type="dxa"/>
            <w:vAlign w:val="bottom"/>
          </w:tcPr>
          <w:p w:rsidR="000320B8" w:rsidRPr="009654EB" w:rsidRDefault="000320B8" w:rsidP="000320B8">
            <w:pPr>
              <w:spacing w:after="0" w:line="240" w:lineRule="auto"/>
              <w:contextualSpacing/>
              <w:jc w:val="right"/>
              <w:rPr>
                <w:rFonts w:ascii="Times New Roman" w:hAnsi="Times New Roman"/>
              </w:rPr>
            </w:pPr>
            <w:r w:rsidRPr="009654EB">
              <w:rPr>
                <w:rFonts w:ascii="Times New Roman" w:hAnsi="Times New Roman"/>
              </w:rPr>
              <w:t xml:space="preserve">34 055 186 </w:t>
            </w:r>
          </w:p>
        </w:tc>
        <w:tc>
          <w:tcPr>
            <w:tcW w:w="711" w:type="dxa"/>
            <w:vAlign w:val="bottom"/>
          </w:tcPr>
          <w:p w:rsidR="000320B8" w:rsidRPr="009654EB" w:rsidRDefault="000320B8" w:rsidP="000320B8">
            <w:pPr>
              <w:spacing w:after="0" w:line="240" w:lineRule="auto"/>
              <w:contextualSpacing/>
              <w:jc w:val="right"/>
              <w:rPr>
                <w:rFonts w:ascii="Times New Roman" w:hAnsi="Times New Roman"/>
              </w:rPr>
            </w:pPr>
            <w:r w:rsidRPr="009654EB">
              <w:rPr>
                <w:rFonts w:ascii="Times New Roman" w:hAnsi="Times New Roman"/>
              </w:rPr>
              <w:t>2,6</w:t>
            </w:r>
          </w:p>
        </w:tc>
        <w:tc>
          <w:tcPr>
            <w:tcW w:w="1563" w:type="dxa"/>
            <w:vAlign w:val="bottom"/>
          </w:tcPr>
          <w:p w:rsidR="000320B8" w:rsidRPr="009654EB" w:rsidRDefault="000320B8" w:rsidP="000320B8">
            <w:pPr>
              <w:spacing w:after="0" w:line="240" w:lineRule="auto"/>
              <w:contextualSpacing/>
              <w:jc w:val="right"/>
              <w:rPr>
                <w:rFonts w:ascii="Times New Roman" w:hAnsi="Times New Roman"/>
              </w:rPr>
            </w:pPr>
            <w:r w:rsidRPr="009654EB">
              <w:rPr>
                <w:rFonts w:ascii="Times New Roman" w:hAnsi="Times New Roman"/>
              </w:rPr>
              <w:t>25 740 044</w:t>
            </w:r>
          </w:p>
        </w:tc>
        <w:tc>
          <w:tcPr>
            <w:tcW w:w="808" w:type="dxa"/>
            <w:vAlign w:val="bottom"/>
          </w:tcPr>
          <w:p w:rsidR="000320B8" w:rsidRPr="009654EB" w:rsidRDefault="000320B8" w:rsidP="000320B8">
            <w:pPr>
              <w:spacing w:after="0" w:line="240" w:lineRule="auto"/>
              <w:contextualSpacing/>
              <w:jc w:val="right"/>
              <w:rPr>
                <w:rFonts w:ascii="Times New Roman" w:hAnsi="Times New Roman"/>
              </w:rPr>
            </w:pPr>
            <w:r w:rsidRPr="009654EB">
              <w:rPr>
                <w:rFonts w:ascii="Times New Roman" w:hAnsi="Times New Roman"/>
              </w:rPr>
              <w:t>1,6</w:t>
            </w:r>
          </w:p>
        </w:tc>
        <w:tc>
          <w:tcPr>
            <w:tcW w:w="1381" w:type="dxa"/>
            <w:vAlign w:val="bottom"/>
          </w:tcPr>
          <w:p w:rsidR="000320B8" w:rsidRPr="009654EB" w:rsidRDefault="000320B8" w:rsidP="000320B8">
            <w:pPr>
              <w:spacing w:after="0" w:line="240" w:lineRule="auto"/>
              <w:contextualSpacing/>
              <w:jc w:val="right"/>
              <w:rPr>
                <w:rFonts w:ascii="Times New Roman" w:hAnsi="Times New Roman"/>
              </w:rPr>
            </w:pPr>
            <w:r w:rsidRPr="009654EB">
              <w:rPr>
                <w:rFonts w:ascii="Times New Roman" w:hAnsi="Times New Roman"/>
              </w:rPr>
              <w:t>75,6</w:t>
            </w:r>
          </w:p>
        </w:tc>
      </w:tr>
      <w:tr w:rsidR="000320B8" w:rsidRPr="009654EB" w:rsidTr="000320B8">
        <w:trPr>
          <w:trHeight w:val="535"/>
          <w:jc w:val="center"/>
        </w:trPr>
        <w:tc>
          <w:tcPr>
            <w:tcW w:w="3224" w:type="dxa"/>
          </w:tcPr>
          <w:p w:rsidR="000320B8" w:rsidRPr="009654EB" w:rsidRDefault="000320B8" w:rsidP="000320B8">
            <w:pPr>
              <w:spacing w:after="0" w:line="240" w:lineRule="auto"/>
              <w:ind w:left="-54" w:firstLine="14"/>
              <w:contextualSpacing/>
              <w:rPr>
                <w:rFonts w:ascii="Times New Roman" w:hAnsi="Times New Roman"/>
                <w:i/>
              </w:rPr>
            </w:pPr>
            <w:r w:rsidRPr="009654EB">
              <w:rPr>
                <w:rFonts w:ascii="Times New Roman" w:hAnsi="Times New Roman"/>
                <w:i/>
              </w:rPr>
              <w:t>в т.ч. погашение налоговых и иных видов кредитов</w:t>
            </w:r>
          </w:p>
        </w:tc>
        <w:tc>
          <w:tcPr>
            <w:tcW w:w="1529" w:type="dxa"/>
            <w:vAlign w:val="bottom"/>
          </w:tcPr>
          <w:p w:rsidR="000320B8" w:rsidRPr="009654EB" w:rsidRDefault="000320B8" w:rsidP="000320B8">
            <w:pPr>
              <w:spacing w:after="0" w:line="240" w:lineRule="auto"/>
              <w:contextualSpacing/>
              <w:jc w:val="right"/>
              <w:rPr>
                <w:rFonts w:ascii="Times New Roman" w:hAnsi="Times New Roman"/>
                <w:i/>
              </w:rPr>
            </w:pPr>
            <w:r w:rsidRPr="009654EB">
              <w:rPr>
                <w:rFonts w:ascii="Times New Roman" w:hAnsi="Times New Roman"/>
                <w:i/>
              </w:rPr>
              <w:t xml:space="preserve">2 227 299 </w:t>
            </w:r>
          </w:p>
        </w:tc>
        <w:tc>
          <w:tcPr>
            <w:tcW w:w="711" w:type="dxa"/>
            <w:vAlign w:val="bottom"/>
          </w:tcPr>
          <w:p w:rsidR="000320B8" w:rsidRPr="009654EB" w:rsidRDefault="000320B8" w:rsidP="000320B8">
            <w:pPr>
              <w:spacing w:after="0" w:line="240" w:lineRule="auto"/>
              <w:contextualSpacing/>
              <w:jc w:val="right"/>
              <w:rPr>
                <w:rFonts w:ascii="Times New Roman" w:hAnsi="Times New Roman"/>
                <w:i/>
              </w:rPr>
            </w:pPr>
            <w:r w:rsidRPr="009654EB">
              <w:rPr>
                <w:rFonts w:ascii="Times New Roman" w:hAnsi="Times New Roman"/>
                <w:i/>
              </w:rPr>
              <w:t>0,2</w:t>
            </w:r>
          </w:p>
        </w:tc>
        <w:tc>
          <w:tcPr>
            <w:tcW w:w="1563" w:type="dxa"/>
            <w:vAlign w:val="bottom"/>
          </w:tcPr>
          <w:p w:rsidR="000320B8" w:rsidRPr="009654EB" w:rsidRDefault="000320B8" w:rsidP="000320B8">
            <w:pPr>
              <w:spacing w:after="0" w:line="240" w:lineRule="auto"/>
              <w:contextualSpacing/>
              <w:jc w:val="right"/>
              <w:rPr>
                <w:rFonts w:ascii="Times New Roman" w:hAnsi="Times New Roman"/>
                <w:i/>
              </w:rPr>
            </w:pPr>
            <w:r w:rsidRPr="009654EB">
              <w:rPr>
                <w:rFonts w:ascii="Times New Roman" w:hAnsi="Times New Roman"/>
                <w:i/>
              </w:rPr>
              <w:t>2 236 851</w:t>
            </w:r>
          </w:p>
        </w:tc>
        <w:tc>
          <w:tcPr>
            <w:tcW w:w="808" w:type="dxa"/>
            <w:vAlign w:val="bottom"/>
          </w:tcPr>
          <w:p w:rsidR="000320B8" w:rsidRPr="009654EB" w:rsidRDefault="000320B8" w:rsidP="000320B8">
            <w:pPr>
              <w:spacing w:after="0" w:line="240" w:lineRule="auto"/>
              <w:contextualSpacing/>
              <w:jc w:val="right"/>
              <w:rPr>
                <w:rFonts w:ascii="Times New Roman" w:hAnsi="Times New Roman"/>
                <w:i/>
              </w:rPr>
            </w:pPr>
            <w:r w:rsidRPr="009654EB">
              <w:rPr>
                <w:rFonts w:ascii="Times New Roman" w:hAnsi="Times New Roman"/>
                <w:i/>
              </w:rPr>
              <w:t>0,1</w:t>
            </w:r>
          </w:p>
        </w:tc>
        <w:tc>
          <w:tcPr>
            <w:tcW w:w="1381" w:type="dxa"/>
            <w:vAlign w:val="bottom"/>
          </w:tcPr>
          <w:p w:rsidR="000320B8" w:rsidRPr="009654EB" w:rsidRDefault="000320B8" w:rsidP="000320B8">
            <w:pPr>
              <w:spacing w:after="0" w:line="240" w:lineRule="auto"/>
              <w:contextualSpacing/>
              <w:jc w:val="right"/>
              <w:rPr>
                <w:rFonts w:ascii="Times New Roman" w:hAnsi="Times New Roman"/>
                <w:i/>
              </w:rPr>
            </w:pPr>
            <w:r w:rsidRPr="009654EB">
              <w:rPr>
                <w:rFonts w:ascii="Times New Roman" w:hAnsi="Times New Roman"/>
                <w:i/>
              </w:rPr>
              <w:t>100,4</w:t>
            </w:r>
          </w:p>
        </w:tc>
      </w:tr>
      <w:tr w:rsidR="000320B8" w:rsidRPr="009654EB" w:rsidTr="000320B8">
        <w:trPr>
          <w:trHeight w:val="395"/>
          <w:jc w:val="center"/>
        </w:trPr>
        <w:tc>
          <w:tcPr>
            <w:tcW w:w="3224" w:type="dxa"/>
          </w:tcPr>
          <w:p w:rsidR="000320B8" w:rsidRPr="009654EB" w:rsidRDefault="000320B8" w:rsidP="000320B8">
            <w:pPr>
              <w:spacing w:after="0" w:line="240" w:lineRule="auto"/>
              <w:ind w:left="-54" w:firstLine="14"/>
              <w:contextualSpacing/>
              <w:rPr>
                <w:rFonts w:ascii="Times New Roman" w:hAnsi="Times New Roman"/>
              </w:rPr>
            </w:pPr>
            <w:r w:rsidRPr="009654EB">
              <w:rPr>
                <w:rFonts w:ascii="Times New Roman" w:hAnsi="Times New Roman"/>
              </w:rPr>
              <w:t>Доходы целевых бюджетных фондов</w:t>
            </w:r>
          </w:p>
        </w:tc>
        <w:tc>
          <w:tcPr>
            <w:tcW w:w="1529" w:type="dxa"/>
            <w:vAlign w:val="bottom"/>
          </w:tcPr>
          <w:p w:rsidR="000320B8" w:rsidRPr="009654EB" w:rsidRDefault="000320B8" w:rsidP="000320B8">
            <w:pPr>
              <w:spacing w:after="0" w:line="240" w:lineRule="auto"/>
              <w:contextualSpacing/>
              <w:jc w:val="right"/>
              <w:rPr>
                <w:rFonts w:ascii="Times New Roman" w:hAnsi="Times New Roman"/>
              </w:rPr>
            </w:pPr>
            <w:r w:rsidRPr="009654EB">
              <w:rPr>
                <w:rFonts w:ascii="Times New Roman" w:hAnsi="Times New Roman"/>
              </w:rPr>
              <w:t xml:space="preserve">103 202 383 </w:t>
            </w:r>
          </w:p>
        </w:tc>
        <w:tc>
          <w:tcPr>
            <w:tcW w:w="711" w:type="dxa"/>
            <w:vAlign w:val="bottom"/>
          </w:tcPr>
          <w:p w:rsidR="000320B8" w:rsidRPr="009654EB" w:rsidRDefault="000320B8" w:rsidP="000320B8">
            <w:pPr>
              <w:spacing w:after="0" w:line="240" w:lineRule="auto"/>
              <w:contextualSpacing/>
              <w:jc w:val="right"/>
              <w:rPr>
                <w:rFonts w:ascii="Times New Roman" w:hAnsi="Times New Roman"/>
              </w:rPr>
            </w:pPr>
            <w:r w:rsidRPr="009654EB">
              <w:rPr>
                <w:rFonts w:ascii="Times New Roman" w:hAnsi="Times New Roman"/>
              </w:rPr>
              <w:t>7,8</w:t>
            </w:r>
          </w:p>
        </w:tc>
        <w:tc>
          <w:tcPr>
            <w:tcW w:w="1563" w:type="dxa"/>
            <w:vAlign w:val="bottom"/>
          </w:tcPr>
          <w:p w:rsidR="000320B8" w:rsidRPr="009654EB" w:rsidRDefault="000320B8" w:rsidP="000320B8">
            <w:pPr>
              <w:spacing w:after="0" w:line="240" w:lineRule="auto"/>
              <w:contextualSpacing/>
              <w:jc w:val="right"/>
              <w:rPr>
                <w:rFonts w:ascii="Times New Roman" w:hAnsi="Times New Roman"/>
              </w:rPr>
            </w:pPr>
            <w:r w:rsidRPr="009654EB">
              <w:rPr>
                <w:rFonts w:ascii="Times New Roman" w:hAnsi="Times New Roman"/>
              </w:rPr>
              <w:t>101 355 991</w:t>
            </w:r>
          </w:p>
        </w:tc>
        <w:tc>
          <w:tcPr>
            <w:tcW w:w="808" w:type="dxa"/>
            <w:vAlign w:val="bottom"/>
          </w:tcPr>
          <w:p w:rsidR="000320B8" w:rsidRPr="009654EB" w:rsidRDefault="000320B8" w:rsidP="000320B8">
            <w:pPr>
              <w:spacing w:after="0" w:line="240" w:lineRule="auto"/>
              <w:contextualSpacing/>
              <w:jc w:val="right"/>
              <w:rPr>
                <w:rFonts w:ascii="Times New Roman" w:hAnsi="Times New Roman"/>
              </w:rPr>
            </w:pPr>
            <w:r w:rsidRPr="009654EB">
              <w:rPr>
                <w:rFonts w:ascii="Times New Roman" w:hAnsi="Times New Roman"/>
              </w:rPr>
              <w:t>6,4</w:t>
            </w:r>
          </w:p>
        </w:tc>
        <w:tc>
          <w:tcPr>
            <w:tcW w:w="1381" w:type="dxa"/>
            <w:vAlign w:val="bottom"/>
          </w:tcPr>
          <w:p w:rsidR="000320B8" w:rsidRPr="009654EB" w:rsidRDefault="000320B8" w:rsidP="000320B8">
            <w:pPr>
              <w:spacing w:after="0" w:line="240" w:lineRule="auto"/>
              <w:contextualSpacing/>
              <w:jc w:val="right"/>
              <w:rPr>
                <w:rFonts w:ascii="Times New Roman" w:hAnsi="Times New Roman"/>
              </w:rPr>
            </w:pPr>
            <w:r w:rsidRPr="009654EB">
              <w:rPr>
                <w:rFonts w:ascii="Times New Roman" w:hAnsi="Times New Roman"/>
              </w:rPr>
              <w:t>98,2</w:t>
            </w:r>
          </w:p>
        </w:tc>
      </w:tr>
      <w:tr w:rsidR="000320B8" w:rsidRPr="009654EB" w:rsidTr="000320B8">
        <w:trPr>
          <w:trHeight w:val="717"/>
          <w:jc w:val="center"/>
        </w:trPr>
        <w:tc>
          <w:tcPr>
            <w:tcW w:w="3224" w:type="dxa"/>
          </w:tcPr>
          <w:p w:rsidR="000320B8" w:rsidRPr="009654EB" w:rsidRDefault="000320B8" w:rsidP="000320B8">
            <w:pPr>
              <w:spacing w:after="0" w:line="240" w:lineRule="auto"/>
              <w:ind w:left="-54" w:firstLine="14"/>
              <w:contextualSpacing/>
              <w:rPr>
                <w:rFonts w:ascii="Times New Roman" w:hAnsi="Times New Roman"/>
              </w:rPr>
            </w:pPr>
            <w:r w:rsidRPr="009654EB">
              <w:rPr>
                <w:rFonts w:ascii="Times New Roman" w:hAnsi="Times New Roman"/>
              </w:rPr>
              <w:t>Доходы от предпринимательской и иной приносящей доход деятельности</w:t>
            </w:r>
          </w:p>
        </w:tc>
        <w:tc>
          <w:tcPr>
            <w:tcW w:w="1529" w:type="dxa"/>
            <w:vAlign w:val="bottom"/>
          </w:tcPr>
          <w:p w:rsidR="000320B8" w:rsidRPr="009654EB" w:rsidRDefault="000320B8" w:rsidP="000320B8">
            <w:pPr>
              <w:spacing w:after="0" w:line="240" w:lineRule="auto"/>
              <w:contextualSpacing/>
              <w:jc w:val="right"/>
              <w:rPr>
                <w:rFonts w:ascii="Times New Roman" w:hAnsi="Times New Roman"/>
              </w:rPr>
            </w:pPr>
            <w:r w:rsidRPr="009654EB">
              <w:rPr>
                <w:rFonts w:ascii="Times New Roman" w:hAnsi="Times New Roman"/>
              </w:rPr>
              <w:t xml:space="preserve">87 094 019 </w:t>
            </w:r>
          </w:p>
        </w:tc>
        <w:tc>
          <w:tcPr>
            <w:tcW w:w="711" w:type="dxa"/>
            <w:vAlign w:val="bottom"/>
          </w:tcPr>
          <w:p w:rsidR="000320B8" w:rsidRPr="009654EB" w:rsidRDefault="000320B8" w:rsidP="000320B8">
            <w:pPr>
              <w:spacing w:after="0" w:line="240" w:lineRule="auto"/>
              <w:contextualSpacing/>
              <w:jc w:val="right"/>
              <w:rPr>
                <w:rFonts w:ascii="Times New Roman" w:hAnsi="Times New Roman"/>
              </w:rPr>
            </w:pPr>
            <w:r w:rsidRPr="009654EB">
              <w:rPr>
                <w:rFonts w:ascii="Times New Roman" w:hAnsi="Times New Roman"/>
              </w:rPr>
              <w:t>6,6</w:t>
            </w:r>
          </w:p>
        </w:tc>
        <w:tc>
          <w:tcPr>
            <w:tcW w:w="1563" w:type="dxa"/>
            <w:vAlign w:val="bottom"/>
          </w:tcPr>
          <w:p w:rsidR="000320B8" w:rsidRPr="009654EB" w:rsidRDefault="000320B8" w:rsidP="000320B8">
            <w:pPr>
              <w:spacing w:after="0" w:line="240" w:lineRule="auto"/>
              <w:contextualSpacing/>
              <w:jc w:val="right"/>
              <w:rPr>
                <w:rFonts w:ascii="Times New Roman" w:hAnsi="Times New Roman"/>
              </w:rPr>
            </w:pPr>
            <w:r w:rsidRPr="009654EB">
              <w:rPr>
                <w:rFonts w:ascii="Times New Roman" w:hAnsi="Times New Roman"/>
              </w:rPr>
              <w:t>105 413 938</w:t>
            </w:r>
          </w:p>
        </w:tc>
        <w:tc>
          <w:tcPr>
            <w:tcW w:w="808" w:type="dxa"/>
            <w:vAlign w:val="bottom"/>
          </w:tcPr>
          <w:p w:rsidR="000320B8" w:rsidRPr="009654EB" w:rsidRDefault="000320B8" w:rsidP="000320B8">
            <w:pPr>
              <w:spacing w:after="0" w:line="240" w:lineRule="auto"/>
              <w:contextualSpacing/>
              <w:jc w:val="right"/>
              <w:rPr>
                <w:rFonts w:ascii="Times New Roman" w:hAnsi="Times New Roman"/>
              </w:rPr>
            </w:pPr>
            <w:r w:rsidRPr="009654EB">
              <w:rPr>
                <w:rFonts w:ascii="Times New Roman" w:hAnsi="Times New Roman"/>
              </w:rPr>
              <w:t>6,6</w:t>
            </w:r>
          </w:p>
        </w:tc>
        <w:tc>
          <w:tcPr>
            <w:tcW w:w="1381" w:type="dxa"/>
            <w:vAlign w:val="bottom"/>
          </w:tcPr>
          <w:p w:rsidR="000320B8" w:rsidRPr="009654EB" w:rsidRDefault="000320B8" w:rsidP="000320B8">
            <w:pPr>
              <w:spacing w:after="0" w:line="240" w:lineRule="auto"/>
              <w:contextualSpacing/>
              <w:jc w:val="right"/>
              <w:rPr>
                <w:rFonts w:ascii="Times New Roman" w:hAnsi="Times New Roman"/>
              </w:rPr>
            </w:pPr>
            <w:r w:rsidRPr="009654EB">
              <w:rPr>
                <w:rFonts w:ascii="Times New Roman" w:hAnsi="Times New Roman"/>
              </w:rPr>
              <w:t>121,0</w:t>
            </w:r>
          </w:p>
        </w:tc>
      </w:tr>
      <w:tr w:rsidR="000320B8" w:rsidRPr="00D848B3" w:rsidTr="000320B8">
        <w:tblPrEx>
          <w:tblLook w:val="0000"/>
        </w:tblPrEx>
        <w:trPr>
          <w:trHeight w:val="278"/>
          <w:jc w:val="center"/>
        </w:trPr>
        <w:tc>
          <w:tcPr>
            <w:tcW w:w="3224" w:type="dxa"/>
          </w:tcPr>
          <w:p w:rsidR="000320B8" w:rsidRPr="009654EB" w:rsidRDefault="000320B8" w:rsidP="000320B8">
            <w:pPr>
              <w:spacing w:after="0" w:line="240" w:lineRule="auto"/>
              <w:contextualSpacing/>
              <w:jc w:val="both"/>
              <w:rPr>
                <w:rFonts w:ascii="Times New Roman" w:hAnsi="Times New Roman"/>
              </w:rPr>
            </w:pPr>
            <w:r w:rsidRPr="009654EB">
              <w:rPr>
                <w:rFonts w:ascii="Times New Roman" w:hAnsi="Times New Roman"/>
              </w:rPr>
              <w:t>Безвозмездные перечисления</w:t>
            </w:r>
          </w:p>
        </w:tc>
        <w:tc>
          <w:tcPr>
            <w:tcW w:w="1529" w:type="dxa"/>
            <w:vAlign w:val="center"/>
          </w:tcPr>
          <w:p w:rsidR="000320B8" w:rsidRPr="009654EB" w:rsidRDefault="000320B8" w:rsidP="000320B8">
            <w:pPr>
              <w:spacing w:after="0" w:line="240" w:lineRule="auto"/>
              <w:contextualSpacing/>
              <w:jc w:val="right"/>
              <w:rPr>
                <w:rFonts w:ascii="Times New Roman" w:hAnsi="Times New Roman"/>
              </w:rPr>
            </w:pPr>
            <w:r w:rsidRPr="009654EB">
              <w:rPr>
                <w:rFonts w:ascii="Times New Roman" w:hAnsi="Times New Roman"/>
              </w:rPr>
              <w:t>-</w:t>
            </w:r>
          </w:p>
        </w:tc>
        <w:tc>
          <w:tcPr>
            <w:tcW w:w="711" w:type="dxa"/>
            <w:vAlign w:val="center"/>
          </w:tcPr>
          <w:p w:rsidR="000320B8" w:rsidRPr="009654EB" w:rsidRDefault="000320B8" w:rsidP="000320B8">
            <w:pPr>
              <w:spacing w:after="0" w:line="240" w:lineRule="auto"/>
              <w:contextualSpacing/>
              <w:jc w:val="right"/>
              <w:rPr>
                <w:rFonts w:ascii="Times New Roman" w:hAnsi="Times New Roman"/>
              </w:rPr>
            </w:pPr>
            <w:r w:rsidRPr="009654EB">
              <w:rPr>
                <w:rFonts w:ascii="Times New Roman" w:hAnsi="Times New Roman"/>
              </w:rPr>
              <w:t>-</w:t>
            </w:r>
          </w:p>
        </w:tc>
        <w:tc>
          <w:tcPr>
            <w:tcW w:w="1563" w:type="dxa"/>
            <w:vAlign w:val="center"/>
          </w:tcPr>
          <w:p w:rsidR="000320B8" w:rsidRPr="009654EB" w:rsidRDefault="000320B8" w:rsidP="000320B8">
            <w:pPr>
              <w:spacing w:after="0" w:line="240" w:lineRule="auto"/>
              <w:contextualSpacing/>
              <w:jc w:val="right"/>
              <w:rPr>
                <w:rFonts w:ascii="Times New Roman" w:hAnsi="Times New Roman"/>
              </w:rPr>
            </w:pPr>
            <w:r w:rsidRPr="009654EB">
              <w:rPr>
                <w:rFonts w:ascii="Times New Roman" w:hAnsi="Times New Roman"/>
              </w:rPr>
              <w:t>23 480 127</w:t>
            </w:r>
          </w:p>
        </w:tc>
        <w:tc>
          <w:tcPr>
            <w:tcW w:w="808" w:type="dxa"/>
            <w:vAlign w:val="center"/>
          </w:tcPr>
          <w:p w:rsidR="000320B8" w:rsidRPr="009654EB" w:rsidRDefault="000320B8" w:rsidP="000320B8">
            <w:pPr>
              <w:spacing w:after="0" w:line="240" w:lineRule="auto"/>
              <w:contextualSpacing/>
              <w:jc w:val="right"/>
              <w:rPr>
                <w:rFonts w:ascii="Times New Roman" w:hAnsi="Times New Roman"/>
              </w:rPr>
            </w:pPr>
            <w:r w:rsidRPr="009654EB">
              <w:rPr>
                <w:rFonts w:ascii="Times New Roman" w:hAnsi="Times New Roman"/>
              </w:rPr>
              <w:t>1,5</w:t>
            </w:r>
          </w:p>
        </w:tc>
        <w:tc>
          <w:tcPr>
            <w:tcW w:w="1381" w:type="dxa"/>
            <w:vAlign w:val="center"/>
          </w:tcPr>
          <w:p w:rsidR="000320B8" w:rsidRPr="00D848B3" w:rsidRDefault="000320B8" w:rsidP="000320B8">
            <w:pPr>
              <w:spacing w:after="0" w:line="240" w:lineRule="auto"/>
              <w:contextualSpacing/>
              <w:jc w:val="right"/>
              <w:rPr>
                <w:rFonts w:ascii="Times New Roman" w:hAnsi="Times New Roman"/>
              </w:rPr>
            </w:pPr>
            <w:r w:rsidRPr="009654EB">
              <w:rPr>
                <w:rFonts w:ascii="Times New Roman" w:hAnsi="Times New Roman"/>
              </w:rPr>
              <w:t>-</w:t>
            </w:r>
          </w:p>
        </w:tc>
      </w:tr>
    </w:tbl>
    <w:p w:rsidR="00350E5C" w:rsidRDefault="00350E5C" w:rsidP="00350E5C">
      <w:pPr>
        <w:spacing w:after="0" w:line="240" w:lineRule="auto"/>
        <w:ind w:left="-426" w:firstLine="426"/>
        <w:jc w:val="both"/>
        <w:rPr>
          <w:rFonts w:ascii="Times New Roman" w:hAnsi="Times New Roman"/>
          <w:sz w:val="24"/>
          <w:szCs w:val="24"/>
        </w:rPr>
      </w:pPr>
    </w:p>
    <w:p w:rsidR="000320B8" w:rsidRPr="009654EB" w:rsidRDefault="00350E5C" w:rsidP="00350E5C">
      <w:pPr>
        <w:spacing w:after="0" w:line="240" w:lineRule="auto"/>
        <w:ind w:left="-426" w:firstLine="426"/>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2576" behindDoc="0" locked="0" layoutInCell="1" allowOverlap="1">
            <wp:simplePos x="0" y="0"/>
            <wp:positionH relativeFrom="margin">
              <wp:posOffset>-118110</wp:posOffset>
            </wp:positionH>
            <wp:positionV relativeFrom="margin">
              <wp:posOffset>6442710</wp:posOffset>
            </wp:positionV>
            <wp:extent cx="3724275" cy="3267075"/>
            <wp:effectExtent l="0" t="0" r="0" b="0"/>
            <wp:wrapSquare wrapText="bothSides"/>
            <wp:docPr id="116"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0320B8" w:rsidRPr="009654EB">
        <w:rPr>
          <w:rFonts w:ascii="Times New Roman" w:hAnsi="Times New Roman"/>
          <w:sz w:val="24"/>
          <w:szCs w:val="24"/>
        </w:rPr>
        <w:t xml:space="preserve">Определяющее значение в структуре поступлений в доходную часть консолидированного бюджета принадлежит налоговым платежам - 1 338 483 888 руб. (83,95%), величина которых в рассматриваемом периоде выросла на 22,33% к уровню        </w:t>
      </w:r>
      <w:r w:rsidR="000320B8" w:rsidRPr="009654EB">
        <w:rPr>
          <w:rFonts w:ascii="Times New Roman" w:hAnsi="Times New Roman"/>
          <w:sz w:val="24"/>
          <w:szCs w:val="24"/>
          <w:lang w:val="en-US"/>
        </w:rPr>
        <w:t>I</w:t>
      </w:r>
      <w:r w:rsidR="000320B8" w:rsidRPr="009654EB">
        <w:rPr>
          <w:rFonts w:ascii="Times New Roman" w:hAnsi="Times New Roman"/>
          <w:sz w:val="24"/>
          <w:szCs w:val="24"/>
        </w:rPr>
        <w:t xml:space="preserve"> полугодия 2013 года. </w:t>
      </w:r>
    </w:p>
    <w:p w:rsidR="000320B8" w:rsidRPr="009654EB" w:rsidRDefault="000320B8" w:rsidP="000320B8">
      <w:pPr>
        <w:spacing w:after="0" w:line="240" w:lineRule="auto"/>
        <w:ind w:firstLine="709"/>
        <w:jc w:val="both"/>
        <w:rPr>
          <w:rFonts w:ascii="Times New Roman" w:hAnsi="Times New Roman"/>
          <w:sz w:val="24"/>
          <w:szCs w:val="24"/>
        </w:rPr>
      </w:pPr>
      <w:r w:rsidRPr="009654EB">
        <w:rPr>
          <w:rFonts w:ascii="Times New Roman" w:hAnsi="Times New Roman"/>
          <w:sz w:val="24"/>
          <w:szCs w:val="24"/>
        </w:rPr>
        <w:t xml:space="preserve">В рассматриваемом периоде неналоговые поступления сократились на 24,42% по сравнению с </w:t>
      </w:r>
      <w:r w:rsidR="00E91104">
        <w:rPr>
          <w:rFonts w:ascii="Times New Roman" w:hAnsi="Times New Roman"/>
          <w:sz w:val="24"/>
          <w:szCs w:val="24"/>
        </w:rPr>
        <w:t xml:space="preserve">           </w:t>
      </w:r>
      <w:r w:rsidRPr="009654EB">
        <w:rPr>
          <w:rFonts w:ascii="Times New Roman" w:hAnsi="Times New Roman"/>
          <w:sz w:val="24"/>
          <w:szCs w:val="24"/>
        </w:rPr>
        <w:t xml:space="preserve">январем – июнем 2013 года и </w:t>
      </w:r>
      <w:r w:rsidRPr="009654EB">
        <w:rPr>
          <w:rFonts w:ascii="Times New Roman" w:hAnsi="Times New Roman"/>
          <w:sz w:val="24"/>
          <w:szCs w:val="24"/>
        </w:rPr>
        <w:lastRenderedPageBreak/>
        <w:t>сформировали порядка 1,61% всех поступлений консолидированного бюджета, в основном это связано с сокращением поступлений от погашения адми</w:t>
      </w:r>
      <w:r w:rsidR="00E91104">
        <w:rPr>
          <w:rFonts w:ascii="Times New Roman" w:hAnsi="Times New Roman"/>
          <w:sz w:val="24"/>
          <w:szCs w:val="24"/>
        </w:rPr>
        <w:t xml:space="preserve">нистративных платежей и сборов </w:t>
      </w:r>
      <w:r w:rsidRPr="009654EB">
        <w:rPr>
          <w:rFonts w:ascii="Times New Roman" w:hAnsi="Times New Roman"/>
          <w:sz w:val="24"/>
          <w:szCs w:val="24"/>
        </w:rPr>
        <w:t xml:space="preserve">(-54,66%). Также отмечено уменьшение </w:t>
      </w:r>
      <w:r w:rsidRPr="00827768">
        <w:rPr>
          <w:rFonts w:ascii="Times New Roman" w:hAnsi="Times New Roman"/>
          <w:b/>
          <w:sz w:val="24"/>
          <w:szCs w:val="24"/>
        </w:rPr>
        <w:t>доли д</w:t>
      </w:r>
      <w:r w:rsidRPr="00827768">
        <w:rPr>
          <w:rFonts w:ascii="Times New Roman" w:hAnsi="Times New Roman"/>
          <w:b/>
        </w:rPr>
        <w:t>оходов целевых бюджетных фондов</w:t>
      </w:r>
      <w:r w:rsidRPr="009654EB">
        <w:rPr>
          <w:rFonts w:ascii="Times New Roman" w:hAnsi="Times New Roman"/>
          <w:sz w:val="24"/>
          <w:szCs w:val="24"/>
        </w:rPr>
        <w:t xml:space="preserve"> </w:t>
      </w:r>
      <w:r w:rsidRPr="009654EB">
        <w:rPr>
          <w:rFonts w:ascii="Times New Roman" w:hAnsi="Times New Roman"/>
        </w:rPr>
        <w:t>на 1,47 процентных пункта до 6,36%. Д</w:t>
      </w:r>
      <w:r w:rsidRPr="009654EB">
        <w:rPr>
          <w:rFonts w:ascii="Times New Roman" w:hAnsi="Times New Roman"/>
          <w:sz w:val="24"/>
          <w:szCs w:val="24"/>
        </w:rPr>
        <w:t>оходы от предпринимательской и иной приносящей доход деятельности остались на уровне соответствующего периода прошлого года и составили 6,61% всех поступл</w:t>
      </w:r>
      <w:r w:rsidR="00827768">
        <w:rPr>
          <w:rFonts w:ascii="Times New Roman" w:hAnsi="Times New Roman"/>
          <w:sz w:val="24"/>
          <w:szCs w:val="24"/>
        </w:rPr>
        <w:t>ений консолидированного бюджета, при этом их абсолютная величина выросла на 21%.</w:t>
      </w:r>
    </w:p>
    <w:p w:rsidR="000320B8" w:rsidRPr="009654EB" w:rsidRDefault="000320B8" w:rsidP="000320B8">
      <w:pPr>
        <w:spacing w:after="0" w:line="240" w:lineRule="auto"/>
        <w:ind w:firstLine="709"/>
        <w:jc w:val="both"/>
        <w:rPr>
          <w:rFonts w:ascii="Times New Roman" w:hAnsi="Times New Roman"/>
          <w:b/>
          <w:sz w:val="24"/>
          <w:szCs w:val="24"/>
        </w:rPr>
      </w:pPr>
      <w:r w:rsidRPr="009654EB">
        <w:rPr>
          <w:rFonts w:ascii="Times New Roman" w:hAnsi="Times New Roman"/>
          <w:b/>
          <w:sz w:val="24"/>
          <w:szCs w:val="24"/>
        </w:rPr>
        <w:t>Налоговая нагрузка</w:t>
      </w:r>
      <w:r w:rsidRPr="009654EB">
        <w:rPr>
          <w:rFonts w:ascii="Times New Roman" w:hAnsi="Times New Roman"/>
          <w:sz w:val="24"/>
          <w:szCs w:val="24"/>
        </w:rPr>
        <w:t xml:space="preserve"> консолидированного бюджета в целом на экономику республики составила </w:t>
      </w:r>
      <w:r w:rsidRPr="009654EB">
        <w:rPr>
          <w:rFonts w:ascii="Times New Roman" w:hAnsi="Times New Roman"/>
          <w:b/>
          <w:sz w:val="24"/>
          <w:szCs w:val="24"/>
        </w:rPr>
        <w:t xml:space="preserve">24,97%, </w:t>
      </w:r>
      <w:r w:rsidRPr="009654EB">
        <w:rPr>
          <w:rFonts w:ascii="Times New Roman" w:hAnsi="Times New Roman"/>
          <w:sz w:val="24"/>
          <w:szCs w:val="24"/>
        </w:rPr>
        <w:t>сократившись на 5,37 процентных пункта</w:t>
      </w:r>
      <w:r w:rsidRPr="009654EB">
        <w:rPr>
          <w:rFonts w:ascii="Times New Roman" w:hAnsi="Times New Roman"/>
          <w:b/>
          <w:sz w:val="24"/>
          <w:szCs w:val="24"/>
        </w:rPr>
        <w:t xml:space="preserve"> </w:t>
      </w:r>
      <w:r w:rsidRPr="009654EB">
        <w:rPr>
          <w:rFonts w:ascii="Times New Roman" w:hAnsi="Times New Roman"/>
          <w:sz w:val="24"/>
          <w:szCs w:val="24"/>
        </w:rPr>
        <w:t xml:space="preserve">по сравнению с уровнем </w:t>
      </w:r>
      <w:r w:rsidRPr="009654EB">
        <w:rPr>
          <w:rFonts w:ascii="Times New Roman" w:hAnsi="Times New Roman"/>
          <w:sz w:val="24"/>
          <w:szCs w:val="24"/>
          <w:lang w:val="en-US"/>
        </w:rPr>
        <w:t>I</w:t>
      </w:r>
      <w:r w:rsidRPr="009654EB">
        <w:rPr>
          <w:rFonts w:ascii="Times New Roman" w:hAnsi="Times New Roman"/>
          <w:sz w:val="24"/>
          <w:szCs w:val="24"/>
        </w:rPr>
        <w:t xml:space="preserve"> полугодия 2013 года (</w:t>
      </w:r>
      <w:r w:rsidRPr="009654EB">
        <w:rPr>
          <w:rFonts w:ascii="Times New Roman" w:hAnsi="Times New Roman"/>
          <w:b/>
          <w:sz w:val="24"/>
          <w:szCs w:val="24"/>
        </w:rPr>
        <w:t>30,34%).</w:t>
      </w:r>
    </w:p>
    <w:p w:rsidR="000320B8" w:rsidRPr="009654EB" w:rsidRDefault="000320B8" w:rsidP="000320B8">
      <w:pPr>
        <w:spacing w:after="0" w:line="240" w:lineRule="auto"/>
        <w:jc w:val="right"/>
        <w:rPr>
          <w:rFonts w:ascii="Times New Roman" w:hAnsi="Times New Roman"/>
          <w:sz w:val="24"/>
          <w:szCs w:val="24"/>
        </w:rPr>
      </w:pPr>
      <w:r w:rsidRPr="009654EB">
        <w:rPr>
          <w:rFonts w:ascii="Times New Roman" w:hAnsi="Times New Roman"/>
          <w:sz w:val="24"/>
          <w:szCs w:val="24"/>
        </w:rPr>
        <w:t xml:space="preserve">Таблица № </w:t>
      </w:r>
      <w:r w:rsidR="00350E5C">
        <w:rPr>
          <w:rFonts w:ascii="Times New Roman" w:hAnsi="Times New Roman"/>
          <w:sz w:val="24"/>
          <w:szCs w:val="24"/>
        </w:rPr>
        <w:t>7</w:t>
      </w:r>
    </w:p>
    <w:p w:rsidR="000320B8" w:rsidRPr="009654EB" w:rsidRDefault="000320B8" w:rsidP="000320B8">
      <w:pPr>
        <w:spacing w:after="0" w:line="240" w:lineRule="auto"/>
        <w:ind w:firstLine="720"/>
        <w:jc w:val="center"/>
        <w:rPr>
          <w:rFonts w:ascii="Times New Roman" w:hAnsi="Times New Roman"/>
          <w:b/>
          <w:sz w:val="24"/>
          <w:szCs w:val="24"/>
        </w:rPr>
      </w:pPr>
      <w:r w:rsidRPr="009654EB">
        <w:rPr>
          <w:rFonts w:ascii="Times New Roman" w:hAnsi="Times New Roman"/>
          <w:b/>
          <w:sz w:val="24"/>
          <w:szCs w:val="24"/>
        </w:rPr>
        <w:t xml:space="preserve">Структура налоговых поступлений в доходную часть </w:t>
      </w:r>
    </w:p>
    <w:p w:rsidR="000320B8" w:rsidRPr="009654EB" w:rsidRDefault="000320B8" w:rsidP="000320B8">
      <w:pPr>
        <w:spacing w:after="0" w:line="240" w:lineRule="auto"/>
        <w:ind w:left="142"/>
        <w:jc w:val="center"/>
        <w:rPr>
          <w:rFonts w:ascii="Times New Roman" w:hAnsi="Times New Roman"/>
          <w:b/>
          <w:sz w:val="24"/>
          <w:szCs w:val="24"/>
        </w:rPr>
      </w:pPr>
      <w:r w:rsidRPr="009654EB">
        <w:rPr>
          <w:rFonts w:ascii="Times New Roman" w:hAnsi="Times New Roman"/>
          <w:b/>
          <w:sz w:val="24"/>
          <w:szCs w:val="24"/>
        </w:rPr>
        <w:t>Консолидированного бюджета (руб.)</w:t>
      </w:r>
    </w:p>
    <w:tbl>
      <w:tblPr>
        <w:tblW w:w="9776" w:type="dxa"/>
        <w:jc w:val="center"/>
        <w:tblInd w:w="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6"/>
        <w:gridCol w:w="1251"/>
        <w:gridCol w:w="695"/>
        <w:gridCol w:w="1250"/>
        <w:gridCol w:w="834"/>
        <w:gridCol w:w="695"/>
        <w:gridCol w:w="1325"/>
      </w:tblGrid>
      <w:tr w:rsidR="000320B8" w:rsidRPr="009654EB" w:rsidTr="000320B8">
        <w:trPr>
          <w:trHeight w:val="840"/>
          <w:jc w:val="center"/>
        </w:trPr>
        <w:tc>
          <w:tcPr>
            <w:tcW w:w="3726" w:type="dxa"/>
            <w:vMerge w:val="restart"/>
            <w:vAlign w:val="center"/>
          </w:tcPr>
          <w:p w:rsidR="000320B8" w:rsidRPr="009654EB" w:rsidRDefault="000320B8" w:rsidP="000320B8">
            <w:pPr>
              <w:spacing w:after="0" w:line="240" w:lineRule="auto"/>
              <w:jc w:val="center"/>
              <w:rPr>
                <w:rFonts w:ascii="Times New Roman" w:hAnsi="Times New Roman"/>
                <w:b/>
                <w:sz w:val="20"/>
                <w:szCs w:val="20"/>
              </w:rPr>
            </w:pPr>
            <w:r w:rsidRPr="009654EB">
              <w:rPr>
                <w:rFonts w:ascii="Times New Roman" w:hAnsi="Times New Roman"/>
                <w:b/>
                <w:sz w:val="20"/>
                <w:szCs w:val="20"/>
              </w:rPr>
              <w:t>Вид платежа</w:t>
            </w:r>
          </w:p>
        </w:tc>
        <w:tc>
          <w:tcPr>
            <w:tcW w:w="1946" w:type="dxa"/>
            <w:gridSpan w:val="2"/>
            <w:vAlign w:val="center"/>
          </w:tcPr>
          <w:p w:rsidR="000320B8" w:rsidRPr="009654EB" w:rsidRDefault="000320B8" w:rsidP="000320B8">
            <w:pPr>
              <w:spacing w:after="0" w:line="240" w:lineRule="auto"/>
              <w:ind w:left="-151" w:firstLine="151"/>
              <w:jc w:val="center"/>
              <w:rPr>
                <w:rFonts w:ascii="Times New Roman" w:hAnsi="Times New Roman"/>
                <w:b/>
                <w:sz w:val="24"/>
                <w:szCs w:val="24"/>
              </w:rPr>
            </w:pPr>
            <w:r w:rsidRPr="009654EB">
              <w:rPr>
                <w:rFonts w:ascii="Times New Roman" w:hAnsi="Times New Roman"/>
                <w:b/>
                <w:sz w:val="20"/>
                <w:szCs w:val="20"/>
              </w:rPr>
              <w:t>1 полугодие</w:t>
            </w:r>
            <w:r w:rsidRPr="009654EB">
              <w:rPr>
                <w:rFonts w:ascii="Times New Roman" w:hAnsi="Times New Roman"/>
                <w:b/>
                <w:sz w:val="24"/>
                <w:szCs w:val="24"/>
              </w:rPr>
              <w:t xml:space="preserve"> </w:t>
            </w:r>
          </w:p>
          <w:p w:rsidR="000320B8" w:rsidRPr="009654EB" w:rsidRDefault="000320B8" w:rsidP="000320B8">
            <w:pPr>
              <w:spacing w:after="0" w:line="240" w:lineRule="auto"/>
              <w:ind w:left="-151" w:firstLine="151"/>
              <w:jc w:val="center"/>
              <w:rPr>
                <w:rFonts w:ascii="Times New Roman" w:hAnsi="Times New Roman"/>
                <w:b/>
                <w:sz w:val="20"/>
                <w:szCs w:val="20"/>
              </w:rPr>
            </w:pPr>
            <w:r w:rsidRPr="009654EB">
              <w:rPr>
                <w:rFonts w:ascii="Times New Roman" w:hAnsi="Times New Roman"/>
                <w:b/>
                <w:sz w:val="20"/>
                <w:szCs w:val="20"/>
              </w:rPr>
              <w:t>2013 года</w:t>
            </w:r>
          </w:p>
        </w:tc>
        <w:tc>
          <w:tcPr>
            <w:tcW w:w="2779" w:type="dxa"/>
            <w:gridSpan w:val="3"/>
            <w:vAlign w:val="center"/>
          </w:tcPr>
          <w:p w:rsidR="000320B8" w:rsidRPr="009654EB" w:rsidRDefault="000320B8" w:rsidP="000320B8">
            <w:pPr>
              <w:spacing w:after="0" w:line="240" w:lineRule="auto"/>
              <w:jc w:val="center"/>
              <w:rPr>
                <w:rFonts w:ascii="Times New Roman" w:hAnsi="Times New Roman"/>
                <w:b/>
                <w:sz w:val="24"/>
                <w:szCs w:val="24"/>
              </w:rPr>
            </w:pPr>
            <w:r w:rsidRPr="009654EB">
              <w:rPr>
                <w:rFonts w:ascii="Times New Roman" w:hAnsi="Times New Roman"/>
                <w:b/>
                <w:sz w:val="20"/>
                <w:szCs w:val="20"/>
              </w:rPr>
              <w:t>1 полугодие</w:t>
            </w:r>
            <w:r w:rsidRPr="009654EB">
              <w:rPr>
                <w:rFonts w:ascii="Times New Roman" w:hAnsi="Times New Roman"/>
                <w:b/>
                <w:sz w:val="24"/>
                <w:szCs w:val="24"/>
              </w:rPr>
              <w:t xml:space="preserve"> </w:t>
            </w:r>
          </w:p>
          <w:p w:rsidR="000320B8" w:rsidRPr="009654EB" w:rsidRDefault="000320B8" w:rsidP="000320B8">
            <w:pPr>
              <w:spacing w:after="0" w:line="240" w:lineRule="auto"/>
              <w:jc w:val="center"/>
              <w:rPr>
                <w:rFonts w:ascii="Times New Roman" w:hAnsi="Times New Roman"/>
                <w:b/>
                <w:sz w:val="20"/>
                <w:szCs w:val="20"/>
              </w:rPr>
            </w:pPr>
            <w:r w:rsidRPr="009654EB">
              <w:rPr>
                <w:rFonts w:ascii="Times New Roman" w:hAnsi="Times New Roman"/>
                <w:b/>
                <w:sz w:val="20"/>
                <w:szCs w:val="20"/>
              </w:rPr>
              <w:t>2014 года</w:t>
            </w:r>
          </w:p>
        </w:tc>
        <w:tc>
          <w:tcPr>
            <w:tcW w:w="1325" w:type="dxa"/>
            <w:vMerge w:val="restart"/>
            <w:vAlign w:val="center"/>
          </w:tcPr>
          <w:p w:rsidR="000320B8" w:rsidRPr="009654EB" w:rsidRDefault="000320B8" w:rsidP="000320B8">
            <w:pPr>
              <w:spacing w:after="0"/>
              <w:jc w:val="center"/>
              <w:rPr>
                <w:rFonts w:ascii="Times New Roman" w:hAnsi="Times New Roman"/>
                <w:b/>
                <w:sz w:val="20"/>
                <w:szCs w:val="20"/>
              </w:rPr>
            </w:pPr>
            <w:r w:rsidRPr="009654EB">
              <w:rPr>
                <w:rFonts w:ascii="Times New Roman" w:hAnsi="Times New Roman"/>
                <w:b/>
                <w:sz w:val="20"/>
                <w:szCs w:val="20"/>
              </w:rPr>
              <w:t xml:space="preserve">Темп роста/спада 2014г. к 2013г.,% </w:t>
            </w:r>
          </w:p>
        </w:tc>
      </w:tr>
      <w:tr w:rsidR="000320B8" w:rsidRPr="009654EB" w:rsidTr="000320B8">
        <w:trPr>
          <w:trHeight w:val="548"/>
          <w:jc w:val="center"/>
        </w:trPr>
        <w:tc>
          <w:tcPr>
            <w:tcW w:w="3726" w:type="dxa"/>
            <w:vMerge/>
            <w:vAlign w:val="center"/>
          </w:tcPr>
          <w:p w:rsidR="000320B8" w:rsidRPr="009654EB" w:rsidRDefault="000320B8" w:rsidP="000320B8">
            <w:pPr>
              <w:spacing w:after="0" w:line="240" w:lineRule="auto"/>
              <w:jc w:val="center"/>
              <w:rPr>
                <w:rFonts w:ascii="Times New Roman" w:hAnsi="Times New Roman"/>
                <w:b/>
                <w:sz w:val="20"/>
                <w:szCs w:val="20"/>
              </w:rPr>
            </w:pPr>
          </w:p>
        </w:tc>
        <w:tc>
          <w:tcPr>
            <w:tcW w:w="1251" w:type="dxa"/>
            <w:vAlign w:val="center"/>
          </w:tcPr>
          <w:p w:rsidR="000320B8" w:rsidRPr="009654EB" w:rsidRDefault="000320B8" w:rsidP="000320B8">
            <w:pPr>
              <w:spacing w:after="0" w:line="240" w:lineRule="auto"/>
              <w:jc w:val="center"/>
              <w:rPr>
                <w:rFonts w:ascii="Times New Roman" w:hAnsi="Times New Roman"/>
                <w:b/>
                <w:sz w:val="20"/>
                <w:szCs w:val="20"/>
              </w:rPr>
            </w:pPr>
            <w:r w:rsidRPr="009654EB">
              <w:rPr>
                <w:rFonts w:ascii="Times New Roman" w:hAnsi="Times New Roman"/>
                <w:b/>
                <w:sz w:val="20"/>
                <w:szCs w:val="20"/>
              </w:rPr>
              <w:t>факт</w:t>
            </w:r>
          </w:p>
        </w:tc>
        <w:tc>
          <w:tcPr>
            <w:tcW w:w="695" w:type="dxa"/>
            <w:vAlign w:val="center"/>
          </w:tcPr>
          <w:p w:rsidR="000320B8" w:rsidRPr="009654EB" w:rsidRDefault="000320B8" w:rsidP="000320B8">
            <w:pPr>
              <w:spacing w:after="0" w:line="240" w:lineRule="auto"/>
              <w:jc w:val="center"/>
              <w:rPr>
                <w:rFonts w:ascii="Times New Roman" w:hAnsi="Times New Roman"/>
                <w:b/>
                <w:sz w:val="20"/>
                <w:szCs w:val="20"/>
              </w:rPr>
            </w:pPr>
            <w:r w:rsidRPr="009654EB">
              <w:rPr>
                <w:rFonts w:ascii="Times New Roman" w:hAnsi="Times New Roman"/>
                <w:b/>
                <w:sz w:val="20"/>
                <w:szCs w:val="20"/>
              </w:rPr>
              <w:t>уд. вес, %</w:t>
            </w:r>
          </w:p>
        </w:tc>
        <w:tc>
          <w:tcPr>
            <w:tcW w:w="1250" w:type="dxa"/>
            <w:vAlign w:val="center"/>
          </w:tcPr>
          <w:p w:rsidR="000320B8" w:rsidRPr="009654EB" w:rsidRDefault="000320B8" w:rsidP="000320B8">
            <w:pPr>
              <w:spacing w:after="0" w:line="240" w:lineRule="auto"/>
              <w:jc w:val="center"/>
              <w:rPr>
                <w:rFonts w:ascii="Times New Roman" w:hAnsi="Times New Roman"/>
                <w:b/>
                <w:sz w:val="20"/>
                <w:szCs w:val="20"/>
              </w:rPr>
            </w:pPr>
            <w:r w:rsidRPr="009654EB">
              <w:rPr>
                <w:rFonts w:ascii="Times New Roman" w:hAnsi="Times New Roman"/>
                <w:b/>
                <w:sz w:val="20"/>
                <w:szCs w:val="20"/>
              </w:rPr>
              <w:t>факт</w:t>
            </w:r>
          </w:p>
        </w:tc>
        <w:tc>
          <w:tcPr>
            <w:tcW w:w="834" w:type="dxa"/>
            <w:vAlign w:val="center"/>
          </w:tcPr>
          <w:p w:rsidR="000320B8" w:rsidRPr="009654EB" w:rsidRDefault="000320B8" w:rsidP="000320B8">
            <w:pPr>
              <w:spacing w:after="0" w:line="240" w:lineRule="auto"/>
              <w:jc w:val="center"/>
              <w:rPr>
                <w:rFonts w:ascii="Times New Roman" w:hAnsi="Times New Roman"/>
                <w:b/>
                <w:sz w:val="20"/>
                <w:szCs w:val="20"/>
              </w:rPr>
            </w:pPr>
            <w:r w:rsidRPr="009654EB">
              <w:rPr>
                <w:rFonts w:ascii="Times New Roman" w:hAnsi="Times New Roman"/>
                <w:b/>
                <w:sz w:val="20"/>
                <w:szCs w:val="20"/>
              </w:rPr>
              <w:t>% исп. плана</w:t>
            </w:r>
          </w:p>
        </w:tc>
        <w:tc>
          <w:tcPr>
            <w:tcW w:w="695" w:type="dxa"/>
            <w:shd w:val="clear" w:color="auto" w:fill="auto"/>
            <w:vAlign w:val="center"/>
          </w:tcPr>
          <w:p w:rsidR="000320B8" w:rsidRPr="009654EB" w:rsidRDefault="000320B8" w:rsidP="000320B8">
            <w:pPr>
              <w:spacing w:after="0" w:line="240" w:lineRule="auto"/>
              <w:jc w:val="center"/>
              <w:rPr>
                <w:rFonts w:ascii="Times New Roman" w:hAnsi="Times New Roman"/>
                <w:b/>
                <w:sz w:val="20"/>
                <w:szCs w:val="20"/>
              </w:rPr>
            </w:pPr>
            <w:r w:rsidRPr="009654EB">
              <w:rPr>
                <w:rFonts w:ascii="Times New Roman" w:hAnsi="Times New Roman"/>
                <w:b/>
                <w:sz w:val="20"/>
                <w:szCs w:val="20"/>
              </w:rPr>
              <w:t>уд. вес, %</w:t>
            </w:r>
          </w:p>
        </w:tc>
        <w:tc>
          <w:tcPr>
            <w:tcW w:w="1325" w:type="dxa"/>
            <w:vMerge/>
            <w:vAlign w:val="center"/>
          </w:tcPr>
          <w:p w:rsidR="000320B8" w:rsidRPr="009654EB" w:rsidRDefault="000320B8" w:rsidP="000320B8">
            <w:pPr>
              <w:spacing w:after="0" w:line="240" w:lineRule="auto"/>
              <w:jc w:val="center"/>
              <w:rPr>
                <w:rFonts w:ascii="Times New Roman" w:hAnsi="Times New Roman"/>
                <w:b/>
                <w:sz w:val="20"/>
                <w:szCs w:val="20"/>
              </w:rPr>
            </w:pPr>
          </w:p>
        </w:tc>
      </w:tr>
      <w:tr w:rsidR="000320B8" w:rsidRPr="009654EB" w:rsidTr="000320B8">
        <w:trPr>
          <w:trHeight w:val="491"/>
          <w:jc w:val="center"/>
        </w:trPr>
        <w:tc>
          <w:tcPr>
            <w:tcW w:w="3726" w:type="dxa"/>
          </w:tcPr>
          <w:p w:rsidR="000320B8" w:rsidRPr="009654EB" w:rsidRDefault="000320B8" w:rsidP="000320B8">
            <w:pPr>
              <w:spacing w:after="0" w:line="240" w:lineRule="auto"/>
              <w:ind w:left="-91" w:right="-170"/>
              <w:rPr>
                <w:rFonts w:ascii="Times New Roman" w:hAnsi="Times New Roman"/>
                <w:sz w:val="20"/>
                <w:szCs w:val="20"/>
              </w:rPr>
            </w:pPr>
            <w:r w:rsidRPr="009654EB">
              <w:rPr>
                <w:rFonts w:ascii="Times New Roman" w:hAnsi="Times New Roman"/>
                <w:sz w:val="20"/>
                <w:szCs w:val="20"/>
              </w:rPr>
              <w:t>Налог на доходы организаций по отрасли (подотрасли, виду деятельности)</w:t>
            </w:r>
          </w:p>
        </w:tc>
        <w:tc>
          <w:tcPr>
            <w:tcW w:w="1251" w:type="dxa"/>
            <w:vAlign w:val="center"/>
          </w:tcPr>
          <w:p w:rsidR="000320B8" w:rsidRPr="009654EB" w:rsidRDefault="000320B8" w:rsidP="000320B8">
            <w:pPr>
              <w:jc w:val="center"/>
              <w:rPr>
                <w:rFonts w:ascii="Times New Roman" w:hAnsi="Times New Roman"/>
                <w:bCs/>
                <w:sz w:val="20"/>
                <w:szCs w:val="20"/>
              </w:rPr>
            </w:pPr>
            <w:r w:rsidRPr="009654EB">
              <w:rPr>
                <w:rFonts w:ascii="Times New Roman" w:hAnsi="Times New Roman"/>
                <w:bCs/>
                <w:sz w:val="20"/>
                <w:szCs w:val="20"/>
              </w:rPr>
              <w:t>340 070 580</w:t>
            </w:r>
          </w:p>
        </w:tc>
        <w:tc>
          <w:tcPr>
            <w:tcW w:w="695" w:type="dxa"/>
            <w:vAlign w:val="center"/>
          </w:tcPr>
          <w:p w:rsidR="000320B8" w:rsidRPr="009654EB" w:rsidRDefault="000320B8" w:rsidP="000320B8">
            <w:pPr>
              <w:jc w:val="center"/>
              <w:rPr>
                <w:rFonts w:ascii="Times New Roman" w:hAnsi="Times New Roman"/>
                <w:bCs/>
                <w:sz w:val="20"/>
                <w:szCs w:val="20"/>
              </w:rPr>
            </w:pPr>
            <w:r w:rsidRPr="009654EB">
              <w:rPr>
                <w:rFonts w:ascii="Times New Roman" w:hAnsi="Times New Roman"/>
                <w:bCs/>
                <w:sz w:val="20"/>
                <w:szCs w:val="20"/>
              </w:rPr>
              <w:t>31,08</w:t>
            </w:r>
          </w:p>
        </w:tc>
        <w:tc>
          <w:tcPr>
            <w:tcW w:w="1250" w:type="dxa"/>
            <w:vAlign w:val="center"/>
          </w:tcPr>
          <w:p w:rsidR="000320B8" w:rsidRPr="009654EB" w:rsidRDefault="000320B8" w:rsidP="000320B8">
            <w:pPr>
              <w:jc w:val="right"/>
              <w:rPr>
                <w:rFonts w:ascii="Times New Roman" w:hAnsi="Times New Roman"/>
                <w:bCs/>
                <w:sz w:val="20"/>
                <w:szCs w:val="20"/>
              </w:rPr>
            </w:pPr>
            <w:r w:rsidRPr="009654EB">
              <w:rPr>
                <w:rFonts w:ascii="Times New Roman" w:hAnsi="Times New Roman"/>
                <w:bCs/>
                <w:sz w:val="20"/>
                <w:szCs w:val="20"/>
              </w:rPr>
              <w:t>367 994 626</w:t>
            </w:r>
          </w:p>
        </w:tc>
        <w:tc>
          <w:tcPr>
            <w:tcW w:w="834" w:type="dxa"/>
            <w:vAlign w:val="center"/>
          </w:tcPr>
          <w:p w:rsidR="000320B8" w:rsidRPr="009654EB" w:rsidRDefault="000320B8" w:rsidP="000320B8">
            <w:pPr>
              <w:jc w:val="right"/>
              <w:rPr>
                <w:rFonts w:ascii="Times New Roman" w:hAnsi="Times New Roman"/>
                <w:bCs/>
                <w:sz w:val="20"/>
                <w:szCs w:val="20"/>
              </w:rPr>
            </w:pPr>
            <w:r w:rsidRPr="009654EB">
              <w:rPr>
                <w:rFonts w:ascii="Times New Roman" w:hAnsi="Times New Roman"/>
                <w:bCs/>
                <w:sz w:val="20"/>
                <w:szCs w:val="20"/>
              </w:rPr>
              <w:t>99,55</w:t>
            </w:r>
          </w:p>
        </w:tc>
        <w:tc>
          <w:tcPr>
            <w:tcW w:w="695" w:type="dxa"/>
            <w:vAlign w:val="center"/>
          </w:tcPr>
          <w:p w:rsidR="000320B8" w:rsidRPr="009654EB" w:rsidRDefault="000320B8" w:rsidP="000320B8">
            <w:pPr>
              <w:jc w:val="right"/>
              <w:rPr>
                <w:rFonts w:ascii="Times New Roman" w:hAnsi="Times New Roman"/>
                <w:bCs/>
                <w:sz w:val="20"/>
                <w:szCs w:val="20"/>
              </w:rPr>
            </w:pPr>
            <w:r w:rsidRPr="009654EB">
              <w:rPr>
                <w:rFonts w:ascii="Times New Roman" w:hAnsi="Times New Roman"/>
                <w:bCs/>
                <w:sz w:val="20"/>
                <w:szCs w:val="20"/>
              </w:rPr>
              <w:t>27,49</w:t>
            </w:r>
          </w:p>
        </w:tc>
        <w:tc>
          <w:tcPr>
            <w:tcW w:w="1325" w:type="dxa"/>
            <w:vAlign w:val="center"/>
          </w:tcPr>
          <w:p w:rsidR="000320B8" w:rsidRPr="009654EB" w:rsidRDefault="000320B8" w:rsidP="000320B8">
            <w:pPr>
              <w:jc w:val="center"/>
              <w:rPr>
                <w:rFonts w:ascii="Times New Roman" w:hAnsi="Times New Roman"/>
                <w:sz w:val="20"/>
                <w:szCs w:val="20"/>
              </w:rPr>
            </w:pPr>
            <w:r w:rsidRPr="009654EB">
              <w:rPr>
                <w:rFonts w:ascii="Times New Roman" w:hAnsi="Times New Roman"/>
                <w:sz w:val="20"/>
                <w:szCs w:val="20"/>
              </w:rPr>
              <w:t>108,2</w:t>
            </w:r>
          </w:p>
        </w:tc>
      </w:tr>
      <w:tr w:rsidR="000320B8" w:rsidRPr="009654EB" w:rsidTr="000320B8">
        <w:trPr>
          <w:trHeight w:val="271"/>
          <w:jc w:val="center"/>
        </w:trPr>
        <w:tc>
          <w:tcPr>
            <w:tcW w:w="3726" w:type="dxa"/>
          </w:tcPr>
          <w:p w:rsidR="000320B8" w:rsidRPr="009654EB" w:rsidRDefault="000320B8" w:rsidP="000320B8">
            <w:pPr>
              <w:spacing w:after="0" w:line="240" w:lineRule="auto"/>
              <w:ind w:left="-76"/>
              <w:rPr>
                <w:rFonts w:ascii="Times New Roman" w:hAnsi="Times New Roman"/>
                <w:sz w:val="20"/>
                <w:szCs w:val="20"/>
              </w:rPr>
            </w:pPr>
            <w:r w:rsidRPr="009654EB">
              <w:rPr>
                <w:rFonts w:ascii="Times New Roman" w:hAnsi="Times New Roman"/>
                <w:sz w:val="20"/>
                <w:szCs w:val="20"/>
              </w:rPr>
              <w:t>Подоходный налог с физических лиц</w:t>
            </w:r>
          </w:p>
        </w:tc>
        <w:tc>
          <w:tcPr>
            <w:tcW w:w="1251" w:type="dxa"/>
          </w:tcPr>
          <w:p w:rsidR="000320B8" w:rsidRPr="009654EB" w:rsidRDefault="000320B8" w:rsidP="000320B8">
            <w:pPr>
              <w:spacing w:after="0"/>
              <w:jc w:val="center"/>
              <w:rPr>
                <w:rFonts w:ascii="Times New Roman" w:hAnsi="Times New Roman"/>
                <w:bCs/>
                <w:sz w:val="20"/>
                <w:szCs w:val="20"/>
              </w:rPr>
            </w:pPr>
            <w:r w:rsidRPr="009654EB">
              <w:rPr>
                <w:rFonts w:ascii="Times New Roman" w:hAnsi="Times New Roman"/>
                <w:bCs/>
                <w:sz w:val="20"/>
                <w:szCs w:val="20"/>
              </w:rPr>
              <w:t>216 145 323</w:t>
            </w:r>
          </w:p>
        </w:tc>
        <w:tc>
          <w:tcPr>
            <w:tcW w:w="695" w:type="dxa"/>
          </w:tcPr>
          <w:p w:rsidR="000320B8" w:rsidRPr="009654EB" w:rsidRDefault="000320B8" w:rsidP="000320B8">
            <w:pPr>
              <w:spacing w:after="0"/>
              <w:ind w:left="-126" w:right="-104"/>
              <w:jc w:val="center"/>
              <w:rPr>
                <w:rFonts w:ascii="Times New Roman" w:hAnsi="Times New Roman"/>
                <w:bCs/>
                <w:sz w:val="20"/>
                <w:szCs w:val="20"/>
              </w:rPr>
            </w:pPr>
            <w:r w:rsidRPr="009654EB">
              <w:rPr>
                <w:rFonts w:ascii="Times New Roman" w:hAnsi="Times New Roman"/>
                <w:bCs/>
                <w:sz w:val="20"/>
                <w:szCs w:val="20"/>
              </w:rPr>
              <w:t>19,75</w:t>
            </w:r>
          </w:p>
        </w:tc>
        <w:tc>
          <w:tcPr>
            <w:tcW w:w="1250" w:type="dxa"/>
          </w:tcPr>
          <w:p w:rsidR="000320B8" w:rsidRPr="009654EB" w:rsidRDefault="000320B8" w:rsidP="000320B8">
            <w:pPr>
              <w:spacing w:after="0"/>
              <w:jc w:val="center"/>
              <w:rPr>
                <w:rFonts w:ascii="Times New Roman" w:hAnsi="Times New Roman"/>
                <w:bCs/>
                <w:sz w:val="20"/>
                <w:szCs w:val="20"/>
              </w:rPr>
            </w:pPr>
            <w:r w:rsidRPr="009654EB">
              <w:rPr>
                <w:rFonts w:ascii="Times New Roman" w:hAnsi="Times New Roman"/>
                <w:bCs/>
                <w:sz w:val="20"/>
                <w:szCs w:val="20"/>
              </w:rPr>
              <w:t>224 739 638</w:t>
            </w:r>
          </w:p>
        </w:tc>
        <w:tc>
          <w:tcPr>
            <w:tcW w:w="834" w:type="dxa"/>
          </w:tcPr>
          <w:p w:rsidR="000320B8" w:rsidRPr="009654EB" w:rsidRDefault="000320B8" w:rsidP="000320B8">
            <w:pPr>
              <w:spacing w:after="0"/>
              <w:jc w:val="center"/>
              <w:rPr>
                <w:rFonts w:ascii="Times New Roman" w:hAnsi="Times New Roman"/>
                <w:bCs/>
                <w:sz w:val="20"/>
                <w:szCs w:val="20"/>
              </w:rPr>
            </w:pPr>
            <w:r w:rsidRPr="009654EB">
              <w:rPr>
                <w:rFonts w:ascii="Times New Roman" w:hAnsi="Times New Roman"/>
                <w:bCs/>
                <w:sz w:val="20"/>
                <w:szCs w:val="20"/>
              </w:rPr>
              <w:t>109,60</w:t>
            </w:r>
          </w:p>
        </w:tc>
        <w:tc>
          <w:tcPr>
            <w:tcW w:w="695" w:type="dxa"/>
          </w:tcPr>
          <w:p w:rsidR="000320B8" w:rsidRPr="009654EB" w:rsidRDefault="000320B8" w:rsidP="000320B8">
            <w:pPr>
              <w:spacing w:after="0"/>
              <w:jc w:val="center"/>
              <w:rPr>
                <w:rFonts w:ascii="Times New Roman" w:hAnsi="Times New Roman"/>
                <w:bCs/>
                <w:sz w:val="20"/>
                <w:szCs w:val="20"/>
              </w:rPr>
            </w:pPr>
            <w:r w:rsidRPr="009654EB">
              <w:rPr>
                <w:rFonts w:ascii="Times New Roman" w:hAnsi="Times New Roman"/>
                <w:bCs/>
                <w:sz w:val="20"/>
                <w:szCs w:val="20"/>
              </w:rPr>
              <w:t>16,79</w:t>
            </w:r>
          </w:p>
        </w:tc>
        <w:tc>
          <w:tcPr>
            <w:tcW w:w="1325" w:type="dxa"/>
          </w:tcPr>
          <w:p w:rsidR="000320B8" w:rsidRPr="009654EB" w:rsidRDefault="000320B8" w:rsidP="000320B8">
            <w:pPr>
              <w:spacing w:after="0"/>
              <w:jc w:val="center"/>
              <w:rPr>
                <w:rFonts w:ascii="Times New Roman" w:hAnsi="Times New Roman"/>
                <w:sz w:val="20"/>
                <w:szCs w:val="20"/>
              </w:rPr>
            </w:pPr>
            <w:r w:rsidRPr="009654EB">
              <w:rPr>
                <w:rFonts w:ascii="Times New Roman" w:hAnsi="Times New Roman"/>
                <w:sz w:val="20"/>
                <w:szCs w:val="20"/>
              </w:rPr>
              <w:t>104,0</w:t>
            </w:r>
          </w:p>
        </w:tc>
      </w:tr>
      <w:tr w:rsidR="000320B8" w:rsidRPr="009654EB" w:rsidTr="000320B8">
        <w:trPr>
          <w:trHeight w:val="363"/>
          <w:jc w:val="center"/>
        </w:trPr>
        <w:tc>
          <w:tcPr>
            <w:tcW w:w="3726" w:type="dxa"/>
          </w:tcPr>
          <w:p w:rsidR="000320B8" w:rsidRPr="009654EB" w:rsidRDefault="000320B8" w:rsidP="000320B8">
            <w:pPr>
              <w:spacing w:after="0" w:line="240" w:lineRule="auto"/>
              <w:ind w:left="-91" w:right="-170"/>
              <w:rPr>
                <w:rFonts w:ascii="Times New Roman" w:hAnsi="Times New Roman"/>
                <w:sz w:val="20"/>
                <w:szCs w:val="20"/>
              </w:rPr>
            </w:pPr>
            <w:r w:rsidRPr="009654EB">
              <w:rPr>
                <w:rFonts w:ascii="Times New Roman" w:hAnsi="Times New Roman"/>
                <w:sz w:val="20"/>
                <w:szCs w:val="20"/>
              </w:rPr>
              <w:t>Налоги на товары и услуги, лицензионные и регистрационные сборы</w:t>
            </w:r>
          </w:p>
        </w:tc>
        <w:tc>
          <w:tcPr>
            <w:tcW w:w="1251" w:type="dxa"/>
            <w:vAlign w:val="center"/>
          </w:tcPr>
          <w:p w:rsidR="000320B8" w:rsidRPr="009654EB" w:rsidRDefault="000320B8" w:rsidP="000320B8">
            <w:pPr>
              <w:jc w:val="center"/>
              <w:rPr>
                <w:rFonts w:ascii="Times New Roman" w:hAnsi="Times New Roman"/>
                <w:sz w:val="20"/>
                <w:szCs w:val="20"/>
              </w:rPr>
            </w:pPr>
            <w:r w:rsidRPr="009654EB">
              <w:rPr>
                <w:rFonts w:ascii="Times New Roman" w:hAnsi="Times New Roman"/>
                <w:sz w:val="20"/>
                <w:szCs w:val="20"/>
              </w:rPr>
              <w:t>100 664 225</w:t>
            </w:r>
          </w:p>
        </w:tc>
        <w:tc>
          <w:tcPr>
            <w:tcW w:w="695" w:type="dxa"/>
            <w:vAlign w:val="center"/>
          </w:tcPr>
          <w:p w:rsidR="000320B8" w:rsidRPr="009654EB" w:rsidRDefault="000320B8" w:rsidP="000320B8">
            <w:pPr>
              <w:ind w:left="-126" w:right="-104"/>
              <w:jc w:val="center"/>
              <w:rPr>
                <w:rFonts w:ascii="Times New Roman" w:hAnsi="Times New Roman"/>
                <w:sz w:val="20"/>
                <w:szCs w:val="20"/>
              </w:rPr>
            </w:pPr>
            <w:r w:rsidRPr="009654EB">
              <w:rPr>
                <w:rFonts w:ascii="Times New Roman" w:hAnsi="Times New Roman"/>
                <w:sz w:val="20"/>
                <w:szCs w:val="20"/>
              </w:rPr>
              <w:t>9,20</w:t>
            </w:r>
          </w:p>
        </w:tc>
        <w:tc>
          <w:tcPr>
            <w:tcW w:w="1250" w:type="dxa"/>
            <w:vAlign w:val="center"/>
          </w:tcPr>
          <w:p w:rsidR="000320B8" w:rsidRPr="009654EB" w:rsidRDefault="000320B8" w:rsidP="000320B8">
            <w:pPr>
              <w:jc w:val="center"/>
              <w:rPr>
                <w:rFonts w:ascii="Times New Roman" w:hAnsi="Times New Roman"/>
                <w:sz w:val="20"/>
                <w:szCs w:val="20"/>
              </w:rPr>
            </w:pPr>
            <w:r w:rsidRPr="009654EB">
              <w:rPr>
                <w:rFonts w:ascii="Times New Roman" w:hAnsi="Times New Roman"/>
                <w:sz w:val="20"/>
                <w:szCs w:val="20"/>
              </w:rPr>
              <w:t>307 963 834</w:t>
            </w:r>
          </w:p>
        </w:tc>
        <w:tc>
          <w:tcPr>
            <w:tcW w:w="834" w:type="dxa"/>
            <w:vAlign w:val="center"/>
          </w:tcPr>
          <w:p w:rsidR="000320B8" w:rsidRPr="009654EB" w:rsidRDefault="000320B8" w:rsidP="000320B8">
            <w:pPr>
              <w:jc w:val="center"/>
              <w:rPr>
                <w:rFonts w:ascii="Times New Roman" w:hAnsi="Times New Roman"/>
                <w:sz w:val="20"/>
                <w:szCs w:val="20"/>
              </w:rPr>
            </w:pPr>
            <w:r w:rsidRPr="009654EB">
              <w:rPr>
                <w:rFonts w:ascii="Times New Roman" w:hAnsi="Times New Roman"/>
                <w:sz w:val="20"/>
                <w:szCs w:val="20"/>
              </w:rPr>
              <w:t>93,5</w:t>
            </w:r>
          </w:p>
        </w:tc>
        <w:tc>
          <w:tcPr>
            <w:tcW w:w="695" w:type="dxa"/>
            <w:vAlign w:val="center"/>
          </w:tcPr>
          <w:p w:rsidR="000320B8" w:rsidRPr="009654EB" w:rsidRDefault="000320B8" w:rsidP="000320B8">
            <w:pPr>
              <w:jc w:val="center"/>
              <w:rPr>
                <w:rFonts w:ascii="Times New Roman" w:hAnsi="Times New Roman"/>
                <w:sz w:val="20"/>
                <w:szCs w:val="20"/>
              </w:rPr>
            </w:pPr>
            <w:r w:rsidRPr="009654EB">
              <w:rPr>
                <w:rFonts w:ascii="Times New Roman" w:hAnsi="Times New Roman"/>
                <w:sz w:val="20"/>
                <w:szCs w:val="20"/>
              </w:rPr>
              <w:t>23,01</w:t>
            </w:r>
          </w:p>
        </w:tc>
        <w:tc>
          <w:tcPr>
            <w:tcW w:w="1325" w:type="dxa"/>
            <w:vAlign w:val="center"/>
          </w:tcPr>
          <w:p w:rsidR="000320B8" w:rsidRPr="009654EB" w:rsidRDefault="000320B8" w:rsidP="000320B8">
            <w:pPr>
              <w:jc w:val="center"/>
              <w:rPr>
                <w:rFonts w:ascii="Times New Roman" w:hAnsi="Times New Roman"/>
                <w:sz w:val="20"/>
                <w:szCs w:val="20"/>
              </w:rPr>
            </w:pPr>
            <w:r w:rsidRPr="009654EB">
              <w:rPr>
                <w:rFonts w:ascii="Times New Roman" w:hAnsi="Times New Roman"/>
                <w:sz w:val="20"/>
                <w:szCs w:val="20"/>
              </w:rPr>
              <w:t>в 3,1 раз</w:t>
            </w:r>
          </w:p>
        </w:tc>
      </w:tr>
      <w:tr w:rsidR="000320B8" w:rsidRPr="009654EB" w:rsidTr="000320B8">
        <w:trPr>
          <w:trHeight w:val="224"/>
          <w:jc w:val="center"/>
        </w:trPr>
        <w:tc>
          <w:tcPr>
            <w:tcW w:w="3726" w:type="dxa"/>
          </w:tcPr>
          <w:p w:rsidR="000320B8" w:rsidRPr="009654EB" w:rsidRDefault="000320B8" w:rsidP="000320B8">
            <w:pPr>
              <w:spacing w:after="0" w:line="240" w:lineRule="auto"/>
              <w:ind w:left="-91" w:right="-170"/>
              <w:rPr>
                <w:rFonts w:ascii="Times New Roman" w:hAnsi="Times New Roman"/>
                <w:sz w:val="20"/>
                <w:szCs w:val="20"/>
              </w:rPr>
            </w:pPr>
            <w:r w:rsidRPr="009654EB">
              <w:rPr>
                <w:rFonts w:ascii="Times New Roman" w:hAnsi="Times New Roman"/>
                <w:sz w:val="20"/>
                <w:szCs w:val="20"/>
              </w:rPr>
              <w:t>Налог на игорную деятельность</w:t>
            </w:r>
          </w:p>
        </w:tc>
        <w:tc>
          <w:tcPr>
            <w:tcW w:w="1251" w:type="dxa"/>
            <w:vAlign w:val="center"/>
          </w:tcPr>
          <w:p w:rsidR="000320B8" w:rsidRPr="009654EB" w:rsidRDefault="000320B8" w:rsidP="000320B8">
            <w:pPr>
              <w:spacing w:after="0"/>
              <w:jc w:val="center"/>
              <w:rPr>
                <w:rFonts w:ascii="Times New Roman" w:hAnsi="Times New Roman"/>
                <w:sz w:val="20"/>
                <w:szCs w:val="20"/>
              </w:rPr>
            </w:pPr>
            <w:r w:rsidRPr="009654EB">
              <w:rPr>
                <w:rFonts w:ascii="Times New Roman" w:hAnsi="Times New Roman"/>
                <w:sz w:val="20"/>
                <w:szCs w:val="20"/>
              </w:rPr>
              <w:t>5 737 340</w:t>
            </w:r>
          </w:p>
        </w:tc>
        <w:tc>
          <w:tcPr>
            <w:tcW w:w="695" w:type="dxa"/>
            <w:vAlign w:val="center"/>
          </w:tcPr>
          <w:p w:rsidR="000320B8" w:rsidRPr="009654EB" w:rsidRDefault="000320B8" w:rsidP="000320B8">
            <w:pPr>
              <w:spacing w:after="0"/>
              <w:ind w:left="-126" w:right="-104"/>
              <w:jc w:val="center"/>
              <w:rPr>
                <w:rFonts w:ascii="Times New Roman" w:hAnsi="Times New Roman"/>
                <w:sz w:val="20"/>
                <w:szCs w:val="20"/>
              </w:rPr>
            </w:pPr>
            <w:r w:rsidRPr="009654EB">
              <w:rPr>
                <w:rFonts w:ascii="Times New Roman" w:hAnsi="Times New Roman"/>
                <w:sz w:val="20"/>
                <w:szCs w:val="20"/>
              </w:rPr>
              <w:t>0,52</w:t>
            </w:r>
          </w:p>
        </w:tc>
        <w:tc>
          <w:tcPr>
            <w:tcW w:w="1250" w:type="dxa"/>
            <w:vAlign w:val="center"/>
          </w:tcPr>
          <w:p w:rsidR="000320B8" w:rsidRPr="009654EB" w:rsidRDefault="000320B8" w:rsidP="000320B8">
            <w:pPr>
              <w:spacing w:after="0"/>
              <w:jc w:val="right"/>
              <w:rPr>
                <w:rFonts w:ascii="Times New Roman" w:hAnsi="Times New Roman"/>
                <w:sz w:val="20"/>
                <w:szCs w:val="20"/>
              </w:rPr>
            </w:pPr>
            <w:r w:rsidRPr="009654EB">
              <w:rPr>
                <w:rFonts w:ascii="Times New Roman" w:hAnsi="Times New Roman"/>
                <w:sz w:val="20"/>
                <w:szCs w:val="20"/>
              </w:rPr>
              <w:t xml:space="preserve">6 710 799 </w:t>
            </w:r>
          </w:p>
        </w:tc>
        <w:tc>
          <w:tcPr>
            <w:tcW w:w="834" w:type="dxa"/>
            <w:vAlign w:val="center"/>
          </w:tcPr>
          <w:p w:rsidR="000320B8" w:rsidRPr="009654EB" w:rsidRDefault="000320B8" w:rsidP="000320B8">
            <w:pPr>
              <w:spacing w:after="0"/>
              <w:jc w:val="right"/>
              <w:rPr>
                <w:rFonts w:ascii="Times New Roman" w:hAnsi="Times New Roman"/>
                <w:sz w:val="20"/>
                <w:szCs w:val="20"/>
              </w:rPr>
            </w:pPr>
            <w:r w:rsidRPr="009654EB">
              <w:rPr>
                <w:rFonts w:ascii="Times New Roman" w:hAnsi="Times New Roman"/>
                <w:sz w:val="20"/>
                <w:szCs w:val="20"/>
              </w:rPr>
              <w:t>109,77</w:t>
            </w:r>
          </w:p>
        </w:tc>
        <w:tc>
          <w:tcPr>
            <w:tcW w:w="695" w:type="dxa"/>
            <w:vAlign w:val="center"/>
          </w:tcPr>
          <w:p w:rsidR="000320B8" w:rsidRPr="009654EB" w:rsidRDefault="000320B8" w:rsidP="000320B8">
            <w:pPr>
              <w:spacing w:after="0"/>
              <w:jc w:val="right"/>
              <w:rPr>
                <w:rFonts w:ascii="Times New Roman" w:hAnsi="Times New Roman"/>
                <w:sz w:val="20"/>
                <w:szCs w:val="20"/>
              </w:rPr>
            </w:pPr>
            <w:r w:rsidRPr="009654EB">
              <w:rPr>
                <w:rFonts w:ascii="Times New Roman" w:hAnsi="Times New Roman"/>
                <w:sz w:val="20"/>
                <w:szCs w:val="20"/>
              </w:rPr>
              <w:t>0,50</w:t>
            </w:r>
          </w:p>
        </w:tc>
        <w:tc>
          <w:tcPr>
            <w:tcW w:w="1325" w:type="dxa"/>
            <w:vAlign w:val="center"/>
          </w:tcPr>
          <w:p w:rsidR="000320B8" w:rsidRPr="009654EB" w:rsidRDefault="000320B8" w:rsidP="000320B8">
            <w:pPr>
              <w:spacing w:after="0"/>
              <w:jc w:val="center"/>
              <w:rPr>
                <w:rFonts w:ascii="Times New Roman" w:hAnsi="Times New Roman"/>
                <w:sz w:val="20"/>
                <w:szCs w:val="20"/>
              </w:rPr>
            </w:pPr>
            <w:r w:rsidRPr="009654EB">
              <w:rPr>
                <w:rFonts w:ascii="Times New Roman" w:hAnsi="Times New Roman"/>
                <w:sz w:val="20"/>
                <w:szCs w:val="20"/>
              </w:rPr>
              <w:t>117,0</w:t>
            </w:r>
          </w:p>
        </w:tc>
      </w:tr>
      <w:tr w:rsidR="000320B8" w:rsidRPr="009654EB" w:rsidTr="000320B8">
        <w:trPr>
          <w:trHeight w:val="387"/>
          <w:jc w:val="center"/>
        </w:trPr>
        <w:tc>
          <w:tcPr>
            <w:tcW w:w="3726" w:type="dxa"/>
          </w:tcPr>
          <w:p w:rsidR="000320B8" w:rsidRPr="009654EB" w:rsidRDefault="000320B8" w:rsidP="000320B8">
            <w:pPr>
              <w:spacing w:after="0" w:line="240" w:lineRule="auto"/>
              <w:ind w:left="-91" w:right="-170"/>
              <w:rPr>
                <w:rFonts w:ascii="Times New Roman" w:hAnsi="Times New Roman"/>
                <w:sz w:val="20"/>
                <w:szCs w:val="20"/>
              </w:rPr>
            </w:pPr>
            <w:r w:rsidRPr="009654EB">
              <w:rPr>
                <w:rFonts w:ascii="Times New Roman" w:hAnsi="Times New Roman"/>
                <w:sz w:val="20"/>
                <w:szCs w:val="20"/>
              </w:rPr>
              <w:t>Платежи за пользование природными ресурсами</w:t>
            </w:r>
          </w:p>
        </w:tc>
        <w:tc>
          <w:tcPr>
            <w:tcW w:w="1251" w:type="dxa"/>
            <w:vAlign w:val="center"/>
          </w:tcPr>
          <w:p w:rsidR="000320B8" w:rsidRPr="009654EB" w:rsidRDefault="000320B8" w:rsidP="000320B8">
            <w:pPr>
              <w:jc w:val="center"/>
              <w:rPr>
                <w:rFonts w:ascii="Times New Roman" w:hAnsi="Times New Roman"/>
                <w:sz w:val="20"/>
                <w:szCs w:val="20"/>
              </w:rPr>
            </w:pPr>
            <w:r w:rsidRPr="009654EB">
              <w:rPr>
                <w:rFonts w:ascii="Times New Roman" w:hAnsi="Times New Roman"/>
                <w:sz w:val="20"/>
                <w:szCs w:val="20"/>
              </w:rPr>
              <w:t>33 499 946</w:t>
            </w:r>
          </w:p>
        </w:tc>
        <w:tc>
          <w:tcPr>
            <w:tcW w:w="695" w:type="dxa"/>
            <w:vAlign w:val="center"/>
          </w:tcPr>
          <w:p w:rsidR="000320B8" w:rsidRPr="009654EB" w:rsidRDefault="000320B8" w:rsidP="000320B8">
            <w:pPr>
              <w:jc w:val="center"/>
              <w:rPr>
                <w:rFonts w:ascii="Times New Roman" w:hAnsi="Times New Roman"/>
                <w:sz w:val="20"/>
                <w:szCs w:val="20"/>
              </w:rPr>
            </w:pPr>
            <w:r w:rsidRPr="009654EB">
              <w:rPr>
                <w:rFonts w:ascii="Times New Roman" w:hAnsi="Times New Roman"/>
                <w:sz w:val="20"/>
                <w:szCs w:val="20"/>
              </w:rPr>
              <w:t>3,06</w:t>
            </w:r>
          </w:p>
        </w:tc>
        <w:tc>
          <w:tcPr>
            <w:tcW w:w="1250" w:type="dxa"/>
            <w:vAlign w:val="center"/>
          </w:tcPr>
          <w:p w:rsidR="000320B8" w:rsidRPr="009654EB" w:rsidRDefault="000320B8" w:rsidP="000320B8">
            <w:pPr>
              <w:jc w:val="right"/>
              <w:rPr>
                <w:rFonts w:ascii="Times New Roman" w:hAnsi="Times New Roman"/>
                <w:sz w:val="20"/>
                <w:szCs w:val="20"/>
              </w:rPr>
            </w:pPr>
            <w:r w:rsidRPr="009654EB">
              <w:rPr>
                <w:rFonts w:ascii="Times New Roman" w:hAnsi="Times New Roman"/>
                <w:sz w:val="20"/>
                <w:szCs w:val="20"/>
              </w:rPr>
              <w:t>34 573 747</w:t>
            </w:r>
          </w:p>
        </w:tc>
        <w:tc>
          <w:tcPr>
            <w:tcW w:w="834" w:type="dxa"/>
            <w:vAlign w:val="center"/>
          </w:tcPr>
          <w:p w:rsidR="000320B8" w:rsidRPr="009654EB" w:rsidRDefault="000320B8" w:rsidP="000320B8">
            <w:pPr>
              <w:jc w:val="right"/>
              <w:rPr>
                <w:rFonts w:ascii="Times New Roman" w:hAnsi="Times New Roman"/>
                <w:sz w:val="20"/>
                <w:szCs w:val="20"/>
              </w:rPr>
            </w:pPr>
            <w:r w:rsidRPr="009654EB">
              <w:rPr>
                <w:rFonts w:ascii="Times New Roman" w:hAnsi="Times New Roman"/>
                <w:sz w:val="20"/>
                <w:szCs w:val="20"/>
              </w:rPr>
              <w:t>112,90</w:t>
            </w:r>
          </w:p>
        </w:tc>
        <w:tc>
          <w:tcPr>
            <w:tcW w:w="695" w:type="dxa"/>
            <w:vAlign w:val="center"/>
          </w:tcPr>
          <w:p w:rsidR="000320B8" w:rsidRPr="009654EB" w:rsidRDefault="000320B8" w:rsidP="000320B8">
            <w:pPr>
              <w:jc w:val="right"/>
              <w:rPr>
                <w:rFonts w:ascii="Times New Roman" w:hAnsi="Times New Roman"/>
                <w:sz w:val="20"/>
                <w:szCs w:val="20"/>
              </w:rPr>
            </w:pPr>
            <w:r w:rsidRPr="009654EB">
              <w:rPr>
                <w:rFonts w:ascii="Times New Roman" w:hAnsi="Times New Roman"/>
                <w:sz w:val="20"/>
                <w:szCs w:val="20"/>
              </w:rPr>
              <w:t>2,58</w:t>
            </w:r>
          </w:p>
        </w:tc>
        <w:tc>
          <w:tcPr>
            <w:tcW w:w="1325" w:type="dxa"/>
            <w:vAlign w:val="center"/>
          </w:tcPr>
          <w:p w:rsidR="000320B8" w:rsidRPr="009654EB" w:rsidRDefault="000320B8" w:rsidP="000320B8">
            <w:pPr>
              <w:jc w:val="center"/>
              <w:rPr>
                <w:rFonts w:ascii="Times New Roman" w:hAnsi="Times New Roman"/>
                <w:sz w:val="20"/>
                <w:szCs w:val="20"/>
              </w:rPr>
            </w:pPr>
            <w:r w:rsidRPr="009654EB">
              <w:rPr>
                <w:rFonts w:ascii="Times New Roman" w:hAnsi="Times New Roman"/>
                <w:sz w:val="20"/>
                <w:szCs w:val="20"/>
              </w:rPr>
              <w:t>103,2</w:t>
            </w:r>
          </w:p>
        </w:tc>
      </w:tr>
      <w:tr w:rsidR="000320B8" w:rsidRPr="009654EB" w:rsidTr="000320B8">
        <w:trPr>
          <w:trHeight w:val="532"/>
          <w:jc w:val="center"/>
        </w:trPr>
        <w:tc>
          <w:tcPr>
            <w:tcW w:w="3726" w:type="dxa"/>
          </w:tcPr>
          <w:p w:rsidR="000320B8" w:rsidRPr="009654EB" w:rsidRDefault="000320B8" w:rsidP="000320B8">
            <w:pPr>
              <w:spacing w:after="0" w:line="240" w:lineRule="auto"/>
              <w:ind w:left="-91" w:right="-170"/>
              <w:rPr>
                <w:rFonts w:ascii="Times New Roman" w:hAnsi="Times New Roman"/>
                <w:sz w:val="20"/>
                <w:szCs w:val="20"/>
              </w:rPr>
            </w:pPr>
            <w:r w:rsidRPr="009654EB">
              <w:rPr>
                <w:rFonts w:ascii="Times New Roman" w:hAnsi="Times New Roman"/>
                <w:sz w:val="20"/>
                <w:szCs w:val="20"/>
              </w:rPr>
              <w:t>Налоги на внешнюю торговлю и внешнеэкономические операции</w:t>
            </w:r>
          </w:p>
        </w:tc>
        <w:tc>
          <w:tcPr>
            <w:tcW w:w="1251" w:type="dxa"/>
            <w:vAlign w:val="center"/>
          </w:tcPr>
          <w:p w:rsidR="000320B8" w:rsidRPr="009654EB" w:rsidRDefault="000320B8" w:rsidP="000320B8">
            <w:pPr>
              <w:jc w:val="center"/>
              <w:rPr>
                <w:rFonts w:ascii="Times New Roman" w:hAnsi="Times New Roman"/>
                <w:sz w:val="20"/>
                <w:szCs w:val="20"/>
              </w:rPr>
            </w:pPr>
            <w:r w:rsidRPr="009654EB">
              <w:rPr>
                <w:rFonts w:ascii="Times New Roman" w:hAnsi="Times New Roman"/>
                <w:sz w:val="20"/>
                <w:szCs w:val="20"/>
              </w:rPr>
              <w:t>355 330 773</w:t>
            </w:r>
          </w:p>
        </w:tc>
        <w:tc>
          <w:tcPr>
            <w:tcW w:w="695" w:type="dxa"/>
            <w:vAlign w:val="center"/>
          </w:tcPr>
          <w:p w:rsidR="000320B8" w:rsidRPr="009654EB" w:rsidRDefault="000320B8" w:rsidP="000320B8">
            <w:pPr>
              <w:jc w:val="center"/>
              <w:rPr>
                <w:rFonts w:ascii="Times New Roman" w:hAnsi="Times New Roman"/>
                <w:sz w:val="20"/>
                <w:szCs w:val="20"/>
              </w:rPr>
            </w:pPr>
            <w:r w:rsidRPr="009654EB">
              <w:rPr>
                <w:rFonts w:ascii="Times New Roman" w:hAnsi="Times New Roman"/>
                <w:sz w:val="20"/>
                <w:szCs w:val="20"/>
              </w:rPr>
              <w:t>32,47</w:t>
            </w:r>
          </w:p>
        </w:tc>
        <w:tc>
          <w:tcPr>
            <w:tcW w:w="1250" w:type="dxa"/>
            <w:vAlign w:val="center"/>
          </w:tcPr>
          <w:p w:rsidR="000320B8" w:rsidRPr="009654EB" w:rsidRDefault="000320B8" w:rsidP="000320B8">
            <w:pPr>
              <w:jc w:val="right"/>
              <w:rPr>
                <w:rFonts w:ascii="Times New Roman" w:hAnsi="Times New Roman"/>
                <w:sz w:val="20"/>
                <w:szCs w:val="20"/>
              </w:rPr>
            </w:pPr>
            <w:r w:rsidRPr="009654EB">
              <w:rPr>
                <w:rFonts w:ascii="Times New Roman" w:hAnsi="Times New Roman"/>
                <w:sz w:val="20"/>
                <w:szCs w:val="20"/>
              </w:rPr>
              <w:t>340 117 023</w:t>
            </w:r>
          </w:p>
        </w:tc>
        <w:tc>
          <w:tcPr>
            <w:tcW w:w="834" w:type="dxa"/>
            <w:vAlign w:val="center"/>
          </w:tcPr>
          <w:p w:rsidR="000320B8" w:rsidRPr="009654EB" w:rsidRDefault="000320B8" w:rsidP="000320B8">
            <w:pPr>
              <w:jc w:val="right"/>
              <w:rPr>
                <w:rFonts w:ascii="Times New Roman" w:hAnsi="Times New Roman"/>
                <w:sz w:val="20"/>
                <w:szCs w:val="20"/>
              </w:rPr>
            </w:pPr>
            <w:r w:rsidRPr="009654EB">
              <w:rPr>
                <w:rFonts w:ascii="Times New Roman" w:hAnsi="Times New Roman"/>
                <w:sz w:val="20"/>
                <w:szCs w:val="20"/>
              </w:rPr>
              <w:t>118,53</w:t>
            </w:r>
          </w:p>
        </w:tc>
        <w:tc>
          <w:tcPr>
            <w:tcW w:w="695" w:type="dxa"/>
            <w:vAlign w:val="center"/>
          </w:tcPr>
          <w:p w:rsidR="000320B8" w:rsidRPr="009654EB" w:rsidRDefault="000320B8" w:rsidP="000320B8">
            <w:pPr>
              <w:jc w:val="right"/>
              <w:rPr>
                <w:rFonts w:ascii="Times New Roman" w:hAnsi="Times New Roman"/>
                <w:sz w:val="20"/>
                <w:szCs w:val="20"/>
              </w:rPr>
            </w:pPr>
            <w:r w:rsidRPr="009654EB">
              <w:rPr>
                <w:rFonts w:ascii="Times New Roman" w:hAnsi="Times New Roman"/>
                <w:sz w:val="20"/>
                <w:szCs w:val="20"/>
              </w:rPr>
              <w:t>25,41</w:t>
            </w:r>
          </w:p>
        </w:tc>
        <w:tc>
          <w:tcPr>
            <w:tcW w:w="1325" w:type="dxa"/>
            <w:vAlign w:val="center"/>
          </w:tcPr>
          <w:p w:rsidR="000320B8" w:rsidRPr="009654EB" w:rsidRDefault="000320B8" w:rsidP="000320B8">
            <w:pPr>
              <w:jc w:val="center"/>
              <w:rPr>
                <w:rFonts w:ascii="Times New Roman" w:hAnsi="Times New Roman"/>
                <w:sz w:val="20"/>
                <w:szCs w:val="20"/>
              </w:rPr>
            </w:pPr>
            <w:r w:rsidRPr="009654EB">
              <w:rPr>
                <w:rFonts w:ascii="Times New Roman" w:hAnsi="Times New Roman"/>
                <w:sz w:val="20"/>
                <w:szCs w:val="20"/>
              </w:rPr>
              <w:t>95,7</w:t>
            </w:r>
          </w:p>
        </w:tc>
      </w:tr>
      <w:tr w:rsidR="000320B8" w:rsidRPr="00D848B3" w:rsidTr="000320B8">
        <w:trPr>
          <w:trHeight w:val="303"/>
          <w:jc w:val="center"/>
        </w:trPr>
        <w:tc>
          <w:tcPr>
            <w:tcW w:w="3726" w:type="dxa"/>
          </w:tcPr>
          <w:p w:rsidR="000320B8" w:rsidRPr="009654EB" w:rsidRDefault="000320B8" w:rsidP="000320B8">
            <w:pPr>
              <w:spacing w:after="0" w:line="240" w:lineRule="auto"/>
              <w:ind w:left="-91" w:right="-170"/>
              <w:rPr>
                <w:rFonts w:ascii="Times New Roman" w:hAnsi="Times New Roman"/>
                <w:sz w:val="20"/>
                <w:szCs w:val="20"/>
              </w:rPr>
            </w:pPr>
            <w:r w:rsidRPr="009654EB">
              <w:rPr>
                <w:rFonts w:ascii="Times New Roman" w:hAnsi="Times New Roman"/>
                <w:sz w:val="20"/>
                <w:szCs w:val="20"/>
              </w:rPr>
              <w:t>Прочие налоги, пошлины и сборы</w:t>
            </w:r>
          </w:p>
        </w:tc>
        <w:tc>
          <w:tcPr>
            <w:tcW w:w="1251" w:type="dxa"/>
          </w:tcPr>
          <w:p w:rsidR="000320B8" w:rsidRPr="009654EB" w:rsidRDefault="000320B8" w:rsidP="000320B8">
            <w:pPr>
              <w:spacing w:after="0"/>
              <w:rPr>
                <w:rFonts w:ascii="Times New Roman" w:hAnsi="Times New Roman"/>
                <w:sz w:val="20"/>
                <w:szCs w:val="20"/>
              </w:rPr>
            </w:pPr>
            <w:r w:rsidRPr="009654EB">
              <w:rPr>
                <w:rFonts w:ascii="Times New Roman" w:hAnsi="Times New Roman"/>
                <w:sz w:val="20"/>
                <w:szCs w:val="20"/>
              </w:rPr>
              <w:t>39 590 609</w:t>
            </w:r>
          </w:p>
        </w:tc>
        <w:tc>
          <w:tcPr>
            <w:tcW w:w="695" w:type="dxa"/>
          </w:tcPr>
          <w:p w:rsidR="000320B8" w:rsidRPr="009654EB" w:rsidRDefault="000320B8" w:rsidP="000320B8">
            <w:pPr>
              <w:spacing w:after="0"/>
              <w:rPr>
                <w:rFonts w:ascii="Times New Roman" w:hAnsi="Times New Roman"/>
                <w:sz w:val="20"/>
                <w:szCs w:val="20"/>
              </w:rPr>
            </w:pPr>
            <w:r w:rsidRPr="009654EB">
              <w:rPr>
                <w:rFonts w:ascii="Times New Roman" w:hAnsi="Times New Roman"/>
                <w:sz w:val="20"/>
                <w:szCs w:val="20"/>
              </w:rPr>
              <w:t>3,62</w:t>
            </w:r>
          </w:p>
        </w:tc>
        <w:tc>
          <w:tcPr>
            <w:tcW w:w="1250" w:type="dxa"/>
          </w:tcPr>
          <w:p w:rsidR="000320B8" w:rsidRPr="009654EB" w:rsidRDefault="000320B8" w:rsidP="000320B8">
            <w:pPr>
              <w:spacing w:after="0"/>
              <w:ind w:right="-130"/>
              <w:rPr>
                <w:rFonts w:ascii="Times New Roman" w:hAnsi="Times New Roman"/>
                <w:sz w:val="20"/>
                <w:szCs w:val="20"/>
              </w:rPr>
            </w:pPr>
            <w:r w:rsidRPr="009654EB">
              <w:rPr>
                <w:rFonts w:ascii="Times New Roman" w:hAnsi="Times New Roman"/>
                <w:sz w:val="20"/>
                <w:szCs w:val="20"/>
              </w:rPr>
              <w:t>48 088 153</w:t>
            </w:r>
          </w:p>
        </w:tc>
        <w:tc>
          <w:tcPr>
            <w:tcW w:w="834" w:type="dxa"/>
          </w:tcPr>
          <w:p w:rsidR="000320B8" w:rsidRPr="009654EB" w:rsidRDefault="000320B8" w:rsidP="000320B8">
            <w:pPr>
              <w:spacing w:after="0"/>
              <w:rPr>
                <w:rFonts w:ascii="Times New Roman" w:hAnsi="Times New Roman"/>
                <w:sz w:val="20"/>
                <w:szCs w:val="20"/>
              </w:rPr>
            </w:pPr>
            <w:r w:rsidRPr="009654EB">
              <w:rPr>
                <w:rFonts w:ascii="Times New Roman" w:hAnsi="Times New Roman"/>
                <w:sz w:val="20"/>
                <w:szCs w:val="20"/>
              </w:rPr>
              <w:t>107,32</w:t>
            </w:r>
          </w:p>
        </w:tc>
        <w:tc>
          <w:tcPr>
            <w:tcW w:w="695" w:type="dxa"/>
          </w:tcPr>
          <w:p w:rsidR="000320B8" w:rsidRPr="009654EB" w:rsidRDefault="000320B8" w:rsidP="000320B8">
            <w:pPr>
              <w:spacing w:after="0"/>
              <w:ind w:right="-160"/>
              <w:rPr>
                <w:rFonts w:ascii="Times New Roman" w:hAnsi="Times New Roman"/>
                <w:sz w:val="20"/>
                <w:szCs w:val="20"/>
              </w:rPr>
            </w:pPr>
            <w:r w:rsidRPr="009654EB">
              <w:rPr>
                <w:rFonts w:ascii="Times New Roman" w:hAnsi="Times New Roman"/>
                <w:sz w:val="20"/>
                <w:szCs w:val="20"/>
              </w:rPr>
              <w:t>3,59</w:t>
            </w:r>
          </w:p>
        </w:tc>
        <w:tc>
          <w:tcPr>
            <w:tcW w:w="1325" w:type="dxa"/>
          </w:tcPr>
          <w:p w:rsidR="000320B8" w:rsidRPr="00D848B3" w:rsidRDefault="000320B8" w:rsidP="000320B8">
            <w:pPr>
              <w:spacing w:after="0"/>
              <w:jc w:val="center"/>
              <w:rPr>
                <w:rFonts w:ascii="Times New Roman" w:hAnsi="Times New Roman"/>
                <w:sz w:val="20"/>
                <w:szCs w:val="20"/>
              </w:rPr>
            </w:pPr>
            <w:r w:rsidRPr="009654EB">
              <w:rPr>
                <w:rFonts w:ascii="Times New Roman" w:hAnsi="Times New Roman"/>
                <w:sz w:val="20"/>
                <w:szCs w:val="20"/>
              </w:rPr>
              <w:t>121,5</w:t>
            </w:r>
          </w:p>
        </w:tc>
      </w:tr>
    </w:tbl>
    <w:p w:rsidR="000320B8" w:rsidRDefault="000320B8" w:rsidP="000320B8">
      <w:pPr>
        <w:spacing w:after="0" w:line="240" w:lineRule="auto"/>
        <w:ind w:hanging="284"/>
        <w:rPr>
          <w:rFonts w:ascii="Times New Roman" w:hAnsi="Times New Roman"/>
          <w:sz w:val="20"/>
          <w:szCs w:val="20"/>
        </w:rPr>
      </w:pPr>
      <w:r w:rsidRPr="00441F8E">
        <w:rPr>
          <w:rFonts w:ascii="Times New Roman" w:hAnsi="Times New Roman"/>
          <w:noProof/>
          <w:sz w:val="20"/>
          <w:szCs w:val="20"/>
          <w:highlight w:val="yellow"/>
        </w:rPr>
        <w:drawing>
          <wp:inline distT="0" distB="0" distL="0" distR="0">
            <wp:extent cx="6267450" cy="2733675"/>
            <wp:effectExtent l="0" t="0" r="0" b="0"/>
            <wp:docPr id="1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320B8" w:rsidRDefault="000320B8" w:rsidP="000320B8">
      <w:pPr>
        <w:spacing w:after="0" w:line="240" w:lineRule="auto"/>
        <w:rPr>
          <w:rFonts w:ascii="Times New Roman" w:hAnsi="Times New Roman"/>
          <w:sz w:val="20"/>
          <w:szCs w:val="20"/>
        </w:rPr>
      </w:pPr>
      <w:r w:rsidRPr="0076407B">
        <w:rPr>
          <w:rFonts w:ascii="Times New Roman" w:hAnsi="Times New Roman"/>
          <w:sz w:val="20"/>
          <w:szCs w:val="20"/>
        </w:rPr>
        <w:t xml:space="preserve">* - </w:t>
      </w:r>
      <w:r>
        <w:rPr>
          <w:rFonts w:ascii="Times New Roman" w:hAnsi="Times New Roman"/>
          <w:sz w:val="20"/>
          <w:szCs w:val="20"/>
        </w:rPr>
        <w:t>темп</w:t>
      </w:r>
      <w:r w:rsidRPr="0076407B">
        <w:rPr>
          <w:rFonts w:ascii="Times New Roman" w:hAnsi="Times New Roman"/>
          <w:sz w:val="20"/>
          <w:szCs w:val="20"/>
        </w:rPr>
        <w:t xml:space="preserve"> роста/спада </w:t>
      </w:r>
      <w:r>
        <w:rPr>
          <w:rFonts w:ascii="Times New Roman" w:hAnsi="Times New Roman"/>
          <w:sz w:val="20"/>
          <w:szCs w:val="20"/>
        </w:rPr>
        <w:t xml:space="preserve">к предыдущему году </w:t>
      </w:r>
    </w:p>
    <w:p w:rsidR="000320B8" w:rsidRDefault="000320B8" w:rsidP="000320B8">
      <w:pPr>
        <w:spacing w:after="0" w:line="240" w:lineRule="auto"/>
        <w:ind w:hanging="284"/>
        <w:rPr>
          <w:rFonts w:ascii="Times New Roman" w:hAnsi="Times New Roman"/>
          <w:sz w:val="20"/>
          <w:szCs w:val="20"/>
        </w:rPr>
      </w:pPr>
    </w:p>
    <w:p w:rsidR="000320B8" w:rsidRPr="009654EB" w:rsidRDefault="000320B8" w:rsidP="000320B8">
      <w:pPr>
        <w:spacing w:after="0" w:line="240" w:lineRule="auto"/>
        <w:ind w:firstLine="709"/>
        <w:jc w:val="both"/>
        <w:rPr>
          <w:rFonts w:ascii="Times New Roman" w:hAnsi="Times New Roman"/>
          <w:sz w:val="24"/>
          <w:szCs w:val="24"/>
        </w:rPr>
      </w:pPr>
      <w:r w:rsidRPr="009654EB">
        <w:rPr>
          <w:rFonts w:ascii="Times New Roman" w:hAnsi="Times New Roman"/>
          <w:sz w:val="24"/>
          <w:szCs w:val="24"/>
        </w:rPr>
        <w:t xml:space="preserve">Наибольшую долю (27,49%) в налоговых поступлениях занимают </w:t>
      </w:r>
      <w:r w:rsidRPr="009654EB">
        <w:rPr>
          <w:rFonts w:ascii="Times New Roman" w:hAnsi="Times New Roman"/>
          <w:b/>
          <w:sz w:val="24"/>
          <w:szCs w:val="24"/>
        </w:rPr>
        <w:t>платежи по налогам на доходы организаций</w:t>
      </w:r>
      <w:r w:rsidRPr="009654EB">
        <w:rPr>
          <w:rFonts w:ascii="Times New Roman" w:hAnsi="Times New Roman"/>
          <w:sz w:val="24"/>
          <w:szCs w:val="24"/>
        </w:rPr>
        <w:t xml:space="preserve">, которые увеличились на 8,21 % по сравнению с                       I полугодием 2013 года. Увеличение поступлений наблюдалось за счет </w:t>
      </w:r>
      <w:r w:rsidRPr="009654EB">
        <w:rPr>
          <w:rFonts w:ascii="Times New Roman" w:hAnsi="Times New Roman"/>
          <w:spacing w:val="-1"/>
          <w:sz w:val="24"/>
          <w:szCs w:val="24"/>
        </w:rPr>
        <w:t>оплаты налога на доходы организаций в январе 2014 года, уплаченного по итогам 2013 года организациями, применявшими в 2013 году фиксированный сельскохозяйственный налог,</w:t>
      </w:r>
      <w:r w:rsidRPr="009654EB">
        <w:rPr>
          <w:rFonts w:ascii="Times New Roman" w:hAnsi="Times New Roman"/>
          <w:sz w:val="24"/>
          <w:szCs w:val="24"/>
        </w:rPr>
        <w:t xml:space="preserve"> а также погашение задолженности за прошлые налоговые периоды отдельными </w:t>
      </w:r>
      <w:r w:rsidRPr="009654EB">
        <w:rPr>
          <w:rFonts w:ascii="Times New Roman" w:hAnsi="Times New Roman"/>
          <w:sz w:val="24"/>
          <w:szCs w:val="24"/>
        </w:rPr>
        <w:lastRenderedPageBreak/>
        <w:t xml:space="preserve">налогоплательщиками. Несмотря на увеличение поступлений по данному виду платежей, их удельный вес сократился на 3,59 процентных пункта по сравнению с </w:t>
      </w:r>
      <w:r w:rsidRPr="009654EB">
        <w:rPr>
          <w:rFonts w:ascii="Times New Roman" w:hAnsi="Times New Roman"/>
          <w:sz w:val="24"/>
          <w:szCs w:val="24"/>
          <w:lang w:val="en-US"/>
        </w:rPr>
        <w:t>I</w:t>
      </w:r>
      <w:r w:rsidRPr="009654EB">
        <w:rPr>
          <w:rFonts w:ascii="Times New Roman" w:hAnsi="Times New Roman"/>
          <w:sz w:val="24"/>
          <w:szCs w:val="24"/>
        </w:rPr>
        <w:t xml:space="preserve"> полугодием </w:t>
      </w:r>
      <w:r w:rsidR="00350E5C">
        <w:rPr>
          <w:rFonts w:ascii="Times New Roman" w:hAnsi="Times New Roman"/>
          <w:sz w:val="24"/>
          <w:szCs w:val="24"/>
        </w:rPr>
        <w:t xml:space="preserve"> </w:t>
      </w:r>
      <w:r w:rsidRPr="009654EB">
        <w:rPr>
          <w:rFonts w:ascii="Times New Roman" w:hAnsi="Times New Roman"/>
          <w:sz w:val="24"/>
          <w:szCs w:val="24"/>
        </w:rPr>
        <w:t>2013 года до 27,49%.</w:t>
      </w:r>
    </w:p>
    <w:p w:rsidR="000320B8" w:rsidRPr="009654EB" w:rsidRDefault="000320B8" w:rsidP="000320B8">
      <w:pPr>
        <w:spacing w:after="0" w:line="240" w:lineRule="auto"/>
        <w:ind w:firstLine="709"/>
        <w:jc w:val="both"/>
        <w:rPr>
          <w:rFonts w:ascii="Times New Roman" w:hAnsi="Times New Roman"/>
          <w:sz w:val="24"/>
          <w:szCs w:val="24"/>
        </w:rPr>
      </w:pPr>
      <w:r w:rsidRPr="009654EB">
        <w:rPr>
          <w:rFonts w:ascii="Times New Roman" w:hAnsi="Times New Roman"/>
          <w:sz w:val="24"/>
          <w:szCs w:val="24"/>
        </w:rPr>
        <w:t xml:space="preserve">Схожая тенденция была также характерна и </w:t>
      </w:r>
      <w:r w:rsidRPr="009654EB">
        <w:rPr>
          <w:rFonts w:ascii="Times New Roman" w:hAnsi="Times New Roman"/>
          <w:b/>
          <w:sz w:val="24"/>
          <w:szCs w:val="24"/>
        </w:rPr>
        <w:t>по подоходному налогу с физических лиц</w:t>
      </w:r>
      <w:r w:rsidRPr="009654EB">
        <w:rPr>
          <w:rFonts w:ascii="Times New Roman" w:hAnsi="Times New Roman"/>
          <w:sz w:val="24"/>
          <w:szCs w:val="24"/>
        </w:rPr>
        <w:t>. Несмотря на увеличение поступлений по данному виду налога по сравнению с соответствующим периодом прошлого года на 3,98%, его удельный вес в налоговых платежах сократился на 2,96 процентных пункта и составил 16,79%. На увеличение данных поступлений повлияли: поступления денежных средств по подоходному налогу, удержанному с начисленных дивидендов, выплаченных физическим лицам по некоторым организациям; частичные погашения задолженности по заработной плате за предыдущие отчетные периоды, а также поступления со сделок по отчуждению имущества.</w:t>
      </w:r>
    </w:p>
    <w:p w:rsidR="000320B8" w:rsidRPr="009654EB" w:rsidRDefault="000320B8" w:rsidP="000320B8">
      <w:pPr>
        <w:spacing w:after="0" w:line="240" w:lineRule="auto"/>
        <w:ind w:firstLine="709"/>
        <w:jc w:val="both"/>
        <w:rPr>
          <w:rFonts w:ascii="Times New Roman" w:hAnsi="Times New Roman"/>
          <w:sz w:val="24"/>
          <w:szCs w:val="24"/>
        </w:rPr>
      </w:pPr>
      <w:r w:rsidRPr="009654EB">
        <w:rPr>
          <w:rFonts w:ascii="Times New Roman" w:hAnsi="Times New Roman"/>
          <w:b/>
          <w:sz w:val="24"/>
          <w:szCs w:val="24"/>
        </w:rPr>
        <w:t>Платежи по налогам на внешнюю торговлю и внешнеэкономические операции</w:t>
      </w:r>
      <w:r w:rsidRPr="009654EB">
        <w:rPr>
          <w:rFonts w:ascii="Times New Roman" w:hAnsi="Times New Roman"/>
          <w:sz w:val="24"/>
          <w:szCs w:val="24"/>
        </w:rPr>
        <w:t xml:space="preserve"> сократились на 4,28 % по сравнению с </w:t>
      </w:r>
      <w:r w:rsidRPr="009654EB">
        <w:rPr>
          <w:rFonts w:ascii="Times New Roman" w:hAnsi="Times New Roman"/>
          <w:sz w:val="24"/>
          <w:szCs w:val="24"/>
          <w:lang w:val="en-US"/>
        </w:rPr>
        <w:t>I</w:t>
      </w:r>
      <w:r w:rsidRPr="009654EB">
        <w:rPr>
          <w:rFonts w:ascii="Times New Roman" w:hAnsi="Times New Roman"/>
          <w:sz w:val="24"/>
          <w:szCs w:val="24"/>
        </w:rPr>
        <w:t xml:space="preserve"> полугодием 2013 года. Спад поступлений по данному виду платежей обусловлен снижением степени интенсивности осуществления импортных и экспортных операций по ввозимым (вывозимым) товарам, подлежащим обложению таможенными пошлинами, а также величиной их таможенной стоимости.</w:t>
      </w:r>
    </w:p>
    <w:p w:rsidR="000320B8" w:rsidRPr="009654EB" w:rsidRDefault="000320B8" w:rsidP="000320B8">
      <w:pPr>
        <w:spacing w:after="0" w:line="240" w:lineRule="auto"/>
        <w:ind w:firstLine="709"/>
        <w:jc w:val="both"/>
        <w:rPr>
          <w:rFonts w:ascii="Times New Roman" w:hAnsi="Times New Roman"/>
          <w:sz w:val="24"/>
          <w:szCs w:val="24"/>
        </w:rPr>
      </w:pPr>
      <w:r w:rsidRPr="009654EB">
        <w:rPr>
          <w:rFonts w:ascii="Times New Roman" w:hAnsi="Times New Roman"/>
          <w:sz w:val="24"/>
          <w:szCs w:val="24"/>
        </w:rPr>
        <w:t>Поступления по</w:t>
      </w:r>
      <w:r w:rsidRPr="009654EB">
        <w:rPr>
          <w:rFonts w:ascii="Times New Roman" w:hAnsi="Times New Roman"/>
          <w:b/>
          <w:sz w:val="24"/>
          <w:szCs w:val="24"/>
        </w:rPr>
        <w:t xml:space="preserve"> налогам на товары и услуги, лицензионные регистрационные сборы</w:t>
      </w:r>
      <w:r w:rsidRPr="009654EB">
        <w:rPr>
          <w:rFonts w:ascii="Times New Roman" w:hAnsi="Times New Roman"/>
          <w:sz w:val="24"/>
          <w:szCs w:val="24"/>
        </w:rPr>
        <w:t xml:space="preserve"> увеличились в январе – июне 2014 года больше чем в 3 раза по сравне</w:t>
      </w:r>
      <w:r w:rsidR="00C42921">
        <w:rPr>
          <w:rFonts w:ascii="Times New Roman" w:hAnsi="Times New Roman"/>
          <w:sz w:val="24"/>
          <w:szCs w:val="24"/>
        </w:rPr>
        <w:t>нию с январем – июнем 2013 года.</w:t>
      </w:r>
      <w:r w:rsidRPr="009654EB">
        <w:rPr>
          <w:rFonts w:ascii="Times New Roman" w:hAnsi="Times New Roman"/>
          <w:sz w:val="24"/>
          <w:szCs w:val="24"/>
        </w:rPr>
        <w:t xml:space="preserve"> </w:t>
      </w:r>
      <w:r w:rsidR="00C42921">
        <w:rPr>
          <w:rFonts w:ascii="Times New Roman" w:hAnsi="Times New Roman"/>
          <w:sz w:val="24"/>
          <w:szCs w:val="24"/>
        </w:rPr>
        <w:t>Э</w:t>
      </w:r>
      <w:r w:rsidRPr="009654EB">
        <w:rPr>
          <w:rFonts w:ascii="Times New Roman" w:hAnsi="Times New Roman"/>
          <w:sz w:val="24"/>
          <w:szCs w:val="24"/>
        </w:rPr>
        <w:t>то связано с тем, что в рассматриваемом периоде поступили в консолидированный бюджет средства по ценным бумагам (Государственным казначейским обязательствам, Государственным облигациям, векселям) в размере 228 711 883 руб.</w:t>
      </w:r>
    </w:p>
    <w:p w:rsidR="000320B8" w:rsidRPr="009654EB" w:rsidRDefault="000320B8" w:rsidP="000320B8">
      <w:pPr>
        <w:autoSpaceDE w:val="0"/>
        <w:autoSpaceDN w:val="0"/>
        <w:adjustRightInd w:val="0"/>
        <w:spacing w:after="0" w:line="240" w:lineRule="auto"/>
        <w:ind w:firstLine="709"/>
        <w:jc w:val="both"/>
        <w:rPr>
          <w:rFonts w:ascii="Times New Roman" w:hAnsi="Times New Roman"/>
          <w:sz w:val="24"/>
          <w:szCs w:val="24"/>
        </w:rPr>
      </w:pPr>
      <w:r w:rsidRPr="009654EB">
        <w:rPr>
          <w:rFonts w:ascii="Times New Roman" w:hAnsi="Times New Roman"/>
          <w:sz w:val="24"/>
          <w:szCs w:val="24"/>
        </w:rPr>
        <w:t xml:space="preserve">Поступления </w:t>
      </w:r>
      <w:r w:rsidRPr="009654EB">
        <w:rPr>
          <w:rFonts w:ascii="Times New Roman" w:hAnsi="Times New Roman"/>
          <w:b/>
          <w:sz w:val="24"/>
          <w:szCs w:val="24"/>
        </w:rPr>
        <w:t>платежей за пользование природными ресурсами</w:t>
      </w:r>
      <w:r w:rsidRPr="009654EB">
        <w:rPr>
          <w:rFonts w:ascii="Times New Roman" w:hAnsi="Times New Roman"/>
          <w:sz w:val="24"/>
          <w:szCs w:val="24"/>
        </w:rPr>
        <w:t xml:space="preserve"> за</w:t>
      </w:r>
      <w:r w:rsidRPr="009654EB">
        <w:rPr>
          <w:rFonts w:ascii="Times New Roman" w:hAnsi="Times New Roman"/>
          <w:b/>
          <w:sz w:val="24"/>
          <w:szCs w:val="24"/>
        </w:rPr>
        <w:t xml:space="preserve"> </w:t>
      </w:r>
      <w:r w:rsidRPr="009654EB">
        <w:rPr>
          <w:rFonts w:ascii="Times New Roman" w:hAnsi="Times New Roman"/>
          <w:sz w:val="24"/>
          <w:szCs w:val="24"/>
          <w:lang w:val="en-US"/>
        </w:rPr>
        <w:t>I</w:t>
      </w:r>
      <w:r w:rsidRPr="009654EB">
        <w:rPr>
          <w:rFonts w:ascii="Times New Roman" w:hAnsi="Times New Roman"/>
          <w:sz w:val="24"/>
          <w:szCs w:val="24"/>
        </w:rPr>
        <w:t xml:space="preserve"> полугодие</w:t>
      </w:r>
      <w:r w:rsidRPr="009654EB">
        <w:rPr>
          <w:rFonts w:ascii="Times New Roman" w:hAnsi="Times New Roman"/>
          <w:b/>
          <w:sz w:val="24"/>
          <w:szCs w:val="24"/>
        </w:rPr>
        <w:t xml:space="preserve"> </w:t>
      </w:r>
      <w:r w:rsidRPr="009654EB">
        <w:rPr>
          <w:rFonts w:ascii="Times New Roman" w:hAnsi="Times New Roman"/>
          <w:sz w:val="24"/>
          <w:szCs w:val="24"/>
        </w:rPr>
        <w:t xml:space="preserve">2014 года увеличились на 3,21% по сравнению с </w:t>
      </w:r>
      <w:r w:rsidRPr="009654EB">
        <w:rPr>
          <w:rFonts w:ascii="Times New Roman" w:hAnsi="Times New Roman"/>
          <w:sz w:val="24"/>
          <w:szCs w:val="24"/>
          <w:lang w:val="en-US"/>
        </w:rPr>
        <w:t>I</w:t>
      </w:r>
      <w:r w:rsidRPr="009654EB">
        <w:rPr>
          <w:rFonts w:ascii="Times New Roman" w:hAnsi="Times New Roman"/>
          <w:sz w:val="24"/>
          <w:szCs w:val="24"/>
        </w:rPr>
        <w:t xml:space="preserve"> полугодием 2013 года, при этом удельный вес в налоговых платежах сократился на 0,48 процентных пункта до 2,58%. Увеличение данных поступлений объясняется увеличением земель сельскохозяйственного назначения, а также погашением недоимки прошлых лет отдельными налогоплательщиками.</w:t>
      </w:r>
    </w:p>
    <w:p w:rsidR="000320B8" w:rsidRPr="009654EB" w:rsidRDefault="000320B8" w:rsidP="000320B8">
      <w:pPr>
        <w:spacing w:after="0" w:line="240" w:lineRule="auto"/>
        <w:ind w:firstLine="709"/>
        <w:jc w:val="both"/>
        <w:rPr>
          <w:rFonts w:ascii="Times New Roman" w:hAnsi="Times New Roman"/>
          <w:sz w:val="24"/>
          <w:szCs w:val="24"/>
        </w:rPr>
      </w:pPr>
      <w:r w:rsidRPr="009654EB">
        <w:rPr>
          <w:rFonts w:ascii="Times New Roman" w:hAnsi="Times New Roman"/>
          <w:b/>
          <w:sz w:val="24"/>
          <w:szCs w:val="24"/>
        </w:rPr>
        <w:t>В январе – июне 2014 года неналоговые поступления</w:t>
      </w:r>
      <w:r w:rsidRPr="009654EB">
        <w:rPr>
          <w:rFonts w:ascii="Times New Roman" w:hAnsi="Times New Roman"/>
          <w:sz w:val="24"/>
          <w:szCs w:val="24"/>
        </w:rPr>
        <w:t xml:space="preserve"> сложились в сумме 25 740 044 руб., что составило 1,61% общих доходов консолидированного бюджета.</w:t>
      </w:r>
    </w:p>
    <w:p w:rsidR="000320B8" w:rsidRPr="009654EB" w:rsidRDefault="000320B8" w:rsidP="000320B8">
      <w:pPr>
        <w:spacing w:after="0" w:line="240" w:lineRule="auto"/>
        <w:jc w:val="right"/>
        <w:rPr>
          <w:rFonts w:ascii="Times New Roman" w:hAnsi="Times New Roman"/>
          <w:sz w:val="28"/>
          <w:szCs w:val="28"/>
        </w:rPr>
      </w:pPr>
      <w:r w:rsidRPr="009654EB">
        <w:rPr>
          <w:rFonts w:ascii="Times New Roman" w:hAnsi="Times New Roman"/>
          <w:sz w:val="24"/>
          <w:szCs w:val="24"/>
        </w:rPr>
        <w:t>Таблица №</w:t>
      </w:r>
      <w:r w:rsidRPr="009654EB">
        <w:rPr>
          <w:rFonts w:ascii="Times New Roman" w:hAnsi="Times New Roman"/>
          <w:sz w:val="28"/>
          <w:szCs w:val="28"/>
        </w:rPr>
        <w:t xml:space="preserve"> </w:t>
      </w:r>
      <w:r w:rsidR="00350E5C">
        <w:rPr>
          <w:rFonts w:ascii="Times New Roman" w:hAnsi="Times New Roman"/>
          <w:sz w:val="28"/>
          <w:szCs w:val="28"/>
        </w:rPr>
        <w:t>8</w:t>
      </w:r>
    </w:p>
    <w:p w:rsidR="000320B8" w:rsidRPr="009654EB" w:rsidRDefault="000320B8" w:rsidP="000320B8">
      <w:pPr>
        <w:spacing w:after="0" w:line="240" w:lineRule="auto"/>
        <w:ind w:firstLine="720"/>
        <w:jc w:val="center"/>
        <w:rPr>
          <w:rFonts w:ascii="Times New Roman" w:hAnsi="Times New Roman"/>
          <w:b/>
          <w:sz w:val="24"/>
          <w:szCs w:val="24"/>
        </w:rPr>
      </w:pPr>
      <w:r w:rsidRPr="009654EB">
        <w:rPr>
          <w:rFonts w:ascii="Times New Roman" w:hAnsi="Times New Roman"/>
          <w:b/>
          <w:sz w:val="24"/>
          <w:szCs w:val="24"/>
        </w:rPr>
        <w:t xml:space="preserve">Структура неналоговых поступлений в доходную часть </w:t>
      </w:r>
    </w:p>
    <w:p w:rsidR="000320B8" w:rsidRPr="009654EB" w:rsidRDefault="000320B8" w:rsidP="000320B8">
      <w:pPr>
        <w:spacing w:after="0" w:line="240" w:lineRule="auto"/>
        <w:ind w:firstLine="720"/>
        <w:jc w:val="center"/>
        <w:rPr>
          <w:rFonts w:ascii="Times New Roman" w:hAnsi="Times New Roman"/>
          <w:b/>
          <w:sz w:val="24"/>
          <w:szCs w:val="24"/>
        </w:rPr>
      </w:pPr>
      <w:r w:rsidRPr="009654EB">
        <w:rPr>
          <w:rFonts w:ascii="Times New Roman" w:hAnsi="Times New Roman"/>
          <w:b/>
          <w:sz w:val="24"/>
          <w:szCs w:val="24"/>
        </w:rPr>
        <w:t>Консолидированного бюджета (в руб.)</w:t>
      </w:r>
    </w:p>
    <w:tbl>
      <w:tblPr>
        <w:tblW w:w="8695" w:type="dxa"/>
        <w:jc w:val="center"/>
        <w:tblInd w:w="-2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1"/>
        <w:gridCol w:w="1143"/>
        <w:gridCol w:w="610"/>
        <w:gridCol w:w="1445"/>
        <w:gridCol w:w="661"/>
        <w:gridCol w:w="1275"/>
      </w:tblGrid>
      <w:tr w:rsidR="000320B8" w:rsidRPr="000A2E7A" w:rsidTr="000320B8">
        <w:trPr>
          <w:trHeight w:val="307"/>
          <w:jc w:val="center"/>
        </w:trPr>
        <w:tc>
          <w:tcPr>
            <w:tcW w:w="3561" w:type="dxa"/>
            <w:vMerge w:val="restart"/>
            <w:vAlign w:val="center"/>
          </w:tcPr>
          <w:p w:rsidR="000320B8" w:rsidRPr="000A2E7A" w:rsidRDefault="000320B8" w:rsidP="000320B8">
            <w:pPr>
              <w:spacing w:after="0" w:line="240" w:lineRule="auto"/>
              <w:jc w:val="center"/>
              <w:rPr>
                <w:rFonts w:ascii="Times New Roman" w:hAnsi="Times New Roman"/>
                <w:b/>
                <w:sz w:val="20"/>
                <w:szCs w:val="20"/>
              </w:rPr>
            </w:pPr>
          </w:p>
        </w:tc>
        <w:tc>
          <w:tcPr>
            <w:tcW w:w="1753" w:type="dxa"/>
            <w:gridSpan w:val="2"/>
            <w:vAlign w:val="center"/>
          </w:tcPr>
          <w:p w:rsidR="00C42921" w:rsidRPr="000A2E7A" w:rsidRDefault="000320B8" w:rsidP="000320B8">
            <w:pPr>
              <w:spacing w:after="0" w:line="240" w:lineRule="auto"/>
              <w:jc w:val="center"/>
              <w:rPr>
                <w:rFonts w:ascii="Times New Roman" w:hAnsi="Times New Roman"/>
                <w:b/>
                <w:sz w:val="20"/>
                <w:szCs w:val="20"/>
              </w:rPr>
            </w:pPr>
            <w:r w:rsidRPr="000A2E7A">
              <w:rPr>
                <w:rFonts w:ascii="Times New Roman" w:hAnsi="Times New Roman"/>
                <w:b/>
                <w:sz w:val="20"/>
                <w:szCs w:val="20"/>
              </w:rPr>
              <w:t xml:space="preserve">1 полугодие </w:t>
            </w:r>
          </w:p>
          <w:p w:rsidR="000320B8" w:rsidRPr="000A2E7A" w:rsidRDefault="000320B8" w:rsidP="000320B8">
            <w:pPr>
              <w:spacing w:after="0" w:line="240" w:lineRule="auto"/>
              <w:jc w:val="center"/>
              <w:rPr>
                <w:rFonts w:ascii="Times New Roman" w:hAnsi="Times New Roman"/>
                <w:b/>
                <w:sz w:val="20"/>
                <w:szCs w:val="20"/>
              </w:rPr>
            </w:pPr>
            <w:r w:rsidRPr="000A2E7A">
              <w:rPr>
                <w:rFonts w:ascii="Times New Roman" w:hAnsi="Times New Roman"/>
                <w:b/>
                <w:sz w:val="20"/>
                <w:szCs w:val="20"/>
              </w:rPr>
              <w:t>2013 года</w:t>
            </w:r>
          </w:p>
        </w:tc>
        <w:tc>
          <w:tcPr>
            <w:tcW w:w="2106" w:type="dxa"/>
            <w:gridSpan w:val="2"/>
            <w:vAlign w:val="center"/>
          </w:tcPr>
          <w:p w:rsidR="00C42921" w:rsidRPr="000A2E7A" w:rsidRDefault="000320B8" w:rsidP="000320B8">
            <w:pPr>
              <w:spacing w:after="0" w:line="240" w:lineRule="auto"/>
              <w:jc w:val="center"/>
              <w:rPr>
                <w:rFonts w:ascii="Times New Roman" w:hAnsi="Times New Roman"/>
                <w:b/>
                <w:sz w:val="20"/>
                <w:szCs w:val="20"/>
              </w:rPr>
            </w:pPr>
            <w:r w:rsidRPr="000A2E7A">
              <w:rPr>
                <w:rFonts w:ascii="Times New Roman" w:hAnsi="Times New Roman"/>
                <w:b/>
                <w:sz w:val="20"/>
                <w:szCs w:val="20"/>
              </w:rPr>
              <w:t xml:space="preserve">1 полугодие </w:t>
            </w:r>
          </w:p>
          <w:p w:rsidR="000320B8" w:rsidRPr="000A2E7A" w:rsidRDefault="000320B8" w:rsidP="00C42921">
            <w:pPr>
              <w:spacing w:after="0" w:line="240" w:lineRule="auto"/>
              <w:jc w:val="center"/>
              <w:rPr>
                <w:rFonts w:ascii="Times New Roman" w:hAnsi="Times New Roman"/>
                <w:b/>
                <w:sz w:val="20"/>
                <w:szCs w:val="20"/>
              </w:rPr>
            </w:pPr>
            <w:r w:rsidRPr="000A2E7A">
              <w:rPr>
                <w:rFonts w:ascii="Times New Roman" w:hAnsi="Times New Roman"/>
                <w:b/>
                <w:sz w:val="20"/>
                <w:szCs w:val="20"/>
              </w:rPr>
              <w:t>2014 года</w:t>
            </w:r>
          </w:p>
        </w:tc>
        <w:tc>
          <w:tcPr>
            <w:tcW w:w="1275" w:type="dxa"/>
            <w:vMerge w:val="restart"/>
            <w:vAlign w:val="center"/>
          </w:tcPr>
          <w:p w:rsidR="000320B8" w:rsidRPr="000A2E7A" w:rsidRDefault="000320B8" w:rsidP="000320B8">
            <w:pPr>
              <w:spacing w:after="0"/>
              <w:jc w:val="center"/>
              <w:rPr>
                <w:rFonts w:ascii="Times New Roman" w:hAnsi="Times New Roman"/>
                <w:b/>
                <w:sz w:val="20"/>
                <w:szCs w:val="20"/>
              </w:rPr>
            </w:pPr>
            <w:r w:rsidRPr="000A2E7A">
              <w:rPr>
                <w:rFonts w:ascii="Times New Roman" w:hAnsi="Times New Roman"/>
                <w:b/>
                <w:sz w:val="20"/>
                <w:szCs w:val="20"/>
              </w:rPr>
              <w:t>Темп роста/спада</w:t>
            </w:r>
          </w:p>
          <w:p w:rsidR="000320B8" w:rsidRPr="000A2E7A" w:rsidRDefault="00C42921" w:rsidP="000320B8">
            <w:pPr>
              <w:spacing w:after="0"/>
              <w:jc w:val="center"/>
              <w:rPr>
                <w:rFonts w:ascii="Times New Roman" w:hAnsi="Times New Roman"/>
                <w:b/>
                <w:sz w:val="20"/>
                <w:szCs w:val="20"/>
              </w:rPr>
            </w:pPr>
            <w:r w:rsidRPr="000A2E7A">
              <w:rPr>
                <w:rFonts w:ascii="Times New Roman" w:hAnsi="Times New Roman"/>
                <w:b/>
                <w:sz w:val="20"/>
                <w:szCs w:val="20"/>
                <w:lang w:val="en-US"/>
              </w:rPr>
              <w:t>I</w:t>
            </w:r>
            <w:r w:rsidRPr="000A2E7A">
              <w:rPr>
                <w:rFonts w:ascii="Times New Roman" w:hAnsi="Times New Roman"/>
                <w:b/>
                <w:sz w:val="20"/>
                <w:szCs w:val="20"/>
              </w:rPr>
              <w:t xml:space="preserve"> пол. </w:t>
            </w:r>
            <w:r w:rsidR="000320B8" w:rsidRPr="000A2E7A">
              <w:rPr>
                <w:rFonts w:ascii="Times New Roman" w:hAnsi="Times New Roman"/>
                <w:b/>
                <w:sz w:val="20"/>
                <w:szCs w:val="20"/>
              </w:rPr>
              <w:t xml:space="preserve">2014г. к </w:t>
            </w:r>
          </w:p>
          <w:p w:rsidR="000320B8" w:rsidRPr="000A2E7A" w:rsidRDefault="00C42921" w:rsidP="000320B8">
            <w:pPr>
              <w:spacing w:after="0"/>
              <w:jc w:val="center"/>
              <w:rPr>
                <w:rFonts w:ascii="Times New Roman" w:hAnsi="Times New Roman"/>
                <w:b/>
                <w:sz w:val="20"/>
                <w:szCs w:val="20"/>
              </w:rPr>
            </w:pPr>
            <w:r w:rsidRPr="000A2E7A">
              <w:rPr>
                <w:rFonts w:ascii="Times New Roman" w:hAnsi="Times New Roman"/>
                <w:b/>
                <w:sz w:val="20"/>
                <w:szCs w:val="20"/>
                <w:lang w:val="en-US"/>
              </w:rPr>
              <w:t>I</w:t>
            </w:r>
            <w:r w:rsidRPr="000A2E7A">
              <w:rPr>
                <w:rFonts w:ascii="Times New Roman" w:hAnsi="Times New Roman"/>
                <w:b/>
                <w:sz w:val="20"/>
                <w:szCs w:val="20"/>
              </w:rPr>
              <w:t xml:space="preserve"> пол. </w:t>
            </w:r>
            <w:r w:rsidR="000320B8" w:rsidRPr="000A2E7A">
              <w:rPr>
                <w:rFonts w:ascii="Times New Roman" w:hAnsi="Times New Roman"/>
                <w:b/>
                <w:sz w:val="20"/>
                <w:szCs w:val="20"/>
              </w:rPr>
              <w:t>2013 г.,%</w:t>
            </w:r>
          </w:p>
        </w:tc>
      </w:tr>
      <w:tr w:rsidR="000320B8" w:rsidRPr="000A2E7A" w:rsidTr="000320B8">
        <w:trPr>
          <w:trHeight w:val="715"/>
          <w:jc w:val="center"/>
        </w:trPr>
        <w:tc>
          <w:tcPr>
            <w:tcW w:w="3561" w:type="dxa"/>
            <w:vMerge/>
            <w:vAlign w:val="center"/>
          </w:tcPr>
          <w:p w:rsidR="000320B8" w:rsidRPr="000A2E7A" w:rsidRDefault="000320B8" w:rsidP="000320B8">
            <w:pPr>
              <w:spacing w:after="0" w:line="240" w:lineRule="auto"/>
              <w:jc w:val="center"/>
              <w:rPr>
                <w:rFonts w:ascii="Times New Roman" w:hAnsi="Times New Roman"/>
                <w:b/>
                <w:sz w:val="20"/>
                <w:szCs w:val="20"/>
              </w:rPr>
            </w:pPr>
          </w:p>
        </w:tc>
        <w:tc>
          <w:tcPr>
            <w:tcW w:w="1143" w:type="dxa"/>
            <w:vAlign w:val="center"/>
          </w:tcPr>
          <w:p w:rsidR="000320B8" w:rsidRPr="000A2E7A" w:rsidRDefault="000320B8" w:rsidP="000320B8">
            <w:pPr>
              <w:spacing w:after="0" w:line="240" w:lineRule="auto"/>
              <w:jc w:val="center"/>
              <w:rPr>
                <w:rFonts w:ascii="Times New Roman" w:hAnsi="Times New Roman"/>
                <w:b/>
                <w:sz w:val="20"/>
                <w:szCs w:val="20"/>
              </w:rPr>
            </w:pPr>
            <w:r w:rsidRPr="000A2E7A">
              <w:rPr>
                <w:rFonts w:ascii="Times New Roman" w:hAnsi="Times New Roman"/>
                <w:b/>
                <w:sz w:val="20"/>
                <w:szCs w:val="20"/>
              </w:rPr>
              <w:t>факт</w:t>
            </w:r>
          </w:p>
        </w:tc>
        <w:tc>
          <w:tcPr>
            <w:tcW w:w="610" w:type="dxa"/>
            <w:vAlign w:val="center"/>
          </w:tcPr>
          <w:p w:rsidR="000320B8" w:rsidRPr="000A2E7A" w:rsidRDefault="000320B8" w:rsidP="000320B8">
            <w:pPr>
              <w:spacing w:after="0" w:line="240" w:lineRule="auto"/>
              <w:jc w:val="center"/>
              <w:rPr>
                <w:rFonts w:ascii="Times New Roman" w:hAnsi="Times New Roman"/>
                <w:b/>
                <w:sz w:val="20"/>
                <w:szCs w:val="20"/>
              </w:rPr>
            </w:pPr>
            <w:r w:rsidRPr="000A2E7A">
              <w:rPr>
                <w:rFonts w:ascii="Times New Roman" w:hAnsi="Times New Roman"/>
                <w:b/>
                <w:sz w:val="20"/>
                <w:szCs w:val="20"/>
              </w:rPr>
              <w:t>уд. вес, %</w:t>
            </w:r>
          </w:p>
        </w:tc>
        <w:tc>
          <w:tcPr>
            <w:tcW w:w="1445" w:type="dxa"/>
            <w:vAlign w:val="center"/>
          </w:tcPr>
          <w:p w:rsidR="000320B8" w:rsidRPr="000A2E7A" w:rsidRDefault="000320B8" w:rsidP="000320B8">
            <w:pPr>
              <w:spacing w:after="0" w:line="240" w:lineRule="auto"/>
              <w:jc w:val="center"/>
              <w:rPr>
                <w:rFonts w:ascii="Times New Roman" w:hAnsi="Times New Roman"/>
                <w:b/>
                <w:sz w:val="20"/>
                <w:szCs w:val="20"/>
              </w:rPr>
            </w:pPr>
            <w:r w:rsidRPr="000A2E7A">
              <w:rPr>
                <w:rFonts w:ascii="Times New Roman" w:hAnsi="Times New Roman"/>
                <w:b/>
                <w:sz w:val="20"/>
                <w:szCs w:val="20"/>
              </w:rPr>
              <w:t>факт</w:t>
            </w:r>
          </w:p>
        </w:tc>
        <w:tc>
          <w:tcPr>
            <w:tcW w:w="661" w:type="dxa"/>
            <w:shd w:val="clear" w:color="auto" w:fill="auto"/>
            <w:vAlign w:val="center"/>
          </w:tcPr>
          <w:p w:rsidR="000320B8" w:rsidRPr="000A2E7A" w:rsidRDefault="000320B8" w:rsidP="000320B8">
            <w:pPr>
              <w:spacing w:after="0" w:line="240" w:lineRule="auto"/>
              <w:jc w:val="center"/>
              <w:rPr>
                <w:rFonts w:ascii="Times New Roman" w:hAnsi="Times New Roman"/>
                <w:b/>
                <w:sz w:val="20"/>
                <w:szCs w:val="20"/>
              </w:rPr>
            </w:pPr>
            <w:r w:rsidRPr="000A2E7A">
              <w:rPr>
                <w:rFonts w:ascii="Times New Roman" w:hAnsi="Times New Roman"/>
                <w:b/>
                <w:sz w:val="20"/>
                <w:szCs w:val="20"/>
              </w:rPr>
              <w:t>уд. вес, %</w:t>
            </w:r>
          </w:p>
        </w:tc>
        <w:tc>
          <w:tcPr>
            <w:tcW w:w="1275" w:type="dxa"/>
            <w:vMerge/>
            <w:vAlign w:val="center"/>
          </w:tcPr>
          <w:p w:rsidR="000320B8" w:rsidRPr="000A2E7A" w:rsidRDefault="000320B8" w:rsidP="000320B8">
            <w:pPr>
              <w:spacing w:after="0" w:line="240" w:lineRule="auto"/>
              <w:jc w:val="center"/>
              <w:rPr>
                <w:rFonts w:ascii="Times New Roman" w:hAnsi="Times New Roman"/>
                <w:b/>
                <w:sz w:val="20"/>
                <w:szCs w:val="20"/>
              </w:rPr>
            </w:pPr>
          </w:p>
        </w:tc>
      </w:tr>
      <w:tr w:rsidR="000320B8" w:rsidRPr="000A2E7A" w:rsidTr="000320B8">
        <w:trPr>
          <w:trHeight w:val="349"/>
          <w:jc w:val="center"/>
        </w:trPr>
        <w:tc>
          <w:tcPr>
            <w:tcW w:w="3561" w:type="dxa"/>
            <w:vAlign w:val="center"/>
          </w:tcPr>
          <w:p w:rsidR="000320B8" w:rsidRPr="000A2E7A" w:rsidRDefault="000320B8" w:rsidP="000320B8">
            <w:pPr>
              <w:spacing w:after="0"/>
              <w:ind w:hanging="101"/>
              <w:rPr>
                <w:rFonts w:ascii="Times New Roman" w:hAnsi="Times New Roman"/>
                <w:b/>
                <w:sz w:val="20"/>
                <w:szCs w:val="20"/>
              </w:rPr>
            </w:pPr>
            <w:r w:rsidRPr="000A2E7A">
              <w:rPr>
                <w:rFonts w:ascii="Times New Roman" w:hAnsi="Times New Roman"/>
                <w:b/>
                <w:sz w:val="20"/>
                <w:szCs w:val="20"/>
              </w:rPr>
              <w:t>Неналоговые доходы</w:t>
            </w:r>
          </w:p>
        </w:tc>
        <w:tc>
          <w:tcPr>
            <w:tcW w:w="1143" w:type="dxa"/>
            <w:vAlign w:val="center"/>
          </w:tcPr>
          <w:p w:rsidR="000320B8" w:rsidRPr="000A2E7A" w:rsidRDefault="000320B8" w:rsidP="000320B8">
            <w:pPr>
              <w:spacing w:after="0"/>
              <w:ind w:right="-120"/>
              <w:jc w:val="center"/>
              <w:rPr>
                <w:rFonts w:ascii="Times New Roman" w:hAnsi="Times New Roman"/>
                <w:b/>
                <w:sz w:val="20"/>
                <w:szCs w:val="20"/>
              </w:rPr>
            </w:pPr>
            <w:r w:rsidRPr="000A2E7A">
              <w:rPr>
                <w:rFonts w:ascii="Times New Roman" w:hAnsi="Times New Roman"/>
                <w:b/>
                <w:sz w:val="20"/>
                <w:szCs w:val="20"/>
              </w:rPr>
              <w:t>34 055 186</w:t>
            </w:r>
          </w:p>
        </w:tc>
        <w:tc>
          <w:tcPr>
            <w:tcW w:w="610" w:type="dxa"/>
            <w:vAlign w:val="center"/>
          </w:tcPr>
          <w:p w:rsidR="000320B8" w:rsidRPr="000A2E7A" w:rsidRDefault="000320B8" w:rsidP="000320B8">
            <w:pPr>
              <w:spacing w:after="0"/>
              <w:ind w:left="-82" w:right="-120"/>
              <w:rPr>
                <w:rFonts w:ascii="Times New Roman" w:hAnsi="Times New Roman"/>
                <w:b/>
                <w:sz w:val="20"/>
                <w:szCs w:val="20"/>
              </w:rPr>
            </w:pPr>
            <w:r w:rsidRPr="000A2E7A">
              <w:rPr>
                <w:rFonts w:ascii="Times New Roman" w:hAnsi="Times New Roman"/>
                <w:b/>
                <w:sz w:val="20"/>
                <w:szCs w:val="20"/>
              </w:rPr>
              <w:t>100,00</w:t>
            </w:r>
          </w:p>
        </w:tc>
        <w:tc>
          <w:tcPr>
            <w:tcW w:w="1445" w:type="dxa"/>
            <w:vAlign w:val="center"/>
          </w:tcPr>
          <w:p w:rsidR="000320B8" w:rsidRPr="000A2E7A" w:rsidRDefault="000320B8" w:rsidP="000320B8">
            <w:pPr>
              <w:spacing w:after="0"/>
              <w:ind w:right="-120"/>
              <w:jc w:val="center"/>
              <w:rPr>
                <w:rFonts w:ascii="Times New Roman" w:hAnsi="Times New Roman"/>
                <w:b/>
                <w:sz w:val="20"/>
                <w:szCs w:val="20"/>
              </w:rPr>
            </w:pPr>
            <w:r w:rsidRPr="000A2E7A">
              <w:rPr>
                <w:rFonts w:ascii="Times New Roman" w:hAnsi="Times New Roman"/>
                <w:b/>
                <w:sz w:val="20"/>
                <w:szCs w:val="20"/>
              </w:rPr>
              <w:t>25 740 044</w:t>
            </w:r>
          </w:p>
        </w:tc>
        <w:tc>
          <w:tcPr>
            <w:tcW w:w="661" w:type="dxa"/>
            <w:shd w:val="clear" w:color="auto" w:fill="auto"/>
            <w:vAlign w:val="center"/>
          </w:tcPr>
          <w:p w:rsidR="000320B8" w:rsidRPr="000A2E7A" w:rsidRDefault="000320B8" w:rsidP="000320B8">
            <w:pPr>
              <w:spacing w:after="0"/>
              <w:ind w:left="-38" w:right="-120"/>
              <w:jc w:val="center"/>
              <w:rPr>
                <w:rFonts w:ascii="Times New Roman" w:hAnsi="Times New Roman"/>
                <w:b/>
                <w:sz w:val="20"/>
                <w:szCs w:val="20"/>
              </w:rPr>
            </w:pPr>
            <w:r w:rsidRPr="000A2E7A">
              <w:rPr>
                <w:rFonts w:ascii="Times New Roman" w:hAnsi="Times New Roman"/>
                <w:b/>
                <w:sz w:val="20"/>
                <w:szCs w:val="20"/>
              </w:rPr>
              <w:t>100,00</w:t>
            </w:r>
          </w:p>
        </w:tc>
        <w:tc>
          <w:tcPr>
            <w:tcW w:w="1275" w:type="dxa"/>
            <w:vAlign w:val="center"/>
          </w:tcPr>
          <w:p w:rsidR="000320B8" w:rsidRPr="000A2E7A" w:rsidRDefault="000320B8" w:rsidP="000320B8">
            <w:pPr>
              <w:spacing w:after="0"/>
              <w:ind w:right="-120"/>
              <w:jc w:val="center"/>
              <w:rPr>
                <w:rFonts w:ascii="Times New Roman" w:hAnsi="Times New Roman"/>
                <w:b/>
                <w:sz w:val="20"/>
                <w:szCs w:val="20"/>
              </w:rPr>
            </w:pPr>
            <w:r w:rsidRPr="000A2E7A">
              <w:rPr>
                <w:rFonts w:ascii="Times New Roman" w:hAnsi="Times New Roman"/>
                <w:b/>
                <w:sz w:val="20"/>
                <w:szCs w:val="20"/>
              </w:rPr>
              <w:t>75,6</w:t>
            </w:r>
          </w:p>
        </w:tc>
      </w:tr>
      <w:tr w:rsidR="000320B8" w:rsidRPr="000A2E7A" w:rsidTr="000320B8">
        <w:trPr>
          <w:trHeight w:val="375"/>
          <w:jc w:val="center"/>
        </w:trPr>
        <w:tc>
          <w:tcPr>
            <w:tcW w:w="3561" w:type="dxa"/>
          </w:tcPr>
          <w:p w:rsidR="000320B8" w:rsidRPr="000A2E7A" w:rsidRDefault="000320B8" w:rsidP="000320B8">
            <w:pPr>
              <w:spacing w:after="0" w:line="240" w:lineRule="auto"/>
              <w:ind w:left="-91" w:right="-132"/>
              <w:rPr>
                <w:rFonts w:ascii="Times New Roman" w:hAnsi="Times New Roman"/>
                <w:b/>
                <w:sz w:val="20"/>
                <w:szCs w:val="20"/>
              </w:rPr>
            </w:pPr>
            <w:r w:rsidRPr="000A2E7A">
              <w:rPr>
                <w:rFonts w:ascii="Times New Roman" w:hAnsi="Times New Roman"/>
                <w:b/>
                <w:sz w:val="20"/>
                <w:szCs w:val="20"/>
              </w:rPr>
              <w:t>Доходы от имущества, наход. в гос. и муницип. собственности, в том числе:</w:t>
            </w:r>
          </w:p>
        </w:tc>
        <w:tc>
          <w:tcPr>
            <w:tcW w:w="1143" w:type="dxa"/>
            <w:vAlign w:val="center"/>
          </w:tcPr>
          <w:p w:rsidR="000320B8" w:rsidRPr="000A2E7A" w:rsidRDefault="000320B8" w:rsidP="000320B8">
            <w:pPr>
              <w:spacing w:after="0"/>
              <w:ind w:right="-120"/>
              <w:jc w:val="center"/>
              <w:rPr>
                <w:rFonts w:ascii="Times New Roman" w:hAnsi="Times New Roman"/>
                <w:bCs/>
                <w:sz w:val="20"/>
                <w:szCs w:val="20"/>
              </w:rPr>
            </w:pPr>
            <w:r w:rsidRPr="000A2E7A">
              <w:rPr>
                <w:rFonts w:ascii="Times New Roman" w:hAnsi="Times New Roman"/>
                <w:bCs/>
                <w:sz w:val="20"/>
                <w:szCs w:val="20"/>
              </w:rPr>
              <w:t>9 016 530</w:t>
            </w:r>
          </w:p>
        </w:tc>
        <w:tc>
          <w:tcPr>
            <w:tcW w:w="610" w:type="dxa"/>
            <w:vAlign w:val="center"/>
          </w:tcPr>
          <w:p w:rsidR="000320B8" w:rsidRPr="000A2E7A" w:rsidRDefault="000320B8" w:rsidP="000320B8">
            <w:pPr>
              <w:spacing w:after="0"/>
              <w:ind w:right="-120"/>
              <w:jc w:val="center"/>
              <w:rPr>
                <w:rFonts w:ascii="Times New Roman" w:hAnsi="Times New Roman"/>
                <w:bCs/>
                <w:sz w:val="20"/>
                <w:szCs w:val="20"/>
              </w:rPr>
            </w:pPr>
            <w:r w:rsidRPr="000A2E7A">
              <w:rPr>
                <w:rFonts w:ascii="Times New Roman" w:hAnsi="Times New Roman"/>
                <w:bCs/>
                <w:sz w:val="20"/>
                <w:szCs w:val="20"/>
              </w:rPr>
              <w:t>26,48</w:t>
            </w:r>
          </w:p>
        </w:tc>
        <w:tc>
          <w:tcPr>
            <w:tcW w:w="1445" w:type="dxa"/>
            <w:vAlign w:val="center"/>
          </w:tcPr>
          <w:p w:rsidR="000320B8" w:rsidRPr="000A2E7A" w:rsidRDefault="000320B8" w:rsidP="000320B8">
            <w:pPr>
              <w:spacing w:after="0"/>
              <w:ind w:right="-120"/>
              <w:jc w:val="center"/>
              <w:rPr>
                <w:rFonts w:ascii="Times New Roman" w:hAnsi="Times New Roman"/>
                <w:bCs/>
                <w:sz w:val="20"/>
                <w:szCs w:val="20"/>
              </w:rPr>
            </w:pPr>
            <w:r w:rsidRPr="000A2E7A">
              <w:rPr>
                <w:rFonts w:ascii="Times New Roman" w:hAnsi="Times New Roman"/>
                <w:bCs/>
                <w:sz w:val="20"/>
                <w:szCs w:val="20"/>
              </w:rPr>
              <w:t>8 531 574</w:t>
            </w:r>
          </w:p>
        </w:tc>
        <w:tc>
          <w:tcPr>
            <w:tcW w:w="661" w:type="dxa"/>
            <w:vAlign w:val="center"/>
          </w:tcPr>
          <w:p w:rsidR="000320B8" w:rsidRPr="000A2E7A" w:rsidRDefault="000320B8" w:rsidP="000320B8">
            <w:pPr>
              <w:spacing w:after="0"/>
              <w:ind w:right="-120"/>
              <w:jc w:val="center"/>
              <w:rPr>
                <w:rFonts w:ascii="Times New Roman" w:hAnsi="Times New Roman"/>
                <w:bCs/>
                <w:sz w:val="20"/>
                <w:szCs w:val="20"/>
              </w:rPr>
            </w:pPr>
            <w:r w:rsidRPr="000A2E7A">
              <w:rPr>
                <w:rFonts w:ascii="Times New Roman" w:hAnsi="Times New Roman"/>
                <w:bCs/>
                <w:sz w:val="20"/>
                <w:szCs w:val="20"/>
              </w:rPr>
              <w:t>33,15</w:t>
            </w:r>
          </w:p>
        </w:tc>
        <w:tc>
          <w:tcPr>
            <w:tcW w:w="1275" w:type="dxa"/>
            <w:vAlign w:val="center"/>
          </w:tcPr>
          <w:p w:rsidR="000320B8" w:rsidRPr="000A2E7A" w:rsidRDefault="000320B8" w:rsidP="000320B8">
            <w:pPr>
              <w:spacing w:after="0"/>
              <w:ind w:right="-120"/>
              <w:jc w:val="center"/>
              <w:rPr>
                <w:rFonts w:ascii="Times New Roman" w:hAnsi="Times New Roman"/>
                <w:sz w:val="20"/>
                <w:szCs w:val="20"/>
              </w:rPr>
            </w:pPr>
            <w:r w:rsidRPr="000A2E7A">
              <w:rPr>
                <w:rFonts w:ascii="Times New Roman" w:hAnsi="Times New Roman"/>
                <w:sz w:val="20"/>
                <w:szCs w:val="20"/>
              </w:rPr>
              <w:t>94,6</w:t>
            </w:r>
          </w:p>
        </w:tc>
      </w:tr>
      <w:tr w:rsidR="000320B8" w:rsidRPr="000A2E7A" w:rsidTr="000320B8">
        <w:trPr>
          <w:trHeight w:val="244"/>
          <w:jc w:val="center"/>
        </w:trPr>
        <w:tc>
          <w:tcPr>
            <w:tcW w:w="3561" w:type="dxa"/>
          </w:tcPr>
          <w:p w:rsidR="000320B8" w:rsidRPr="000A2E7A" w:rsidRDefault="000320B8" w:rsidP="000320B8">
            <w:pPr>
              <w:spacing w:after="0" w:line="240" w:lineRule="auto"/>
              <w:ind w:left="-91" w:right="-132"/>
              <w:rPr>
                <w:rFonts w:ascii="Times New Roman" w:hAnsi="Times New Roman"/>
                <w:sz w:val="20"/>
                <w:szCs w:val="20"/>
              </w:rPr>
            </w:pPr>
            <w:r w:rsidRPr="000A2E7A">
              <w:rPr>
                <w:rFonts w:ascii="Times New Roman" w:hAnsi="Times New Roman"/>
                <w:sz w:val="20"/>
                <w:szCs w:val="20"/>
              </w:rPr>
              <w:t>Погашение налогового и иных видов кредитов</w:t>
            </w:r>
          </w:p>
        </w:tc>
        <w:tc>
          <w:tcPr>
            <w:tcW w:w="1143" w:type="dxa"/>
            <w:vAlign w:val="center"/>
          </w:tcPr>
          <w:p w:rsidR="000320B8" w:rsidRPr="000A2E7A" w:rsidRDefault="000320B8" w:rsidP="000320B8">
            <w:pPr>
              <w:spacing w:after="0"/>
              <w:ind w:right="-120"/>
              <w:jc w:val="center"/>
              <w:rPr>
                <w:rFonts w:ascii="Times New Roman" w:hAnsi="Times New Roman"/>
                <w:sz w:val="20"/>
                <w:szCs w:val="20"/>
              </w:rPr>
            </w:pPr>
            <w:r w:rsidRPr="000A2E7A">
              <w:rPr>
                <w:rFonts w:ascii="Times New Roman" w:hAnsi="Times New Roman"/>
                <w:sz w:val="20"/>
                <w:szCs w:val="20"/>
              </w:rPr>
              <w:t>2 227 299</w:t>
            </w:r>
          </w:p>
        </w:tc>
        <w:tc>
          <w:tcPr>
            <w:tcW w:w="610" w:type="dxa"/>
            <w:vAlign w:val="center"/>
          </w:tcPr>
          <w:p w:rsidR="000320B8" w:rsidRPr="000A2E7A" w:rsidRDefault="000320B8" w:rsidP="000320B8">
            <w:pPr>
              <w:spacing w:after="0"/>
              <w:ind w:right="-120"/>
              <w:jc w:val="center"/>
              <w:rPr>
                <w:rFonts w:ascii="Times New Roman" w:hAnsi="Times New Roman"/>
                <w:sz w:val="20"/>
                <w:szCs w:val="20"/>
              </w:rPr>
            </w:pPr>
            <w:r w:rsidRPr="000A2E7A">
              <w:rPr>
                <w:rFonts w:ascii="Times New Roman" w:hAnsi="Times New Roman"/>
                <w:sz w:val="20"/>
                <w:szCs w:val="20"/>
              </w:rPr>
              <w:t>6,54</w:t>
            </w:r>
          </w:p>
        </w:tc>
        <w:tc>
          <w:tcPr>
            <w:tcW w:w="1445" w:type="dxa"/>
            <w:vAlign w:val="center"/>
          </w:tcPr>
          <w:p w:rsidR="000320B8" w:rsidRPr="000A2E7A" w:rsidRDefault="000320B8" w:rsidP="000320B8">
            <w:pPr>
              <w:spacing w:after="0"/>
              <w:ind w:right="-120"/>
              <w:jc w:val="center"/>
              <w:rPr>
                <w:rFonts w:ascii="Times New Roman" w:hAnsi="Times New Roman"/>
                <w:sz w:val="20"/>
                <w:szCs w:val="20"/>
              </w:rPr>
            </w:pPr>
            <w:r w:rsidRPr="000A2E7A">
              <w:rPr>
                <w:rFonts w:ascii="Times New Roman" w:hAnsi="Times New Roman"/>
                <w:sz w:val="20"/>
                <w:szCs w:val="20"/>
              </w:rPr>
              <w:t>2 236 851</w:t>
            </w:r>
          </w:p>
        </w:tc>
        <w:tc>
          <w:tcPr>
            <w:tcW w:w="661" w:type="dxa"/>
            <w:vAlign w:val="center"/>
          </w:tcPr>
          <w:p w:rsidR="000320B8" w:rsidRPr="000A2E7A" w:rsidRDefault="000320B8" w:rsidP="000320B8">
            <w:pPr>
              <w:spacing w:after="0"/>
              <w:ind w:right="-120"/>
              <w:jc w:val="center"/>
              <w:rPr>
                <w:rFonts w:ascii="Times New Roman" w:hAnsi="Times New Roman"/>
                <w:sz w:val="20"/>
                <w:szCs w:val="20"/>
              </w:rPr>
            </w:pPr>
            <w:r w:rsidRPr="000A2E7A">
              <w:rPr>
                <w:rFonts w:ascii="Times New Roman" w:hAnsi="Times New Roman"/>
                <w:sz w:val="20"/>
                <w:szCs w:val="20"/>
              </w:rPr>
              <w:t>8,69</w:t>
            </w:r>
          </w:p>
        </w:tc>
        <w:tc>
          <w:tcPr>
            <w:tcW w:w="1275" w:type="dxa"/>
            <w:vAlign w:val="center"/>
          </w:tcPr>
          <w:p w:rsidR="000320B8" w:rsidRPr="000A2E7A" w:rsidRDefault="000320B8" w:rsidP="000320B8">
            <w:pPr>
              <w:spacing w:after="0"/>
              <w:ind w:right="-120"/>
              <w:jc w:val="center"/>
              <w:rPr>
                <w:rFonts w:ascii="Times New Roman" w:hAnsi="Times New Roman"/>
                <w:sz w:val="20"/>
                <w:szCs w:val="20"/>
              </w:rPr>
            </w:pPr>
            <w:r w:rsidRPr="000A2E7A">
              <w:rPr>
                <w:rFonts w:ascii="Times New Roman" w:hAnsi="Times New Roman"/>
                <w:sz w:val="20"/>
                <w:szCs w:val="20"/>
              </w:rPr>
              <w:t>100,4</w:t>
            </w:r>
          </w:p>
        </w:tc>
      </w:tr>
      <w:tr w:rsidR="000320B8" w:rsidRPr="000A2E7A" w:rsidTr="000320B8">
        <w:trPr>
          <w:trHeight w:val="244"/>
          <w:jc w:val="center"/>
        </w:trPr>
        <w:tc>
          <w:tcPr>
            <w:tcW w:w="3561" w:type="dxa"/>
          </w:tcPr>
          <w:p w:rsidR="000320B8" w:rsidRPr="000A2E7A" w:rsidRDefault="000320B8" w:rsidP="000320B8">
            <w:pPr>
              <w:spacing w:after="0" w:line="240" w:lineRule="auto"/>
              <w:ind w:left="-91" w:right="-132"/>
              <w:rPr>
                <w:rFonts w:ascii="Times New Roman" w:hAnsi="Times New Roman"/>
                <w:b/>
                <w:sz w:val="20"/>
                <w:szCs w:val="20"/>
              </w:rPr>
            </w:pPr>
            <w:r w:rsidRPr="000A2E7A">
              <w:rPr>
                <w:rFonts w:ascii="Times New Roman" w:hAnsi="Times New Roman"/>
                <w:b/>
                <w:sz w:val="20"/>
                <w:szCs w:val="20"/>
              </w:rPr>
              <w:t>Доходы от продажи имущества, наход. в гос. и муницип. собственности</w:t>
            </w:r>
          </w:p>
        </w:tc>
        <w:tc>
          <w:tcPr>
            <w:tcW w:w="1143" w:type="dxa"/>
            <w:vAlign w:val="center"/>
          </w:tcPr>
          <w:p w:rsidR="000320B8" w:rsidRPr="000A2E7A" w:rsidRDefault="000320B8" w:rsidP="000320B8">
            <w:pPr>
              <w:spacing w:after="0"/>
              <w:ind w:right="-120"/>
              <w:jc w:val="center"/>
              <w:rPr>
                <w:rFonts w:ascii="Times New Roman" w:hAnsi="Times New Roman"/>
                <w:sz w:val="20"/>
                <w:szCs w:val="20"/>
              </w:rPr>
            </w:pPr>
            <w:r w:rsidRPr="000A2E7A">
              <w:rPr>
                <w:rFonts w:ascii="Times New Roman" w:hAnsi="Times New Roman"/>
                <w:sz w:val="20"/>
                <w:szCs w:val="20"/>
              </w:rPr>
              <w:t>2 643 877</w:t>
            </w:r>
          </w:p>
        </w:tc>
        <w:tc>
          <w:tcPr>
            <w:tcW w:w="610" w:type="dxa"/>
            <w:vAlign w:val="center"/>
          </w:tcPr>
          <w:p w:rsidR="000320B8" w:rsidRPr="000A2E7A" w:rsidRDefault="000320B8" w:rsidP="000320B8">
            <w:pPr>
              <w:spacing w:after="0"/>
              <w:ind w:right="-120"/>
              <w:jc w:val="center"/>
              <w:rPr>
                <w:rFonts w:ascii="Times New Roman" w:hAnsi="Times New Roman"/>
                <w:sz w:val="20"/>
                <w:szCs w:val="20"/>
              </w:rPr>
            </w:pPr>
            <w:r w:rsidRPr="000A2E7A">
              <w:rPr>
                <w:rFonts w:ascii="Times New Roman" w:hAnsi="Times New Roman"/>
                <w:sz w:val="20"/>
                <w:szCs w:val="20"/>
              </w:rPr>
              <w:t>7,76</w:t>
            </w:r>
          </w:p>
        </w:tc>
        <w:tc>
          <w:tcPr>
            <w:tcW w:w="1445" w:type="dxa"/>
            <w:vAlign w:val="center"/>
          </w:tcPr>
          <w:p w:rsidR="000320B8" w:rsidRPr="000A2E7A" w:rsidRDefault="000320B8" w:rsidP="000320B8">
            <w:pPr>
              <w:spacing w:after="0"/>
              <w:ind w:right="-120"/>
              <w:jc w:val="center"/>
              <w:rPr>
                <w:rFonts w:ascii="Times New Roman" w:hAnsi="Times New Roman"/>
                <w:sz w:val="20"/>
                <w:szCs w:val="20"/>
              </w:rPr>
            </w:pPr>
            <w:r w:rsidRPr="000A2E7A">
              <w:rPr>
                <w:rFonts w:ascii="Times New Roman" w:hAnsi="Times New Roman"/>
                <w:sz w:val="20"/>
                <w:szCs w:val="20"/>
              </w:rPr>
              <w:t>1 857 384</w:t>
            </w:r>
          </w:p>
        </w:tc>
        <w:tc>
          <w:tcPr>
            <w:tcW w:w="661" w:type="dxa"/>
            <w:vAlign w:val="center"/>
          </w:tcPr>
          <w:p w:rsidR="000320B8" w:rsidRPr="000A2E7A" w:rsidRDefault="000320B8" w:rsidP="000320B8">
            <w:pPr>
              <w:spacing w:after="0"/>
              <w:ind w:right="-120"/>
              <w:jc w:val="center"/>
              <w:rPr>
                <w:rFonts w:ascii="Times New Roman" w:hAnsi="Times New Roman"/>
                <w:sz w:val="20"/>
                <w:szCs w:val="20"/>
              </w:rPr>
            </w:pPr>
            <w:r w:rsidRPr="000A2E7A">
              <w:rPr>
                <w:rFonts w:ascii="Times New Roman" w:hAnsi="Times New Roman"/>
                <w:sz w:val="20"/>
                <w:szCs w:val="20"/>
              </w:rPr>
              <w:t>7,22</w:t>
            </w:r>
          </w:p>
        </w:tc>
        <w:tc>
          <w:tcPr>
            <w:tcW w:w="1275" w:type="dxa"/>
            <w:vAlign w:val="center"/>
          </w:tcPr>
          <w:p w:rsidR="000320B8" w:rsidRPr="000A2E7A" w:rsidRDefault="000320B8" w:rsidP="000320B8">
            <w:pPr>
              <w:spacing w:after="0"/>
              <w:ind w:right="-120"/>
              <w:jc w:val="center"/>
              <w:rPr>
                <w:rFonts w:ascii="Times New Roman" w:hAnsi="Times New Roman"/>
                <w:sz w:val="20"/>
                <w:szCs w:val="20"/>
              </w:rPr>
            </w:pPr>
            <w:r w:rsidRPr="000A2E7A">
              <w:rPr>
                <w:rFonts w:ascii="Times New Roman" w:hAnsi="Times New Roman"/>
                <w:sz w:val="20"/>
                <w:szCs w:val="20"/>
              </w:rPr>
              <w:t>70,3</w:t>
            </w:r>
          </w:p>
        </w:tc>
      </w:tr>
      <w:tr w:rsidR="000320B8" w:rsidRPr="000A2E7A" w:rsidTr="000320B8">
        <w:trPr>
          <w:trHeight w:val="276"/>
          <w:jc w:val="center"/>
        </w:trPr>
        <w:tc>
          <w:tcPr>
            <w:tcW w:w="3561" w:type="dxa"/>
          </w:tcPr>
          <w:p w:rsidR="000320B8" w:rsidRPr="000A2E7A" w:rsidRDefault="000320B8" w:rsidP="000320B8">
            <w:pPr>
              <w:spacing w:after="0" w:line="240" w:lineRule="auto"/>
              <w:ind w:left="-91" w:right="-132"/>
              <w:rPr>
                <w:rFonts w:ascii="Times New Roman" w:hAnsi="Times New Roman"/>
                <w:b/>
                <w:sz w:val="20"/>
                <w:szCs w:val="20"/>
              </w:rPr>
            </w:pPr>
            <w:r w:rsidRPr="000A2E7A">
              <w:rPr>
                <w:rFonts w:ascii="Times New Roman" w:hAnsi="Times New Roman"/>
                <w:b/>
                <w:sz w:val="20"/>
                <w:szCs w:val="20"/>
              </w:rPr>
              <w:t>Административные платежи и сборы</w:t>
            </w:r>
          </w:p>
        </w:tc>
        <w:tc>
          <w:tcPr>
            <w:tcW w:w="1143" w:type="dxa"/>
            <w:vAlign w:val="center"/>
          </w:tcPr>
          <w:p w:rsidR="000320B8" w:rsidRPr="000A2E7A" w:rsidRDefault="000320B8" w:rsidP="000320B8">
            <w:pPr>
              <w:spacing w:after="0"/>
              <w:ind w:right="-120"/>
              <w:jc w:val="center"/>
              <w:rPr>
                <w:rFonts w:ascii="Times New Roman" w:hAnsi="Times New Roman"/>
                <w:sz w:val="20"/>
                <w:szCs w:val="20"/>
              </w:rPr>
            </w:pPr>
            <w:r w:rsidRPr="000A2E7A">
              <w:rPr>
                <w:rFonts w:ascii="Times New Roman" w:hAnsi="Times New Roman"/>
                <w:sz w:val="20"/>
                <w:szCs w:val="20"/>
              </w:rPr>
              <w:t>8 949 300</w:t>
            </w:r>
          </w:p>
        </w:tc>
        <w:tc>
          <w:tcPr>
            <w:tcW w:w="610" w:type="dxa"/>
            <w:vAlign w:val="center"/>
          </w:tcPr>
          <w:p w:rsidR="000320B8" w:rsidRPr="000A2E7A" w:rsidRDefault="000320B8" w:rsidP="000320B8">
            <w:pPr>
              <w:spacing w:after="0"/>
              <w:ind w:right="-120"/>
              <w:jc w:val="center"/>
              <w:rPr>
                <w:rFonts w:ascii="Times New Roman" w:hAnsi="Times New Roman"/>
                <w:sz w:val="20"/>
                <w:szCs w:val="20"/>
              </w:rPr>
            </w:pPr>
            <w:r w:rsidRPr="000A2E7A">
              <w:rPr>
                <w:rFonts w:ascii="Times New Roman" w:hAnsi="Times New Roman"/>
                <w:sz w:val="20"/>
                <w:szCs w:val="20"/>
              </w:rPr>
              <w:t>26,28</w:t>
            </w:r>
          </w:p>
        </w:tc>
        <w:tc>
          <w:tcPr>
            <w:tcW w:w="1445" w:type="dxa"/>
            <w:vAlign w:val="center"/>
          </w:tcPr>
          <w:p w:rsidR="000320B8" w:rsidRPr="000A2E7A" w:rsidRDefault="000320B8" w:rsidP="000320B8">
            <w:pPr>
              <w:spacing w:after="0"/>
              <w:ind w:right="-120"/>
              <w:jc w:val="center"/>
              <w:rPr>
                <w:rFonts w:ascii="Times New Roman" w:hAnsi="Times New Roman"/>
                <w:sz w:val="20"/>
                <w:szCs w:val="20"/>
              </w:rPr>
            </w:pPr>
            <w:r w:rsidRPr="000A2E7A">
              <w:rPr>
                <w:rFonts w:ascii="Times New Roman" w:hAnsi="Times New Roman"/>
                <w:sz w:val="20"/>
                <w:szCs w:val="20"/>
              </w:rPr>
              <w:t>4 058 053</w:t>
            </w:r>
          </w:p>
        </w:tc>
        <w:tc>
          <w:tcPr>
            <w:tcW w:w="661" w:type="dxa"/>
            <w:vAlign w:val="center"/>
          </w:tcPr>
          <w:p w:rsidR="000320B8" w:rsidRPr="000A2E7A" w:rsidRDefault="000320B8" w:rsidP="000320B8">
            <w:pPr>
              <w:spacing w:after="0"/>
              <w:ind w:right="-120"/>
              <w:jc w:val="center"/>
              <w:rPr>
                <w:rFonts w:ascii="Times New Roman" w:hAnsi="Times New Roman"/>
                <w:sz w:val="20"/>
                <w:szCs w:val="20"/>
              </w:rPr>
            </w:pPr>
            <w:r w:rsidRPr="000A2E7A">
              <w:rPr>
                <w:rFonts w:ascii="Times New Roman" w:hAnsi="Times New Roman"/>
                <w:sz w:val="20"/>
                <w:szCs w:val="20"/>
              </w:rPr>
              <w:t>15,77</w:t>
            </w:r>
          </w:p>
        </w:tc>
        <w:tc>
          <w:tcPr>
            <w:tcW w:w="1275" w:type="dxa"/>
            <w:vAlign w:val="center"/>
          </w:tcPr>
          <w:p w:rsidR="000320B8" w:rsidRPr="000A2E7A" w:rsidRDefault="000320B8" w:rsidP="000320B8">
            <w:pPr>
              <w:spacing w:after="0"/>
              <w:ind w:right="-120"/>
              <w:jc w:val="center"/>
              <w:rPr>
                <w:rFonts w:ascii="Times New Roman" w:hAnsi="Times New Roman"/>
                <w:sz w:val="20"/>
                <w:szCs w:val="20"/>
              </w:rPr>
            </w:pPr>
            <w:r w:rsidRPr="000A2E7A">
              <w:rPr>
                <w:rFonts w:ascii="Times New Roman" w:hAnsi="Times New Roman"/>
                <w:sz w:val="20"/>
                <w:szCs w:val="20"/>
              </w:rPr>
              <w:t>45,3</w:t>
            </w:r>
          </w:p>
        </w:tc>
      </w:tr>
      <w:tr w:rsidR="000320B8" w:rsidRPr="000A2E7A" w:rsidTr="000320B8">
        <w:trPr>
          <w:trHeight w:val="457"/>
          <w:jc w:val="center"/>
        </w:trPr>
        <w:tc>
          <w:tcPr>
            <w:tcW w:w="3561" w:type="dxa"/>
          </w:tcPr>
          <w:p w:rsidR="000320B8" w:rsidRPr="000A2E7A" w:rsidRDefault="000320B8" w:rsidP="000320B8">
            <w:pPr>
              <w:spacing w:after="0" w:line="240" w:lineRule="auto"/>
              <w:ind w:left="-91" w:right="-132"/>
              <w:rPr>
                <w:rFonts w:ascii="Times New Roman" w:hAnsi="Times New Roman"/>
                <w:b/>
                <w:sz w:val="20"/>
                <w:szCs w:val="20"/>
              </w:rPr>
            </w:pPr>
            <w:r w:rsidRPr="000A2E7A">
              <w:rPr>
                <w:rFonts w:ascii="Times New Roman" w:hAnsi="Times New Roman"/>
                <w:b/>
                <w:sz w:val="20"/>
                <w:szCs w:val="20"/>
              </w:rPr>
              <w:t>Штрафные санкции возмещение ущерба</w:t>
            </w:r>
          </w:p>
        </w:tc>
        <w:tc>
          <w:tcPr>
            <w:tcW w:w="1143" w:type="dxa"/>
            <w:vAlign w:val="center"/>
          </w:tcPr>
          <w:p w:rsidR="000320B8" w:rsidRPr="000A2E7A" w:rsidRDefault="000320B8" w:rsidP="000320B8">
            <w:pPr>
              <w:spacing w:after="0"/>
              <w:ind w:right="-120"/>
              <w:jc w:val="center"/>
              <w:rPr>
                <w:rFonts w:ascii="Times New Roman" w:hAnsi="Times New Roman"/>
                <w:sz w:val="20"/>
                <w:szCs w:val="20"/>
              </w:rPr>
            </w:pPr>
            <w:r w:rsidRPr="000A2E7A">
              <w:rPr>
                <w:rFonts w:ascii="Times New Roman" w:hAnsi="Times New Roman"/>
                <w:sz w:val="20"/>
                <w:szCs w:val="20"/>
              </w:rPr>
              <w:t>13 444 879</w:t>
            </w:r>
          </w:p>
        </w:tc>
        <w:tc>
          <w:tcPr>
            <w:tcW w:w="610" w:type="dxa"/>
            <w:vAlign w:val="center"/>
          </w:tcPr>
          <w:p w:rsidR="000320B8" w:rsidRPr="000A2E7A" w:rsidRDefault="000320B8" w:rsidP="000320B8">
            <w:pPr>
              <w:spacing w:after="0"/>
              <w:ind w:right="-120"/>
              <w:jc w:val="center"/>
              <w:rPr>
                <w:rFonts w:ascii="Times New Roman" w:hAnsi="Times New Roman"/>
                <w:sz w:val="20"/>
                <w:szCs w:val="20"/>
              </w:rPr>
            </w:pPr>
            <w:r w:rsidRPr="000A2E7A">
              <w:rPr>
                <w:rFonts w:ascii="Times New Roman" w:hAnsi="Times New Roman"/>
                <w:sz w:val="20"/>
                <w:szCs w:val="20"/>
              </w:rPr>
              <w:t>39,48</w:t>
            </w:r>
          </w:p>
        </w:tc>
        <w:tc>
          <w:tcPr>
            <w:tcW w:w="1445" w:type="dxa"/>
            <w:vAlign w:val="center"/>
          </w:tcPr>
          <w:p w:rsidR="000320B8" w:rsidRPr="000A2E7A" w:rsidRDefault="000320B8" w:rsidP="000320B8">
            <w:pPr>
              <w:spacing w:after="0"/>
              <w:ind w:right="-120"/>
              <w:jc w:val="center"/>
              <w:rPr>
                <w:rFonts w:ascii="Times New Roman" w:hAnsi="Times New Roman"/>
                <w:sz w:val="20"/>
                <w:szCs w:val="20"/>
              </w:rPr>
            </w:pPr>
            <w:r w:rsidRPr="000A2E7A">
              <w:rPr>
                <w:rFonts w:ascii="Times New Roman" w:hAnsi="Times New Roman"/>
                <w:sz w:val="20"/>
                <w:szCs w:val="20"/>
              </w:rPr>
              <w:t>11 293 033</w:t>
            </w:r>
          </w:p>
        </w:tc>
        <w:tc>
          <w:tcPr>
            <w:tcW w:w="661" w:type="dxa"/>
            <w:vAlign w:val="center"/>
          </w:tcPr>
          <w:p w:rsidR="000320B8" w:rsidRPr="000A2E7A" w:rsidRDefault="000320B8" w:rsidP="000320B8">
            <w:pPr>
              <w:spacing w:after="0"/>
              <w:ind w:right="-120"/>
              <w:jc w:val="center"/>
              <w:rPr>
                <w:rFonts w:ascii="Times New Roman" w:hAnsi="Times New Roman"/>
                <w:sz w:val="20"/>
                <w:szCs w:val="20"/>
              </w:rPr>
            </w:pPr>
            <w:r w:rsidRPr="000A2E7A">
              <w:rPr>
                <w:rFonts w:ascii="Times New Roman" w:hAnsi="Times New Roman"/>
                <w:sz w:val="20"/>
                <w:szCs w:val="20"/>
              </w:rPr>
              <w:t>43,87</w:t>
            </w:r>
          </w:p>
        </w:tc>
        <w:tc>
          <w:tcPr>
            <w:tcW w:w="1275" w:type="dxa"/>
            <w:vAlign w:val="center"/>
          </w:tcPr>
          <w:p w:rsidR="000320B8" w:rsidRPr="000A2E7A" w:rsidRDefault="000320B8" w:rsidP="000320B8">
            <w:pPr>
              <w:spacing w:after="0"/>
              <w:ind w:right="-120"/>
              <w:jc w:val="center"/>
              <w:rPr>
                <w:rFonts w:ascii="Times New Roman" w:hAnsi="Times New Roman"/>
                <w:sz w:val="20"/>
                <w:szCs w:val="20"/>
              </w:rPr>
            </w:pPr>
            <w:r w:rsidRPr="000A2E7A">
              <w:rPr>
                <w:rFonts w:ascii="Times New Roman" w:hAnsi="Times New Roman"/>
                <w:sz w:val="20"/>
                <w:szCs w:val="20"/>
              </w:rPr>
              <w:t>84,0</w:t>
            </w:r>
          </w:p>
        </w:tc>
      </w:tr>
      <w:tr w:rsidR="000320B8" w:rsidRPr="000A2E7A" w:rsidTr="000320B8">
        <w:trPr>
          <w:trHeight w:val="320"/>
          <w:jc w:val="center"/>
        </w:trPr>
        <w:tc>
          <w:tcPr>
            <w:tcW w:w="3561" w:type="dxa"/>
          </w:tcPr>
          <w:p w:rsidR="000320B8" w:rsidRPr="000A2E7A" w:rsidRDefault="000320B8" w:rsidP="000320B8">
            <w:pPr>
              <w:spacing w:after="0" w:line="240" w:lineRule="auto"/>
              <w:ind w:left="-91" w:right="-132"/>
              <w:rPr>
                <w:rFonts w:ascii="Times New Roman" w:hAnsi="Times New Roman"/>
                <w:b/>
                <w:sz w:val="20"/>
                <w:szCs w:val="20"/>
              </w:rPr>
            </w:pPr>
            <w:r w:rsidRPr="000A2E7A">
              <w:rPr>
                <w:rFonts w:ascii="Times New Roman" w:hAnsi="Times New Roman"/>
                <w:b/>
                <w:sz w:val="20"/>
                <w:szCs w:val="20"/>
              </w:rPr>
              <w:t xml:space="preserve">Прочие неналоговые доходы </w:t>
            </w:r>
          </w:p>
        </w:tc>
        <w:tc>
          <w:tcPr>
            <w:tcW w:w="1143" w:type="dxa"/>
            <w:vAlign w:val="center"/>
          </w:tcPr>
          <w:p w:rsidR="000320B8" w:rsidRPr="000A2E7A" w:rsidRDefault="000320B8" w:rsidP="000320B8">
            <w:pPr>
              <w:spacing w:after="0"/>
              <w:ind w:right="-120"/>
              <w:jc w:val="center"/>
              <w:rPr>
                <w:rFonts w:ascii="Times New Roman" w:hAnsi="Times New Roman"/>
                <w:sz w:val="20"/>
                <w:szCs w:val="20"/>
              </w:rPr>
            </w:pPr>
            <w:r w:rsidRPr="000A2E7A">
              <w:rPr>
                <w:rFonts w:ascii="Times New Roman" w:hAnsi="Times New Roman"/>
                <w:sz w:val="20"/>
                <w:szCs w:val="20"/>
              </w:rPr>
              <w:t>600</w:t>
            </w:r>
          </w:p>
        </w:tc>
        <w:tc>
          <w:tcPr>
            <w:tcW w:w="610" w:type="dxa"/>
            <w:vAlign w:val="center"/>
          </w:tcPr>
          <w:p w:rsidR="000320B8" w:rsidRPr="000A2E7A" w:rsidRDefault="000320B8" w:rsidP="000320B8">
            <w:pPr>
              <w:spacing w:after="0"/>
              <w:ind w:left="-83" w:right="-120" w:hanging="26"/>
              <w:jc w:val="center"/>
              <w:rPr>
                <w:rFonts w:ascii="Times New Roman" w:hAnsi="Times New Roman"/>
                <w:sz w:val="20"/>
                <w:szCs w:val="20"/>
              </w:rPr>
            </w:pPr>
            <w:r w:rsidRPr="000A2E7A">
              <w:rPr>
                <w:rFonts w:ascii="Times New Roman" w:hAnsi="Times New Roman"/>
                <w:sz w:val="20"/>
                <w:szCs w:val="20"/>
              </w:rPr>
              <w:t>0,002</w:t>
            </w:r>
          </w:p>
        </w:tc>
        <w:tc>
          <w:tcPr>
            <w:tcW w:w="1445" w:type="dxa"/>
            <w:vAlign w:val="center"/>
          </w:tcPr>
          <w:p w:rsidR="000320B8" w:rsidRPr="000A2E7A" w:rsidRDefault="000320B8" w:rsidP="000320B8">
            <w:pPr>
              <w:spacing w:after="0"/>
              <w:ind w:right="-120"/>
              <w:jc w:val="center"/>
              <w:rPr>
                <w:rFonts w:ascii="Times New Roman" w:hAnsi="Times New Roman"/>
                <w:sz w:val="20"/>
                <w:szCs w:val="20"/>
              </w:rPr>
            </w:pPr>
            <w:r w:rsidRPr="000A2E7A">
              <w:rPr>
                <w:rFonts w:ascii="Times New Roman" w:hAnsi="Times New Roman"/>
                <w:sz w:val="20"/>
                <w:szCs w:val="20"/>
              </w:rPr>
              <w:t>-</w:t>
            </w:r>
          </w:p>
        </w:tc>
        <w:tc>
          <w:tcPr>
            <w:tcW w:w="661" w:type="dxa"/>
            <w:vAlign w:val="center"/>
          </w:tcPr>
          <w:p w:rsidR="000320B8" w:rsidRPr="000A2E7A" w:rsidRDefault="000320B8" w:rsidP="000320B8">
            <w:pPr>
              <w:spacing w:after="0"/>
              <w:ind w:right="-120"/>
              <w:jc w:val="center"/>
              <w:rPr>
                <w:rFonts w:ascii="Times New Roman" w:hAnsi="Times New Roman"/>
                <w:sz w:val="20"/>
                <w:szCs w:val="20"/>
              </w:rPr>
            </w:pPr>
            <w:r w:rsidRPr="000A2E7A">
              <w:rPr>
                <w:rFonts w:ascii="Times New Roman" w:hAnsi="Times New Roman"/>
                <w:sz w:val="20"/>
                <w:szCs w:val="20"/>
              </w:rPr>
              <w:t>-</w:t>
            </w:r>
          </w:p>
        </w:tc>
        <w:tc>
          <w:tcPr>
            <w:tcW w:w="1275" w:type="dxa"/>
            <w:vAlign w:val="center"/>
          </w:tcPr>
          <w:p w:rsidR="000320B8" w:rsidRPr="000A2E7A" w:rsidRDefault="000320B8" w:rsidP="000320B8">
            <w:pPr>
              <w:spacing w:after="0"/>
              <w:ind w:right="-120"/>
              <w:jc w:val="center"/>
              <w:rPr>
                <w:rFonts w:ascii="Times New Roman" w:hAnsi="Times New Roman"/>
                <w:sz w:val="20"/>
                <w:szCs w:val="20"/>
              </w:rPr>
            </w:pPr>
            <w:r w:rsidRPr="000A2E7A">
              <w:rPr>
                <w:rFonts w:ascii="Times New Roman" w:hAnsi="Times New Roman"/>
                <w:sz w:val="20"/>
                <w:szCs w:val="20"/>
              </w:rPr>
              <w:t>-</w:t>
            </w:r>
          </w:p>
        </w:tc>
      </w:tr>
    </w:tbl>
    <w:p w:rsidR="000320B8" w:rsidRDefault="000320B8" w:rsidP="000320B8">
      <w:pPr>
        <w:spacing w:after="0" w:line="240" w:lineRule="auto"/>
        <w:ind w:firstLine="709"/>
        <w:jc w:val="both"/>
        <w:rPr>
          <w:rFonts w:ascii="Times New Roman" w:hAnsi="Times New Roman"/>
          <w:sz w:val="24"/>
          <w:szCs w:val="24"/>
          <w:highlight w:val="yellow"/>
        </w:rPr>
      </w:pPr>
    </w:p>
    <w:p w:rsidR="000320B8" w:rsidRPr="009654EB" w:rsidRDefault="000320B8" w:rsidP="000320B8">
      <w:pPr>
        <w:spacing w:after="0" w:line="240" w:lineRule="auto"/>
        <w:ind w:firstLine="709"/>
        <w:jc w:val="both"/>
        <w:rPr>
          <w:rFonts w:ascii="Times New Roman" w:hAnsi="Times New Roman"/>
          <w:sz w:val="24"/>
          <w:szCs w:val="24"/>
        </w:rPr>
      </w:pPr>
      <w:r w:rsidRPr="009654EB">
        <w:rPr>
          <w:rFonts w:ascii="Times New Roman" w:hAnsi="Times New Roman"/>
          <w:sz w:val="24"/>
          <w:szCs w:val="24"/>
        </w:rPr>
        <w:lastRenderedPageBreak/>
        <w:t xml:space="preserve">Поступления </w:t>
      </w:r>
      <w:r w:rsidRPr="009654EB">
        <w:rPr>
          <w:rFonts w:ascii="Times New Roman" w:hAnsi="Times New Roman"/>
          <w:b/>
          <w:sz w:val="24"/>
          <w:szCs w:val="24"/>
        </w:rPr>
        <w:t>от штрафных санкций и возмещения ущерба</w:t>
      </w:r>
      <w:r w:rsidRPr="009654EB">
        <w:rPr>
          <w:rFonts w:ascii="Times New Roman" w:hAnsi="Times New Roman"/>
          <w:sz w:val="24"/>
          <w:szCs w:val="24"/>
        </w:rPr>
        <w:t xml:space="preserve"> за</w:t>
      </w:r>
      <w:r w:rsidRPr="009654EB">
        <w:rPr>
          <w:rFonts w:ascii="Times New Roman" w:hAnsi="Times New Roman"/>
          <w:b/>
          <w:sz w:val="24"/>
          <w:szCs w:val="24"/>
        </w:rPr>
        <w:t xml:space="preserve">                          </w:t>
      </w:r>
      <w:r w:rsidRPr="009654EB">
        <w:rPr>
          <w:rFonts w:ascii="Times New Roman" w:hAnsi="Times New Roman"/>
          <w:sz w:val="24"/>
          <w:szCs w:val="24"/>
        </w:rPr>
        <w:t>январь – июнь</w:t>
      </w:r>
      <w:r w:rsidRPr="009654EB">
        <w:rPr>
          <w:rFonts w:ascii="Times New Roman" w:hAnsi="Times New Roman"/>
          <w:b/>
          <w:sz w:val="24"/>
          <w:szCs w:val="24"/>
        </w:rPr>
        <w:t xml:space="preserve"> </w:t>
      </w:r>
      <w:r w:rsidRPr="009654EB">
        <w:rPr>
          <w:rFonts w:ascii="Times New Roman" w:hAnsi="Times New Roman"/>
          <w:sz w:val="24"/>
          <w:szCs w:val="24"/>
        </w:rPr>
        <w:t xml:space="preserve">2014 года сократились на 16,0% по сравнению с </w:t>
      </w:r>
      <w:r w:rsidR="00350E5C">
        <w:rPr>
          <w:rFonts w:ascii="Times New Roman" w:hAnsi="Times New Roman"/>
          <w:sz w:val="24"/>
          <w:szCs w:val="24"/>
        </w:rPr>
        <w:t xml:space="preserve">                                        январем – июнем </w:t>
      </w:r>
      <w:r w:rsidRPr="009654EB">
        <w:rPr>
          <w:rFonts w:ascii="Times New Roman" w:hAnsi="Times New Roman"/>
          <w:sz w:val="24"/>
          <w:szCs w:val="24"/>
        </w:rPr>
        <w:t xml:space="preserve">2013 года, несмотря на это они занимают наибольшую долю в неналоговых поступлениях в консолидированный бюджет (43,87%). </w:t>
      </w:r>
    </w:p>
    <w:p w:rsidR="000320B8" w:rsidRPr="009654EB" w:rsidRDefault="000320B8" w:rsidP="000320B8">
      <w:pPr>
        <w:spacing w:after="0" w:line="240" w:lineRule="auto"/>
        <w:ind w:firstLine="709"/>
        <w:jc w:val="both"/>
        <w:rPr>
          <w:rFonts w:ascii="Times New Roman" w:hAnsi="Times New Roman"/>
          <w:sz w:val="24"/>
          <w:szCs w:val="24"/>
        </w:rPr>
      </w:pPr>
      <w:r w:rsidRPr="009654EB">
        <w:rPr>
          <w:rFonts w:ascii="Times New Roman" w:hAnsi="Times New Roman"/>
          <w:sz w:val="24"/>
          <w:szCs w:val="24"/>
        </w:rPr>
        <w:t xml:space="preserve">В связи с двукратным сокращением платежей от государственных и муниципальных организаций </w:t>
      </w:r>
      <w:r w:rsidRPr="009654EB">
        <w:rPr>
          <w:rFonts w:ascii="Times New Roman" w:hAnsi="Times New Roman"/>
          <w:b/>
          <w:sz w:val="24"/>
          <w:szCs w:val="24"/>
        </w:rPr>
        <w:t>доходы от имущества, находящегося в государственной и муниципальной собственности</w:t>
      </w:r>
      <w:r w:rsidRPr="009654EB">
        <w:rPr>
          <w:rFonts w:ascii="Times New Roman" w:hAnsi="Times New Roman"/>
          <w:sz w:val="24"/>
          <w:szCs w:val="24"/>
        </w:rPr>
        <w:t xml:space="preserve"> сократились на 5,38% по сравнению с </w:t>
      </w:r>
      <w:r w:rsidRPr="009654EB">
        <w:rPr>
          <w:rFonts w:ascii="Times New Roman" w:hAnsi="Times New Roman"/>
          <w:sz w:val="24"/>
          <w:szCs w:val="24"/>
          <w:lang w:val="en-US"/>
        </w:rPr>
        <w:t>I</w:t>
      </w:r>
      <w:r w:rsidRPr="009654EB">
        <w:rPr>
          <w:rFonts w:ascii="Times New Roman" w:hAnsi="Times New Roman"/>
          <w:sz w:val="24"/>
          <w:szCs w:val="24"/>
        </w:rPr>
        <w:t xml:space="preserve"> полугодием </w:t>
      </w:r>
      <w:r w:rsidR="00350E5C">
        <w:rPr>
          <w:rFonts w:ascii="Times New Roman" w:hAnsi="Times New Roman"/>
          <w:sz w:val="24"/>
          <w:szCs w:val="24"/>
        </w:rPr>
        <w:t xml:space="preserve">              </w:t>
      </w:r>
      <w:r w:rsidRPr="009654EB">
        <w:rPr>
          <w:rFonts w:ascii="Times New Roman" w:hAnsi="Times New Roman"/>
          <w:sz w:val="24"/>
          <w:szCs w:val="24"/>
        </w:rPr>
        <w:t xml:space="preserve">2013 года до 8 531 574 руб., их удельный вес в неналоговых платежах вырос на </w:t>
      </w:r>
      <w:r w:rsidR="00350E5C">
        <w:rPr>
          <w:rFonts w:ascii="Times New Roman" w:hAnsi="Times New Roman"/>
          <w:sz w:val="24"/>
          <w:szCs w:val="24"/>
        </w:rPr>
        <w:t xml:space="preserve">                   </w:t>
      </w:r>
      <w:r w:rsidRPr="009654EB">
        <w:rPr>
          <w:rFonts w:ascii="Times New Roman" w:hAnsi="Times New Roman"/>
          <w:sz w:val="24"/>
          <w:szCs w:val="24"/>
        </w:rPr>
        <w:t>6,67 процентных пункта до 33,15%.</w:t>
      </w:r>
    </w:p>
    <w:p w:rsidR="000320B8" w:rsidRPr="009654EB" w:rsidRDefault="000320B8" w:rsidP="000320B8">
      <w:pPr>
        <w:spacing w:after="0" w:line="240" w:lineRule="auto"/>
        <w:ind w:firstLine="709"/>
        <w:jc w:val="both"/>
        <w:rPr>
          <w:rFonts w:ascii="Times New Roman" w:hAnsi="Times New Roman"/>
          <w:sz w:val="24"/>
          <w:szCs w:val="24"/>
        </w:rPr>
      </w:pPr>
      <w:r w:rsidRPr="009654EB">
        <w:rPr>
          <w:rFonts w:ascii="Times New Roman" w:hAnsi="Times New Roman"/>
          <w:sz w:val="24"/>
          <w:szCs w:val="24"/>
        </w:rPr>
        <w:t xml:space="preserve">Также сократились поступления </w:t>
      </w:r>
      <w:r w:rsidRPr="009654EB">
        <w:rPr>
          <w:rFonts w:ascii="Times New Roman" w:hAnsi="Times New Roman"/>
          <w:b/>
          <w:sz w:val="24"/>
          <w:szCs w:val="24"/>
        </w:rPr>
        <w:t>от административных платежей и сборов</w:t>
      </w:r>
      <w:r w:rsidRPr="009654EB">
        <w:rPr>
          <w:rFonts w:ascii="Times New Roman" w:hAnsi="Times New Roman"/>
          <w:sz w:val="24"/>
          <w:szCs w:val="24"/>
        </w:rPr>
        <w:t xml:space="preserve"> за        </w:t>
      </w:r>
      <w:r w:rsidRPr="009654EB">
        <w:rPr>
          <w:rFonts w:ascii="Times New Roman" w:hAnsi="Times New Roman"/>
          <w:b/>
          <w:sz w:val="24"/>
          <w:szCs w:val="24"/>
        </w:rPr>
        <w:t xml:space="preserve"> </w:t>
      </w:r>
      <w:r w:rsidRPr="009654EB">
        <w:rPr>
          <w:rFonts w:ascii="Times New Roman" w:hAnsi="Times New Roman"/>
          <w:sz w:val="24"/>
          <w:szCs w:val="24"/>
          <w:lang w:val="en-US"/>
        </w:rPr>
        <w:t>I</w:t>
      </w:r>
      <w:r w:rsidRPr="009654EB">
        <w:rPr>
          <w:rFonts w:ascii="Times New Roman" w:hAnsi="Times New Roman"/>
          <w:sz w:val="24"/>
          <w:szCs w:val="24"/>
        </w:rPr>
        <w:t xml:space="preserve"> полугодие 2014 года на 54,66% по сравнению с </w:t>
      </w:r>
      <w:r w:rsidRPr="009654EB">
        <w:rPr>
          <w:rFonts w:ascii="Times New Roman" w:hAnsi="Times New Roman"/>
          <w:sz w:val="24"/>
          <w:szCs w:val="24"/>
          <w:lang w:val="en-US"/>
        </w:rPr>
        <w:t>I</w:t>
      </w:r>
      <w:r w:rsidRPr="009654EB">
        <w:rPr>
          <w:rFonts w:ascii="Times New Roman" w:hAnsi="Times New Roman"/>
          <w:sz w:val="24"/>
          <w:szCs w:val="24"/>
        </w:rPr>
        <w:t xml:space="preserve"> полугодием 2013 года, их удельный вес в неналоговых платежах снизился на 10,51 процентных пункта до 15,77%.</w:t>
      </w:r>
    </w:p>
    <w:p w:rsidR="000320B8" w:rsidRDefault="000320B8" w:rsidP="000320B8">
      <w:pPr>
        <w:spacing w:after="0" w:line="240" w:lineRule="auto"/>
        <w:ind w:firstLine="709"/>
        <w:jc w:val="both"/>
        <w:rPr>
          <w:rFonts w:ascii="Times New Roman" w:hAnsi="Times New Roman"/>
          <w:sz w:val="24"/>
          <w:szCs w:val="24"/>
        </w:rPr>
      </w:pPr>
      <w:r w:rsidRPr="009654EB">
        <w:rPr>
          <w:rFonts w:ascii="Times New Roman" w:hAnsi="Times New Roman"/>
          <w:sz w:val="24"/>
          <w:szCs w:val="24"/>
        </w:rPr>
        <w:t xml:space="preserve">Фактические суммы поступлений доходов </w:t>
      </w:r>
      <w:r w:rsidRPr="009654EB">
        <w:rPr>
          <w:rFonts w:ascii="Times New Roman" w:hAnsi="Times New Roman"/>
          <w:b/>
          <w:sz w:val="24"/>
          <w:szCs w:val="24"/>
        </w:rPr>
        <w:t>от продажи</w:t>
      </w:r>
      <w:r w:rsidRPr="009654EB">
        <w:rPr>
          <w:rFonts w:ascii="Times New Roman" w:hAnsi="Times New Roman"/>
          <w:sz w:val="24"/>
          <w:szCs w:val="24"/>
        </w:rPr>
        <w:t xml:space="preserve"> </w:t>
      </w:r>
      <w:r w:rsidRPr="009654EB">
        <w:rPr>
          <w:rFonts w:ascii="Times New Roman" w:hAnsi="Times New Roman"/>
          <w:b/>
          <w:sz w:val="24"/>
          <w:szCs w:val="24"/>
        </w:rPr>
        <w:t xml:space="preserve">имущества, находящегося в государственной и муниципальной собственности, </w:t>
      </w:r>
      <w:r w:rsidRPr="009654EB">
        <w:rPr>
          <w:rFonts w:ascii="Times New Roman" w:hAnsi="Times New Roman"/>
          <w:sz w:val="24"/>
          <w:szCs w:val="24"/>
        </w:rPr>
        <w:t>снизились на 29,75% по сравнению с январем – июнем 2013 года и составили 1 857 384 руб., их удельный вес также снизился на 0,54 процентных пункта до 7,22%.</w:t>
      </w:r>
    </w:p>
    <w:p w:rsidR="00DD2973" w:rsidRDefault="00DD2973" w:rsidP="000320B8">
      <w:pPr>
        <w:spacing w:after="0" w:line="240" w:lineRule="auto"/>
        <w:ind w:firstLine="709"/>
        <w:jc w:val="both"/>
        <w:rPr>
          <w:rFonts w:ascii="Times New Roman" w:hAnsi="Times New Roman"/>
          <w:sz w:val="24"/>
          <w:szCs w:val="24"/>
        </w:rPr>
      </w:pPr>
    </w:p>
    <w:p w:rsidR="000320B8" w:rsidRDefault="000320B8" w:rsidP="000320B8">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981325" cy="2686050"/>
            <wp:effectExtent l="19050" t="0" r="0" b="0"/>
            <wp:docPr id="11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3804CE">
        <w:rPr>
          <w:rFonts w:ascii="Times New Roman" w:hAnsi="Times New Roman"/>
          <w:noProof/>
          <w:sz w:val="24"/>
          <w:szCs w:val="24"/>
        </w:rPr>
        <w:drawing>
          <wp:inline distT="0" distB="0" distL="0" distR="0">
            <wp:extent cx="2809875" cy="2686050"/>
            <wp:effectExtent l="19050" t="0" r="0" b="0"/>
            <wp:docPr id="11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50E5C" w:rsidRDefault="00350E5C" w:rsidP="000320B8">
      <w:pPr>
        <w:spacing w:after="0" w:line="240" w:lineRule="auto"/>
        <w:ind w:firstLine="709"/>
        <w:jc w:val="both"/>
        <w:rPr>
          <w:rFonts w:ascii="Times New Roman" w:hAnsi="Times New Roman"/>
          <w:sz w:val="24"/>
          <w:szCs w:val="24"/>
        </w:rPr>
      </w:pPr>
    </w:p>
    <w:p w:rsidR="000320B8" w:rsidRPr="009654EB" w:rsidRDefault="000320B8" w:rsidP="000320B8">
      <w:pPr>
        <w:spacing w:after="0" w:line="240" w:lineRule="auto"/>
        <w:ind w:firstLine="709"/>
        <w:jc w:val="both"/>
        <w:rPr>
          <w:rFonts w:ascii="Times New Roman" w:hAnsi="Times New Roman"/>
          <w:spacing w:val="-4"/>
          <w:sz w:val="24"/>
          <w:szCs w:val="24"/>
        </w:rPr>
      </w:pPr>
      <w:r w:rsidRPr="009654EB">
        <w:rPr>
          <w:rFonts w:ascii="Times New Roman" w:hAnsi="Times New Roman"/>
          <w:sz w:val="24"/>
          <w:szCs w:val="24"/>
        </w:rPr>
        <w:t xml:space="preserve">В </w:t>
      </w:r>
      <w:r w:rsidRPr="009654EB">
        <w:rPr>
          <w:rFonts w:ascii="Times New Roman" w:hAnsi="Times New Roman"/>
          <w:sz w:val="24"/>
          <w:szCs w:val="24"/>
          <w:lang w:val="en-US"/>
        </w:rPr>
        <w:t>I</w:t>
      </w:r>
      <w:r w:rsidRPr="009654EB">
        <w:rPr>
          <w:rFonts w:ascii="Times New Roman" w:hAnsi="Times New Roman"/>
          <w:sz w:val="24"/>
          <w:szCs w:val="24"/>
        </w:rPr>
        <w:t xml:space="preserve"> полугодии 2014 года отмечено сокращение по доходам </w:t>
      </w:r>
      <w:r w:rsidRPr="009654EB">
        <w:rPr>
          <w:rFonts w:ascii="Times New Roman" w:hAnsi="Times New Roman"/>
          <w:b/>
          <w:sz w:val="24"/>
          <w:szCs w:val="24"/>
        </w:rPr>
        <w:t>целевых бюджетных фондов</w:t>
      </w:r>
      <w:r w:rsidRPr="009654EB">
        <w:rPr>
          <w:rFonts w:ascii="Times New Roman" w:hAnsi="Times New Roman"/>
          <w:sz w:val="24"/>
          <w:szCs w:val="24"/>
        </w:rPr>
        <w:t xml:space="preserve"> по сравнению с </w:t>
      </w:r>
      <w:r w:rsidRPr="009654EB">
        <w:rPr>
          <w:rFonts w:ascii="Times New Roman" w:hAnsi="Times New Roman"/>
          <w:sz w:val="24"/>
          <w:szCs w:val="24"/>
          <w:lang w:val="en-US"/>
        </w:rPr>
        <w:t>I</w:t>
      </w:r>
      <w:r w:rsidRPr="009654EB">
        <w:rPr>
          <w:rFonts w:ascii="Times New Roman" w:hAnsi="Times New Roman"/>
          <w:sz w:val="24"/>
          <w:szCs w:val="24"/>
        </w:rPr>
        <w:t xml:space="preserve"> полугодием 2013 года на 1,79%. Также произошло сокращение платежей в </w:t>
      </w:r>
      <w:r w:rsidRPr="009654EB">
        <w:rPr>
          <w:rFonts w:ascii="Times New Roman" w:hAnsi="Times New Roman"/>
          <w:b/>
          <w:sz w:val="24"/>
          <w:szCs w:val="24"/>
        </w:rPr>
        <w:t>дорожные фонды</w:t>
      </w:r>
      <w:r w:rsidRPr="009654EB">
        <w:rPr>
          <w:rFonts w:ascii="Times New Roman" w:hAnsi="Times New Roman"/>
          <w:sz w:val="24"/>
          <w:szCs w:val="24"/>
        </w:rPr>
        <w:t xml:space="preserve"> на 4,83%. В целевые бюджетные </w:t>
      </w:r>
      <w:r w:rsidRPr="009654EB">
        <w:rPr>
          <w:rFonts w:ascii="Times New Roman" w:hAnsi="Times New Roman"/>
          <w:b/>
          <w:sz w:val="24"/>
          <w:szCs w:val="24"/>
        </w:rPr>
        <w:t>экологические фонды</w:t>
      </w:r>
      <w:r w:rsidRPr="009654EB">
        <w:rPr>
          <w:rFonts w:ascii="Times New Roman" w:hAnsi="Times New Roman"/>
          <w:sz w:val="24"/>
          <w:szCs w:val="24"/>
        </w:rPr>
        <w:t xml:space="preserve"> поступило средств на 32,10% меньше</w:t>
      </w:r>
      <w:r w:rsidR="00C42921">
        <w:rPr>
          <w:rFonts w:ascii="Times New Roman" w:hAnsi="Times New Roman"/>
          <w:sz w:val="24"/>
          <w:szCs w:val="24"/>
        </w:rPr>
        <w:t>,</w:t>
      </w:r>
      <w:r w:rsidRPr="009654EB">
        <w:rPr>
          <w:rFonts w:ascii="Times New Roman" w:hAnsi="Times New Roman"/>
          <w:sz w:val="24"/>
          <w:szCs w:val="24"/>
        </w:rPr>
        <w:t xml:space="preserve"> чем в январе – июне 2013 года.</w:t>
      </w:r>
      <w:r w:rsidRPr="009654EB">
        <w:rPr>
          <w:rFonts w:ascii="Times New Roman" w:hAnsi="Times New Roman"/>
          <w:spacing w:val="-4"/>
          <w:sz w:val="24"/>
          <w:szCs w:val="24"/>
        </w:rPr>
        <w:t xml:space="preserve"> За рассматриваемый период государственными учреждениями получено </w:t>
      </w:r>
      <w:r w:rsidRPr="009654EB">
        <w:rPr>
          <w:rFonts w:ascii="Times New Roman" w:hAnsi="Times New Roman"/>
          <w:b/>
          <w:spacing w:val="-4"/>
          <w:sz w:val="24"/>
          <w:szCs w:val="24"/>
        </w:rPr>
        <w:t>доходов от предпринимательской и иной приносящей доход деятельности</w:t>
      </w:r>
      <w:r w:rsidRPr="009654EB">
        <w:rPr>
          <w:rFonts w:ascii="Times New Roman" w:hAnsi="Times New Roman"/>
          <w:spacing w:val="-4"/>
          <w:sz w:val="24"/>
          <w:szCs w:val="24"/>
        </w:rPr>
        <w:t xml:space="preserve"> на 21,03%</w:t>
      </w:r>
      <w:r w:rsidR="00C42921">
        <w:rPr>
          <w:rFonts w:ascii="Times New Roman" w:hAnsi="Times New Roman"/>
          <w:spacing w:val="-4"/>
          <w:sz w:val="24"/>
          <w:szCs w:val="24"/>
        </w:rPr>
        <w:t>,</w:t>
      </w:r>
      <w:r w:rsidRPr="009654EB">
        <w:rPr>
          <w:rFonts w:ascii="Times New Roman" w:hAnsi="Times New Roman"/>
          <w:spacing w:val="-4"/>
          <w:sz w:val="24"/>
          <w:szCs w:val="24"/>
        </w:rPr>
        <w:t xml:space="preserve"> больше чем за январь – июнь 2013 года.</w:t>
      </w:r>
    </w:p>
    <w:p w:rsidR="000320B8" w:rsidRPr="009654EB" w:rsidRDefault="000320B8" w:rsidP="000320B8">
      <w:pPr>
        <w:spacing w:after="0" w:line="240" w:lineRule="auto"/>
        <w:ind w:firstLine="709"/>
        <w:jc w:val="both"/>
        <w:rPr>
          <w:rFonts w:ascii="Times New Roman" w:hAnsi="Times New Roman"/>
          <w:sz w:val="24"/>
          <w:szCs w:val="24"/>
        </w:rPr>
      </w:pPr>
      <w:r w:rsidRPr="009654EB">
        <w:rPr>
          <w:rFonts w:ascii="Times New Roman" w:hAnsi="Times New Roman"/>
          <w:sz w:val="24"/>
          <w:szCs w:val="24"/>
        </w:rPr>
        <w:t xml:space="preserve">Поступления средств в целевой </w:t>
      </w:r>
      <w:r w:rsidRPr="009654EB">
        <w:rPr>
          <w:rFonts w:ascii="Times New Roman" w:hAnsi="Times New Roman"/>
          <w:b/>
          <w:sz w:val="24"/>
          <w:szCs w:val="24"/>
        </w:rPr>
        <w:t>фонд Государственного таможенного комитета</w:t>
      </w:r>
      <w:r w:rsidRPr="009654EB">
        <w:rPr>
          <w:rFonts w:ascii="Times New Roman" w:hAnsi="Times New Roman"/>
          <w:sz w:val="24"/>
          <w:szCs w:val="24"/>
        </w:rPr>
        <w:t xml:space="preserve"> за 2013 год увеличились на 12,8% по сравнению с </w:t>
      </w:r>
      <w:r w:rsidRPr="009654EB">
        <w:rPr>
          <w:rFonts w:ascii="Times New Roman" w:hAnsi="Times New Roman"/>
          <w:sz w:val="24"/>
          <w:szCs w:val="24"/>
          <w:lang w:val="en-US"/>
        </w:rPr>
        <w:t>I</w:t>
      </w:r>
      <w:r w:rsidRPr="009654EB">
        <w:rPr>
          <w:rFonts w:ascii="Times New Roman" w:hAnsi="Times New Roman"/>
          <w:sz w:val="24"/>
          <w:szCs w:val="24"/>
        </w:rPr>
        <w:t xml:space="preserve"> полугодием 2013 года. </w:t>
      </w:r>
    </w:p>
    <w:p w:rsidR="000320B8" w:rsidRPr="009654EB" w:rsidRDefault="000320B8" w:rsidP="000320B8">
      <w:pPr>
        <w:spacing w:after="0" w:line="240" w:lineRule="auto"/>
        <w:ind w:firstLine="709"/>
        <w:jc w:val="both"/>
        <w:rPr>
          <w:rFonts w:ascii="Times New Roman" w:hAnsi="Times New Roman"/>
          <w:spacing w:val="-4"/>
          <w:sz w:val="24"/>
          <w:szCs w:val="24"/>
        </w:rPr>
      </w:pPr>
    </w:p>
    <w:p w:rsidR="000320B8" w:rsidRPr="009654EB" w:rsidRDefault="000320B8" w:rsidP="000320B8">
      <w:pPr>
        <w:spacing w:after="0" w:line="240" w:lineRule="auto"/>
        <w:ind w:firstLine="709"/>
        <w:jc w:val="both"/>
        <w:rPr>
          <w:rFonts w:ascii="Times New Roman" w:hAnsi="Times New Roman"/>
          <w:spacing w:val="-4"/>
          <w:sz w:val="24"/>
          <w:szCs w:val="24"/>
        </w:rPr>
      </w:pPr>
      <w:r w:rsidRPr="009654EB">
        <w:rPr>
          <w:rFonts w:ascii="Times New Roman" w:hAnsi="Times New Roman"/>
          <w:spacing w:val="-4"/>
          <w:sz w:val="24"/>
          <w:szCs w:val="24"/>
        </w:rPr>
        <w:t xml:space="preserve">В отчетном периоде государственная политика сохраняла социальный характер, в связи с чем расходы увеличились по сравнению с </w:t>
      </w:r>
      <w:r w:rsidRPr="009654EB">
        <w:rPr>
          <w:rFonts w:ascii="Times New Roman" w:hAnsi="Times New Roman"/>
          <w:spacing w:val="-4"/>
          <w:sz w:val="24"/>
          <w:szCs w:val="24"/>
          <w:lang w:val="en-US"/>
        </w:rPr>
        <w:t>I</w:t>
      </w:r>
      <w:r w:rsidRPr="009654EB">
        <w:rPr>
          <w:rFonts w:ascii="Times New Roman" w:hAnsi="Times New Roman"/>
          <w:spacing w:val="-4"/>
          <w:sz w:val="24"/>
          <w:szCs w:val="24"/>
        </w:rPr>
        <w:t xml:space="preserve"> полугодием 2013 года на 21,76% до 2 021 166 441 руб. При этом по местным бюджетам расходы выросли на 5,47% по сравнению с январем – июнем 2013 года, а расходы республиканского бюджета увеличились на 29,48%.</w:t>
      </w:r>
    </w:p>
    <w:p w:rsidR="000320B8" w:rsidRPr="009654EB" w:rsidRDefault="000320B8" w:rsidP="000320B8">
      <w:pPr>
        <w:spacing w:after="0" w:line="240" w:lineRule="auto"/>
        <w:ind w:firstLine="709"/>
        <w:jc w:val="both"/>
        <w:rPr>
          <w:rFonts w:ascii="Times New Roman" w:hAnsi="Times New Roman"/>
          <w:spacing w:val="-4"/>
          <w:sz w:val="24"/>
          <w:szCs w:val="24"/>
        </w:rPr>
      </w:pPr>
      <w:r w:rsidRPr="009654EB">
        <w:rPr>
          <w:rFonts w:ascii="Times New Roman" w:hAnsi="Times New Roman"/>
          <w:spacing w:val="-4"/>
          <w:sz w:val="24"/>
          <w:szCs w:val="24"/>
        </w:rPr>
        <w:t>Стоит отметить, что в I полугодии 2014 года п</w:t>
      </w:r>
      <w:r w:rsidRPr="009654EB">
        <w:rPr>
          <w:rFonts w:ascii="Times New Roman" w:hAnsi="Times New Roman"/>
          <w:spacing w:val="-1"/>
          <w:sz w:val="24"/>
          <w:szCs w:val="24"/>
        </w:rPr>
        <w:t>роизошло увеличение расчетного уровня минимальной заработной платы (РУМЗП), применяемого в системе оплаты труда работников бюджетной сферы.</w:t>
      </w:r>
      <w:r w:rsidRPr="009654EB">
        <w:rPr>
          <w:rFonts w:ascii="Times New Roman" w:hAnsi="Times New Roman"/>
          <w:spacing w:val="-1"/>
          <w:sz w:val="28"/>
          <w:szCs w:val="28"/>
        </w:rPr>
        <w:t xml:space="preserve"> </w:t>
      </w:r>
      <w:r w:rsidRPr="009654EB">
        <w:rPr>
          <w:rFonts w:ascii="Times New Roman" w:hAnsi="Times New Roman"/>
          <w:spacing w:val="-1"/>
          <w:sz w:val="24"/>
          <w:szCs w:val="24"/>
        </w:rPr>
        <w:t>Так, фактические расходы на выплату заработной платы за январь – июнь 2014 года составили 570 070 784 руб., что превышает на 11,70% уровень соответствующего периода прошлого года.</w:t>
      </w:r>
    </w:p>
    <w:p w:rsidR="00350E5C" w:rsidRDefault="00350E5C" w:rsidP="000320B8">
      <w:pPr>
        <w:spacing w:after="0" w:line="240" w:lineRule="auto"/>
        <w:jc w:val="center"/>
        <w:rPr>
          <w:rFonts w:ascii="Times New Roman" w:hAnsi="Times New Roman"/>
          <w:b/>
          <w:sz w:val="24"/>
          <w:szCs w:val="24"/>
        </w:rPr>
      </w:pPr>
    </w:p>
    <w:p w:rsidR="000320B8" w:rsidRPr="009654EB" w:rsidRDefault="000320B8" w:rsidP="000320B8">
      <w:pPr>
        <w:spacing w:after="0" w:line="240" w:lineRule="auto"/>
        <w:jc w:val="center"/>
        <w:rPr>
          <w:rFonts w:ascii="Times New Roman" w:hAnsi="Times New Roman"/>
          <w:sz w:val="24"/>
          <w:szCs w:val="24"/>
        </w:rPr>
      </w:pPr>
      <w:r w:rsidRPr="009654EB">
        <w:rPr>
          <w:rFonts w:ascii="Times New Roman" w:hAnsi="Times New Roman"/>
          <w:b/>
          <w:sz w:val="24"/>
          <w:szCs w:val="24"/>
        </w:rPr>
        <w:lastRenderedPageBreak/>
        <w:t xml:space="preserve">                                                                                    </w:t>
      </w:r>
      <w:r w:rsidR="00350E5C">
        <w:rPr>
          <w:rFonts w:ascii="Times New Roman" w:hAnsi="Times New Roman"/>
          <w:b/>
          <w:sz w:val="24"/>
          <w:szCs w:val="24"/>
        </w:rPr>
        <w:t xml:space="preserve">                    </w:t>
      </w:r>
      <w:r w:rsidRPr="009654EB">
        <w:rPr>
          <w:rFonts w:ascii="Times New Roman" w:hAnsi="Times New Roman"/>
          <w:sz w:val="24"/>
          <w:szCs w:val="24"/>
        </w:rPr>
        <w:t>Таблица №</w:t>
      </w:r>
      <w:r w:rsidR="00350E5C">
        <w:rPr>
          <w:rFonts w:ascii="Times New Roman" w:hAnsi="Times New Roman"/>
          <w:sz w:val="24"/>
          <w:szCs w:val="24"/>
        </w:rPr>
        <w:t>9</w:t>
      </w:r>
    </w:p>
    <w:p w:rsidR="000320B8" w:rsidRPr="009654EB" w:rsidRDefault="000320B8" w:rsidP="000320B8">
      <w:pPr>
        <w:spacing w:after="0" w:line="240" w:lineRule="auto"/>
        <w:contextualSpacing/>
        <w:jc w:val="center"/>
        <w:rPr>
          <w:rFonts w:ascii="Times New Roman" w:hAnsi="Times New Roman"/>
          <w:b/>
          <w:sz w:val="24"/>
          <w:szCs w:val="24"/>
        </w:rPr>
      </w:pPr>
      <w:r w:rsidRPr="009654EB">
        <w:rPr>
          <w:rFonts w:ascii="Times New Roman" w:hAnsi="Times New Roman"/>
          <w:b/>
          <w:sz w:val="24"/>
          <w:szCs w:val="24"/>
        </w:rPr>
        <w:t>Структура исполнения расходной части</w:t>
      </w:r>
    </w:p>
    <w:p w:rsidR="000320B8" w:rsidRPr="009654EB" w:rsidRDefault="000320B8" w:rsidP="000320B8">
      <w:pPr>
        <w:spacing w:after="0" w:line="240" w:lineRule="auto"/>
        <w:contextualSpacing/>
        <w:jc w:val="center"/>
        <w:rPr>
          <w:rFonts w:ascii="Times New Roman" w:hAnsi="Times New Roman"/>
          <w:b/>
          <w:sz w:val="24"/>
          <w:szCs w:val="24"/>
        </w:rPr>
      </w:pPr>
      <w:r w:rsidRPr="009654EB">
        <w:rPr>
          <w:rFonts w:ascii="Times New Roman" w:hAnsi="Times New Roman"/>
          <w:b/>
          <w:sz w:val="24"/>
          <w:szCs w:val="24"/>
        </w:rPr>
        <w:t>консолидированного бюджета за 1 полугодие 201</w:t>
      </w:r>
      <w:r w:rsidR="00350E5C">
        <w:rPr>
          <w:rFonts w:ascii="Times New Roman" w:hAnsi="Times New Roman"/>
          <w:b/>
          <w:sz w:val="24"/>
          <w:szCs w:val="24"/>
        </w:rPr>
        <w:t>4</w:t>
      </w:r>
      <w:r w:rsidRPr="009654EB">
        <w:rPr>
          <w:rFonts w:ascii="Times New Roman" w:hAnsi="Times New Roman"/>
          <w:b/>
          <w:sz w:val="24"/>
          <w:szCs w:val="24"/>
        </w:rPr>
        <w:t xml:space="preserve"> год</w:t>
      </w:r>
      <w:r w:rsidR="00350E5C">
        <w:rPr>
          <w:rFonts w:ascii="Times New Roman" w:hAnsi="Times New Roman"/>
          <w:b/>
          <w:sz w:val="24"/>
          <w:szCs w:val="24"/>
        </w:rPr>
        <w:t>а</w:t>
      </w:r>
      <w:r w:rsidRPr="009654EB">
        <w:rPr>
          <w:rFonts w:ascii="Times New Roman" w:hAnsi="Times New Roman"/>
          <w:b/>
          <w:sz w:val="24"/>
          <w:szCs w:val="24"/>
        </w:rPr>
        <w:t xml:space="preserve"> (руб.)</w:t>
      </w:r>
    </w:p>
    <w:tbl>
      <w:tblPr>
        <w:tblW w:w="7763" w:type="dxa"/>
        <w:tblInd w:w="817" w:type="dxa"/>
        <w:tblLayout w:type="fixed"/>
        <w:tblLook w:val="0000"/>
      </w:tblPr>
      <w:tblGrid>
        <w:gridCol w:w="2836"/>
        <w:gridCol w:w="1559"/>
        <w:gridCol w:w="1559"/>
        <w:gridCol w:w="851"/>
        <w:gridCol w:w="958"/>
      </w:tblGrid>
      <w:tr w:rsidR="000320B8" w:rsidRPr="009654EB" w:rsidTr="000320B8">
        <w:trPr>
          <w:trHeight w:val="356"/>
        </w:trPr>
        <w:tc>
          <w:tcPr>
            <w:tcW w:w="2836" w:type="dxa"/>
            <w:tcBorders>
              <w:top w:val="single" w:sz="4" w:space="0" w:color="auto"/>
              <w:left w:val="single" w:sz="4" w:space="0" w:color="auto"/>
              <w:bottom w:val="single" w:sz="4" w:space="0" w:color="auto"/>
              <w:right w:val="single" w:sz="4" w:space="0" w:color="auto"/>
            </w:tcBorders>
            <w:noWrap/>
            <w:vAlign w:val="center"/>
          </w:tcPr>
          <w:p w:rsidR="000320B8" w:rsidRPr="009654EB" w:rsidRDefault="000320B8" w:rsidP="000320B8">
            <w:pPr>
              <w:spacing w:after="0" w:line="240" w:lineRule="auto"/>
              <w:ind w:left="709"/>
              <w:contextualSpacing/>
              <w:rPr>
                <w:rFonts w:ascii="Times New Roman" w:hAnsi="Times New Roman"/>
                <w:b/>
              </w:rPr>
            </w:pPr>
          </w:p>
        </w:tc>
        <w:tc>
          <w:tcPr>
            <w:tcW w:w="1559" w:type="dxa"/>
            <w:tcBorders>
              <w:top w:val="single" w:sz="4" w:space="0" w:color="auto"/>
              <w:left w:val="nil"/>
              <w:bottom w:val="single" w:sz="4" w:space="0" w:color="auto"/>
              <w:right w:val="single" w:sz="4" w:space="0" w:color="auto"/>
            </w:tcBorders>
            <w:vAlign w:val="center"/>
          </w:tcPr>
          <w:p w:rsidR="000320B8" w:rsidRPr="009654EB" w:rsidRDefault="000320B8" w:rsidP="000320B8">
            <w:pPr>
              <w:spacing w:after="0" w:line="240" w:lineRule="auto"/>
              <w:contextualSpacing/>
              <w:jc w:val="center"/>
              <w:rPr>
                <w:rFonts w:ascii="Times New Roman" w:hAnsi="Times New Roman"/>
                <w:b/>
              </w:rPr>
            </w:pPr>
            <w:r w:rsidRPr="009654EB">
              <w:rPr>
                <w:rFonts w:ascii="Times New Roman" w:hAnsi="Times New Roman"/>
                <w:b/>
              </w:rPr>
              <w:t>План</w:t>
            </w:r>
          </w:p>
        </w:tc>
        <w:tc>
          <w:tcPr>
            <w:tcW w:w="1559" w:type="dxa"/>
            <w:tcBorders>
              <w:top w:val="single" w:sz="4" w:space="0" w:color="auto"/>
              <w:left w:val="nil"/>
              <w:bottom w:val="single" w:sz="4" w:space="0" w:color="auto"/>
              <w:right w:val="single" w:sz="4" w:space="0" w:color="auto"/>
            </w:tcBorders>
            <w:vAlign w:val="center"/>
          </w:tcPr>
          <w:p w:rsidR="000320B8" w:rsidRPr="009654EB" w:rsidRDefault="000320B8" w:rsidP="000320B8">
            <w:pPr>
              <w:spacing w:after="0" w:line="240" w:lineRule="auto"/>
              <w:contextualSpacing/>
              <w:jc w:val="center"/>
              <w:rPr>
                <w:rFonts w:ascii="Times New Roman" w:hAnsi="Times New Roman"/>
                <w:b/>
              </w:rPr>
            </w:pPr>
            <w:r w:rsidRPr="009654EB">
              <w:rPr>
                <w:rFonts w:ascii="Times New Roman" w:hAnsi="Times New Roman"/>
                <w:b/>
              </w:rPr>
              <w:t>Факт</w:t>
            </w:r>
          </w:p>
        </w:tc>
        <w:tc>
          <w:tcPr>
            <w:tcW w:w="851" w:type="dxa"/>
            <w:tcBorders>
              <w:top w:val="single" w:sz="4" w:space="0" w:color="auto"/>
              <w:left w:val="nil"/>
              <w:bottom w:val="single" w:sz="4" w:space="0" w:color="auto"/>
              <w:right w:val="single" w:sz="4" w:space="0" w:color="auto"/>
            </w:tcBorders>
            <w:vAlign w:val="center"/>
          </w:tcPr>
          <w:p w:rsidR="000320B8" w:rsidRPr="009654EB" w:rsidRDefault="000320B8" w:rsidP="000320B8">
            <w:pPr>
              <w:spacing w:after="0" w:line="240" w:lineRule="auto"/>
              <w:contextualSpacing/>
              <w:jc w:val="center"/>
              <w:rPr>
                <w:rFonts w:ascii="Times New Roman" w:hAnsi="Times New Roman"/>
                <w:b/>
              </w:rPr>
            </w:pPr>
            <w:r w:rsidRPr="009654EB">
              <w:rPr>
                <w:rFonts w:ascii="Times New Roman" w:hAnsi="Times New Roman"/>
                <w:b/>
              </w:rPr>
              <w:t>% исполнения</w:t>
            </w:r>
          </w:p>
        </w:tc>
        <w:tc>
          <w:tcPr>
            <w:tcW w:w="958" w:type="dxa"/>
            <w:tcBorders>
              <w:top w:val="single" w:sz="4" w:space="0" w:color="auto"/>
              <w:left w:val="nil"/>
              <w:bottom w:val="single" w:sz="4" w:space="0" w:color="auto"/>
              <w:right w:val="single" w:sz="4" w:space="0" w:color="auto"/>
            </w:tcBorders>
          </w:tcPr>
          <w:p w:rsidR="000320B8" w:rsidRPr="009654EB" w:rsidRDefault="000320B8" w:rsidP="000320B8">
            <w:pPr>
              <w:spacing w:after="0" w:line="240" w:lineRule="auto"/>
              <w:ind w:right="-73"/>
              <w:contextualSpacing/>
              <w:jc w:val="center"/>
              <w:rPr>
                <w:rFonts w:ascii="Times New Roman" w:hAnsi="Times New Roman"/>
                <w:b/>
              </w:rPr>
            </w:pPr>
            <w:r w:rsidRPr="009654EB">
              <w:rPr>
                <w:rFonts w:ascii="Times New Roman" w:hAnsi="Times New Roman"/>
                <w:b/>
              </w:rPr>
              <w:t>Темп роста 2014г. к 2013 г., %</w:t>
            </w:r>
          </w:p>
        </w:tc>
      </w:tr>
      <w:tr w:rsidR="000320B8" w:rsidRPr="009654EB" w:rsidTr="000320B8">
        <w:trPr>
          <w:trHeight w:val="80"/>
        </w:trPr>
        <w:tc>
          <w:tcPr>
            <w:tcW w:w="2836" w:type="dxa"/>
            <w:tcBorders>
              <w:top w:val="nil"/>
              <w:left w:val="single" w:sz="4" w:space="0" w:color="auto"/>
              <w:bottom w:val="single" w:sz="4" w:space="0" w:color="auto"/>
              <w:right w:val="single" w:sz="4" w:space="0" w:color="auto"/>
            </w:tcBorders>
            <w:noWrap/>
          </w:tcPr>
          <w:p w:rsidR="000320B8" w:rsidRPr="009654EB" w:rsidRDefault="000320B8" w:rsidP="000320B8">
            <w:pPr>
              <w:spacing w:after="0" w:line="240" w:lineRule="auto"/>
              <w:contextualSpacing/>
              <w:rPr>
                <w:rFonts w:ascii="Times New Roman" w:hAnsi="Times New Roman"/>
                <w:b/>
                <w:bCs/>
              </w:rPr>
            </w:pPr>
            <w:r w:rsidRPr="009654EB">
              <w:rPr>
                <w:rFonts w:ascii="Times New Roman" w:hAnsi="Times New Roman"/>
                <w:b/>
                <w:bCs/>
              </w:rPr>
              <w:t>Консолидированный бюджет</w:t>
            </w:r>
          </w:p>
        </w:tc>
        <w:tc>
          <w:tcPr>
            <w:tcW w:w="1559" w:type="dxa"/>
            <w:tcBorders>
              <w:top w:val="nil"/>
              <w:left w:val="nil"/>
              <w:bottom w:val="single" w:sz="4" w:space="0" w:color="auto"/>
              <w:right w:val="single" w:sz="4" w:space="0" w:color="auto"/>
            </w:tcBorders>
            <w:noWrap/>
            <w:vAlign w:val="center"/>
          </w:tcPr>
          <w:p w:rsidR="000320B8" w:rsidRPr="009654EB" w:rsidRDefault="000320B8" w:rsidP="000320B8">
            <w:pPr>
              <w:spacing w:after="0" w:line="240" w:lineRule="auto"/>
              <w:contextualSpacing/>
              <w:jc w:val="center"/>
              <w:rPr>
                <w:rFonts w:ascii="Times New Roman" w:hAnsi="Times New Roman"/>
                <w:b/>
                <w:bCs/>
              </w:rPr>
            </w:pPr>
            <w:r w:rsidRPr="009654EB">
              <w:rPr>
                <w:rFonts w:ascii="Times New Roman" w:hAnsi="Times New Roman"/>
                <w:b/>
                <w:bCs/>
              </w:rPr>
              <w:t>2 738 491 400</w:t>
            </w:r>
          </w:p>
        </w:tc>
        <w:tc>
          <w:tcPr>
            <w:tcW w:w="1559" w:type="dxa"/>
            <w:tcBorders>
              <w:top w:val="nil"/>
              <w:left w:val="nil"/>
              <w:bottom w:val="single" w:sz="4" w:space="0" w:color="auto"/>
              <w:right w:val="single" w:sz="4" w:space="0" w:color="auto"/>
            </w:tcBorders>
            <w:noWrap/>
            <w:vAlign w:val="center"/>
          </w:tcPr>
          <w:p w:rsidR="000320B8" w:rsidRPr="009654EB" w:rsidRDefault="000320B8" w:rsidP="000320B8">
            <w:pPr>
              <w:spacing w:after="0" w:line="240" w:lineRule="auto"/>
              <w:contextualSpacing/>
              <w:jc w:val="center"/>
              <w:rPr>
                <w:rFonts w:ascii="Times New Roman" w:hAnsi="Times New Roman"/>
                <w:b/>
                <w:bCs/>
              </w:rPr>
            </w:pPr>
            <w:r w:rsidRPr="009654EB">
              <w:rPr>
                <w:rFonts w:ascii="Times New Roman" w:hAnsi="Times New Roman"/>
                <w:b/>
                <w:bCs/>
              </w:rPr>
              <w:t>2 021 166 441</w:t>
            </w:r>
          </w:p>
        </w:tc>
        <w:tc>
          <w:tcPr>
            <w:tcW w:w="851" w:type="dxa"/>
            <w:tcBorders>
              <w:top w:val="nil"/>
              <w:left w:val="nil"/>
              <w:bottom w:val="single" w:sz="4" w:space="0" w:color="auto"/>
              <w:right w:val="single" w:sz="4" w:space="0" w:color="auto"/>
            </w:tcBorders>
            <w:noWrap/>
            <w:vAlign w:val="center"/>
          </w:tcPr>
          <w:p w:rsidR="000320B8" w:rsidRPr="009654EB" w:rsidRDefault="000320B8" w:rsidP="000320B8">
            <w:pPr>
              <w:spacing w:after="0" w:line="240" w:lineRule="auto"/>
              <w:contextualSpacing/>
              <w:jc w:val="center"/>
              <w:rPr>
                <w:rFonts w:ascii="Times New Roman" w:hAnsi="Times New Roman"/>
                <w:b/>
                <w:bCs/>
              </w:rPr>
            </w:pPr>
            <w:r w:rsidRPr="009654EB">
              <w:rPr>
                <w:rFonts w:ascii="Times New Roman" w:hAnsi="Times New Roman"/>
                <w:b/>
                <w:bCs/>
              </w:rPr>
              <w:t>73,81</w:t>
            </w:r>
          </w:p>
        </w:tc>
        <w:tc>
          <w:tcPr>
            <w:tcW w:w="958" w:type="dxa"/>
            <w:tcBorders>
              <w:top w:val="nil"/>
              <w:left w:val="nil"/>
              <w:bottom w:val="single" w:sz="4" w:space="0" w:color="auto"/>
              <w:right w:val="single" w:sz="4" w:space="0" w:color="auto"/>
            </w:tcBorders>
            <w:vAlign w:val="center"/>
          </w:tcPr>
          <w:p w:rsidR="000320B8" w:rsidRPr="009654EB" w:rsidRDefault="000320B8" w:rsidP="000320B8">
            <w:pPr>
              <w:spacing w:after="0" w:line="240" w:lineRule="auto"/>
              <w:contextualSpacing/>
              <w:jc w:val="center"/>
              <w:rPr>
                <w:rFonts w:ascii="Times New Roman" w:hAnsi="Times New Roman"/>
                <w:b/>
                <w:bCs/>
              </w:rPr>
            </w:pPr>
            <w:r w:rsidRPr="009654EB">
              <w:rPr>
                <w:rFonts w:ascii="Times New Roman" w:hAnsi="Times New Roman"/>
                <w:b/>
                <w:bCs/>
              </w:rPr>
              <w:t>121,8</w:t>
            </w:r>
          </w:p>
        </w:tc>
      </w:tr>
      <w:tr w:rsidR="000320B8" w:rsidRPr="009654EB" w:rsidTr="000320B8">
        <w:trPr>
          <w:trHeight w:val="313"/>
        </w:trPr>
        <w:tc>
          <w:tcPr>
            <w:tcW w:w="2836" w:type="dxa"/>
            <w:tcBorders>
              <w:top w:val="nil"/>
              <w:left w:val="single" w:sz="4" w:space="0" w:color="auto"/>
              <w:bottom w:val="single" w:sz="4" w:space="0" w:color="auto"/>
              <w:right w:val="single" w:sz="4" w:space="0" w:color="auto"/>
            </w:tcBorders>
            <w:noWrap/>
          </w:tcPr>
          <w:p w:rsidR="000320B8" w:rsidRPr="009654EB" w:rsidRDefault="000320B8" w:rsidP="000320B8">
            <w:pPr>
              <w:spacing w:after="0" w:line="240" w:lineRule="auto"/>
              <w:contextualSpacing/>
              <w:rPr>
                <w:rFonts w:ascii="Times New Roman" w:hAnsi="Times New Roman"/>
                <w:bCs/>
              </w:rPr>
            </w:pPr>
            <w:r w:rsidRPr="009654EB">
              <w:rPr>
                <w:rFonts w:ascii="Times New Roman" w:hAnsi="Times New Roman"/>
                <w:bCs/>
              </w:rPr>
              <w:t>Республиканский бюджет</w:t>
            </w:r>
          </w:p>
        </w:tc>
        <w:tc>
          <w:tcPr>
            <w:tcW w:w="1559" w:type="dxa"/>
            <w:tcBorders>
              <w:top w:val="nil"/>
              <w:left w:val="nil"/>
              <w:bottom w:val="single" w:sz="4" w:space="0" w:color="auto"/>
              <w:right w:val="single" w:sz="4" w:space="0" w:color="auto"/>
            </w:tcBorders>
            <w:noWrap/>
            <w:vAlign w:val="center"/>
          </w:tcPr>
          <w:p w:rsidR="000320B8" w:rsidRPr="009654EB" w:rsidRDefault="000320B8" w:rsidP="000320B8">
            <w:pPr>
              <w:spacing w:after="0" w:line="240" w:lineRule="auto"/>
              <w:contextualSpacing/>
              <w:jc w:val="center"/>
              <w:rPr>
                <w:rFonts w:ascii="Times New Roman" w:hAnsi="Times New Roman"/>
                <w:bCs/>
              </w:rPr>
            </w:pPr>
            <w:r w:rsidRPr="009654EB">
              <w:rPr>
                <w:rFonts w:ascii="Times New Roman" w:hAnsi="Times New Roman"/>
                <w:bCs/>
              </w:rPr>
              <w:t>1 965 585 373</w:t>
            </w:r>
          </w:p>
        </w:tc>
        <w:tc>
          <w:tcPr>
            <w:tcW w:w="1559" w:type="dxa"/>
            <w:tcBorders>
              <w:top w:val="nil"/>
              <w:left w:val="nil"/>
              <w:bottom w:val="single" w:sz="4" w:space="0" w:color="auto"/>
              <w:right w:val="single" w:sz="4" w:space="0" w:color="auto"/>
            </w:tcBorders>
            <w:noWrap/>
            <w:vAlign w:val="center"/>
          </w:tcPr>
          <w:p w:rsidR="000320B8" w:rsidRPr="009654EB" w:rsidRDefault="000320B8" w:rsidP="000320B8">
            <w:pPr>
              <w:spacing w:after="0" w:line="240" w:lineRule="auto"/>
              <w:contextualSpacing/>
              <w:jc w:val="center"/>
              <w:rPr>
                <w:rFonts w:ascii="Times New Roman" w:hAnsi="Times New Roman"/>
                <w:bCs/>
              </w:rPr>
            </w:pPr>
            <w:r w:rsidRPr="009654EB">
              <w:rPr>
                <w:rFonts w:ascii="Times New Roman" w:hAnsi="Times New Roman"/>
                <w:bCs/>
              </w:rPr>
              <w:t>1 458 089 124</w:t>
            </w:r>
          </w:p>
        </w:tc>
        <w:tc>
          <w:tcPr>
            <w:tcW w:w="851" w:type="dxa"/>
            <w:tcBorders>
              <w:top w:val="nil"/>
              <w:left w:val="nil"/>
              <w:bottom w:val="single" w:sz="4" w:space="0" w:color="auto"/>
              <w:right w:val="single" w:sz="4" w:space="0" w:color="auto"/>
            </w:tcBorders>
            <w:noWrap/>
            <w:vAlign w:val="center"/>
          </w:tcPr>
          <w:p w:rsidR="000320B8" w:rsidRPr="009654EB" w:rsidRDefault="000320B8" w:rsidP="000320B8">
            <w:pPr>
              <w:spacing w:after="0" w:line="240" w:lineRule="auto"/>
              <w:contextualSpacing/>
              <w:jc w:val="center"/>
              <w:rPr>
                <w:rFonts w:ascii="Times New Roman" w:hAnsi="Times New Roman"/>
                <w:bCs/>
              </w:rPr>
            </w:pPr>
            <w:r w:rsidRPr="009654EB">
              <w:rPr>
                <w:rFonts w:ascii="Times New Roman" w:hAnsi="Times New Roman"/>
                <w:bCs/>
              </w:rPr>
              <w:t>74,18</w:t>
            </w:r>
          </w:p>
        </w:tc>
        <w:tc>
          <w:tcPr>
            <w:tcW w:w="958" w:type="dxa"/>
            <w:tcBorders>
              <w:top w:val="nil"/>
              <w:left w:val="nil"/>
              <w:bottom w:val="single" w:sz="4" w:space="0" w:color="auto"/>
              <w:right w:val="single" w:sz="4" w:space="0" w:color="auto"/>
            </w:tcBorders>
          </w:tcPr>
          <w:p w:rsidR="000320B8" w:rsidRPr="009654EB" w:rsidRDefault="000320B8" w:rsidP="000320B8">
            <w:pPr>
              <w:spacing w:after="0" w:line="240" w:lineRule="auto"/>
              <w:contextualSpacing/>
              <w:jc w:val="center"/>
              <w:rPr>
                <w:rFonts w:ascii="Times New Roman" w:hAnsi="Times New Roman"/>
                <w:bCs/>
              </w:rPr>
            </w:pPr>
            <w:r w:rsidRPr="009654EB">
              <w:rPr>
                <w:rFonts w:ascii="Times New Roman" w:hAnsi="Times New Roman"/>
                <w:bCs/>
              </w:rPr>
              <w:t>129,5</w:t>
            </w:r>
          </w:p>
        </w:tc>
      </w:tr>
      <w:tr w:rsidR="000320B8" w:rsidRPr="00D848B3" w:rsidTr="000320B8">
        <w:trPr>
          <w:trHeight w:val="289"/>
        </w:trPr>
        <w:tc>
          <w:tcPr>
            <w:tcW w:w="2836" w:type="dxa"/>
            <w:tcBorders>
              <w:top w:val="nil"/>
              <w:left w:val="single" w:sz="4" w:space="0" w:color="auto"/>
              <w:bottom w:val="single" w:sz="4" w:space="0" w:color="auto"/>
              <w:right w:val="single" w:sz="4" w:space="0" w:color="auto"/>
            </w:tcBorders>
            <w:noWrap/>
          </w:tcPr>
          <w:p w:rsidR="000320B8" w:rsidRPr="009654EB" w:rsidRDefault="000320B8" w:rsidP="000320B8">
            <w:pPr>
              <w:spacing w:after="0" w:line="240" w:lineRule="auto"/>
              <w:contextualSpacing/>
              <w:rPr>
                <w:rFonts w:ascii="Times New Roman" w:hAnsi="Times New Roman"/>
                <w:bCs/>
              </w:rPr>
            </w:pPr>
            <w:r w:rsidRPr="009654EB">
              <w:rPr>
                <w:rFonts w:ascii="Times New Roman" w:hAnsi="Times New Roman"/>
                <w:bCs/>
              </w:rPr>
              <w:t>Местные бюджеты, в т.ч.</w:t>
            </w:r>
          </w:p>
        </w:tc>
        <w:tc>
          <w:tcPr>
            <w:tcW w:w="1559" w:type="dxa"/>
            <w:tcBorders>
              <w:top w:val="nil"/>
              <w:left w:val="nil"/>
              <w:bottom w:val="single" w:sz="4" w:space="0" w:color="auto"/>
              <w:right w:val="single" w:sz="4" w:space="0" w:color="auto"/>
            </w:tcBorders>
            <w:noWrap/>
            <w:vAlign w:val="center"/>
          </w:tcPr>
          <w:p w:rsidR="000320B8" w:rsidRPr="009654EB" w:rsidRDefault="000320B8" w:rsidP="000320B8">
            <w:pPr>
              <w:spacing w:after="0" w:line="240" w:lineRule="auto"/>
              <w:contextualSpacing/>
              <w:jc w:val="center"/>
              <w:rPr>
                <w:rFonts w:ascii="Times New Roman" w:hAnsi="Times New Roman"/>
                <w:bCs/>
              </w:rPr>
            </w:pPr>
            <w:r w:rsidRPr="009654EB">
              <w:rPr>
                <w:rFonts w:ascii="Times New Roman" w:hAnsi="Times New Roman"/>
                <w:bCs/>
              </w:rPr>
              <w:t>772 906 027</w:t>
            </w:r>
          </w:p>
        </w:tc>
        <w:tc>
          <w:tcPr>
            <w:tcW w:w="1559" w:type="dxa"/>
            <w:tcBorders>
              <w:top w:val="nil"/>
              <w:left w:val="nil"/>
              <w:bottom w:val="single" w:sz="4" w:space="0" w:color="auto"/>
              <w:right w:val="single" w:sz="4" w:space="0" w:color="auto"/>
            </w:tcBorders>
            <w:noWrap/>
            <w:vAlign w:val="center"/>
          </w:tcPr>
          <w:p w:rsidR="000320B8" w:rsidRPr="009654EB" w:rsidRDefault="000320B8" w:rsidP="000320B8">
            <w:pPr>
              <w:spacing w:after="0" w:line="240" w:lineRule="auto"/>
              <w:contextualSpacing/>
              <w:jc w:val="center"/>
              <w:rPr>
                <w:rFonts w:ascii="Times New Roman" w:hAnsi="Times New Roman"/>
                <w:bCs/>
              </w:rPr>
            </w:pPr>
            <w:r w:rsidRPr="009654EB">
              <w:rPr>
                <w:rFonts w:ascii="Times New Roman" w:hAnsi="Times New Roman"/>
                <w:bCs/>
              </w:rPr>
              <w:t>563 077 317</w:t>
            </w:r>
          </w:p>
        </w:tc>
        <w:tc>
          <w:tcPr>
            <w:tcW w:w="851" w:type="dxa"/>
            <w:tcBorders>
              <w:top w:val="nil"/>
              <w:left w:val="nil"/>
              <w:bottom w:val="single" w:sz="4" w:space="0" w:color="auto"/>
              <w:right w:val="single" w:sz="4" w:space="0" w:color="auto"/>
            </w:tcBorders>
            <w:noWrap/>
            <w:vAlign w:val="center"/>
          </w:tcPr>
          <w:p w:rsidR="000320B8" w:rsidRPr="009654EB" w:rsidRDefault="000320B8" w:rsidP="000320B8">
            <w:pPr>
              <w:spacing w:after="0" w:line="240" w:lineRule="auto"/>
              <w:contextualSpacing/>
              <w:jc w:val="center"/>
              <w:rPr>
                <w:rFonts w:ascii="Times New Roman" w:hAnsi="Times New Roman"/>
                <w:bCs/>
              </w:rPr>
            </w:pPr>
            <w:r w:rsidRPr="009654EB">
              <w:rPr>
                <w:rFonts w:ascii="Times New Roman" w:hAnsi="Times New Roman"/>
                <w:bCs/>
              </w:rPr>
              <w:t>72,85</w:t>
            </w:r>
          </w:p>
        </w:tc>
        <w:tc>
          <w:tcPr>
            <w:tcW w:w="958" w:type="dxa"/>
            <w:tcBorders>
              <w:top w:val="nil"/>
              <w:left w:val="nil"/>
              <w:bottom w:val="single" w:sz="4" w:space="0" w:color="auto"/>
              <w:right w:val="single" w:sz="4" w:space="0" w:color="auto"/>
            </w:tcBorders>
          </w:tcPr>
          <w:p w:rsidR="000320B8" w:rsidRPr="00193F5E" w:rsidRDefault="000320B8" w:rsidP="000320B8">
            <w:pPr>
              <w:spacing w:after="0" w:line="240" w:lineRule="auto"/>
              <w:contextualSpacing/>
              <w:jc w:val="center"/>
              <w:rPr>
                <w:rFonts w:ascii="Times New Roman" w:hAnsi="Times New Roman"/>
                <w:bCs/>
              </w:rPr>
            </w:pPr>
            <w:r w:rsidRPr="009654EB">
              <w:rPr>
                <w:rFonts w:ascii="Times New Roman" w:hAnsi="Times New Roman"/>
                <w:bCs/>
              </w:rPr>
              <w:t>105,5</w:t>
            </w:r>
          </w:p>
        </w:tc>
      </w:tr>
    </w:tbl>
    <w:p w:rsidR="000320B8" w:rsidRDefault="000320B8" w:rsidP="000320B8">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400550" cy="2466975"/>
            <wp:effectExtent l="0" t="0" r="0" b="0"/>
            <wp:docPr id="1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320B8" w:rsidRPr="009654EB" w:rsidRDefault="000320B8" w:rsidP="000320B8">
      <w:pPr>
        <w:spacing w:line="240" w:lineRule="auto"/>
        <w:ind w:firstLine="709"/>
        <w:contextualSpacing/>
        <w:jc w:val="both"/>
        <w:rPr>
          <w:rFonts w:ascii="Times New Roman" w:hAnsi="Times New Roman"/>
          <w:sz w:val="24"/>
          <w:szCs w:val="24"/>
        </w:rPr>
      </w:pPr>
      <w:r w:rsidRPr="009654EB">
        <w:rPr>
          <w:rFonts w:ascii="Times New Roman" w:hAnsi="Times New Roman"/>
          <w:sz w:val="24"/>
          <w:szCs w:val="24"/>
        </w:rPr>
        <w:t xml:space="preserve">Фактическое финансирование в январе – июне 2014 года по основным разделам функциональной классификации расходов осуществлялось достаточно равномерно. Приоритетными направлениями продолжают оставаться здравоохранение (15,5%) и социальная отрасль (14,0%), в январе – июне 2013 года соответственно 16,7% и 19,3%. При этом в </w:t>
      </w:r>
      <w:r w:rsidRPr="009654EB">
        <w:rPr>
          <w:rFonts w:ascii="Times New Roman" w:hAnsi="Times New Roman"/>
          <w:sz w:val="24"/>
          <w:szCs w:val="24"/>
          <w:lang w:val="en-US"/>
        </w:rPr>
        <w:t>I</w:t>
      </w:r>
      <w:r w:rsidRPr="009654EB">
        <w:rPr>
          <w:rFonts w:ascii="Times New Roman" w:hAnsi="Times New Roman"/>
          <w:sz w:val="24"/>
          <w:szCs w:val="24"/>
        </w:rPr>
        <w:t xml:space="preserve"> полугодии 2014 года доля фактических расходов государства по социальным отраслям сократилась и составила 43,9% общих фактических расходов, доля прочих расходов (в том числе расходов, профинансированных из средств учреждений, оказывающих платные услуги, а также расходов, направленных на реализацию государственных целевых (и нецелевых) программ) незначительно сократилась с 10,9% до 10,0% общих фактических расходов бюджета за январь – июнь 2013-2014 год</w:t>
      </w:r>
      <w:r w:rsidR="00C42921">
        <w:rPr>
          <w:rFonts w:ascii="Times New Roman" w:hAnsi="Times New Roman"/>
          <w:sz w:val="24"/>
          <w:szCs w:val="24"/>
        </w:rPr>
        <w:t>ов</w:t>
      </w:r>
      <w:r w:rsidRPr="009654EB">
        <w:rPr>
          <w:rFonts w:ascii="Times New Roman" w:hAnsi="Times New Roman"/>
          <w:sz w:val="24"/>
          <w:szCs w:val="24"/>
        </w:rPr>
        <w:t>.</w:t>
      </w:r>
    </w:p>
    <w:p w:rsidR="000320B8" w:rsidRDefault="000320B8" w:rsidP="000320B8">
      <w:pPr>
        <w:spacing w:after="0" w:line="240" w:lineRule="auto"/>
        <w:ind w:firstLine="709"/>
        <w:contextualSpacing/>
        <w:jc w:val="both"/>
        <w:rPr>
          <w:rFonts w:ascii="Times New Roman" w:hAnsi="Times New Roman"/>
          <w:sz w:val="24"/>
          <w:szCs w:val="24"/>
        </w:rPr>
      </w:pPr>
      <w:r w:rsidRPr="009654EB">
        <w:rPr>
          <w:rFonts w:ascii="Times New Roman" w:hAnsi="Times New Roman"/>
          <w:sz w:val="24"/>
          <w:szCs w:val="24"/>
        </w:rPr>
        <w:t xml:space="preserve">Доля расходов на финансовую помощь бюджетам других уровней сократилась с 8,2% в </w:t>
      </w:r>
      <w:r w:rsidRPr="009654EB">
        <w:rPr>
          <w:rFonts w:ascii="Times New Roman" w:hAnsi="Times New Roman"/>
          <w:sz w:val="24"/>
          <w:szCs w:val="24"/>
          <w:lang w:val="en-US"/>
        </w:rPr>
        <w:t>I</w:t>
      </w:r>
      <w:r w:rsidRPr="009654EB">
        <w:rPr>
          <w:rFonts w:ascii="Times New Roman" w:hAnsi="Times New Roman"/>
          <w:sz w:val="24"/>
          <w:szCs w:val="24"/>
        </w:rPr>
        <w:t xml:space="preserve"> полугодии 2013 года до 6,6% в </w:t>
      </w:r>
      <w:r w:rsidRPr="009654EB">
        <w:rPr>
          <w:rFonts w:ascii="Times New Roman" w:hAnsi="Times New Roman"/>
          <w:sz w:val="24"/>
          <w:szCs w:val="24"/>
          <w:lang w:val="en-US"/>
        </w:rPr>
        <w:t>I</w:t>
      </w:r>
      <w:r w:rsidRPr="009654EB">
        <w:rPr>
          <w:rFonts w:ascii="Times New Roman" w:hAnsi="Times New Roman"/>
          <w:sz w:val="24"/>
          <w:szCs w:val="24"/>
        </w:rPr>
        <w:t xml:space="preserve"> полугодии 2014 года.</w:t>
      </w:r>
      <w:r w:rsidRPr="00392ABA">
        <w:rPr>
          <w:rFonts w:ascii="Times New Roman" w:hAnsi="Times New Roman"/>
          <w:sz w:val="24"/>
          <w:szCs w:val="24"/>
        </w:rPr>
        <w:t xml:space="preserve"> </w:t>
      </w:r>
    </w:p>
    <w:p w:rsidR="000320B8" w:rsidRDefault="000320B8" w:rsidP="000320B8">
      <w:pPr>
        <w:spacing w:after="0" w:line="240" w:lineRule="auto"/>
        <w:ind w:hanging="567"/>
        <w:jc w:val="both"/>
        <w:rPr>
          <w:rFonts w:ascii="Times New Roman" w:hAnsi="Times New Roman"/>
          <w:sz w:val="24"/>
          <w:szCs w:val="24"/>
          <w:highlight w:val="yellow"/>
        </w:rPr>
      </w:pPr>
      <w:r>
        <w:rPr>
          <w:rFonts w:ascii="Times New Roman" w:hAnsi="Times New Roman"/>
          <w:noProof/>
          <w:sz w:val="24"/>
          <w:szCs w:val="24"/>
        </w:rPr>
        <w:drawing>
          <wp:inline distT="0" distB="0" distL="0" distR="0">
            <wp:extent cx="2943225" cy="1724025"/>
            <wp:effectExtent l="19050" t="0" r="0" b="0"/>
            <wp:docPr id="12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Times New Roman" w:hAnsi="Times New Roman"/>
          <w:noProof/>
          <w:sz w:val="24"/>
          <w:szCs w:val="24"/>
        </w:rPr>
        <w:drawing>
          <wp:inline distT="0" distB="0" distL="0" distR="0">
            <wp:extent cx="3228975" cy="1724025"/>
            <wp:effectExtent l="19050" t="0" r="0" b="0"/>
            <wp:docPr id="12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320B8" w:rsidRPr="00C73700" w:rsidRDefault="000320B8" w:rsidP="000320B8">
      <w:pPr>
        <w:spacing w:after="0" w:line="240" w:lineRule="auto"/>
        <w:ind w:hanging="567"/>
        <w:jc w:val="both"/>
        <w:rPr>
          <w:rFonts w:ascii="Times New Roman" w:hAnsi="Times New Roman"/>
          <w:sz w:val="24"/>
          <w:szCs w:val="24"/>
          <w:highlight w:val="yellow"/>
        </w:rPr>
      </w:pPr>
    </w:p>
    <w:p w:rsidR="000320B8" w:rsidRPr="009654EB" w:rsidRDefault="000320B8" w:rsidP="000320B8">
      <w:pPr>
        <w:spacing w:after="0" w:line="240" w:lineRule="auto"/>
        <w:ind w:firstLine="709"/>
        <w:jc w:val="both"/>
        <w:rPr>
          <w:rFonts w:ascii="Times New Roman" w:hAnsi="Times New Roman"/>
          <w:sz w:val="24"/>
          <w:szCs w:val="24"/>
        </w:rPr>
      </w:pPr>
      <w:r w:rsidRPr="009654EB">
        <w:rPr>
          <w:rFonts w:ascii="Times New Roman" w:hAnsi="Times New Roman"/>
          <w:sz w:val="24"/>
          <w:szCs w:val="24"/>
        </w:rPr>
        <w:t xml:space="preserve">Из – за жесткой политики экономии бюджетных средств на содержание государственного аппарата, произошло их сокращение с 6,3% в январе – июне 2013 года до 5,6% за соответствующий период 2014 года. </w:t>
      </w:r>
    </w:p>
    <w:p w:rsidR="000320B8" w:rsidRPr="009654EB" w:rsidRDefault="000320B8" w:rsidP="000320B8">
      <w:pPr>
        <w:spacing w:after="0" w:line="240" w:lineRule="auto"/>
        <w:ind w:firstLine="709"/>
        <w:jc w:val="both"/>
        <w:rPr>
          <w:rFonts w:ascii="Times New Roman" w:hAnsi="Times New Roman"/>
          <w:sz w:val="24"/>
          <w:szCs w:val="24"/>
        </w:rPr>
      </w:pPr>
      <w:r w:rsidRPr="009654EB">
        <w:rPr>
          <w:rFonts w:ascii="Times New Roman" w:hAnsi="Times New Roman"/>
          <w:sz w:val="24"/>
          <w:szCs w:val="24"/>
        </w:rPr>
        <w:lastRenderedPageBreak/>
        <w:t xml:space="preserve">Расходы на содержание силовых структур и органов обеспечения правопорядка продолжают оставаться весомой частью в бюджетных расходах, однако при этом их удельный вес сократился с 20,4% в </w:t>
      </w:r>
      <w:r w:rsidRPr="009654EB">
        <w:rPr>
          <w:rFonts w:ascii="Times New Roman" w:hAnsi="Times New Roman"/>
          <w:sz w:val="24"/>
          <w:szCs w:val="24"/>
          <w:lang w:val="en-US"/>
        </w:rPr>
        <w:t>I</w:t>
      </w:r>
      <w:r w:rsidRPr="009654EB">
        <w:rPr>
          <w:rFonts w:ascii="Times New Roman" w:hAnsi="Times New Roman"/>
          <w:sz w:val="24"/>
          <w:szCs w:val="24"/>
        </w:rPr>
        <w:t xml:space="preserve"> полугодии 2013 года до 16,9% в </w:t>
      </w:r>
      <w:r w:rsidRPr="009654EB">
        <w:rPr>
          <w:rFonts w:ascii="Times New Roman" w:hAnsi="Times New Roman"/>
          <w:sz w:val="24"/>
          <w:szCs w:val="24"/>
          <w:lang w:val="en-US"/>
        </w:rPr>
        <w:t>I</w:t>
      </w:r>
      <w:r w:rsidRPr="009654EB">
        <w:rPr>
          <w:rFonts w:ascii="Times New Roman" w:hAnsi="Times New Roman"/>
          <w:sz w:val="24"/>
          <w:szCs w:val="24"/>
        </w:rPr>
        <w:t xml:space="preserve"> полугодии            2014 году.</w:t>
      </w:r>
    </w:p>
    <w:p w:rsidR="000320B8" w:rsidRPr="009654EB" w:rsidRDefault="000320B8" w:rsidP="000320B8">
      <w:pPr>
        <w:suppressAutoHyphens/>
        <w:spacing w:after="0" w:line="240" w:lineRule="auto"/>
        <w:ind w:firstLine="709"/>
        <w:jc w:val="both"/>
        <w:rPr>
          <w:rFonts w:ascii="Times New Roman" w:hAnsi="Times New Roman"/>
          <w:sz w:val="24"/>
          <w:szCs w:val="24"/>
        </w:rPr>
      </w:pPr>
      <w:r w:rsidRPr="009654EB">
        <w:rPr>
          <w:rFonts w:ascii="Times New Roman" w:hAnsi="Times New Roman"/>
          <w:sz w:val="24"/>
          <w:szCs w:val="24"/>
        </w:rPr>
        <w:t>Направленность консолидированного бюджета в январе – июне 2014 года сохраняла социальный характер, что подтверждается долей расходов, фактически профинансированных социально-защищенных статей в общих расходах бюджета, которая составила 67,7%, однако она сократилась к соответствующему периоду 2013 года на 14,5%.</w:t>
      </w:r>
    </w:p>
    <w:p w:rsidR="000320B8" w:rsidRPr="009654EB" w:rsidRDefault="000320B8" w:rsidP="000320B8">
      <w:pPr>
        <w:shd w:val="clear" w:color="auto" w:fill="FFFFFF"/>
        <w:tabs>
          <w:tab w:val="left" w:pos="7368"/>
        </w:tabs>
        <w:spacing w:line="240" w:lineRule="auto"/>
        <w:ind w:firstLine="709"/>
        <w:contextualSpacing/>
        <w:jc w:val="both"/>
        <w:rPr>
          <w:rFonts w:ascii="Times New Roman" w:hAnsi="Times New Roman"/>
          <w:spacing w:val="-2"/>
          <w:sz w:val="24"/>
          <w:szCs w:val="24"/>
        </w:rPr>
      </w:pPr>
      <w:r w:rsidRPr="009654EB">
        <w:rPr>
          <w:rFonts w:ascii="Times New Roman" w:hAnsi="Times New Roman"/>
          <w:sz w:val="24"/>
          <w:szCs w:val="24"/>
        </w:rPr>
        <w:t xml:space="preserve">Расходы по социально защищенным статьям республиканского бюджета за                   </w:t>
      </w:r>
      <w:r w:rsidRPr="009654EB">
        <w:rPr>
          <w:rFonts w:ascii="Times New Roman" w:hAnsi="Times New Roman"/>
          <w:sz w:val="24"/>
          <w:szCs w:val="24"/>
          <w:lang w:val="en-US"/>
        </w:rPr>
        <w:t>I</w:t>
      </w:r>
      <w:r w:rsidRPr="009654EB">
        <w:rPr>
          <w:rFonts w:ascii="Times New Roman" w:hAnsi="Times New Roman"/>
          <w:sz w:val="24"/>
          <w:szCs w:val="24"/>
        </w:rPr>
        <w:t xml:space="preserve"> полугодие 2014 года исполнены на 84,4 % и составили </w:t>
      </w:r>
      <w:r w:rsidRPr="009654EB">
        <w:rPr>
          <w:rFonts w:ascii="Times New Roman" w:hAnsi="Times New Roman"/>
          <w:bCs/>
          <w:sz w:val="24"/>
          <w:szCs w:val="24"/>
        </w:rPr>
        <w:t xml:space="preserve">987 293 047 </w:t>
      </w:r>
      <w:r w:rsidRPr="009654EB">
        <w:rPr>
          <w:rFonts w:ascii="Times New Roman" w:hAnsi="Times New Roman"/>
          <w:sz w:val="24"/>
          <w:szCs w:val="24"/>
        </w:rPr>
        <w:t>руб.</w:t>
      </w:r>
      <w:r w:rsidRPr="009654EB">
        <w:rPr>
          <w:rFonts w:ascii="Times New Roman" w:hAnsi="Times New Roman"/>
          <w:spacing w:val="-2"/>
          <w:sz w:val="24"/>
          <w:szCs w:val="24"/>
        </w:rPr>
        <w:t xml:space="preserve"> Наибольший удельный вес в них занимали расходы на выплату заработной платы с учетом взносов на социальное страхование – 65,0%, а также: социальные пенсии и компенсационные выплаты населению, включая ежемесячное пособие на ребенка – 11,7%; трансферты местным бюджетам на обеспечение социальных выплат – 8,8%; выплаты пенсии и пожизненного содержания – 6,8%.</w:t>
      </w:r>
    </w:p>
    <w:p w:rsidR="000320B8" w:rsidRPr="009654EB" w:rsidRDefault="000320B8" w:rsidP="000320B8">
      <w:pPr>
        <w:shd w:val="clear" w:color="auto" w:fill="FFFFFF"/>
        <w:tabs>
          <w:tab w:val="left" w:pos="7368"/>
        </w:tabs>
        <w:spacing w:line="240" w:lineRule="auto"/>
        <w:ind w:firstLine="709"/>
        <w:contextualSpacing/>
        <w:jc w:val="both"/>
        <w:rPr>
          <w:rFonts w:ascii="Times New Roman" w:hAnsi="Times New Roman"/>
          <w:spacing w:val="-2"/>
          <w:sz w:val="24"/>
          <w:szCs w:val="24"/>
        </w:rPr>
      </w:pPr>
      <w:r w:rsidRPr="009654EB">
        <w:rPr>
          <w:rFonts w:ascii="Times New Roman" w:hAnsi="Times New Roman"/>
          <w:sz w:val="24"/>
          <w:szCs w:val="24"/>
        </w:rPr>
        <w:t xml:space="preserve">Расходы по социально защищенным статьям местного бюджета за январь – июнь 2014 года исполнены на 90,3% и составили </w:t>
      </w:r>
      <w:r w:rsidRPr="009654EB">
        <w:rPr>
          <w:rFonts w:ascii="Times New Roman" w:hAnsi="Times New Roman"/>
          <w:bCs/>
          <w:sz w:val="24"/>
          <w:szCs w:val="24"/>
        </w:rPr>
        <w:t>425 988 553</w:t>
      </w:r>
      <w:r w:rsidRPr="009654EB">
        <w:rPr>
          <w:rFonts w:ascii="Times New Roman" w:hAnsi="Times New Roman"/>
          <w:sz w:val="24"/>
          <w:szCs w:val="24"/>
        </w:rPr>
        <w:t xml:space="preserve"> руб.</w:t>
      </w:r>
      <w:r w:rsidRPr="009654EB">
        <w:rPr>
          <w:rFonts w:ascii="Times New Roman" w:hAnsi="Times New Roman"/>
          <w:spacing w:val="-2"/>
          <w:sz w:val="24"/>
          <w:szCs w:val="24"/>
        </w:rPr>
        <w:t xml:space="preserve"> Наибольший удельный вес в них занимали расходы на выплату заработной платы с учетом взносов на социальное страхование – 72,4%.</w:t>
      </w:r>
    </w:p>
    <w:p w:rsidR="000320B8" w:rsidRPr="009654EB" w:rsidRDefault="000320B8" w:rsidP="000320B8">
      <w:pPr>
        <w:shd w:val="clear" w:color="auto" w:fill="FFFFFF"/>
        <w:spacing w:after="0" w:line="240" w:lineRule="auto"/>
        <w:ind w:firstLine="709"/>
        <w:jc w:val="both"/>
        <w:rPr>
          <w:rFonts w:ascii="Times New Roman" w:hAnsi="Times New Roman"/>
          <w:spacing w:val="-1"/>
          <w:sz w:val="24"/>
          <w:szCs w:val="24"/>
        </w:rPr>
      </w:pPr>
    </w:p>
    <w:p w:rsidR="000320B8" w:rsidRPr="00E36E20" w:rsidRDefault="000320B8" w:rsidP="000320B8">
      <w:pPr>
        <w:pStyle w:val="af0"/>
        <w:spacing w:before="0" w:beforeAutospacing="0" w:after="0" w:afterAutospacing="0"/>
        <w:ind w:firstLine="709"/>
        <w:jc w:val="both"/>
      </w:pPr>
      <w:r w:rsidRPr="009654EB">
        <w:t xml:space="preserve">В </w:t>
      </w:r>
      <w:r w:rsidRPr="009654EB">
        <w:rPr>
          <w:lang w:val="en-US"/>
        </w:rPr>
        <w:t>I</w:t>
      </w:r>
      <w:r w:rsidRPr="009654EB">
        <w:t xml:space="preserve"> полугодии 2014 года  в результате превышения расходов консолидированного бюджета (на 26,8%) над доходами, отмечено увеличение размера дефицита консолидированного бюджета к уровню января-июня 2013 года на 25,0%. Фактическое значение дефицита консолидированного бюджета сложилось в размере 426 692 453 руб. и составило</w:t>
      </w:r>
      <w:r w:rsidRPr="00E36E20">
        <w:t xml:space="preserve"> </w:t>
      </w:r>
      <w:r w:rsidRPr="00A27408">
        <w:t>8,9% к ВВП.</w:t>
      </w:r>
    </w:p>
    <w:p w:rsidR="000320B8" w:rsidRPr="009654EB" w:rsidRDefault="000320B8" w:rsidP="000320B8">
      <w:pPr>
        <w:pStyle w:val="af0"/>
        <w:spacing w:before="0" w:beforeAutospacing="0" w:after="0" w:afterAutospacing="0"/>
        <w:ind w:firstLine="709"/>
        <w:jc w:val="right"/>
      </w:pPr>
      <w:r w:rsidRPr="009654EB">
        <w:t>Таблица №1</w:t>
      </w:r>
      <w:r w:rsidR="00350E5C">
        <w:t>0</w:t>
      </w:r>
    </w:p>
    <w:p w:rsidR="000320B8" w:rsidRPr="009654EB" w:rsidRDefault="000320B8" w:rsidP="000320B8">
      <w:pPr>
        <w:pStyle w:val="af0"/>
        <w:spacing w:before="0" w:beforeAutospacing="0" w:after="0" w:afterAutospacing="0"/>
        <w:ind w:firstLine="709"/>
        <w:jc w:val="center"/>
        <w:rPr>
          <w:b/>
        </w:rPr>
      </w:pPr>
      <w:r w:rsidRPr="009654EB">
        <w:rPr>
          <w:b/>
        </w:rPr>
        <w:t>Структура дефицита Консолидированного бюджета</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1"/>
        <w:gridCol w:w="1204"/>
        <w:gridCol w:w="835"/>
        <w:gridCol w:w="745"/>
        <w:gridCol w:w="1244"/>
        <w:gridCol w:w="909"/>
        <w:gridCol w:w="723"/>
        <w:gridCol w:w="1241"/>
      </w:tblGrid>
      <w:tr w:rsidR="000320B8" w:rsidRPr="009654EB" w:rsidTr="000320B8">
        <w:trPr>
          <w:trHeight w:val="701"/>
          <w:jc w:val="center"/>
        </w:trPr>
        <w:tc>
          <w:tcPr>
            <w:tcW w:w="2711" w:type="dxa"/>
            <w:vMerge w:val="restart"/>
            <w:vAlign w:val="center"/>
          </w:tcPr>
          <w:p w:rsidR="000320B8" w:rsidRPr="009654EB" w:rsidRDefault="000320B8" w:rsidP="000320B8">
            <w:pPr>
              <w:spacing w:after="0" w:line="240" w:lineRule="auto"/>
              <w:jc w:val="center"/>
              <w:rPr>
                <w:rFonts w:ascii="Times New Roman" w:hAnsi="Times New Roman"/>
                <w:b/>
              </w:rPr>
            </w:pPr>
          </w:p>
        </w:tc>
        <w:tc>
          <w:tcPr>
            <w:tcW w:w="2784" w:type="dxa"/>
            <w:gridSpan w:val="3"/>
            <w:vAlign w:val="center"/>
          </w:tcPr>
          <w:p w:rsidR="000320B8" w:rsidRPr="009654EB" w:rsidRDefault="000320B8" w:rsidP="000320B8">
            <w:pPr>
              <w:spacing w:after="0" w:line="240" w:lineRule="auto"/>
              <w:jc w:val="center"/>
              <w:rPr>
                <w:rFonts w:ascii="Times New Roman" w:hAnsi="Times New Roman"/>
                <w:b/>
              </w:rPr>
            </w:pPr>
            <w:r w:rsidRPr="009654EB">
              <w:rPr>
                <w:rFonts w:ascii="Times New Roman" w:hAnsi="Times New Roman"/>
                <w:b/>
              </w:rPr>
              <w:t>1 полугодие 2013 года</w:t>
            </w:r>
          </w:p>
        </w:tc>
        <w:tc>
          <w:tcPr>
            <w:tcW w:w="2876" w:type="dxa"/>
            <w:gridSpan w:val="3"/>
            <w:vAlign w:val="center"/>
          </w:tcPr>
          <w:p w:rsidR="000320B8" w:rsidRPr="009654EB" w:rsidRDefault="000320B8" w:rsidP="000320B8">
            <w:pPr>
              <w:spacing w:after="0" w:line="240" w:lineRule="auto"/>
              <w:jc w:val="center"/>
              <w:rPr>
                <w:rFonts w:ascii="Times New Roman" w:hAnsi="Times New Roman"/>
                <w:b/>
              </w:rPr>
            </w:pPr>
            <w:r w:rsidRPr="009654EB">
              <w:rPr>
                <w:rFonts w:ascii="Times New Roman" w:hAnsi="Times New Roman"/>
                <w:b/>
              </w:rPr>
              <w:t>1 полугодие 2014 года</w:t>
            </w:r>
          </w:p>
        </w:tc>
        <w:tc>
          <w:tcPr>
            <w:tcW w:w="1241" w:type="dxa"/>
            <w:vMerge w:val="restart"/>
            <w:vAlign w:val="center"/>
          </w:tcPr>
          <w:p w:rsidR="000320B8" w:rsidRPr="009654EB" w:rsidRDefault="000320B8" w:rsidP="000320B8">
            <w:pPr>
              <w:spacing w:after="0" w:line="240" w:lineRule="auto"/>
              <w:ind w:left="-70" w:right="-165"/>
              <w:jc w:val="center"/>
              <w:rPr>
                <w:rFonts w:ascii="Times New Roman" w:hAnsi="Times New Roman"/>
                <w:b/>
              </w:rPr>
            </w:pPr>
            <w:r w:rsidRPr="009654EB">
              <w:rPr>
                <w:rFonts w:ascii="Times New Roman" w:hAnsi="Times New Roman"/>
                <w:b/>
              </w:rPr>
              <w:t xml:space="preserve">Темп роста 1 полуг. 2014г. к </w:t>
            </w:r>
          </w:p>
          <w:p w:rsidR="000320B8" w:rsidRPr="009654EB" w:rsidRDefault="000320B8" w:rsidP="000320B8">
            <w:pPr>
              <w:spacing w:after="0" w:line="240" w:lineRule="auto"/>
              <w:ind w:left="-70" w:right="-165"/>
              <w:jc w:val="center"/>
              <w:rPr>
                <w:rFonts w:ascii="Times New Roman" w:hAnsi="Times New Roman"/>
                <w:b/>
              </w:rPr>
            </w:pPr>
            <w:r w:rsidRPr="009654EB">
              <w:rPr>
                <w:rFonts w:ascii="Times New Roman" w:hAnsi="Times New Roman"/>
                <w:b/>
              </w:rPr>
              <w:t xml:space="preserve">1 полуг. 2013 г. </w:t>
            </w:r>
          </w:p>
        </w:tc>
      </w:tr>
      <w:tr w:rsidR="000320B8" w:rsidRPr="009654EB" w:rsidTr="000320B8">
        <w:trPr>
          <w:trHeight w:val="121"/>
          <w:jc w:val="center"/>
        </w:trPr>
        <w:tc>
          <w:tcPr>
            <w:tcW w:w="2711" w:type="dxa"/>
            <w:vMerge/>
            <w:vAlign w:val="center"/>
          </w:tcPr>
          <w:p w:rsidR="000320B8" w:rsidRPr="009654EB" w:rsidRDefault="000320B8" w:rsidP="000320B8">
            <w:pPr>
              <w:spacing w:after="0" w:line="240" w:lineRule="auto"/>
              <w:jc w:val="center"/>
              <w:rPr>
                <w:rFonts w:ascii="Times New Roman" w:hAnsi="Times New Roman"/>
                <w:b/>
              </w:rPr>
            </w:pPr>
          </w:p>
        </w:tc>
        <w:tc>
          <w:tcPr>
            <w:tcW w:w="1204" w:type="dxa"/>
            <w:vAlign w:val="center"/>
          </w:tcPr>
          <w:p w:rsidR="000320B8" w:rsidRPr="009654EB" w:rsidRDefault="000320B8" w:rsidP="000320B8">
            <w:pPr>
              <w:spacing w:after="0" w:line="240" w:lineRule="auto"/>
              <w:jc w:val="center"/>
              <w:rPr>
                <w:rFonts w:ascii="Times New Roman" w:hAnsi="Times New Roman"/>
                <w:b/>
              </w:rPr>
            </w:pPr>
            <w:r w:rsidRPr="009654EB">
              <w:rPr>
                <w:rFonts w:ascii="Times New Roman" w:hAnsi="Times New Roman"/>
                <w:b/>
              </w:rPr>
              <w:t>факт</w:t>
            </w:r>
          </w:p>
        </w:tc>
        <w:tc>
          <w:tcPr>
            <w:tcW w:w="835" w:type="dxa"/>
            <w:vAlign w:val="center"/>
          </w:tcPr>
          <w:p w:rsidR="000320B8" w:rsidRPr="009654EB" w:rsidRDefault="000320B8" w:rsidP="000320B8">
            <w:pPr>
              <w:spacing w:after="0" w:line="240" w:lineRule="auto"/>
              <w:jc w:val="center"/>
              <w:rPr>
                <w:rFonts w:ascii="Times New Roman" w:hAnsi="Times New Roman"/>
                <w:b/>
              </w:rPr>
            </w:pPr>
            <w:r w:rsidRPr="009654EB">
              <w:rPr>
                <w:rFonts w:ascii="Times New Roman" w:hAnsi="Times New Roman"/>
                <w:b/>
              </w:rPr>
              <w:t>% к расх. части</w:t>
            </w:r>
          </w:p>
        </w:tc>
        <w:tc>
          <w:tcPr>
            <w:tcW w:w="745" w:type="dxa"/>
            <w:vAlign w:val="center"/>
          </w:tcPr>
          <w:p w:rsidR="000320B8" w:rsidRPr="009654EB" w:rsidRDefault="000320B8" w:rsidP="000320B8">
            <w:pPr>
              <w:spacing w:after="0" w:line="240" w:lineRule="auto"/>
              <w:jc w:val="center"/>
              <w:rPr>
                <w:rFonts w:ascii="Times New Roman" w:hAnsi="Times New Roman"/>
                <w:b/>
              </w:rPr>
            </w:pPr>
            <w:r w:rsidRPr="009654EB">
              <w:rPr>
                <w:rFonts w:ascii="Times New Roman" w:hAnsi="Times New Roman"/>
                <w:b/>
              </w:rPr>
              <w:t>% к ВВП</w:t>
            </w:r>
          </w:p>
        </w:tc>
        <w:tc>
          <w:tcPr>
            <w:tcW w:w="1244" w:type="dxa"/>
            <w:vAlign w:val="center"/>
          </w:tcPr>
          <w:p w:rsidR="000320B8" w:rsidRPr="009654EB" w:rsidRDefault="000320B8" w:rsidP="000320B8">
            <w:pPr>
              <w:spacing w:after="0" w:line="240" w:lineRule="auto"/>
              <w:jc w:val="center"/>
              <w:rPr>
                <w:rFonts w:ascii="Times New Roman" w:hAnsi="Times New Roman"/>
                <w:b/>
              </w:rPr>
            </w:pPr>
            <w:r w:rsidRPr="009654EB">
              <w:rPr>
                <w:rFonts w:ascii="Times New Roman" w:hAnsi="Times New Roman"/>
                <w:b/>
              </w:rPr>
              <w:t>факт</w:t>
            </w:r>
          </w:p>
        </w:tc>
        <w:tc>
          <w:tcPr>
            <w:tcW w:w="909" w:type="dxa"/>
            <w:vAlign w:val="center"/>
          </w:tcPr>
          <w:p w:rsidR="000320B8" w:rsidRPr="009654EB" w:rsidRDefault="000320B8" w:rsidP="000320B8">
            <w:pPr>
              <w:spacing w:after="0" w:line="240" w:lineRule="auto"/>
              <w:jc w:val="center"/>
              <w:rPr>
                <w:rFonts w:ascii="Times New Roman" w:hAnsi="Times New Roman"/>
                <w:b/>
              </w:rPr>
            </w:pPr>
            <w:r w:rsidRPr="009654EB">
              <w:rPr>
                <w:rFonts w:ascii="Times New Roman" w:hAnsi="Times New Roman"/>
                <w:b/>
              </w:rPr>
              <w:t>% к расх. части</w:t>
            </w:r>
          </w:p>
        </w:tc>
        <w:tc>
          <w:tcPr>
            <w:tcW w:w="723" w:type="dxa"/>
            <w:vAlign w:val="center"/>
          </w:tcPr>
          <w:p w:rsidR="000320B8" w:rsidRPr="00A27408" w:rsidRDefault="000320B8" w:rsidP="000320B8">
            <w:pPr>
              <w:spacing w:after="0" w:line="240" w:lineRule="auto"/>
              <w:jc w:val="center"/>
              <w:rPr>
                <w:rFonts w:ascii="Times New Roman" w:hAnsi="Times New Roman"/>
                <w:b/>
              </w:rPr>
            </w:pPr>
            <w:r w:rsidRPr="00A27408">
              <w:rPr>
                <w:rFonts w:ascii="Times New Roman" w:hAnsi="Times New Roman"/>
                <w:b/>
              </w:rPr>
              <w:t>% к ВВП</w:t>
            </w:r>
          </w:p>
        </w:tc>
        <w:tc>
          <w:tcPr>
            <w:tcW w:w="1241" w:type="dxa"/>
            <w:vMerge/>
            <w:vAlign w:val="center"/>
          </w:tcPr>
          <w:p w:rsidR="000320B8" w:rsidRPr="009654EB" w:rsidRDefault="000320B8" w:rsidP="000320B8">
            <w:pPr>
              <w:spacing w:after="0" w:line="240" w:lineRule="auto"/>
              <w:jc w:val="center"/>
              <w:rPr>
                <w:rFonts w:ascii="Times New Roman" w:hAnsi="Times New Roman"/>
                <w:b/>
              </w:rPr>
            </w:pPr>
          </w:p>
        </w:tc>
      </w:tr>
      <w:tr w:rsidR="000320B8" w:rsidRPr="009654EB" w:rsidTr="000320B8">
        <w:trPr>
          <w:trHeight w:val="803"/>
          <w:jc w:val="center"/>
        </w:trPr>
        <w:tc>
          <w:tcPr>
            <w:tcW w:w="2711" w:type="dxa"/>
          </w:tcPr>
          <w:p w:rsidR="000320B8" w:rsidRPr="009654EB" w:rsidRDefault="000320B8" w:rsidP="000320B8">
            <w:pPr>
              <w:spacing w:after="0" w:line="240" w:lineRule="auto"/>
              <w:ind w:left="-101" w:right="-161"/>
              <w:rPr>
                <w:rFonts w:ascii="Times New Roman" w:hAnsi="Times New Roman"/>
                <w:b/>
              </w:rPr>
            </w:pPr>
            <w:r w:rsidRPr="009654EB">
              <w:rPr>
                <w:rFonts w:ascii="Times New Roman" w:hAnsi="Times New Roman"/>
              </w:rPr>
              <w:t>Дефицит консолидированного бюджета</w:t>
            </w:r>
          </w:p>
        </w:tc>
        <w:tc>
          <w:tcPr>
            <w:tcW w:w="1204" w:type="dxa"/>
            <w:vAlign w:val="center"/>
          </w:tcPr>
          <w:p w:rsidR="000320B8" w:rsidRPr="009654EB" w:rsidRDefault="000320B8" w:rsidP="000320B8">
            <w:pPr>
              <w:spacing w:after="0" w:line="240" w:lineRule="auto"/>
              <w:ind w:left="-124"/>
              <w:jc w:val="right"/>
              <w:rPr>
                <w:rFonts w:ascii="Times New Roman" w:hAnsi="Times New Roman"/>
              </w:rPr>
            </w:pPr>
            <w:r w:rsidRPr="009654EB">
              <w:rPr>
                <w:rFonts w:ascii="Times New Roman" w:hAnsi="Times New Roman"/>
              </w:rPr>
              <w:t>341 406 096</w:t>
            </w:r>
          </w:p>
        </w:tc>
        <w:tc>
          <w:tcPr>
            <w:tcW w:w="835" w:type="dxa"/>
            <w:vAlign w:val="center"/>
          </w:tcPr>
          <w:p w:rsidR="000320B8" w:rsidRPr="009654EB" w:rsidRDefault="000320B8" w:rsidP="000320B8">
            <w:pPr>
              <w:spacing w:after="0" w:line="240" w:lineRule="auto"/>
              <w:jc w:val="right"/>
              <w:rPr>
                <w:rFonts w:ascii="Times New Roman" w:hAnsi="Times New Roman"/>
              </w:rPr>
            </w:pPr>
            <w:r w:rsidRPr="009654EB">
              <w:rPr>
                <w:rFonts w:ascii="Times New Roman" w:hAnsi="Times New Roman"/>
              </w:rPr>
              <w:t>20,6</w:t>
            </w:r>
          </w:p>
        </w:tc>
        <w:tc>
          <w:tcPr>
            <w:tcW w:w="745" w:type="dxa"/>
            <w:vAlign w:val="center"/>
          </w:tcPr>
          <w:p w:rsidR="000320B8" w:rsidRPr="009654EB" w:rsidRDefault="000320B8" w:rsidP="000320B8">
            <w:pPr>
              <w:spacing w:after="0" w:line="240" w:lineRule="auto"/>
              <w:jc w:val="right"/>
              <w:rPr>
                <w:rFonts w:ascii="Times New Roman" w:hAnsi="Times New Roman"/>
              </w:rPr>
            </w:pPr>
            <w:r w:rsidRPr="009654EB">
              <w:rPr>
                <w:rFonts w:ascii="Times New Roman" w:hAnsi="Times New Roman"/>
              </w:rPr>
              <w:t>8,0</w:t>
            </w:r>
          </w:p>
        </w:tc>
        <w:tc>
          <w:tcPr>
            <w:tcW w:w="1244" w:type="dxa"/>
            <w:vAlign w:val="center"/>
          </w:tcPr>
          <w:p w:rsidR="000320B8" w:rsidRPr="009654EB" w:rsidRDefault="000320B8" w:rsidP="000320B8">
            <w:pPr>
              <w:spacing w:after="0" w:line="240" w:lineRule="auto"/>
              <w:ind w:left="-124"/>
              <w:jc w:val="right"/>
              <w:rPr>
                <w:rFonts w:ascii="Times New Roman" w:hAnsi="Times New Roman"/>
              </w:rPr>
            </w:pPr>
            <w:r w:rsidRPr="009654EB">
              <w:rPr>
                <w:rFonts w:ascii="Times New Roman" w:hAnsi="Times New Roman"/>
              </w:rPr>
              <w:t>426 692 453</w:t>
            </w:r>
          </w:p>
        </w:tc>
        <w:tc>
          <w:tcPr>
            <w:tcW w:w="909" w:type="dxa"/>
            <w:vAlign w:val="center"/>
          </w:tcPr>
          <w:p w:rsidR="000320B8" w:rsidRPr="009654EB" w:rsidRDefault="000320B8" w:rsidP="000320B8">
            <w:pPr>
              <w:spacing w:after="0" w:line="240" w:lineRule="auto"/>
              <w:jc w:val="right"/>
              <w:rPr>
                <w:rFonts w:ascii="Times New Roman" w:hAnsi="Times New Roman"/>
              </w:rPr>
            </w:pPr>
            <w:r w:rsidRPr="009654EB">
              <w:rPr>
                <w:rFonts w:ascii="Times New Roman" w:hAnsi="Times New Roman"/>
              </w:rPr>
              <w:t>21,1</w:t>
            </w:r>
          </w:p>
        </w:tc>
        <w:tc>
          <w:tcPr>
            <w:tcW w:w="723" w:type="dxa"/>
            <w:vAlign w:val="center"/>
          </w:tcPr>
          <w:p w:rsidR="000320B8" w:rsidRPr="00A27408" w:rsidRDefault="000320B8" w:rsidP="000320B8">
            <w:pPr>
              <w:spacing w:after="0" w:line="240" w:lineRule="auto"/>
              <w:jc w:val="right"/>
              <w:rPr>
                <w:rFonts w:ascii="Times New Roman" w:hAnsi="Times New Roman"/>
              </w:rPr>
            </w:pPr>
            <w:r w:rsidRPr="00A27408">
              <w:rPr>
                <w:rFonts w:ascii="Times New Roman" w:hAnsi="Times New Roman"/>
              </w:rPr>
              <w:t>8,9</w:t>
            </w:r>
          </w:p>
        </w:tc>
        <w:tc>
          <w:tcPr>
            <w:tcW w:w="1241" w:type="dxa"/>
            <w:vAlign w:val="center"/>
          </w:tcPr>
          <w:p w:rsidR="000320B8" w:rsidRPr="009654EB" w:rsidRDefault="000320B8" w:rsidP="000320B8">
            <w:pPr>
              <w:spacing w:after="0" w:line="240" w:lineRule="auto"/>
              <w:jc w:val="right"/>
              <w:rPr>
                <w:rFonts w:ascii="Times New Roman" w:hAnsi="Times New Roman"/>
              </w:rPr>
            </w:pPr>
            <w:r w:rsidRPr="009654EB">
              <w:rPr>
                <w:rFonts w:ascii="Times New Roman" w:hAnsi="Times New Roman"/>
              </w:rPr>
              <w:t>125,0</w:t>
            </w:r>
          </w:p>
        </w:tc>
      </w:tr>
      <w:tr w:rsidR="000320B8" w:rsidRPr="009654EB" w:rsidTr="000320B8">
        <w:trPr>
          <w:trHeight w:val="454"/>
          <w:jc w:val="center"/>
        </w:trPr>
        <w:tc>
          <w:tcPr>
            <w:tcW w:w="2711" w:type="dxa"/>
          </w:tcPr>
          <w:p w:rsidR="000320B8" w:rsidRPr="009654EB" w:rsidRDefault="000320B8" w:rsidP="000320B8">
            <w:pPr>
              <w:spacing w:after="0" w:line="240" w:lineRule="auto"/>
              <w:ind w:left="-91" w:right="-132"/>
              <w:rPr>
                <w:rFonts w:ascii="Times New Roman" w:hAnsi="Times New Roman"/>
              </w:rPr>
            </w:pPr>
            <w:r w:rsidRPr="009654EB">
              <w:rPr>
                <w:rFonts w:ascii="Times New Roman" w:hAnsi="Times New Roman"/>
              </w:rPr>
              <w:t>Дефицит республиканского бюджета</w:t>
            </w:r>
          </w:p>
        </w:tc>
        <w:tc>
          <w:tcPr>
            <w:tcW w:w="1204" w:type="dxa"/>
            <w:vAlign w:val="center"/>
          </w:tcPr>
          <w:p w:rsidR="000320B8" w:rsidRPr="009654EB" w:rsidRDefault="000320B8" w:rsidP="000320B8">
            <w:pPr>
              <w:spacing w:after="0" w:line="240" w:lineRule="auto"/>
              <w:ind w:left="-124"/>
              <w:jc w:val="right"/>
              <w:rPr>
                <w:rFonts w:ascii="Times New Roman" w:hAnsi="Times New Roman"/>
                <w:bCs/>
              </w:rPr>
            </w:pPr>
            <w:r w:rsidRPr="009654EB">
              <w:rPr>
                <w:rFonts w:ascii="Times New Roman" w:hAnsi="Times New Roman"/>
                <w:bCs/>
              </w:rPr>
              <w:t>244 528 424</w:t>
            </w:r>
          </w:p>
        </w:tc>
        <w:tc>
          <w:tcPr>
            <w:tcW w:w="835" w:type="dxa"/>
            <w:vAlign w:val="center"/>
          </w:tcPr>
          <w:p w:rsidR="000320B8" w:rsidRPr="009654EB" w:rsidRDefault="000320B8" w:rsidP="000320B8">
            <w:pPr>
              <w:spacing w:after="0" w:line="240" w:lineRule="auto"/>
              <w:jc w:val="right"/>
              <w:rPr>
                <w:rFonts w:ascii="Times New Roman" w:hAnsi="Times New Roman"/>
                <w:bCs/>
              </w:rPr>
            </w:pPr>
            <w:r w:rsidRPr="009654EB">
              <w:rPr>
                <w:rFonts w:ascii="Times New Roman" w:hAnsi="Times New Roman"/>
                <w:bCs/>
              </w:rPr>
              <w:t>21,7</w:t>
            </w:r>
          </w:p>
        </w:tc>
        <w:tc>
          <w:tcPr>
            <w:tcW w:w="745" w:type="dxa"/>
            <w:vAlign w:val="center"/>
          </w:tcPr>
          <w:p w:rsidR="000320B8" w:rsidRPr="009654EB" w:rsidRDefault="000320B8" w:rsidP="000320B8">
            <w:pPr>
              <w:spacing w:after="0" w:line="240" w:lineRule="auto"/>
              <w:jc w:val="right"/>
              <w:rPr>
                <w:rFonts w:ascii="Times New Roman" w:hAnsi="Times New Roman"/>
                <w:bCs/>
              </w:rPr>
            </w:pPr>
            <w:r w:rsidRPr="009654EB">
              <w:rPr>
                <w:rFonts w:ascii="Times New Roman" w:hAnsi="Times New Roman"/>
                <w:bCs/>
              </w:rPr>
              <w:t>5,8</w:t>
            </w:r>
          </w:p>
        </w:tc>
        <w:tc>
          <w:tcPr>
            <w:tcW w:w="1244" w:type="dxa"/>
            <w:vAlign w:val="center"/>
          </w:tcPr>
          <w:p w:rsidR="000320B8" w:rsidRPr="009654EB" w:rsidRDefault="000320B8" w:rsidP="000320B8">
            <w:pPr>
              <w:spacing w:after="0" w:line="240" w:lineRule="auto"/>
              <w:ind w:left="-124"/>
              <w:jc w:val="right"/>
              <w:rPr>
                <w:rFonts w:ascii="Times New Roman" w:hAnsi="Times New Roman"/>
                <w:bCs/>
              </w:rPr>
            </w:pPr>
            <w:r w:rsidRPr="009654EB">
              <w:rPr>
                <w:rFonts w:ascii="Times New Roman" w:hAnsi="Times New Roman"/>
                <w:bCs/>
              </w:rPr>
              <w:t>315 204 783</w:t>
            </w:r>
          </w:p>
        </w:tc>
        <w:tc>
          <w:tcPr>
            <w:tcW w:w="909" w:type="dxa"/>
            <w:vAlign w:val="center"/>
          </w:tcPr>
          <w:p w:rsidR="000320B8" w:rsidRPr="009654EB" w:rsidRDefault="000320B8" w:rsidP="000320B8">
            <w:pPr>
              <w:spacing w:after="0" w:line="240" w:lineRule="auto"/>
              <w:jc w:val="right"/>
              <w:rPr>
                <w:rFonts w:ascii="Times New Roman" w:hAnsi="Times New Roman"/>
                <w:bCs/>
              </w:rPr>
            </w:pPr>
            <w:r w:rsidRPr="009654EB">
              <w:rPr>
                <w:rFonts w:ascii="Times New Roman" w:hAnsi="Times New Roman"/>
                <w:bCs/>
              </w:rPr>
              <w:t>21,6</w:t>
            </w:r>
          </w:p>
        </w:tc>
        <w:tc>
          <w:tcPr>
            <w:tcW w:w="723" w:type="dxa"/>
            <w:vAlign w:val="center"/>
          </w:tcPr>
          <w:p w:rsidR="000320B8" w:rsidRPr="00A27408" w:rsidRDefault="000320B8" w:rsidP="000320B8">
            <w:pPr>
              <w:spacing w:after="0" w:line="240" w:lineRule="auto"/>
              <w:jc w:val="right"/>
              <w:rPr>
                <w:rFonts w:ascii="Times New Roman" w:hAnsi="Times New Roman"/>
                <w:bCs/>
              </w:rPr>
            </w:pPr>
            <w:r w:rsidRPr="00A27408">
              <w:rPr>
                <w:rFonts w:ascii="Times New Roman" w:hAnsi="Times New Roman"/>
                <w:bCs/>
              </w:rPr>
              <w:t>6,6</w:t>
            </w:r>
          </w:p>
        </w:tc>
        <w:tc>
          <w:tcPr>
            <w:tcW w:w="1241" w:type="dxa"/>
            <w:vAlign w:val="center"/>
          </w:tcPr>
          <w:p w:rsidR="000320B8" w:rsidRPr="009654EB" w:rsidRDefault="000320B8" w:rsidP="000320B8">
            <w:pPr>
              <w:spacing w:after="0" w:line="240" w:lineRule="auto"/>
              <w:jc w:val="right"/>
              <w:rPr>
                <w:rFonts w:ascii="Times New Roman" w:hAnsi="Times New Roman"/>
              </w:rPr>
            </w:pPr>
            <w:r w:rsidRPr="009654EB">
              <w:rPr>
                <w:rFonts w:ascii="Times New Roman" w:hAnsi="Times New Roman"/>
              </w:rPr>
              <w:t>129,0</w:t>
            </w:r>
          </w:p>
        </w:tc>
      </w:tr>
      <w:tr w:rsidR="000320B8" w:rsidRPr="00095D4F" w:rsidTr="000320B8">
        <w:trPr>
          <w:trHeight w:val="244"/>
          <w:jc w:val="center"/>
        </w:trPr>
        <w:tc>
          <w:tcPr>
            <w:tcW w:w="2711" w:type="dxa"/>
          </w:tcPr>
          <w:p w:rsidR="000320B8" w:rsidRPr="009654EB" w:rsidRDefault="000320B8" w:rsidP="000320B8">
            <w:pPr>
              <w:spacing w:after="0" w:line="240" w:lineRule="auto"/>
              <w:ind w:left="-91" w:right="-132"/>
              <w:rPr>
                <w:rFonts w:ascii="Times New Roman" w:hAnsi="Times New Roman"/>
              </w:rPr>
            </w:pPr>
            <w:r w:rsidRPr="009654EB">
              <w:rPr>
                <w:rFonts w:ascii="Times New Roman" w:hAnsi="Times New Roman"/>
              </w:rPr>
              <w:t>Дефицит местного бюджета,</w:t>
            </w:r>
          </w:p>
        </w:tc>
        <w:tc>
          <w:tcPr>
            <w:tcW w:w="1204" w:type="dxa"/>
            <w:vAlign w:val="center"/>
          </w:tcPr>
          <w:p w:rsidR="000320B8" w:rsidRPr="009654EB" w:rsidRDefault="000320B8" w:rsidP="000320B8">
            <w:pPr>
              <w:spacing w:after="0" w:line="240" w:lineRule="auto"/>
              <w:ind w:left="-124"/>
              <w:jc w:val="right"/>
              <w:rPr>
                <w:rFonts w:ascii="Times New Roman" w:hAnsi="Times New Roman"/>
              </w:rPr>
            </w:pPr>
            <w:r w:rsidRPr="009654EB">
              <w:rPr>
                <w:rFonts w:ascii="Times New Roman" w:hAnsi="Times New Roman"/>
              </w:rPr>
              <w:t>96 877 672</w:t>
            </w:r>
          </w:p>
        </w:tc>
        <w:tc>
          <w:tcPr>
            <w:tcW w:w="835" w:type="dxa"/>
            <w:vAlign w:val="center"/>
          </w:tcPr>
          <w:p w:rsidR="000320B8" w:rsidRPr="009654EB" w:rsidRDefault="000320B8" w:rsidP="000320B8">
            <w:pPr>
              <w:spacing w:after="0" w:line="240" w:lineRule="auto"/>
              <w:jc w:val="right"/>
              <w:rPr>
                <w:rFonts w:ascii="Times New Roman" w:hAnsi="Times New Roman"/>
              </w:rPr>
            </w:pPr>
            <w:r w:rsidRPr="009654EB">
              <w:rPr>
                <w:rFonts w:ascii="Times New Roman" w:hAnsi="Times New Roman"/>
              </w:rPr>
              <w:t>18,1</w:t>
            </w:r>
          </w:p>
        </w:tc>
        <w:tc>
          <w:tcPr>
            <w:tcW w:w="745" w:type="dxa"/>
            <w:vAlign w:val="center"/>
          </w:tcPr>
          <w:p w:rsidR="000320B8" w:rsidRPr="009654EB" w:rsidRDefault="000320B8" w:rsidP="000320B8">
            <w:pPr>
              <w:spacing w:after="0" w:line="240" w:lineRule="auto"/>
              <w:jc w:val="right"/>
              <w:rPr>
                <w:rFonts w:ascii="Times New Roman" w:hAnsi="Times New Roman"/>
              </w:rPr>
            </w:pPr>
            <w:r w:rsidRPr="009654EB">
              <w:rPr>
                <w:rFonts w:ascii="Times New Roman" w:hAnsi="Times New Roman"/>
              </w:rPr>
              <w:t>2,3</w:t>
            </w:r>
          </w:p>
        </w:tc>
        <w:tc>
          <w:tcPr>
            <w:tcW w:w="1244" w:type="dxa"/>
            <w:vAlign w:val="center"/>
          </w:tcPr>
          <w:p w:rsidR="000320B8" w:rsidRPr="009654EB" w:rsidRDefault="000320B8" w:rsidP="000320B8">
            <w:pPr>
              <w:spacing w:after="0" w:line="240" w:lineRule="auto"/>
              <w:ind w:left="-124"/>
              <w:jc w:val="right"/>
              <w:rPr>
                <w:rFonts w:ascii="Times New Roman" w:hAnsi="Times New Roman"/>
              </w:rPr>
            </w:pPr>
            <w:r w:rsidRPr="009654EB">
              <w:rPr>
                <w:rFonts w:ascii="Times New Roman" w:hAnsi="Times New Roman"/>
              </w:rPr>
              <w:t>111 487 670</w:t>
            </w:r>
          </w:p>
        </w:tc>
        <w:tc>
          <w:tcPr>
            <w:tcW w:w="909" w:type="dxa"/>
            <w:vAlign w:val="center"/>
          </w:tcPr>
          <w:p w:rsidR="000320B8" w:rsidRPr="009654EB" w:rsidRDefault="000320B8" w:rsidP="000320B8">
            <w:pPr>
              <w:spacing w:after="0" w:line="240" w:lineRule="auto"/>
              <w:jc w:val="right"/>
              <w:rPr>
                <w:rFonts w:ascii="Times New Roman" w:hAnsi="Times New Roman"/>
              </w:rPr>
            </w:pPr>
            <w:r w:rsidRPr="009654EB">
              <w:rPr>
                <w:rFonts w:ascii="Times New Roman" w:hAnsi="Times New Roman"/>
              </w:rPr>
              <w:t>19,8</w:t>
            </w:r>
          </w:p>
        </w:tc>
        <w:tc>
          <w:tcPr>
            <w:tcW w:w="723" w:type="dxa"/>
            <w:vAlign w:val="center"/>
          </w:tcPr>
          <w:p w:rsidR="000320B8" w:rsidRPr="00A27408" w:rsidRDefault="000320B8" w:rsidP="000320B8">
            <w:pPr>
              <w:spacing w:after="0" w:line="240" w:lineRule="auto"/>
              <w:jc w:val="right"/>
              <w:rPr>
                <w:rFonts w:ascii="Times New Roman" w:hAnsi="Times New Roman"/>
              </w:rPr>
            </w:pPr>
            <w:r w:rsidRPr="00A27408">
              <w:rPr>
                <w:rFonts w:ascii="Times New Roman" w:hAnsi="Times New Roman"/>
              </w:rPr>
              <w:t>2,3</w:t>
            </w:r>
          </w:p>
        </w:tc>
        <w:tc>
          <w:tcPr>
            <w:tcW w:w="1241" w:type="dxa"/>
            <w:vAlign w:val="center"/>
          </w:tcPr>
          <w:p w:rsidR="000320B8" w:rsidRPr="00095D4F" w:rsidRDefault="000320B8" w:rsidP="000320B8">
            <w:pPr>
              <w:spacing w:after="0" w:line="240" w:lineRule="auto"/>
              <w:jc w:val="right"/>
              <w:rPr>
                <w:rFonts w:ascii="Times New Roman" w:hAnsi="Times New Roman"/>
              </w:rPr>
            </w:pPr>
            <w:r w:rsidRPr="009654EB">
              <w:rPr>
                <w:rFonts w:ascii="Times New Roman" w:hAnsi="Times New Roman"/>
              </w:rPr>
              <w:t>115,1</w:t>
            </w:r>
          </w:p>
        </w:tc>
      </w:tr>
    </w:tbl>
    <w:p w:rsidR="000320B8" w:rsidRDefault="000320B8" w:rsidP="000320B8">
      <w:pPr>
        <w:pStyle w:val="af0"/>
        <w:spacing w:before="0" w:beforeAutospacing="0" w:after="0" w:afterAutospacing="0"/>
        <w:ind w:firstLine="720"/>
        <w:jc w:val="both"/>
      </w:pPr>
    </w:p>
    <w:p w:rsidR="000320B8" w:rsidRPr="00095D4F" w:rsidRDefault="000320B8" w:rsidP="000320B8">
      <w:pPr>
        <w:pStyle w:val="af0"/>
        <w:spacing w:before="0" w:beforeAutospacing="0" w:after="0" w:afterAutospacing="0"/>
        <w:ind w:firstLine="720"/>
        <w:jc w:val="both"/>
      </w:pPr>
      <w:r w:rsidRPr="009654EB">
        <w:t>В рассматриваемом периоде сохраняется устойчивая напряженность исполнения бюджетных параметров, что приводит к ограничению возможностей маневра в распределении поступающих ресурсов, в виду необходимости поддержания социальной сферы. Кроме того, из-за постоянного недостатка бюджетных средств государство не в состоянии поддерживать инвестиционную активность и стимулировать экономический рост.</w:t>
      </w:r>
      <w:r w:rsidRPr="00095D4F">
        <w:t xml:space="preserve"> </w:t>
      </w:r>
    </w:p>
    <w:p w:rsidR="000320B8" w:rsidRDefault="000320B8" w:rsidP="002224BC">
      <w:pPr>
        <w:widowControl w:val="0"/>
        <w:tabs>
          <w:tab w:val="left" w:pos="630"/>
        </w:tabs>
        <w:autoSpaceDE w:val="0"/>
        <w:autoSpaceDN w:val="0"/>
        <w:adjustRightInd w:val="0"/>
        <w:spacing w:after="0" w:line="240" w:lineRule="auto"/>
        <w:ind w:firstLine="720"/>
        <w:jc w:val="both"/>
        <w:rPr>
          <w:rFonts w:ascii="Times New Roman" w:hAnsi="Times New Roman"/>
          <w:b/>
          <w:sz w:val="24"/>
          <w:szCs w:val="24"/>
        </w:rPr>
      </w:pPr>
    </w:p>
    <w:p w:rsidR="004B6A68" w:rsidRDefault="004B6A68" w:rsidP="004B6A68">
      <w:pPr>
        <w:widowControl w:val="0"/>
        <w:autoSpaceDE w:val="0"/>
        <w:autoSpaceDN w:val="0"/>
        <w:adjustRightInd w:val="0"/>
        <w:spacing w:after="0" w:line="240" w:lineRule="auto"/>
        <w:ind w:firstLine="720"/>
        <w:jc w:val="both"/>
        <w:rPr>
          <w:rFonts w:ascii="Times New Roman" w:hAnsi="Times New Roman"/>
          <w:b/>
          <w:sz w:val="24"/>
          <w:szCs w:val="24"/>
        </w:rPr>
      </w:pPr>
      <w:r w:rsidRPr="006D7A34">
        <w:rPr>
          <w:rFonts w:ascii="Times New Roman" w:hAnsi="Times New Roman"/>
          <w:b/>
          <w:sz w:val="24"/>
          <w:szCs w:val="24"/>
        </w:rPr>
        <w:t>Внешнеэкономическая деятельность</w:t>
      </w:r>
    </w:p>
    <w:p w:rsidR="004B6A68" w:rsidRDefault="004B6A68" w:rsidP="004B6A68">
      <w:pPr>
        <w:pStyle w:val="2"/>
        <w:tabs>
          <w:tab w:val="left" w:pos="7920"/>
        </w:tabs>
        <w:ind w:firstLine="709"/>
        <w:rPr>
          <w:sz w:val="24"/>
          <w:szCs w:val="24"/>
        </w:rPr>
      </w:pPr>
    </w:p>
    <w:p w:rsidR="004B6A68" w:rsidRDefault="004B6A68" w:rsidP="004B6A68">
      <w:pPr>
        <w:pStyle w:val="2"/>
        <w:tabs>
          <w:tab w:val="left" w:pos="7920"/>
        </w:tabs>
        <w:ind w:firstLine="709"/>
        <w:rPr>
          <w:sz w:val="24"/>
          <w:szCs w:val="24"/>
        </w:rPr>
      </w:pPr>
      <w:r>
        <w:rPr>
          <w:sz w:val="24"/>
          <w:szCs w:val="24"/>
        </w:rPr>
        <w:t>Запуск и ритмичная работа ряда ведущих производственных мощностей, простаивающих в I полугодии 2013 года</w:t>
      </w:r>
      <w:r w:rsidR="00DD2973">
        <w:rPr>
          <w:sz w:val="24"/>
          <w:szCs w:val="24"/>
        </w:rPr>
        <w:t>,</w:t>
      </w:r>
      <w:r>
        <w:rPr>
          <w:sz w:val="24"/>
          <w:szCs w:val="24"/>
        </w:rPr>
        <w:t xml:space="preserve"> обусловили восстановление утраченных позиций минувшего года и некоторое улучшение показателей внешнеэкономической деятельности </w:t>
      </w:r>
      <w:r>
        <w:rPr>
          <w:sz w:val="24"/>
          <w:szCs w:val="24"/>
        </w:rPr>
        <w:lastRenderedPageBreak/>
        <w:t>в январе-июне 2014 года. В результате совокупный внешнеторговый оборот хозяйствующих</w:t>
      </w:r>
      <w:r w:rsidRPr="003D0351">
        <w:rPr>
          <w:sz w:val="24"/>
          <w:szCs w:val="24"/>
        </w:rPr>
        <w:t xml:space="preserve"> </w:t>
      </w:r>
      <w:r w:rsidRPr="0014516B">
        <w:rPr>
          <w:sz w:val="24"/>
          <w:szCs w:val="24"/>
        </w:rPr>
        <w:t xml:space="preserve">субъектов республики </w:t>
      </w:r>
      <w:r>
        <w:rPr>
          <w:sz w:val="24"/>
          <w:szCs w:val="24"/>
        </w:rPr>
        <w:t xml:space="preserve">в рассматриваемом периоде превысил базовый показатель января-июня 2013 года на 23,6%, сложившись в сумме </w:t>
      </w:r>
      <w:r w:rsidR="00DD2973">
        <w:rPr>
          <w:sz w:val="24"/>
          <w:szCs w:val="24"/>
        </w:rPr>
        <w:t xml:space="preserve">                                   </w:t>
      </w:r>
      <w:r>
        <w:rPr>
          <w:sz w:val="24"/>
          <w:szCs w:val="24"/>
        </w:rPr>
        <w:t>1 187,6 млн. долл. США.</w:t>
      </w:r>
      <w:r w:rsidRPr="004E7A0F">
        <w:rPr>
          <w:sz w:val="24"/>
          <w:szCs w:val="24"/>
        </w:rPr>
        <w:t xml:space="preserve"> </w:t>
      </w:r>
      <w:r>
        <w:rPr>
          <w:sz w:val="24"/>
          <w:szCs w:val="24"/>
        </w:rPr>
        <w:t>Стоимостной объем</w:t>
      </w:r>
      <w:r w:rsidR="00DD2973">
        <w:rPr>
          <w:sz w:val="24"/>
          <w:szCs w:val="24"/>
        </w:rPr>
        <w:t>,</w:t>
      </w:r>
      <w:r>
        <w:rPr>
          <w:sz w:val="24"/>
          <w:szCs w:val="24"/>
        </w:rPr>
        <w:t xml:space="preserve"> проданной за рубеж</w:t>
      </w:r>
      <w:r w:rsidR="00DD2973">
        <w:rPr>
          <w:sz w:val="24"/>
          <w:szCs w:val="24"/>
        </w:rPr>
        <w:t>,</w:t>
      </w:r>
      <w:r>
        <w:rPr>
          <w:sz w:val="24"/>
          <w:szCs w:val="24"/>
        </w:rPr>
        <w:t xml:space="preserve"> продукции за январь-июнь 2014 года достиг 363,0 млн. долл. США, превысив на 71,4% аналогичный показатель 2013 года. Динамика импортных потоков характеризовал</w:t>
      </w:r>
      <w:r w:rsidR="009346DF">
        <w:rPr>
          <w:sz w:val="24"/>
          <w:szCs w:val="24"/>
        </w:rPr>
        <w:t>а</w:t>
      </w:r>
      <w:r>
        <w:rPr>
          <w:sz w:val="24"/>
          <w:szCs w:val="24"/>
        </w:rPr>
        <w:t>сь более умеренными темпами, расширившись по отношению к сопоставимому показателю 2013 года на 10,1% до</w:t>
      </w:r>
      <w:r w:rsidR="005A5779">
        <w:rPr>
          <w:sz w:val="24"/>
          <w:szCs w:val="24"/>
        </w:rPr>
        <w:t xml:space="preserve">            </w:t>
      </w:r>
      <w:r>
        <w:rPr>
          <w:sz w:val="24"/>
          <w:szCs w:val="24"/>
        </w:rPr>
        <w:t xml:space="preserve"> </w:t>
      </w:r>
      <w:r w:rsidRPr="00470927">
        <w:rPr>
          <w:sz w:val="24"/>
          <w:szCs w:val="24"/>
        </w:rPr>
        <w:t>824,6 млн. долл. США.</w:t>
      </w:r>
      <w:r>
        <w:rPr>
          <w:sz w:val="24"/>
          <w:szCs w:val="24"/>
        </w:rPr>
        <w:t xml:space="preserve"> </w:t>
      </w:r>
    </w:p>
    <w:p w:rsidR="004B6A68" w:rsidRPr="007F7C7C" w:rsidRDefault="004B6A68" w:rsidP="004B6A68">
      <w:pPr>
        <w:spacing w:after="0" w:line="240" w:lineRule="auto"/>
        <w:ind w:firstLine="709"/>
        <w:jc w:val="both"/>
        <w:rPr>
          <w:rFonts w:ascii="Times New Roman" w:hAnsi="Times New Roman"/>
          <w:sz w:val="24"/>
          <w:szCs w:val="24"/>
        </w:rPr>
      </w:pPr>
      <w:r w:rsidRPr="007F7C7C">
        <w:rPr>
          <w:rFonts w:ascii="Times New Roman" w:hAnsi="Times New Roman"/>
          <w:sz w:val="24"/>
          <w:szCs w:val="24"/>
        </w:rPr>
        <w:t>Таким образом, произошло структурное преобразование внешнеторгового оборота с опережающим ростом экспорта, что обеспечило сокращение отрицательного внешнеторгового сальдо (на 70,3 млн. долл. США) до 537,2 млн. долл. США.</w:t>
      </w:r>
    </w:p>
    <w:p w:rsidR="005A5779" w:rsidRDefault="005A5779" w:rsidP="004B6A68">
      <w:pPr>
        <w:pStyle w:val="2"/>
        <w:tabs>
          <w:tab w:val="left" w:pos="7920"/>
        </w:tabs>
        <w:ind w:firstLine="709"/>
        <w:jc w:val="center"/>
        <w:rPr>
          <w:b/>
          <w:sz w:val="24"/>
          <w:szCs w:val="24"/>
        </w:rPr>
      </w:pPr>
    </w:p>
    <w:p w:rsidR="004B6A68" w:rsidRDefault="004B6A68" w:rsidP="004B6A68">
      <w:pPr>
        <w:pStyle w:val="2"/>
        <w:tabs>
          <w:tab w:val="left" w:pos="7920"/>
        </w:tabs>
        <w:ind w:firstLine="709"/>
        <w:jc w:val="center"/>
        <w:rPr>
          <w:b/>
          <w:sz w:val="24"/>
          <w:szCs w:val="24"/>
        </w:rPr>
      </w:pPr>
      <w:r w:rsidRPr="003C1AB0">
        <w:rPr>
          <w:b/>
          <w:sz w:val="24"/>
          <w:szCs w:val="24"/>
        </w:rPr>
        <w:t>Динамика внешнеторгового оборота</w:t>
      </w:r>
    </w:p>
    <w:p w:rsidR="004B6A68" w:rsidRDefault="004B6A68" w:rsidP="004B6A68">
      <w:pPr>
        <w:pStyle w:val="2"/>
        <w:tabs>
          <w:tab w:val="left" w:pos="7920"/>
        </w:tabs>
        <w:ind w:firstLine="709"/>
        <w:jc w:val="center"/>
        <w:rPr>
          <w:b/>
          <w:sz w:val="24"/>
          <w:szCs w:val="24"/>
        </w:rPr>
      </w:pPr>
      <w:r w:rsidRPr="00154A73">
        <w:rPr>
          <w:b/>
          <w:noProof/>
          <w:sz w:val="24"/>
          <w:szCs w:val="24"/>
        </w:rPr>
        <w:drawing>
          <wp:inline distT="0" distB="0" distL="0" distR="0">
            <wp:extent cx="5534025" cy="1752600"/>
            <wp:effectExtent l="0" t="0" r="0" b="0"/>
            <wp:docPr id="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B6A68" w:rsidRDefault="004B6A68" w:rsidP="004B6A68">
      <w:pPr>
        <w:pStyle w:val="2"/>
        <w:tabs>
          <w:tab w:val="left" w:pos="7920"/>
        </w:tabs>
        <w:ind w:firstLine="709"/>
        <w:rPr>
          <w:sz w:val="24"/>
          <w:szCs w:val="24"/>
        </w:rPr>
      </w:pPr>
      <w:r>
        <w:rPr>
          <w:sz w:val="24"/>
          <w:szCs w:val="24"/>
        </w:rPr>
        <w:t xml:space="preserve">Поставки товаров в страны СНГ выросли на 39,9% до 206,1 млн. долл. США, при этом их доля в структуре экспорта сократилась на 12,7 процентных пункта до 56,8%. Большая часть товаров была адресована экономическим агентам Республики Молдова (37,1% совокупного экспорта), России (13,8%), Украины (5,0%). Более чем двукратное </w:t>
      </w:r>
      <w:r w:rsidR="005A5779">
        <w:rPr>
          <w:sz w:val="24"/>
          <w:szCs w:val="24"/>
        </w:rPr>
        <w:t xml:space="preserve">      </w:t>
      </w:r>
      <w:r>
        <w:rPr>
          <w:sz w:val="24"/>
          <w:szCs w:val="24"/>
        </w:rPr>
        <w:t>(в 2,4 раза) наращивание товарных потоков было зафиксировано в направлении стран дальнего зарубежья. Среди них наиболее крупными рынками сбыта готовой продукции являлись такие государства как Польша (13,1%</w:t>
      </w:r>
      <w:r w:rsidRPr="00F00DCB">
        <w:rPr>
          <w:sz w:val="24"/>
          <w:szCs w:val="24"/>
        </w:rPr>
        <w:t xml:space="preserve"> </w:t>
      </w:r>
      <w:r>
        <w:rPr>
          <w:sz w:val="24"/>
          <w:szCs w:val="24"/>
        </w:rPr>
        <w:t xml:space="preserve">совокупного экспорта), Румыния (12,6%), Италия (7,3%), Германия (4,5%). </w:t>
      </w:r>
    </w:p>
    <w:p w:rsidR="004B6A68" w:rsidRDefault="004B6A68" w:rsidP="004B6A68">
      <w:pPr>
        <w:pStyle w:val="2"/>
        <w:tabs>
          <w:tab w:val="left" w:pos="7920"/>
        </w:tabs>
        <w:ind w:firstLine="0"/>
        <w:rPr>
          <w:sz w:val="24"/>
          <w:szCs w:val="24"/>
        </w:rPr>
      </w:pPr>
      <w:r>
        <w:rPr>
          <w:noProof/>
        </w:rPr>
        <w:drawing>
          <wp:inline distT="0" distB="0" distL="0" distR="0">
            <wp:extent cx="6029325" cy="3333750"/>
            <wp:effectExtent l="0" t="0" r="0" b="0"/>
            <wp:docPr id="3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B6A68" w:rsidRDefault="004B6A68" w:rsidP="004B6A68">
      <w:pPr>
        <w:pStyle w:val="a4"/>
      </w:pPr>
      <w:r>
        <w:t>Товарная структура экспорта, на фоне низких базовых показателей предыдущего года в январе-июне текущего года, характеризовалась следующим образом:</w:t>
      </w:r>
    </w:p>
    <w:p w:rsidR="004B6A68" w:rsidRDefault="004B6A68" w:rsidP="004B6A68">
      <w:pPr>
        <w:pStyle w:val="a4"/>
        <w:jc w:val="center"/>
        <w:rPr>
          <w:b/>
        </w:rPr>
      </w:pPr>
      <w:r w:rsidRPr="00D25308">
        <w:rPr>
          <w:b/>
        </w:rPr>
        <w:lastRenderedPageBreak/>
        <w:t>Товарная структура экспорта</w:t>
      </w:r>
      <w:r>
        <w:rPr>
          <w:b/>
        </w:rPr>
        <w:t>, млн. долл. США</w:t>
      </w:r>
    </w:p>
    <w:p w:rsidR="004B6A68" w:rsidRPr="000330C0" w:rsidRDefault="004B6A68" w:rsidP="004B6A68">
      <w:pPr>
        <w:pStyle w:val="a4"/>
        <w:ind w:firstLine="0"/>
        <w:jc w:val="center"/>
        <w:rPr>
          <w:b/>
        </w:rPr>
      </w:pPr>
      <w:r w:rsidRPr="000330C0">
        <w:rPr>
          <w:b/>
          <w:noProof/>
        </w:rPr>
        <w:drawing>
          <wp:inline distT="0" distB="0" distL="0" distR="0">
            <wp:extent cx="5934075" cy="2390775"/>
            <wp:effectExtent l="0" t="0" r="0" b="0"/>
            <wp:docPr id="35"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B6A68" w:rsidRPr="009B1464" w:rsidRDefault="004B6A68" w:rsidP="004B6A68">
      <w:pPr>
        <w:spacing w:after="0" w:line="240" w:lineRule="auto"/>
        <w:ind w:firstLine="709"/>
        <w:jc w:val="both"/>
        <w:rPr>
          <w:rFonts w:ascii="Times New Roman" w:hAnsi="Times New Roman"/>
          <w:sz w:val="24"/>
          <w:szCs w:val="24"/>
        </w:rPr>
      </w:pPr>
      <w:r w:rsidRPr="009B1464">
        <w:rPr>
          <w:rFonts w:ascii="Times New Roman" w:hAnsi="Times New Roman"/>
          <w:sz w:val="24"/>
          <w:szCs w:val="24"/>
        </w:rPr>
        <w:t>Повышательный тренд показателей внешней торговли и в частности экспорта товаров главным образом задавался возобновлением производственного процесса на</w:t>
      </w:r>
      <w:r>
        <w:rPr>
          <w:rFonts w:ascii="Times New Roman" w:hAnsi="Times New Roman"/>
          <w:sz w:val="24"/>
          <w:szCs w:val="24"/>
        </w:rPr>
        <w:t xml:space="preserve">                    </w:t>
      </w:r>
      <w:r w:rsidRPr="009B1464">
        <w:rPr>
          <w:rFonts w:ascii="Times New Roman" w:hAnsi="Times New Roman"/>
          <w:sz w:val="24"/>
          <w:szCs w:val="24"/>
        </w:rPr>
        <w:t xml:space="preserve"> ОАО «Молдавский металлургический завод», что обусловило наращивание экспорта металлов и изделий из них в 13,8 раз</w:t>
      </w:r>
      <w:r>
        <w:rPr>
          <w:rFonts w:ascii="Times New Roman" w:hAnsi="Times New Roman"/>
          <w:sz w:val="24"/>
          <w:szCs w:val="24"/>
        </w:rPr>
        <w:t>а</w:t>
      </w:r>
      <w:r w:rsidR="00815F10">
        <w:rPr>
          <w:rFonts w:ascii="Times New Roman" w:hAnsi="Times New Roman"/>
          <w:sz w:val="24"/>
          <w:szCs w:val="24"/>
        </w:rPr>
        <w:t xml:space="preserve"> до 124,8 млн. долл. США,</w:t>
      </w:r>
      <w:r>
        <w:rPr>
          <w:rFonts w:ascii="Times New Roman" w:hAnsi="Times New Roman"/>
          <w:sz w:val="24"/>
          <w:szCs w:val="24"/>
        </w:rPr>
        <w:t xml:space="preserve"> и</w:t>
      </w:r>
      <w:r w:rsidRPr="009B1464">
        <w:rPr>
          <w:rFonts w:ascii="Times New Roman" w:hAnsi="Times New Roman"/>
          <w:sz w:val="24"/>
          <w:szCs w:val="24"/>
        </w:rPr>
        <w:t xml:space="preserve"> обеспечило более трети (34,4%) совокупного экспорта из республики. </w:t>
      </w:r>
      <w:r w:rsidRPr="000F3BBA">
        <w:rPr>
          <w:rFonts w:ascii="Times New Roman" w:hAnsi="Times New Roman"/>
          <w:sz w:val="24"/>
          <w:szCs w:val="24"/>
        </w:rPr>
        <w:t xml:space="preserve">Преобладавшие на протяжении длительного времени поставки в Россию, в рассматриваемом периоде сменились </w:t>
      </w:r>
      <w:r w:rsidR="00815F10">
        <w:rPr>
          <w:rFonts w:ascii="Times New Roman" w:hAnsi="Times New Roman"/>
          <w:sz w:val="24"/>
          <w:szCs w:val="24"/>
        </w:rPr>
        <w:t xml:space="preserve">поставками данной группы товаров </w:t>
      </w:r>
      <w:r w:rsidRPr="000F3BBA">
        <w:rPr>
          <w:rFonts w:ascii="Times New Roman" w:hAnsi="Times New Roman"/>
          <w:sz w:val="24"/>
          <w:szCs w:val="24"/>
        </w:rPr>
        <w:t>в Польшу</w:t>
      </w:r>
      <w:r w:rsidR="00815F10">
        <w:rPr>
          <w:rFonts w:ascii="Times New Roman" w:hAnsi="Times New Roman"/>
          <w:sz w:val="24"/>
          <w:szCs w:val="24"/>
        </w:rPr>
        <w:t xml:space="preserve"> (36,9% от общего экспорта)</w:t>
      </w:r>
      <w:r w:rsidRPr="000F3BBA">
        <w:rPr>
          <w:rFonts w:ascii="Times New Roman" w:hAnsi="Times New Roman"/>
          <w:sz w:val="24"/>
          <w:szCs w:val="24"/>
        </w:rPr>
        <w:t xml:space="preserve"> и Румынию </w:t>
      </w:r>
      <w:r w:rsidR="00815F10">
        <w:rPr>
          <w:rFonts w:ascii="Times New Roman" w:hAnsi="Times New Roman"/>
          <w:sz w:val="24"/>
          <w:szCs w:val="24"/>
        </w:rPr>
        <w:t>(30,7% от общего экспорта).</w:t>
      </w:r>
    </w:p>
    <w:p w:rsidR="004B6A68" w:rsidRDefault="004B6A68" w:rsidP="004B6A68">
      <w:pPr>
        <w:spacing w:after="0" w:line="240" w:lineRule="auto"/>
        <w:ind w:firstLine="709"/>
        <w:jc w:val="right"/>
        <w:rPr>
          <w:rFonts w:ascii="Times New Roman" w:hAnsi="Times New Roman"/>
          <w:sz w:val="24"/>
          <w:szCs w:val="24"/>
        </w:rPr>
      </w:pPr>
      <w:r>
        <w:rPr>
          <w:rFonts w:ascii="Times New Roman" w:hAnsi="Times New Roman"/>
          <w:sz w:val="24"/>
          <w:szCs w:val="24"/>
        </w:rPr>
        <w:t>Та</w:t>
      </w:r>
      <w:r w:rsidR="005A5779">
        <w:rPr>
          <w:rFonts w:ascii="Times New Roman" w:hAnsi="Times New Roman"/>
          <w:sz w:val="24"/>
          <w:szCs w:val="24"/>
        </w:rPr>
        <w:t>блица № 11</w:t>
      </w:r>
    </w:p>
    <w:p w:rsidR="004B6A68" w:rsidRPr="00C07037" w:rsidRDefault="004B6A68" w:rsidP="004B6A68">
      <w:pPr>
        <w:pStyle w:val="2"/>
        <w:widowControl/>
        <w:jc w:val="center"/>
        <w:rPr>
          <w:b/>
          <w:sz w:val="24"/>
          <w:szCs w:val="24"/>
        </w:rPr>
      </w:pPr>
      <w:r w:rsidRPr="00C07037">
        <w:rPr>
          <w:b/>
          <w:sz w:val="24"/>
          <w:szCs w:val="24"/>
        </w:rPr>
        <w:t xml:space="preserve">Показатели </w:t>
      </w:r>
      <w:r>
        <w:rPr>
          <w:b/>
          <w:sz w:val="24"/>
          <w:szCs w:val="24"/>
        </w:rPr>
        <w:t xml:space="preserve">экспорта </w:t>
      </w:r>
      <w:r w:rsidRPr="00C07037">
        <w:rPr>
          <w:b/>
          <w:sz w:val="24"/>
          <w:szCs w:val="24"/>
        </w:rPr>
        <w:t xml:space="preserve">по </w:t>
      </w:r>
      <w:r>
        <w:rPr>
          <w:b/>
          <w:sz w:val="24"/>
          <w:szCs w:val="24"/>
        </w:rPr>
        <w:t>группе</w:t>
      </w:r>
      <w:r w:rsidRPr="00C07037">
        <w:rPr>
          <w:b/>
          <w:sz w:val="24"/>
          <w:szCs w:val="24"/>
        </w:rPr>
        <w:t xml:space="preserve"> </w:t>
      </w:r>
    </w:p>
    <w:p w:rsidR="004B6A68" w:rsidRDefault="004B6A68" w:rsidP="004B6A68">
      <w:pPr>
        <w:pStyle w:val="2"/>
        <w:widowControl/>
        <w:ind w:firstLine="709"/>
        <w:jc w:val="center"/>
        <w:rPr>
          <w:sz w:val="24"/>
          <w:szCs w:val="24"/>
        </w:rPr>
      </w:pPr>
      <w:r w:rsidRPr="00C07037">
        <w:rPr>
          <w:b/>
          <w:sz w:val="24"/>
          <w:szCs w:val="24"/>
        </w:rPr>
        <w:t>«</w:t>
      </w:r>
      <w:r>
        <w:rPr>
          <w:b/>
          <w:sz w:val="24"/>
          <w:szCs w:val="24"/>
        </w:rPr>
        <w:t>Металлы и изделия из них</w:t>
      </w:r>
      <w:r w:rsidRPr="00C07037">
        <w:rPr>
          <w:b/>
          <w:sz w:val="24"/>
          <w:szCs w:val="24"/>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1413"/>
        <w:gridCol w:w="1462"/>
        <w:gridCol w:w="1504"/>
        <w:gridCol w:w="1481"/>
        <w:gridCol w:w="1652"/>
      </w:tblGrid>
      <w:tr w:rsidR="004B6A68" w:rsidRPr="005A5779" w:rsidTr="004B6A68">
        <w:trPr>
          <w:trHeight w:val="561"/>
        </w:trPr>
        <w:tc>
          <w:tcPr>
            <w:tcW w:w="2235" w:type="dxa"/>
            <w:vMerge w:val="restart"/>
            <w:vAlign w:val="center"/>
          </w:tcPr>
          <w:p w:rsidR="004B6A68" w:rsidRPr="005A5779" w:rsidRDefault="004B6A68" w:rsidP="004B6A68">
            <w:pPr>
              <w:pStyle w:val="2"/>
              <w:widowControl/>
              <w:ind w:firstLine="0"/>
              <w:jc w:val="center"/>
              <w:rPr>
                <w:sz w:val="21"/>
                <w:szCs w:val="21"/>
              </w:rPr>
            </w:pPr>
            <w:r w:rsidRPr="005A5779">
              <w:rPr>
                <w:sz w:val="21"/>
                <w:szCs w:val="21"/>
              </w:rPr>
              <w:t>Наименование товарной группы</w:t>
            </w:r>
          </w:p>
        </w:tc>
        <w:tc>
          <w:tcPr>
            <w:tcW w:w="2875" w:type="dxa"/>
            <w:gridSpan w:val="2"/>
          </w:tcPr>
          <w:p w:rsidR="004B6A68" w:rsidRPr="005A5779" w:rsidRDefault="004B6A68" w:rsidP="004B6A68">
            <w:pPr>
              <w:spacing w:after="0"/>
              <w:jc w:val="center"/>
              <w:rPr>
                <w:rFonts w:ascii="Times New Roman" w:hAnsi="Times New Roman"/>
                <w:sz w:val="21"/>
                <w:szCs w:val="21"/>
              </w:rPr>
            </w:pPr>
            <w:r w:rsidRPr="005A5779">
              <w:rPr>
                <w:rFonts w:ascii="Times New Roman" w:hAnsi="Times New Roman"/>
                <w:sz w:val="21"/>
                <w:szCs w:val="21"/>
              </w:rPr>
              <w:t>Уд. вес. в стоимостной структуре, %</w:t>
            </w:r>
          </w:p>
        </w:tc>
        <w:tc>
          <w:tcPr>
            <w:tcW w:w="2985" w:type="dxa"/>
            <w:gridSpan w:val="2"/>
          </w:tcPr>
          <w:p w:rsidR="004B6A68" w:rsidRPr="005A5779" w:rsidRDefault="004B6A68" w:rsidP="004B6A68">
            <w:pPr>
              <w:pStyle w:val="2"/>
              <w:widowControl/>
              <w:ind w:firstLine="0"/>
              <w:jc w:val="center"/>
              <w:rPr>
                <w:bCs/>
                <w:sz w:val="21"/>
                <w:szCs w:val="21"/>
              </w:rPr>
            </w:pPr>
            <w:r w:rsidRPr="005A5779">
              <w:rPr>
                <w:bCs/>
                <w:sz w:val="21"/>
                <w:szCs w:val="21"/>
              </w:rPr>
              <w:t>Фактическая стоимость, тыс. долл. США</w:t>
            </w:r>
          </w:p>
        </w:tc>
        <w:tc>
          <w:tcPr>
            <w:tcW w:w="1652" w:type="dxa"/>
            <w:vMerge w:val="restart"/>
          </w:tcPr>
          <w:p w:rsidR="004B6A68" w:rsidRPr="005A5779" w:rsidRDefault="004B6A68" w:rsidP="004B6A68">
            <w:pPr>
              <w:pStyle w:val="2"/>
              <w:widowControl/>
              <w:ind w:firstLine="0"/>
              <w:jc w:val="center"/>
              <w:rPr>
                <w:bCs/>
                <w:sz w:val="21"/>
                <w:szCs w:val="21"/>
              </w:rPr>
            </w:pPr>
            <w:r w:rsidRPr="005A5779">
              <w:rPr>
                <w:bCs/>
                <w:sz w:val="21"/>
                <w:szCs w:val="21"/>
              </w:rPr>
              <w:t>Темп роста январь-июнь 2014 г. к</w:t>
            </w:r>
          </w:p>
          <w:p w:rsidR="004B6A68" w:rsidRPr="005A5779" w:rsidRDefault="004B6A68" w:rsidP="004B6A68">
            <w:pPr>
              <w:pStyle w:val="2"/>
              <w:widowControl/>
              <w:ind w:firstLine="0"/>
              <w:jc w:val="center"/>
              <w:rPr>
                <w:sz w:val="21"/>
                <w:szCs w:val="21"/>
              </w:rPr>
            </w:pPr>
            <w:r w:rsidRPr="005A5779">
              <w:rPr>
                <w:bCs/>
                <w:sz w:val="21"/>
                <w:szCs w:val="21"/>
              </w:rPr>
              <w:t>январю-июню 2013 г., %</w:t>
            </w:r>
          </w:p>
        </w:tc>
      </w:tr>
      <w:tr w:rsidR="004B6A68" w:rsidRPr="005A5779" w:rsidTr="004B6A68">
        <w:trPr>
          <w:trHeight w:val="289"/>
        </w:trPr>
        <w:tc>
          <w:tcPr>
            <w:tcW w:w="2235" w:type="dxa"/>
            <w:vMerge/>
          </w:tcPr>
          <w:p w:rsidR="004B6A68" w:rsidRPr="005A5779" w:rsidRDefault="004B6A68" w:rsidP="004B6A68">
            <w:pPr>
              <w:pStyle w:val="2"/>
              <w:widowControl/>
              <w:ind w:firstLine="0"/>
              <w:rPr>
                <w:sz w:val="21"/>
                <w:szCs w:val="21"/>
              </w:rPr>
            </w:pPr>
          </w:p>
        </w:tc>
        <w:tc>
          <w:tcPr>
            <w:tcW w:w="1413" w:type="dxa"/>
            <w:vAlign w:val="center"/>
          </w:tcPr>
          <w:p w:rsidR="004B6A68" w:rsidRPr="005A5779" w:rsidRDefault="004B6A68" w:rsidP="004B6A68">
            <w:pPr>
              <w:pStyle w:val="2"/>
              <w:widowControl/>
              <w:ind w:left="-108" w:right="-108" w:firstLine="0"/>
              <w:jc w:val="center"/>
              <w:rPr>
                <w:sz w:val="21"/>
                <w:szCs w:val="21"/>
              </w:rPr>
            </w:pPr>
            <w:r w:rsidRPr="005A5779">
              <w:rPr>
                <w:sz w:val="21"/>
                <w:szCs w:val="21"/>
              </w:rPr>
              <w:t>январь-июнь 2013 г.</w:t>
            </w:r>
          </w:p>
        </w:tc>
        <w:tc>
          <w:tcPr>
            <w:tcW w:w="1462" w:type="dxa"/>
            <w:vAlign w:val="center"/>
          </w:tcPr>
          <w:p w:rsidR="004B6A68" w:rsidRPr="005A5779" w:rsidRDefault="004B6A68" w:rsidP="004B6A68">
            <w:pPr>
              <w:pStyle w:val="2"/>
              <w:widowControl/>
              <w:ind w:left="-108" w:right="-108" w:firstLine="0"/>
              <w:jc w:val="center"/>
              <w:rPr>
                <w:sz w:val="21"/>
                <w:szCs w:val="21"/>
              </w:rPr>
            </w:pPr>
            <w:r w:rsidRPr="005A5779">
              <w:rPr>
                <w:sz w:val="21"/>
                <w:szCs w:val="21"/>
              </w:rPr>
              <w:t>январь-июнь 2014 г.</w:t>
            </w:r>
          </w:p>
        </w:tc>
        <w:tc>
          <w:tcPr>
            <w:tcW w:w="1504" w:type="dxa"/>
            <w:vAlign w:val="center"/>
          </w:tcPr>
          <w:p w:rsidR="004B6A68" w:rsidRPr="005A5779" w:rsidRDefault="004B6A68" w:rsidP="004B6A68">
            <w:pPr>
              <w:pStyle w:val="2"/>
              <w:widowControl/>
              <w:ind w:left="-108" w:right="-108" w:firstLine="0"/>
              <w:jc w:val="center"/>
              <w:rPr>
                <w:sz w:val="21"/>
                <w:szCs w:val="21"/>
              </w:rPr>
            </w:pPr>
            <w:r w:rsidRPr="005A5779">
              <w:rPr>
                <w:sz w:val="21"/>
                <w:szCs w:val="21"/>
              </w:rPr>
              <w:t>январь-июнь 2013 г.</w:t>
            </w:r>
          </w:p>
        </w:tc>
        <w:tc>
          <w:tcPr>
            <w:tcW w:w="1481" w:type="dxa"/>
            <w:vAlign w:val="center"/>
          </w:tcPr>
          <w:p w:rsidR="004B6A68" w:rsidRPr="005A5779" w:rsidRDefault="004B6A68" w:rsidP="004B6A68">
            <w:pPr>
              <w:pStyle w:val="2"/>
              <w:widowControl/>
              <w:ind w:left="-108" w:right="-108" w:firstLine="0"/>
              <w:jc w:val="center"/>
              <w:rPr>
                <w:sz w:val="21"/>
                <w:szCs w:val="21"/>
              </w:rPr>
            </w:pPr>
            <w:r w:rsidRPr="005A5779">
              <w:rPr>
                <w:sz w:val="21"/>
                <w:szCs w:val="21"/>
              </w:rPr>
              <w:t>январь-июнь 2014 г.</w:t>
            </w:r>
          </w:p>
        </w:tc>
        <w:tc>
          <w:tcPr>
            <w:tcW w:w="1652" w:type="dxa"/>
            <w:vMerge/>
          </w:tcPr>
          <w:p w:rsidR="004B6A68" w:rsidRPr="005A5779" w:rsidRDefault="004B6A68" w:rsidP="004B6A68">
            <w:pPr>
              <w:pStyle w:val="2"/>
              <w:widowControl/>
              <w:ind w:firstLine="0"/>
              <w:jc w:val="center"/>
              <w:rPr>
                <w:sz w:val="21"/>
                <w:szCs w:val="21"/>
              </w:rPr>
            </w:pPr>
          </w:p>
        </w:tc>
      </w:tr>
      <w:tr w:rsidR="004B6A68" w:rsidRPr="005A5779" w:rsidTr="004B6A68">
        <w:trPr>
          <w:trHeight w:val="289"/>
        </w:trPr>
        <w:tc>
          <w:tcPr>
            <w:tcW w:w="2235" w:type="dxa"/>
            <w:vAlign w:val="bottom"/>
          </w:tcPr>
          <w:p w:rsidR="004B6A68" w:rsidRPr="005A5779" w:rsidRDefault="004B6A68" w:rsidP="004B6A68">
            <w:pPr>
              <w:pStyle w:val="2"/>
              <w:widowControl/>
              <w:ind w:firstLine="0"/>
              <w:jc w:val="left"/>
              <w:rPr>
                <w:b/>
                <w:sz w:val="21"/>
                <w:szCs w:val="21"/>
              </w:rPr>
            </w:pPr>
            <w:r w:rsidRPr="005A5779">
              <w:rPr>
                <w:b/>
                <w:sz w:val="21"/>
                <w:szCs w:val="21"/>
              </w:rPr>
              <w:t>Металлы и изделия из них, всего</w:t>
            </w:r>
            <w:r w:rsidRPr="005A5779">
              <w:rPr>
                <w:i/>
                <w:sz w:val="21"/>
                <w:szCs w:val="21"/>
              </w:rPr>
              <w:t xml:space="preserve"> </w:t>
            </w:r>
          </w:p>
        </w:tc>
        <w:tc>
          <w:tcPr>
            <w:tcW w:w="1413" w:type="dxa"/>
            <w:vAlign w:val="center"/>
          </w:tcPr>
          <w:p w:rsidR="004B6A68" w:rsidRPr="005A5779" w:rsidRDefault="004B6A68" w:rsidP="004B6A68">
            <w:pPr>
              <w:pStyle w:val="2"/>
              <w:widowControl/>
              <w:ind w:firstLine="0"/>
              <w:jc w:val="center"/>
              <w:rPr>
                <w:b/>
                <w:sz w:val="21"/>
                <w:szCs w:val="21"/>
              </w:rPr>
            </w:pPr>
            <w:r w:rsidRPr="005A5779">
              <w:rPr>
                <w:b/>
                <w:sz w:val="21"/>
                <w:szCs w:val="21"/>
              </w:rPr>
              <w:t>4,27</w:t>
            </w:r>
          </w:p>
        </w:tc>
        <w:tc>
          <w:tcPr>
            <w:tcW w:w="1462" w:type="dxa"/>
            <w:vAlign w:val="center"/>
          </w:tcPr>
          <w:p w:rsidR="004B6A68" w:rsidRPr="005A5779" w:rsidRDefault="004B6A68" w:rsidP="004B6A68">
            <w:pPr>
              <w:pStyle w:val="2"/>
              <w:widowControl/>
              <w:ind w:firstLine="0"/>
              <w:jc w:val="center"/>
              <w:rPr>
                <w:b/>
                <w:sz w:val="21"/>
                <w:szCs w:val="21"/>
              </w:rPr>
            </w:pPr>
            <w:r w:rsidRPr="005A5779">
              <w:rPr>
                <w:b/>
                <w:sz w:val="21"/>
                <w:szCs w:val="21"/>
              </w:rPr>
              <w:t>34,39</w:t>
            </w:r>
          </w:p>
        </w:tc>
        <w:tc>
          <w:tcPr>
            <w:tcW w:w="1504" w:type="dxa"/>
            <w:vAlign w:val="center"/>
          </w:tcPr>
          <w:p w:rsidR="004B6A68" w:rsidRPr="005A5779" w:rsidRDefault="004B6A68" w:rsidP="004B6A68">
            <w:pPr>
              <w:pStyle w:val="2"/>
              <w:widowControl/>
              <w:ind w:firstLine="0"/>
              <w:jc w:val="center"/>
              <w:rPr>
                <w:b/>
                <w:sz w:val="21"/>
                <w:szCs w:val="21"/>
              </w:rPr>
            </w:pPr>
            <w:r w:rsidRPr="005A5779">
              <w:rPr>
                <w:b/>
                <w:sz w:val="21"/>
                <w:szCs w:val="21"/>
              </w:rPr>
              <w:t>9 046,5</w:t>
            </w:r>
          </w:p>
        </w:tc>
        <w:tc>
          <w:tcPr>
            <w:tcW w:w="1481" w:type="dxa"/>
            <w:vAlign w:val="center"/>
          </w:tcPr>
          <w:p w:rsidR="004B6A68" w:rsidRPr="005A5779" w:rsidRDefault="004B6A68" w:rsidP="004B6A68">
            <w:pPr>
              <w:pStyle w:val="2"/>
              <w:widowControl/>
              <w:ind w:firstLine="0"/>
              <w:jc w:val="center"/>
              <w:rPr>
                <w:b/>
                <w:sz w:val="21"/>
                <w:szCs w:val="21"/>
              </w:rPr>
            </w:pPr>
            <w:r w:rsidRPr="005A5779">
              <w:rPr>
                <w:b/>
                <w:sz w:val="21"/>
                <w:szCs w:val="21"/>
              </w:rPr>
              <w:t>124 815,3</w:t>
            </w:r>
          </w:p>
        </w:tc>
        <w:tc>
          <w:tcPr>
            <w:tcW w:w="1652" w:type="dxa"/>
            <w:vAlign w:val="center"/>
          </w:tcPr>
          <w:p w:rsidR="004B6A68" w:rsidRPr="005A5779" w:rsidRDefault="004B6A68" w:rsidP="004B6A68">
            <w:pPr>
              <w:pStyle w:val="2"/>
              <w:widowControl/>
              <w:ind w:firstLine="0"/>
              <w:jc w:val="center"/>
              <w:rPr>
                <w:b/>
                <w:sz w:val="21"/>
                <w:szCs w:val="21"/>
              </w:rPr>
            </w:pPr>
            <w:r w:rsidRPr="005A5779">
              <w:rPr>
                <w:b/>
                <w:sz w:val="21"/>
                <w:szCs w:val="21"/>
              </w:rPr>
              <w:t>в 13,8 раз</w:t>
            </w:r>
          </w:p>
        </w:tc>
      </w:tr>
      <w:tr w:rsidR="004B6A68" w:rsidRPr="005A5779" w:rsidTr="004B6A68">
        <w:trPr>
          <w:trHeight w:val="273"/>
        </w:trPr>
        <w:tc>
          <w:tcPr>
            <w:tcW w:w="2235" w:type="dxa"/>
          </w:tcPr>
          <w:p w:rsidR="004B6A68" w:rsidRPr="005A5779" w:rsidRDefault="004B6A68" w:rsidP="004B6A68">
            <w:pPr>
              <w:pStyle w:val="2"/>
              <w:widowControl/>
              <w:ind w:firstLine="0"/>
              <w:rPr>
                <w:sz w:val="21"/>
                <w:szCs w:val="21"/>
              </w:rPr>
            </w:pPr>
            <w:r w:rsidRPr="005A5779">
              <w:rPr>
                <w:i/>
                <w:sz w:val="21"/>
                <w:szCs w:val="21"/>
              </w:rPr>
              <w:t>в т. ч.</w:t>
            </w:r>
          </w:p>
        </w:tc>
        <w:tc>
          <w:tcPr>
            <w:tcW w:w="1413" w:type="dxa"/>
            <w:vAlign w:val="center"/>
          </w:tcPr>
          <w:p w:rsidR="004B6A68" w:rsidRPr="005A5779" w:rsidRDefault="004B6A68" w:rsidP="004B6A68">
            <w:pPr>
              <w:pStyle w:val="2"/>
              <w:widowControl/>
              <w:ind w:firstLine="0"/>
              <w:jc w:val="center"/>
              <w:rPr>
                <w:sz w:val="21"/>
                <w:szCs w:val="21"/>
              </w:rPr>
            </w:pPr>
          </w:p>
        </w:tc>
        <w:tc>
          <w:tcPr>
            <w:tcW w:w="1462" w:type="dxa"/>
            <w:vAlign w:val="center"/>
          </w:tcPr>
          <w:p w:rsidR="004B6A68" w:rsidRPr="005A5779" w:rsidRDefault="004B6A68" w:rsidP="004B6A68">
            <w:pPr>
              <w:pStyle w:val="2"/>
              <w:widowControl/>
              <w:ind w:firstLine="0"/>
              <w:jc w:val="center"/>
              <w:rPr>
                <w:sz w:val="21"/>
                <w:szCs w:val="21"/>
              </w:rPr>
            </w:pPr>
          </w:p>
        </w:tc>
        <w:tc>
          <w:tcPr>
            <w:tcW w:w="1504" w:type="dxa"/>
            <w:vAlign w:val="center"/>
          </w:tcPr>
          <w:p w:rsidR="004B6A68" w:rsidRPr="005A5779" w:rsidRDefault="004B6A68" w:rsidP="004B6A68">
            <w:pPr>
              <w:pStyle w:val="2"/>
              <w:widowControl/>
              <w:ind w:firstLine="0"/>
              <w:jc w:val="center"/>
              <w:rPr>
                <w:sz w:val="21"/>
                <w:szCs w:val="21"/>
              </w:rPr>
            </w:pPr>
          </w:p>
        </w:tc>
        <w:tc>
          <w:tcPr>
            <w:tcW w:w="1481" w:type="dxa"/>
            <w:vAlign w:val="center"/>
          </w:tcPr>
          <w:p w:rsidR="004B6A68" w:rsidRPr="005A5779" w:rsidRDefault="004B6A68" w:rsidP="004B6A68">
            <w:pPr>
              <w:pStyle w:val="2"/>
              <w:widowControl/>
              <w:ind w:firstLine="0"/>
              <w:jc w:val="center"/>
              <w:rPr>
                <w:sz w:val="21"/>
                <w:szCs w:val="21"/>
              </w:rPr>
            </w:pPr>
          </w:p>
        </w:tc>
        <w:tc>
          <w:tcPr>
            <w:tcW w:w="1652" w:type="dxa"/>
            <w:vAlign w:val="center"/>
          </w:tcPr>
          <w:p w:rsidR="004B6A68" w:rsidRPr="005A5779" w:rsidRDefault="004B6A68" w:rsidP="004B6A68">
            <w:pPr>
              <w:pStyle w:val="2"/>
              <w:widowControl/>
              <w:ind w:firstLine="0"/>
              <w:jc w:val="center"/>
              <w:rPr>
                <w:sz w:val="21"/>
                <w:szCs w:val="21"/>
              </w:rPr>
            </w:pPr>
          </w:p>
        </w:tc>
      </w:tr>
      <w:tr w:rsidR="004B6A68" w:rsidRPr="005A5779" w:rsidTr="004B6A68">
        <w:trPr>
          <w:trHeight w:val="273"/>
        </w:trPr>
        <w:tc>
          <w:tcPr>
            <w:tcW w:w="2235" w:type="dxa"/>
          </w:tcPr>
          <w:p w:rsidR="004B6A68" w:rsidRPr="005A5779" w:rsidRDefault="004B6A68" w:rsidP="004B6A68">
            <w:pPr>
              <w:pStyle w:val="2"/>
              <w:widowControl/>
              <w:ind w:firstLine="0"/>
              <w:rPr>
                <w:sz w:val="21"/>
                <w:szCs w:val="21"/>
              </w:rPr>
            </w:pPr>
            <w:r w:rsidRPr="005A5779">
              <w:rPr>
                <w:sz w:val="21"/>
                <w:szCs w:val="21"/>
              </w:rPr>
              <w:t xml:space="preserve">Черные металлы </w:t>
            </w:r>
          </w:p>
        </w:tc>
        <w:tc>
          <w:tcPr>
            <w:tcW w:w="1413" w:type="dxa"/>
            <w:vAlign w:val="center"/>
          </w:tcPr>
          <w:p w:rsidR="004B6A68" w:rsidRPr="005A5779" w:rsidRDefault="004B6A68" w:rsidP="004B6A68">
            <w:pPr>
              <w:pStyle w:val="2"/>
              <w:widowControl/>
              <w:ind w:firstLine="0"/>
              <w:jc w:val="center"/>
              <w:rPr>
                <w:sz w:val="21"/>
                <w:szCs w:val="21"/>
              </w:rPr>
            </w:pPr>
            <w:r w:rsidRPr="005A5779">
              <w:rPr>
                <w:sz w:val="21"/>
                <w:szCs w:val="21"/>
              </w:rPr>
              <w:t>0,53</w:t>
            </w:r>
          </w:p>
        </w:tc>
        <w:tc>
          <w:tcPr>
            <w:tcW w:w="1462" w:type="dxa"/>
            <w:vAlign w:val="center"/>
          </w:tcPr>
          <w:p w:rsidR="004B6A68" w:rsidRPr="005A5779" w:rsidRDefault="004B6A68" w:rsidP="004B6A68">
            <w:pPr>
              <w:pStyle w:val="2"/>
              <w:widowControl/>
              <w:ind w:firstLine="0"/>
              <w:jc w:val="center"/>
              <w:rPr>
                <w:sz w:val="21"/>
                <w:szCs w:val="21"/>
              </w:rPr>
            </w:pPr>
            <w:r w:rsidRPr="005A5779">
              <w:rPr>
                <w:sz w:val="21"/>
                <w:szCs w:val="21"/>
              </w:rPr>
              <w:t>32,33</w:t>
            </w:r>
          </w:p>
        </w:tc>
        <w:tc>
          <w:tcPr>
            <w:tcW w:w="1504" w:type="dxa"/>
            <w:vAlign w:val="center"/>
          </w:tcPr>
          <w:p w:rsidR="004B6A68" w:rsidRPr="005A5779" w:rsidRDefault="004B6A68" w:rsidP="004B6A68">
            <w:pPr>
              <w:pStyle w:val="2"/>
              <w:widowControl/>
              <w:ind w:firstLine="0"/>
              <w:jc w:val="center"/>
              <w:rPr>
                <w:sz w:val="21"/>
                <w:szCs w:val="21"/>
              </w:rPr>
            </w:pPr>
            <w:r w:rsidRPr="005A5779">
              <w:rPr>
                <w:sz w:val="21"/>
                <w:szCs w:val="21"/>
              </w:rPr>
              <w:t>1 121,2</w:t>
            </w:r>
          </w:p>
        </w:tc>
        <w:tc>
          <w:tcPr>
            <w:tcW w:w="1481" w:type="dxa"/>
            <w:vAlign w:val="center"/>
          </w:tcPr>
          <w:p w:rsidR="004B6A68" w:rsidRPr="005A5779" w:rsidRDefault="004B6A68" w:rsidP="004B6A68">
            <w:pPr>
              <w:pStyle w:val="2"/>
              <w:widowControl/>
              <w:ind w:firstLine="0"/>
              <w:jc w:val="center"/>
              <w:rPr>
                <w:sz w:val="21"/>
                <w:szCs w:val="21"/>
              </w:rPr>
            </w:pPr>
            <w:r w:rsidRPr="005A5779">
              <w:rPr>
                <w:sz w:val="21"/>
                <w:szCs w:val="21"/>
              </w:rPr>
              <w:t>117 347,6</w:t>
            </w:r>
          </w:p>
        </w:tc>
        <w:tc>
          <w:tcPr>
            <w:tcW w:w="1652" w:type="dxa"/>
            <w:vAlign w:val="center"/>
          </w:tcPr>
          <w:p w:rsidR="004B6A68" w:rsidRPr="005A5779" w:rsidRDefault="004B6A68" w:rsidP="004B6A68">
            <w:pPr>
              <w:pStyle w:val="2"/>
              <w:widowControl/>
              <w:ind w:firstLine="0"/>
              <w:jc w:val="center"/>
              <w:rPr>
                <w:sz w:val="21"/>
                <w:szCs w:val="21"/>
              </w:rPr>
            </w:pPr>
            <w:r w:rsidRPr="005A5779">
              <w:rPr>
                <w:sz w:val="21"/>
                <w:szCs w:val="21"/>
              </w:rPr>
              <w:t>в 10,5 раз</w:t>
            </w:r>
          </w:p>
        </w:tc>
      </w:tr>
      <w:tr w:rsidR="004B6A68" w:rsidRPr="005A5779" w:rsidTr="004B6A68">
        <w:trPr>
          <w:trHeight w:val="562"/>
        </w:trPr>
        <w:tc>
          <w:tcPr>
            <w:tcW w:w="2235" w:type="dxa"/>
          </w:tcPr>
          <w:p w:rsidR="004B6A68" w:rsidRPr="005A5779" w:rsidRDefault="004B6A68" w:rsidP="004B6A68">
            <w:pPr>
              <w:pStyle w:val="2"/>
              <w:widowControl/>
              <w:ind w:firstLine="0"/>
              <w:rPr>
                <w:sz w:val="21"/>
                <w:szCs w:val="21"/>
              </w:rPr>
            </w:pPr>
            <w:r w:rsidRPr="005A5779">
              <w:rPr>
                <w:sz w:val="21"/>
                <w:szCs w:val="21"/>
              </w:rPr>
              <w:t>Изделия из черных металлов</w:t>
            </w:r>
          </w:p>
        </w:tc>
        <w:tc>
          <w:tcPr>
            <w:tcW w:w="1413" w:type="dxa"/>
            <w:vAlign w:val="center"/>
          </w:tcPr>
          <w:p w:rsidR="004B6A68" w:rsidRPr="005A5779" w:rsidRDefault="004B6A68" w:rsidP="004B6A68">
            <w:pPr>
              <w:pStyle w:val="2"/>
              <w:widowControl/>
              <w:ind w:firstLine="0"/>
              <w:jc w:val="center"/>
              <w:rPr>
                <w:sz w:val="21"/>
                <w:szCs w:val="21"/>
              </w:rPr>
            </w:pPr>
            <w:r w:rsidRPr="005A5779">
              <w:rPr>
                <w:sz w:val="21"/>
                <w:szCs w:val="21"/>
              </w:rPr>
              <w:t>1,43</w:t>
            </w:r>
          </w:p>
        </w:tc>
        <w:tc>
          <w:tcPr>
            <w:tcW w:w="1462" w:type="dxa"/>
            <w:vAlign w:val="center"/>
          </w:tcPr>
          <w:p w:rsidR="004B6A68" w:rsidRPr="005A5779" w:rsidRDefault="004B6A68" w:rsidP="004B6A68">
            <w:pPr>
              <w:pStyle w:val="2"/>
              <w:widowControl/>
              <w:ind w:firstLine="0"/>
              <w:jc w:val="center"/>
              <w:rPr>
                <w:sz w:val="21"/>
                <w:szCs w:val="21"/>
              </w:rPr>
            </w:pPr>
            <w:r w:rsidRPr="005A5779">
              <w:rPr>
                <w:sz w:val="21"/>
                <w:szCs w:val="21"/>
              </w:rPr>
              <w:t>0,71</w:t>
            </w:r>
          </w:p>
        </w:tc>
        <w:tc>
          <w:tcPr>
            <w:tcW w:w="1504" w:type="dxa"/>
            <w:vAlign w:val="center"/>
          </w:tcPr>
          <w:p w:rsidR="004B6A68" w:rsidRPr="005A5779" w:rsidRDefault="004B6A68" w:rsidP="004B6A68">
            <w:pPr>
              <w:pStyle w:val="2"/>
              <w:widowControl/>
              <w:ind w:firstLine="0"/>
              <w:jc w:val="center"/>
              <w:rPr>
                <w:sz w:val="21"/>
                <w:szCs w:val="21"/>
              </w:rPr>
            </w:pPr>
            <w:r w:rsidRPr="005A5779">
              <w:rPr>
                <w:sz w:val="21"/>
                <w:szCs w:val="21"/>
              </w:rPr>
              <w:t>3 020,3</w:t>
            </w:r>
          </w:p>
        </w:tc>
        <w:tc>
          <w:tcPr>
            <w:tcW w:w="1481" w:type="dxa"/>
            <w:vAlign w:val="center"/>
          </w:tcPr>
          <w:p w:rsidR="004B6A68" w:rsidRPr="005A5779" w:rsidRDefault="004B6A68" w:rsidP="004B6A68">
            <w:pPr>
              <w:pStyle w:val="2"/>
              <w:widowControl/>
              <w:ind w:firstLine="0"/>
              <w:jc w:val="center"/>
              <w:rPr>
                <w:sz w:val="21"/>
                <w:szCs w:val="21"/>
              </w:rPr>
            </w:pPr>
            <w:r w:rsidRPr="005A5779">
              <w:rPr>
                <w:sz w:val="21"/>
                <w:szCs w:val="21"/>
              </w:rPr>
              <w:t>2 562,1</w:t>
            </w:r>
          </w:p>
        </w:tc>
        <w:tc>
          <w:tcPr>
            <w:tcW w:w="1652" w:type="dxa"/>
            <w:vAlign w:val="center"/>
          </w:tcPr>
          <w:p w:rsidR="004B6A68" w:rsidRPr="005A5779" w:rsidRDefault="004B6A68" w:rsidP="004B6A68">
            <w:pPr>
              <w:pStyle w:val="2"/>
              <w:widowControl/>
              <w:ind w:firstLine="0"/>
              <w:jc w:val="center"/>
              <w:rPr>
                <w:sz w:val="21"/>
                <w:szCs w:val="21"/>
              </w:rPr>
            </w:pPr>
            <w:r w:rsidRPr="005A5779">
              <w:rPr>
                <w:sz w:val="21"/>
                <w:szCs w:val="21"/>
              </w:rPr>
              <w:t>84,8</w:t>
            </w:r>
          </w:p>
        </w:tc>
      </w:tr>
    </w:tbl>
    <w:p w:rsidR="004B6A68" w:rsidRPr="000B7110" w:rsidRDefault="004B6A68" w:rsidP="004B6A68">
      <w:pPr>
        <w:pStyle w:val="a4"/>
      </w:pPr>
      <w:r w:rsidRPr="000B7110">
        <w:t>Второй составляющей по величине долевого участия в формировании совокупного объема экспорта выступили топливно-энергетические товары (22,4% совокупного экспорта), при этом на фоне существенного расширения экспорта металлов и изделий из них, их доля</w:t>
      </w:r>
      <w:r w:rsidRPr="007A5620">
        <w:t xml:space="preserve"> </w:t>
      </w:r>
      <w:r w:rsidRPr="000B7110">
        <w:t xml:space="preserve">при увеличении </w:t>
      </w:r>
      <w:r>
        <w:t xml:space="preserve">абсолютной величины </w:t>
      </w:r>
      <w:r w:rsidRPr="000B7110">
        <w:t xml:space="preserve">на 11,2% сократилась на </w:t>
      </w:r>
      <w:r w:rsidR="005A5779">
        <w:t xml:space="preserve">                       </w:t>
      </w:r>
      <w:r w:rsidRPr="000B7110">
        <w:t xml:space="preserve">12,1 процентных пункта. </w:t>
      </w:r>
      <w:r w:rsidRPr="0055630B">
        <w:t>Основными потребителями данной группы товаров выступали</w:t>
      </w:r>
      <w:r>
        <w:t xml:space="preserve"> контрагенты из Молдовы.</w:t>
      </w:r>
      <w:r w:rsidRPr="0055630B">
        <w:t xml:space="preserve"> </w:t>
      </w:r>
    </w:p>
    <w:p w:rsidR="004B6A68" w:rsidRDefault="004B6A68" w:rsidP="004B6A68">
      <w:pPr>
        <w:spacing w:after="0" w:line="240" w:lineRule="auto"/>
        <w:ind w:firstLine="709"/>
        <w:jc w:val="right"/>
        <w:rPr>
          <w:rFonts w:ascii="Times New Roman" w:hAnsi="Times New Roman"/>
          <w:sz w:val="24"/>
          <w:szCs w:val="24"/>
        </w:rPr>
      </w:pPr>
      <w:r>
        <w:rPr>
          <w:rFonts w:ascii="Times New Roman" w:hAnsi="Times New Roman"/>
          <w:sz w:val="24"/>
          <w:szCs w:val="24"/>
        </w:rPr>
        <w:t>Таблица №</w:t>
      </w:r>
      <w:r w:rsidR="005A5779">
        <w:rPr>
          <w:rFonts w:ascii="Times New Roman" w:hAnsi="Times New Roman"/>
          <w:sz w:val="24"/>
          <w:szCs w:val="24"/>
        </w:rPr>
        <w:t>12</w:t>
      </w:r>
    </w:p>
    <w:p w:rsidR="004B6A68" w:rsidRPr="00C07037" w:rsidRDefault="004B6A68" w:rsidP="004B6A68">
      <w:pPr>
        <w:pStyle w:val="2"/>
        <w:widowControl/>
        <w:jc w:val="center"/>
        <w:rPr>
          <w:b/>
          <w:sz w:val="24"/>
          <w:szCs w:val="24"/>
        </w:rPr>
      </w:pPr>
      <w:r w:rsidRPr="00C07037">
        <w:rPr>
          <w:b/>
          <w:sz w:val="24"/>
          <w:szCs w:val="24"/>
        </w:rPr>
        <w:t xml:space="preserve">Показатели </w:t>
      </w:r>
      <w:r>
        <w:rPr>
          <w:b/>
          <w:sz w:val="24"/>
          <w:szCs w:val="24"/>
        </w:rPr>
        <w:t xml:space="preserve">экспорта </w:t>
      </w:r>
      <w:r w:rsidRPr="00C07037">
        <w:rPr>
          <w:b/>
          <w:sz w:val="24"/>
          <w:szCs w:val="24"/>
        </w:rPr>
        <w:t xml:space="preserve">по </w:t>
      </w:r>
      <w:r>
        <w:rPr>
          <w:b/>
          <w:sz w:val="24"/>
          <w:szCs w:val="24"/>
        </w:rPr>
        <w:t>группе</w:t>
      </w:r>
      <w:r w:rsidRPr="00C07037">
        <w:rPr>
          <w:b/>
          <w:sz w:val="24"/>
          <w:szCs w:val="24"/>
        </w:rPr>
        <w:t xml:space="preserve"> </w:t>
      </w:r>
    </w:p>
    <w:p w:rsidR="004B6A68" w:rsidRDefault="004B6A68" w:rsidP="004B6A68">
      <w:pPr>
        <w:pStyle w:val="2"/>
        <w:widowControl/>
        <w:ind w:firstLine="709"/>
        <w:jc w:val="center"/>
        <w:rPr>
          <w:sz w:val="24"/>
          <w:szCs w:val="24"/>
        </w:rPr>
      </w:pPr>
      <w:r w:rsidRPr="00C07037">
        <w:rPr>
          <w:b/>
          <w:sz w:val="24"/>
          <w:szCs w:val="24"/>
        </w:rPr>
        <w:t>«</w:t>
      </w:r>
      <w:r>
        <w:rPr>
          <w:b/>
          <w:sz w:val="24"/>
          <w:szCs w:val="24"/>
        </w:rPr>
        <w:t>Т</w:t>
      </w:r>
      <w:r w:rsidRPr="000E6124">
        <w:rPr>
          <w:b/>
          <w:sz w:val="24"/>
          <w:szCs w:val="24"/>
        </w:rPr>
        <w:t>опливно-энергетические</w:t>
      </w:r>
      <w:r w:rsidRPr="000E6124">
        <w:rPr>
          <w:sz w:val="24"/>
          <w:szCs w:val="24"/>
        </w:rPr>
        <w:t xml:space="preserve"> </w:t>
      </w:r>
      <w:r w:rsidRPr="000E6124">
        <w:rPr>
          <w:b/>
          <w:sz w:val="24"/>
          <w:szCs w:val="24"/>
        </w:rPr>
        <w:t>товары</w:t>
      </w:r>
      <w:r w:rsidRPr="00C07037">
        <w:rPr>
          <w:b/>
          <w:sz w:val="24"/>
          <w:szCs w:val="24"/>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1418"/>
        <w:gridCol w:w="1417"/>
        <w:gridCol w:w="1560"/>
        <w:gridCol w:w="1417"/>
        <w:gridCol w:w="1701"/>
      </w:tblGrid>
      <w:tr w:rsidR="004B6A68" w:rsidRPr="005A5779" w:rsidTr="004B6A68">
        <w:trPr>
          <w:trHeight w:val="518"/>
        </w:trPr>
        <w:tc>
          <w:tcPr>
            <w:tcW w:w="2376" w:type="dxa"/>
            <w:vMerge w:val="restart"/>
            <w:vAlign w:val="center"/>
          </w:tcPr>
          <w:p w:rsidR="004B6A68" w:rsidRPr="005A5779" w:rsidRDefault="004B6A68" w:rsidP="004B6A68">
            <w:pPr>
              <w:pStyle w:val="2"/>
              <w:widowControl/>
              <w:ind w:firstLine="0"/>
              <w:jc w:val="center"/>
              <w:rPr>
                <w:sz w:val="21"/>
                <w:szCs w:val="21"/>
              </w:rPr>
            </w:pPr>
            <w:r w:rsidRPr="005A5779">
              <w:rPr>
                <w:sz w:val="21"/>
                <w:szCs w:val="21"/>
              </w:rPr>
              <w:t>Наименование товарной группы</w:t>
            </w:r>
          </w:p>
        </w:tc>
        <w:tc>
          <w:tcPr>
            <w:tcW w:w="2835" w:type="dxa"/>
            <w:gridSpan w:val="2"/>
          </w:tcPr>
          <w:p w:rsidR="004B6A68" w:rsidRPr="005A5779" w:rsidRDefault="004B6A68" w:rsidP="004B6A68">
            <w:pPr>
              <w:spacing w:after="0"/>
              <w:jc w:val="center"/>
              <w:rPr>
                <w:rFonts w:ascii="Times New Roman" w:hAnsi="Times New Roman"/>
                <w:sz w:val="21"/>
                <w:szCs w:val="21"/>
              </w:rPr>
            </w:pPr>
            <w:r w:rsidRPr="005A5779">
              <w:rPr>
                <w:rFonts w:ascii="Times New Roman" w:hAnsi="Times New Roman"/>
                <w:sz w:val="21"/>
                <w:szCs w:val="21"/>
              </w:rPr>
              <w:t>Уд. вес. в стоимостной структуре, %</w:t>
            </w:r>
          </w:p>
        </w:tc>
        <w:tc>
          <w:tcPr>
            <w:tcW w:w="2977" w:type="dxa"/>
            <w:gridSpan w:val="2"/>
          </w:tcPr>
          <w:p w:rsidR="004B6A68" w:rsidRPr="005A5779" w:rsidRDefault="004B6A68" w:rsidP="004B6A68">
            <w:pPr>
              <w:pStyle w:val="2"/>
              <w:widowControl/>
              <w:ind w:firstLine="0"/>
              <w:jc w:val="center"/>
              <w:rPr>
                <w:bCs/>
                <w:sz w:val="21"/>
                <w:szCs w:val="21"/>
              </w:rPr>
            </w:pPr>
            <w:r w:rsidRPr="005A5779">
              <w:rPr>
                <w:bCs/>
                <w:sz w:val="21"/>
                <w:szCs w:val="21"/>
              </w:rPr>
              <w:t>Фактическая стоимость, тыс. долл. США</w:t>
            </w:r>
          </w:p>
        </w:tc>
        <w:tc>
          <w:tcPr>
            <w:tcW w:w="1701" w:type="dxa"/>
            <w:vMerge w:val="restart"/>
          </w:tcPr>
          <w:p w:rsidR="004B6A68" w:rsidRPr="005A5779" w:rsidRDefault="004B6A68" w:rsidP="004B6A68">
            <w:pPr>
              <w:pStyle w:val="2"/>
              <w:widowControl/>
              <w:ind w:firstLine="0"/>
              <w:jc w:val="center"/>
              <w:rPr>
                <w:bCs/>
                <w:sz w:val="21"/>
                <w:szCs w:val="21"/>
              </w:rPr>
            </w:pPr>
            <w:r w:rsidRPr="005A5779">
              <w:rPr>
                <w:bCs/>
                <w:sz w:val="21"/>
                <w:szCs w:val="21"/>
              </w:rPr>
              <w:t>Темп роста январь-июнь 2014 г. к</w:t>
            </w:r>
          </w:p>
          <w:p w:rsidR="004B6A68" w:rsidRPr="005A5779" w:rsidRDefault="004B6A68" w:rsidP="004B6A68">
            <w:pPr>
              <w:pStyle w:val="2"/>
              <w:widowControl/>
              <w:ind w:firstLine="0"/>
              <w:jc w:val="center"/>
              <w:rPr>
                <w:sz w:val="21"/>
                <w:szCs w:val="21"/>
              </w:rPr>
            </w:pPr>
            <w:r w:rsidRPr="005A5779">
              <w:rPr>
                <w:bCs/>
                <w:sz w:val="21"/>
                <w:szCs w:val="21"/>
              </w:rPr>
              <w:t>январю-июню 2013 г., %</w:t>
            </w:r>
          </w:p>
        </w:tc>
      </w:tr>
      <w:tr w:rsidR="004B6A68" w:rsidRPr="005A5779" w:rsidTr="004B6A68">
        <w:trPr>
          <w:trHeight w:val="74"/>
        </w:trPr>
        <w:tc>
          <w:tcPr>
            <w:tcW w:w="2376" w:type="dxa"/>
            <w:vMerge/>
          </w:tcPr>
          <w:p w:rsidR="004B6A68" w:rsidRPr="005A5779" w:rsidRDefault="004B6A68" w:rsidP="004B6A68">
            <w:pPr>
              <w:pStyle w:val="2"/>
              <w:widowControl/>
              <w:ind w:firstLine="0"/>
              <w:rPr>
                <w:sz w:val="21"/>
                <w:szCs w:val="21"/>
              </w:rPr>
            </w:pPr>
          </w:p>
        </w:tc>
        <w:tc>
          <w:tcPr>
            <w:tcW w:w="1418" w:type="dxa"/>
            <w:vAlign w:val="center"/>
          </w:tcPr>
          <w:p w:rsidR="004B6A68" w:rsidRPr="005A5779" w:rsidRDefault="004B6A68" w:rsidP="004B6A68">
            <w:pPr>
              <w:pStyle w:val="2"/>
              <w:widowControl/>
              <w:ind w:left="-108" w:right="-108" w:firstLine="0"/>
              <w:jc w:val="center"/>
              <w:rPr>
                <w:sz w:val="21"/>
                <w:szCs w:val="21"/>
              </w:rPr>
            </w:pPr>
            <w:r w:rsidRPr="005A5779">
              <w:rPr>
                <w:sz w:val="21"/>
                <w:szCs w:val="21"/>
              </w:rPr>
              <w:t>январь-июнь 2013 г.</w:t>
            </w:r>
          </w:p>
        </w:tc>
        <w:tc>
          <w:tcPr>
            <w:tcW w:w="1417" w:type="dxa"/>
            <w:vAlign w:val="center"/>
          </w:tcPr>
          <w:p w:rsidR="004B6A68" w:rsidRPr="005A5779" w:rsidRDefault="004B6A68" w:rsidP="004B6A68">
            <w:pPr>
              <w:pStyle w:val="2"/>
              <w:widowControl/>
              <w:ind w:left="-108" w:right="-108" w:firstLine="0"/>
              <w:jc w:val="center"/>
              <w:rPr>
                <w:sz w:val="21"/>
                <w:szCs w:val="21"/>
              </w:rPr>
            </w:pPr>
            <w:r w:rsidRPr="005A5779">
              <w:rPr>
                <w:sz w:val="21"/>
                <w:szCs w:val="21"/>
              </w:rPr>
              <w:t>январь-июнь 2014 г.</w:t>
            </w:r>
          </w:p>
        </w:tc>
        <w:tc>
          <w:tcPr>
            <w:tcW w:w="1560" w:type="dxa"/>
            <w:vAlign w:val="center"/>
          </w:tcPr>
          <w:p w:rsidR="004B6A68" w:rsidRPr="005A5779" w:rsidRDefault="004B6A68" w:rsidP="004B6A68">
            <w:pPr>
              <w:pStyle w:val="2"/>
              <w:widowControl/>
              <w:ind w:left="-108" w:right="-108" w:firstLine="0"/>
              <w:jc w:val="center"/>
              <w:rPr>
                <w:sz w:val="21"/>
                <w:szCs w:val="21"/>
              </w:rPr>
            </w:pPr>
            <w:r w:rsidRPr="005A5779">
              <w:rPr>
                <w:sz w:val="21"/>
                <w:szCs w:val="21"/>
              </w:rPr>
              <w:t>январь-июнь 2013 г.</w:t>
            </w:r>
          </w:p>
        </w:tc>
        <w:tc>
          <w:tcPr>
            <w:tcW w:w="1417" w:type="dxa"/>
            <w:vAlign w:val="center"/>
          </w:tcPr>
          <w:p w:rsidR="004B6A68" w:rsidRPr="005A5779" w:rsidRDefault="004B6A68" w:rsidP="004B6A68">
            <w:pPr>
              <w:pStyle w:val="2"/>
              <w:widowControl/>
              <w:ind w:left="-108" w:right="-108" w:firstLine="0"/>
              <w:jc w:val="center"/>
              <w:rPr>
                <w:sz w:val="21"/>
                <w:szCs w:val="21"/>
              </w:rPr>
            </w:pPr>
            <w:r w:rsidRPr="005A5779">
              <w:rPr>
                <w:sz w:val="21"/>
                <w:szCs w:val="21"/>
              </w:rPr>
              <w:t>январь-июнь 2014 г.</w:t>
            </w:r>
          </w:p>
        </w:tc>
        <w:tc>
          <w:tcPr>
            <w:tcW w:w="1701" w:type="dxa"/>
            <w:vMerge/>
          </w:tcPr>
          <w:p w:rsidR="004B6A68" w:rsidRPr="005A5779" w:rsidRDefault="004B6A68" w:rsidP="004B6A68">
            <w:pPr>
              <w:pStyle w:val="2"/>
              <w:widowControl/>
              <w:ind w:firstLine="0"/>
              <w:rPr>
                <w:sz w:val="21"/>
                <w:szCs w:val="21"/>
              </w:rPr>
            </w:pPr>
          </w:p>
        </w:tc>
      </w:tr>
      <w:tr w:rsidR="004B6A68" w:rsidRPr="005A5779" w:rsidTr="004B6A68">
        <w:trPr>
          <w:trHeight w:val="866"/>
        </w:trPr>
        <w:tc>
          <w:tcPr>
            <w:tcW w:w="2376" w:type="dxa"/>
            <w:vAlign w:val="bottom"/>
          </w:tcPr>
          <w:p w:rsidR="004B6A68" w:rsidRPr="005A5779" w:rsidRDefault="004B6A68" w:rsidP="004B6A68">
            <w:pPr>
              <w:pStyle w:val="2"/>
              <w:widowControl/>
              <w:ind w:left="-110" w:right="-108" w:firstLine="0"/>
              <w:jc w:val="left"/>
              <w:rPr>
                <w:b/>
                <w:sz w:val="21"/>
                <w:szCs w:val="21"/>
              </w:rPr>
            </w:pPr>
            <w:r w:rsidRPr="005A5779">
              <w:rPr>
                <w:b/>
                <w:sz w:val="21"/>
                <w:szCs w:val="21"/>
              </w:rPr>
              <w:t>Топливно-энергетические</w:t>
            </w:r>
            <w:r w:rsidRPr="005A5779">
              <w:rPr>
                <w:sz w:val="21"/>
                <w:szCs w:val="21"/>
              </w:rPr>
              <w:t xml:space="preserve"> </w:t>
            </w:r>
            <w:r w:rsidRPr="005A5779">
              <w:rPr>
                <w:b/>
                <w:sz w:val="21"/>
                <w:szCs w:val="21"/>
              </w:rPr>
              <w:t xml:space="preserve">товары, всего </w:t>
            </w:r>
          </w:p>
        </w:tc>
        <w:tc>
          <w:tcPr>
            <w:tcW w:w="1418" w:type="dxa"/>
            <w:vAlign w:val="center"/>
          </w:tcPr>
          <w:p w:rsidR="004B6A68" w:rsidRPr="005A5779" w:rsidRDefault="004B6A68" w:rsidP="004B6A68">
            <w:pPr>
              <w:pStyle w:val="2"/>
              <w:widowControl/>
              <w:ind w:firstLine="0"/>
              <w:jc w:val="center"/>
              <w:rPr>
                <w:b/>
                <w:sz w:val="21"/>
                <w:szCs w:val="21"/>
              </w:rPr>
            </w:pPr>
            <w:r w:rsidRPr="005A5779">
              <w:rPr>
                <w:b/>
                <w:sz w:val="21"/>
                <w:szCs w:val="21"/>
              </w:rPr>
              <w:t>34,5</w:t>
            </w:r>
          </w:p>
        </w:tc>
        <w:tc>
          <w:tcPr>
            <w:tcW w:w="1417" w:type="dxa"/>
            <w:vAlign w:val="center"/>
          </w:tcPr>
          <w:p w:rsidR="004B6A68" w:rsidRPr="005A5779" w:rsidRDefault="004B6A68" w:rsidP="004B6A68">
            <w:pPr>
              <w:pStyle w:val="2"/>
              <w:widowControl/>
              <w:ind w:firstLine="0"/>
              <w:jc w:val="center"/>
              <w:rPr>
                <w:b/>
                <w:sz w:val="21"/>
                <w:szCs w:val="21"/>
              </w:rPr>
            </w:pPr>
            <w:r w:rsidRPr="005A5779">
              <w:rPr>
                <w:b/>
                <w:sz w:val="21"/>
                <w:szCs w:val="21"/>
              </w:rPr>
              <w:t>22,4</w:t>
            </w:r>
          </w:p>
        </w:tc>
        <w:tc>
          <w:tcPr>
            <w:tcW w:w="1560" w:type="dxa"/>
            <w:vAlign w:val="center"/>
          </w:tcPr>
          <w:p w:rsidR="004B6A68" w:rsidRPr="005A5779" w:rsidRDefault="004B6A68" w:rsidP="004B6A68">
            <w:pPr>
              <w:pStyle w:val="2"/>
              <w:widowControl/>
              <w:ind w:firstLine="0"/>
              <w:jc w:val="center"/>
              <w:rPr>
                <w:b/>
                <w:sz w:val="21"/>
                <w:szCs w:val="21"/>
              </w:rPr>
            </w:pPr>
            <w:r w:rsidRPr="005A5779">
              <w:rPr>
                <w:b/>
                <w:sz w:val="21"/>
                <w:szCs w:val="21"/>
              </w:rPr>
              <w:t>72 965,6</w:t>
            </w:r>
          </w:p>
        </w:tc>
        <w:tc>
          <w:tcPr>
            <w:tcW w:w="1417" w:type="dxa"/>
            <w:vAlign w:val="center"/>
          </w:tcPr>
          <w:p w:rsidR="004B6A68" w:rsidRPr="005A5779" w:rsidRDefault="004B6A68" w:rsidP="004B6A68">
            <w:pPr>
              <w:pStyle w:val="2"/>
              <w:widowControl/>
              <w:ind w:firstLine="0"/>
              <w:jc w:val="center"/>
              <w:rPr>
                <w:b/>
                <w:sz w:val="21"/>
                <w:szCs w:val="21"/>
              </w:rPr>
            </w:pPr>
            <w:r w:rsidRPr="005A5779">
              <w:rPr>
                <w:b/>
                <w:sz w:val="21"/>
                <w:szCs w:val="21"/>
              </w:rPr>
              <w:t>81 109,6</w:t>
            </w:r>
          </w:p>
        </w:tc>
        <w:tc>
          <w:tcPr>
            <w:tcW w:w="1701" w:type="dxa"/>
            <w:vAlign w:val="center"/>
          </w:tcPr>
          <w:p w:rsidR="004B6A68" w:rsidRPr="005A5779" w:rsidRDefault="004B6A68" w:rsidP="004B6A68">
            <w:pPr>
              <w:pStyle w:val="2"/>
              <w:widowControl/>
              <w:ind w:firstLine="0"/>
              <w:jc w:val="center"/>
              <w:rPr>
                <w:b/>
                <w:sz w:val="21"/>
                <w:szCs w:val="21"/>
              </w:rPr>
            </w:pPr>
            <w:r w:rsidRPr="005A5779">
              <w:rPr>
                <w:b/>
                <w:sz w:val="21"/>
                <w:szCs w:val="21"/>
              </w:rPr>
              <w:t>111,2</w:t>
            </w:r>
          </w:p>
        </w:tc>
      </w:tr>
    </w:tbl>
    <w:p w:rsidR="004B6A68" w:rsidRDefault="004B6A68" w:rsidP="004B6A68">
      <w:pPr>
        <w:pStyle w:val="a4"/>
      </w:pPr>
      <w:r w:rsidRPr="00E53E5D">
        <w:lastRenderedPageBreak/>
        <w:t>Расширение в январе-июне текущего года экспорта текстильных материалов (</w:t>
      </w:r>
      <w:r w:rsidR="009346DF">
        <w:t>«</w:t>
      </w:r>
      <w:r w:rsidRPr="00E53E5D">
        <w:t>+</w:t>
      </w:r>
      <w:r w:rsidR="009346DF">
        <w:t>»</w:t>
      </w:r>
      <w:r w:rsidRPr="00E53E5D">
        <w:t>3,5%), обуви (</w:t>
      </w:r>
      <w:r w:rsidR="009346DF">
        <w:t>«</w:t>
      </w:r>
      <w:r w:rsidRPr="00E53E5D">
        <w:t>+</w:t>
      </w:r>
      <w:r w:rsidR="009346DF">
        <w:t>»</w:t>
      </w:r>
      <w:r w:rsidRPr="00E53E5D">
        <w:t>11,1%), одежды (</w:t>
      </w:r>
      <w:r w:rsidR="009346DF">
        <w:t>«</w:t>
      </w:r>
      <w:r w:rsidRPr="00E53E5D">
        <w:t>+</w:t>
      </w:r>
      <w:r w:rsidR="009346DF">
        <w:t>»</w:t>
      </w:r>
      <w:r w:rsidRPr="00E53E5D">
        <w:t>21,6%)</w:t>
      </w:r>
      <w:r>
        <w:t xml:space="preserve"> на фоне сокращения (</w:t>
      </w:r>
      <w:r w:rsidR="009346DF">
        <w:t xml:space="preserve">«-» </w:t>
      </w:r>
      <w:r>
        <w:t>3,6%) текстильных изделий</w:t>
      </w:r>
      <w:r w:rsidRPr="00E53E5D">
        <w:t xml:space="preserve"> обеспечило увеличение совокупного экспорта товаров легкой промышленности по отношению к аналогичному периоду минувшего года на 5,6%, при этом долевое участие данной группы товаров в структуре экспортных поставок сложилось на уровне 18,9% против 30,7% в январе-июне 2013 года. </w:t>
      </w:r>
      <w:r w:rsidRPr="0055630B">
        <w:t>Основными потребителями данной группы товаров выступали: Италия  (37</w:t>
      </w:r>
      <w:r w:rsidR="009346DF">
        <w:t xml:space="preserve">,96% общих поставок), Германия </w:t>
      </w:r>
      <w:r w:rsidRPr="0055630B">
        <w:t>(21,85% общих поставок), Россия (15,68% общих поставок).</w:t>
      </w:r>
    </w:p>
    <w:p w:rsidR="004B6A68" w:rsidRDefault="004B6A68" w:rsidP="004B6A68">
      <w:pPr>
        <w:pStyle w:val="2"/>
        <w:widowControl/>
        <w:ind w:firstLine="709"/>
        <w:jc w:val="right"/>
        <w:rPr>
          <w:sz w:val="24"/>
          <w:szCs w:val="24"/>
        </w:rPr>
      </w:pPr>
      <w:r>
        <w:rPr>
          <w:sz w:val="24"/>
          <w:szCs w:val="24"/>
        </w:rPr>
        <w:t>Таблица №1</w:t>
      </w:r>
      <w:r w:rsidR="00815F10">
        <w:rPr>
          <w:sz w:val="24"/>
          <w:szCs w:val="24"/>
        </w:rPr>
        <w:t>3</w:t>
      </w:r>
    </w:p>
    <w:p w:rsidR="004B6A68" w:rsidRPr="00C07037" w:rsidRDefault="004B6A68" w:rsidP="004B6A68">
      <w:pPr>
        <w:pStyle w:val="2"/>
        <w:widowControl/>
        <w:jc w:val="center"/>
        <w:rPr>
          <w:b/>
          <w:sz w:val="24"/>
          <w:szCs w:val="24"/>
        </w:rPr>
      </w:pPr>
      <w:r w:rsidRPr="00C07037">
        <w:rPr>
          <w:b/>
          <w:sz w:val="24"/>
          <w:szCs w:val="24"/>
        </w:rPr>
        <w:t xml:space="preserve">Показатели экспорта по отрасли </w:t>
      </w:r>
    </w:p>
    <w:p w:rsidR="004B6A68" w:rsidRDefault="004B6A68" w:rsidP="004B6A68">
      <w:pPr>
        <w:pStyle w:val="2"/>
        <w:widowControl/>
        <w:ind w:firstLine="709"/>
        <w:jc w:val="center"/>
        <w:rPr>
          <w:sz w:val="24"/>
          <w:szCs w:val="24"/>
        </w:rPr>
      </w:pPr>
      <w:r w:rsidRPr="00C07037">
        <w:rPr>
          <w:b/>
          <w:sz w:val="24"/>
          <w:szCs w:val="24"/>
        </w:rPr>
        <w:t>«</w:t>
      </w:r>
      <w:r>
        <w:rPr>
          <w:b/>
          <w:sz w:val="24"/>
          <w:szCs w:val="24"/>
        </w:rPr>
        <w:t>Легкая промышленность</w:t>
      </w:r>
      <w:r w:rsidRPr="00C07037">
        <w:rPr>
          <w:b/>
          <w:sz w:val="24"/>
          <w:szCs w:val="24"/>
        </w:rPr>
        <w:t>» (основные группы)</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95"/>
        <w:gridCol w:w="1545"/>
        <w:gridCol w:w="1405"/>
        <w:gridCol w:w="1404"/>
        <w:gridCol w:w="1405"/>
        <w:gridCol w:w="1629"/>
      </w:tblGrid>
      <w:tr w:rsidR="004B6A68" w:rsidRPr="00815F10" w:rsidTr="004B6A68">
        <w:trPr>
          <w:trHeight w:val="572"/>
        </w:trPr>
        <w:tc>
          <w:tcPr>
            <w:tcW w:w="2495" w:type="dxa"/>
            <w:vMerge w:val="restart"/>
            <w:vAlign w:val="center"/>
          </w:tcPr>
          <w:p w:rsidR="004B6A68" w:rsidRPr="00815F10" w:rsidRDefault="004B6A68" w:rsidP="004B6A68">
            <w:pPr>
              <w:pStyle w:val="2"/>
              <w:widowControl/>
              <w:ind w:firstLine="0"/>
              <w:jc w:val="center"/>
              <w:rPr>
                <w:sz w:val="22"/>
                <w:szCs w:val="22"/>
              </w:rPr>
            </w:pPr>
            <w:r w:rsidRPr="00815F10">
              <w:rPr>
                <w:sz w:val="22"/>
                <w:szCs w:val="22"/>
              </w:rPr>
              <w:t>Наименование товарной группы</w:t>
            </w:r>
          </w:p>
        </w:tc>
        <w:tc>
          <w:tcPr>
            <w:tcW w:w="2950" w:type="dxa"/>
            <w:gridSpan w:val="2"/>
            <w:vAlign w:val="center"/>
          </w:tcPr>
          <w:p w:rsidR="004B6A68" w:rsidRPr="00815F10" w:rsidRDefault="004B6A68" w:rsidP="004B6A68">
            <w:pPr>
              <w:jc w:val="center"/>
              <w:rPr>
                <w:rFonts w:ascii="Times New Roman" w:hAnsi="Times New Roman"/>
              </w:rPr>
            </w:pPr>
            <w:r w:rsidRPr="00815F10">
              <w:rPr>
                <w:rFonts w:ascii="Times New Roman" w:hAnsi="Times New Roman"/>
              </w:rPr>
              <w:t>Уд. вес. в стоимостной структуре, %</w:t>
            </w:r>
          </w:p>
        </w:tc>
        <w:tc>
          <w:tcPr>
            <w:tcW w:w="2809" w:type="dxa"/>
            <w:gridSpan w:val="2"/>
            <w:vAlign w:val="center"/>
          </w:tcPr>
          <w:p w:rsidR="004B6A68" w:rsidRPr="00815F10" w:rsidRDefault="004B6A68" w:rsidP="004B6A68">
            <w:pPr>
              <w:pStyle w:val="2"/>
              <w:widowControl/>
              <w:ind w:firstLine="0"/>
              <w:jc w:val="center"/>
              <w:rPr>
                <w:bCs/>
                <w:sz w:val="22"/>
                <w:szCs w:val="22"/>
              </w:rPr>
            </w:pPr>
            <w:r w:rsidRPr="00815F10">
              <w:rPr>
                <w:bCs/>
                <w:sz w:val="22"/>
                <w:szCs w:val="22"/>
              </w:rPr>
              <w:t>Фактическая стоимость, тыс. долл. США</w:t>
            </w:r>
          </w:p>
        </w:tc>
        <w:tc>
          <w:tcPr>
            <w:tcW w:w="1629" w:type="dxa"/>
            <w:vMerge w:val="restart"/>
          </w:tcPr>
          <w:p w:rsidR="004B6A68" w:rsidRPr="00815F10" w:rsidRDefault="004B6A68" w:rsidP="004B6A68">
            <w:pPr>
              <w:pStyle w:val="2"/>
              <w:widowControl/>
              <w:ind w:firstLine="0"/>
              <w:jc w:val="center"/>
              <w:rPr>
                <w:bCs/>
                <w:sz w:val="22"/>
                <w:szCs w:val="22"/>
              </w:rPr>
            </w:pPr>
            <w:r w:rsidRPr="00815F10">
              <w:rPr>
                <w:bCs/>
                <w:sz w:val="22"/>
                <w:szCs w:val="22"/>
              </w:rPr>
              <w:t>Темп роста январь-июнь 2014 г. к</w:t>
            </w:r>
          </w:p>
          <w:p w:rsidR="004B6A68" w:rsidRPr="00815F10" w:rsidRDefault="004B6A68" w:rsidP="004B6A68">
            <w:pPr>
              <w:pStyle w:val="2"/>
              <w:widowControl/>
              <w:ind w:firstLine="0"/>
              <w:jc w:val="center"/>
              <w:rPr>
                <w:sz w:val="22"/>
                <w:szCs w:val="22"/>
              </w:rPr>
            </w:pPr>
            <w:r w:rsidRPr="00815F10">
              <w:rPr>
                <w:bCs/>
                <w:sz w:val="22"/>
                <w:szCs w:val="22"/>
              </w:rPr>
              <w:t>январю-июню 2013 г., %</w:t>
            </w:r>
          </w:p>
        </w:tc>
      </w:tr>
      <w:tr w:rsidR="004B6A68" w:rsidRPr="00815F10" w:rsidTr="004B6A68">
        <w:trPr>
          <w:trHeight w:val="153"/>
        </w:trPr>
        <w:tc>
          <w:tcPr>
            <w:tcW w:w="2495" w:type="dxa"/>
            <w:vMerge/>
          </w:tcPr>
          <w:p w:rsidR="004B6A68" w:rsidRPr="00815F10" w:rsidRDefault="004B6A68" w:rsidP="004B6A68">
            <w:pPr>
              <w:pStyle w:val="2"/>
              <w:widowControl/>
              <w:ind w:firstLine="0"/>
              <w:rPr>
                <w:sz w:val="22"/>
                <w:szCs w:val="22"/>
              </w:rPr>
            </w:pPr>
          </w:p>
        </w:tc>
        <w:tc>
          <w:tcPr>
            <w:tcW w:w="1545" w:type="dxa"/>
            <w:vAlign w:val="center"/>
          </w:tcPr>
          <w:p w:rsidR="004B6A68" w:rsidRPr="00815F10" w:rsidRDefault="004B6A68" w:rsidP="004B6A68">
            <w:pPr>
              <w:pStyle w:val="2"/>
              <w:widowControl/>
              <w:ind w:left="-108" w:right="-108" w:firstLine="0"/>
              <w:jc w:val="center"/>
              <w:rPr>
                <w:sz w:val="22"/>
                <w:szCs w:val="22"/>
              </w:rPr>
            </w:pPr>
            <w:r w:rsidRPr="00815F10">
              <w:rPr>
                <w:sz w:val="22"/>
                <w:szCs w:val="22"/>
              </w:rPr>
              <w:t>январь-июнь 2013 г.</w:t>
            </w:r>
          </w:p>
        </w:tc>
        <w:tc>
          <w:tcPr>
            <w:tcW w:w="1405" w:type="dxa"/>
            <w:vAlign w:val="center"/>
          </w:tcPr>
          <w:p w:rsidR="004B6A68" w:rsidRPr="00815F10" w:rsidRDefault="004B6A68" w:rsidP="004B6A68">
            <w:pPr>
              <w:pStyle w:val="2"/>
              <w:widowControl/>
              <w:ind w:left="-108" w:right="-108" w:firstLine="0"/>
              <w:jc w:val="center"/>
              <w:rPr>
                <w:sz w:val="22"/>
                <w:szCs w:val="22"/>
              </w:rPr>
            </w:pPr>
            <w:r w:rsidRPr="00815F10">
              <w:rPr>
                <w:sz w:val="22"/>
                <w:szCs w:val="22"/>
              </w:rPr>
              <w:t>январь-июнь 2014 г.</w:t>
            </w:r>
          </w:p>
        </w:tc>
        <w:tc>
          <w:tcPr>
            <w:tcW w:w="1404" w:type="dxa"/>
            <w:vAlign w:val="center"/>
          </w:tcPr>
          <w:p w:rsidR="004B6A68" w:rsidRPr="00815F10" w:rsidRDefault="004B6A68" w:rsidP="004B6A68">
            <w:pPr>
              <w:pStyle w:val="2"/>
              <w:widowControl/>
              <w:ind w:left="-108" w:right="-108" w:firstLine="0"/>
              <w:jc w:val="center"/>
              <w:rPr>
                <w:sz w:val="22"/>
                <w:szCs w:val="22"/>
              </w:rPr>
            </w:pPr>
            <w:r w:rsidRPr="00815F10">
              <w:rPr>
                <w:sz w:val="22"/>
                <w:szCs w:val="22"/>
              </w:rPr>
              <w:t>январь-июнь 2013 г.</w:t>
            </w:r>
          </w:p>
        </w:tc>
        <w:tc>
          <w:tcPr>
            <w:tcW w:w="1405" w:type="dxa"/>
            <w:vAlign w:val="center"/>
          </w:tcPr>
          <w:p w:rsidR="004B6A68" w:rsidRPr="00815F10" w:rsidRDefault="004B6A68" w:rsidP="004B6A68">
            <w:pPr>
              <w:pStyle w:val="2"/>
              <w:widowControl/>
              <w:ind w:left="-108" w:right="-108" w:firstLine="0"/>
              <w:jc w:val="center"/>
              <w:rPr>
                <w:sz w:val="22"/>
                <w:szCs w:val="22"/>
              </w:rPr>
            </w:pPr>
            <w:r w:rsidRPr="00815F10">
              <w:rPr>
                <w:sz w:val="22"/>
                <w:szCs w:val="22"/>
              </w:rPr>
              <w:t>январь-июнь 2014 г.</w:t>
            </w:r>
          </w:p>
        </w:tc>
        <w:tc>
          <w:tcPr>
            <w:tcW w:w="1629" w:type="dxa"/>
            <w:vMerge/>
          </w:tcPr>
          <w:p w:rsidR="004B6A68" w:rsidRPr="00815F10" w:rsidRDefault="004B6A68" w:rsidP="004B6A68">
            <w:pPr>
              <w:pStyle w:val="2"/>
              <w:widowControl/>
              <w:ind w:firstLine="0"/>
              <w:rPr>
                <w:sz w:val="22"/>
                <w:szCs w:val="22"/>
              </w:rPr>
            </w:pPr>
          </w:p>
        </w:tc>
      </w:tr>
      <w:tr w:rsidR="004B6A68" w:rsidRPr="00815F10" w:rsidTr="004B6A68">
        <w:trPr>
          <w:trHeight w:val="572"/>
        </w:trPr>
        <w:tc>
          <w:tcPr>
            <w:tcW w:w="2495" w:type="dxa"/>
            <w:vAlign w:val="bottom"/>
          </w:tcPr>
          <w:p w:rsidR="004B6A68" w:rsidRPr="00815F10" w:rsidRDefault="004B6A68" w:rsidP="004B6A68">
            <w:pPr>
              <w:pStyle w:val="2"/>
              <w:widowControl/>
              <w:ind w:firstLine="0"/>
              <w:jc w:val="left"/>
              <w:rPr>
                <w:b/>
                <w:sz w:val="22"/>
                <w:szCs w:val="22"/>
              </w:rPr>
            </w:pPr>
            <w:r w:rsidRPr="00815F10">
              <w:rPr>
                <w:b/>
                <w:sz w:val="22"/>
                <w:szCs w:val="22"/>
              </w:rPr>
              <w:t>Товары легкой промышленности, всего</w:t>
            </w:r>
          </w:p>
        </w:tc>
        <w:tc>
          <w:tcPr>
            <w:tcW w:w="1545" w:type="dxa"/>
            <w:vAlign w:val="bottom"/>
          </w:tcPr>
          <w:p w:rsidR="004B6A68" w:rsidRPr="00815F10" w:rsidRDefault="004B6A68" w:rsidP="004B6A68">
            <w:pPr>
              <w:pStyle w:val="2"/>
              <w:widowControl/>
              <w:ind w:firstLine="0"/>
              <w:jc w:val="center"/>
              <w:rPr>
                <w:b/>
                <w:sz w:val="22"/>
                <w:szCs w:val="22"/>
              </w:rPr>
            </w:pPr>
            <w:r w:rsidRPr="00815F10">
              <w:rPr>
                <w:b/>
                <w:sz w:val="22"/>
                <w:szCs w:val="22"/>
              </w:rPr>
              <w:t>30,7</w:t>
            </w:r>
          </w:p>
        </w:tc>
        <w:tc>
          <w:tcPr>
            <w:tcW w:w="1405" w:type="dxa"/>
            <w:vAlign w:val="bottom"/>
          </w:tcPr>
          <w:p w:rsidR="004B6A68" w:rsidRPr="00815F10" w:rsidRDefault="004B6A68" w:rsidP="004B6A68">
            <w:pPr>
              <w:pStyle w:val="2"/>
              <w:widowControl/>
              <w:ind w:firstLine="0"/>
              <w:jc w:val="center"/>
              <w:rPr>
                <w:b/>
                <w:sz w:val="22"/>
                <w:szCs w:val="22"/>
              </w:rPr>
            </w:pPr>
            <w:r w:rsidRPr="00815F10">
              <w:rPr>
                <w:b/>
                <w:sz w:val="22"/>
                <w:szCs w:val="22"/>
              </w:rPr>
              <w:t>18,9</w:t>
            </w:r>
          </w:p>
        </w:tc>
        <w:tc>
          <w:tcPr>
            <w:tcW w:w="1404" w:type="dxa"/>
            <w:vAlign w:val="bottom"/>
          </w:tcPr>
          <w:p w:rsidR="004B6A68" w:rsidRPr="00815F10" w:rsidRDefault="004B6A68" w:rsidP="004B6A68">
            <w:pPr>
              <w:pStyle w:val="2"/>
              <w:widowControl/>
              <w:ind w:firstLine="0"/>
              <w:jc w:val="right"/>
              <w:rPr>
                <w:b/>
                <w:sz w:val="22"/>
                <w:szCs w:val="22"/>
              </w:rPr>
            </w:pPr>
            <w:r w:rsidRPr="00815F10">
              <w:rPr>
                <w:b/>
                <w:sz w:val="22"/>
                <w:szCs w:val="22"/>
              </w:rPr>
              <w:t>64 998,9</w:t>
            </w:r>
          </w:p>
        </w:tc>
        <w:tc>
          <w:tcPr>
            <w:tcW w:w="1405" w:type="dxa"/>
            <w:vAlign w:val="bottom"/>
          </w:tcPr>
          <w:p w:rsidR="004B6A68" w:rsidRPr="00815F10" w:rsidRDefault="004B6A68" w:rsidP="004B6A68">
            <w:pPr>
              <w:pStyle w:val="2"/>
              <w:widowControl/>
              <w:ind w:firstLine="0"/>
              <w:jc w:val="right"/>
              <w:rPr>
                <w:b/>
                <w:sz w:val="22"/>
                <w:szCs w:val="22"/>
              </w:rPr>
            </w:pPr>
            <w:r w:rsidRPr="00815F10">
              <w:rPr>
                <w:b/>
                <w:sz w:val="22"/>
                <w:szCs w:val="22"/>
              </w:rPr>
              <w:t>68 636,7</w:t>
            </w:r>
          </w:p>
        </w:tc>
        <w:tc>
          <w:tcPr>
            <w:tcW w:w="1629" w:type="dxa"/>
            <w:vAlign w:val="bottom"/>
          </w:tcPr>
          <w:p w:rsidR="004B6A68" w:rsidRPr="00815F10" w:rsidRDefault="00815F10" w:rsidP="004B6A68">
            <w:pPr>
              <w:pStyle w:val="2"/>
              <w:widowControl/>
              <w:ind w:firstLine="0"/>
              <w:jc w:val="center"/>
              <w:rPr>
                <w:b/>
                <w:sz w:val="22"/>
                <w:szCs w:val="22"/>
              </w:rPr>
            </w:pPr>
            <w:r>
              <w:rPr>
                <w:b/>
                <w:sz w:val="22"/>
                <w:szCs w:val="22"/>
              </w:rPr>
              <w:t>10</w:t>
            </w:r>
            <w:r w:rsidR="004B6A68" w:rsidRPr="00815F10">
              <w:rPr>
                <w:b/>
                <w:sz w:val="22"/>
                <w:szCs w:val="22"/>
              </w:rPr>
              <w:t>5,6</w:t>
            </w:r>
          </w:p>
        </w:tc>
      </w:tr>
      <w:tr w:rsidR="004B6A68" w:rsidRPr="00815F10" w:rsidTr="004B6A68">
        <w:trPr>
          <w:trHeight w:val="205"/>
        </w:trPr>
        <w:tc>
          <w:tcPr>
            <w:tcW w:w="2495" w:type="dxa"/>
            <w:vAlign w:val="bottom"/>
          </w:tcPr>
          <w:p w:rsidR="004B6A68" w:rsidRPr="00815F10" w:rsidRDefault="004B6A68" w:rsidP="004B6A68">
            <w:pPr>
              <w:pStyle w:val="2"/>
              <w:widowControl/>
              <w:ind w:firstLine="0"/>
              <w:jc w:val="left"/>
              <w:rPr>
                <w:b/>
                <w:sz w:val="22"/>
                <w:szCs w:val="22"/>
              </w:rPr>
            </w:pPr>
            <w:r w:rsidRPr="00815F10">
              <w:rPr>
                <w:i/>
                <w:sz w:val="22"/>
                <w:szCs w:val="22"/>
              </w:rPr>
              <w:t>в т. ч.</w:t>
            </w:r>
          </w:p>
        </w:tc>
        <w:tc>
          <w:tcPr>
            <w:tcW w:w="1545" w:type="dxa"/>
            <w:vAlign w:val="bottom"/>
          </w:tcPr>
          <w:p w:rsidR="004B6A68" w:rsidRPr="00815F10" w:rsidRDefault="004B6A68" w:rsidP="004B6A68">
            <w:pPr>
              <w:pStyle w:val="2"/>
              <w:widowControl/>
              <w:ind w:firstLine="0"/>
              <w:jc w:val="center"/>
              <w:rPr>
                <w:b/>
                <w:sz w:val="22"/>
                <w:szCs w:val="22"/>
              </w:rPr>
            </w:pPr>
          </w:p>
        </w:tc>
        <w:tc>
          <w:tcPr>
            <w:tcW w:w="1405" w:type="dxa"/>
            <w:vAlign w:val="bottom"/>
          </w:tcPr>
          <w:p w:rsidR="004B6A68" w:rsidRPr="00815F10" w:rsidRDefault="004B6A68" w:rsidP="004B6A68">
            <w:pPr>
              <w:pStyle w:val="2"/>
              <w:widowControl/>
              <w:ind w:firstLine="0"/>
              <w:jc w:val="center"/>
              <w:rPr>
                <w:b/>
                <w:sz w:val="22"/>
                <w:szCs w:val="22"/>
              </w:rPr>
            </w:pPr>
          </w:p>
        </w:tc>
        <w:tc>
          <w:tcPr>
            <w:tcW w:w="1404" w:type="dxa"/>
            <w:vAlign w:val="bottom"/>
          </w:tcPr>
          <w:p w:rsidR="004B6A68" w:rsidRPr="00815F10" w:rsidRDefault="004B6A68" w:rsidP="004B6A68">
            <w:pPr>
              <w:pStyle w:val="2"/>
              <w:widowControl/>
              <w:ind w:firstLine="0"/>
              <w:jc w:val="right"/>
              <w:rPr>
                <w:b/>
                <w:sz w:val="22"/>
                <w:szCs w:val="22"/>
              </w:rPr>
            </w:pPr>
          </w:p>
        </w:tc>
        <w:tc>
          <w:tcPr>
            <w:tcW w:w="1405" w:type="dxa"/>
            <w:vAlign w:val="bottom"/>
          </w:tcPr>
          <w:p w:rsidR="004B6A68" w:rsidRPr="00815F10" w:rsidRDefault="004B6A68" w:rsidP="004B6A68">
            <w:pPr>
              <w:pStyle w:val="2"/>
              <w:widowControl/>
              <w:ind w:firstLine="0"/>
              <w:jc w:val="right"/>
              <w:rPr>
                <w:b/>
                <w:sz w:val="22"/>
                <w:szCs w:val="22"/>
              </w:rPr>
            </w:pPr>
          </w:p>
        </w:tc>
        <w:tc>
          <w:tcPr>
            <w:tcW w:w="1629" w:type="dxa"/>
            <w:vAlign w:val="bottom"/>
          </w:tcPr>
          <w:p w:rsidR="004B6A68" w:rsidRPr="00815F10" w:rsidRDefault="004B6A68" w:rsidP="004B6A68">
            <w:pPr>
              <w:pStyle w:val="2"/>
              <w:widowControl/>
              <w:ind w:firstLine="0"/>
              <w:jc w:val="center"/>
              <w:rPr>
                <w:b/>
                <w:sz w:val="22"/>
                <w:szCs w:val="22"/>
              </w:rPr>
            </w:pPr>
          </w:p>
        </w:tc>
      </w:tr>
      <w:tr w:rsidR="004B6A68" w:rsidRPr="00815F10" w:rsidTr="004B6A68">
        <w:trPr>
          <w:trHeight w:val="233"/>
        </w:trPr>
        <w:tc>
          <w:tcPr>
            <w:tcW w:w="2495" w:type="dxa"/>
          </w:tcPr>
          <w:p w:rsidR="004B6A68" w:rsidRPr="00815F10" w:rsidRDefault="004B6A68" w:rsidP="004B6A68">
            <w:pPr>
              <w:pStyle w:val="2"/>
              <w:widowControl/>
              <w:ind w:firstLine="0"/>
              <w:rPr>
                <w:sz w:val="22"/>
                <w:szCs w:val="22"/>
              </w:rPr>
            </w:pPr>
            <w:r w:rsidRPr="00815F10">
              <w:rPr>
                <w:sz w:val="22"/>
                <w:szCs w:val="22"/>
              </w:rPr>
              <w:t>Текстильные материалы</w:t>
            </w:r>
          </w:p>
        </w:tc>
        <w:tc>
          <w:tcPr>
            <w:tcW w:w="1545" w:type="dxa"/>
            <w:vAlign w:val="bottom"/>
          </w:tcPr>
          <w:p w:rsidR="004B6A68" w:rsidRPr="00815F10" w:rsidRDefault="004B6A68" w:rsidP="004B6A68">
            <w:pPr>
              <w:pStyle w:val="2"/>
              <w:widowControl/>
              <w:ind w:firstLine="0"/>
              <w:jc w:val="center"/>
              <w:rPr>
                <w:sz w:val="22"/>
                <w:szCs w:val="22"/>
              </w:rPr>
            </w:pPr>
            <w:r w:rsidRPr="00815F10">
              <w:rPr>
                <w:sz w:val="22"/>
                <w:szCs w:val="22"/>
              </w:rPr>
              <w:t>8,3</w:t>
            </w:r>
          </w:p>
        </w:tc>
        <w:tc>
          <w:tcPr>
            <w:tcW w:w="1405" w:type="dxa"/>
            <w:vAlign w:val="bottom"/>
          </w:tcPr>
          <w:p w:rsidR="004B6A68" w:rsidRPr="00815F10" w:rsidRDefault="004B6A68" w:rsidP="004B6A68">
            <w:pPr>
              <w:pStyle w:val="2"/>
              <w:widowControl/>
              <w:ind w:firstLine="0"/>
              <w:jc w:val="center"/>
              <w:rPr>
                <w:sz w:val="22"/>
                <w:szCs w:val="22"/>
              </w:rPr>
            </w:pPr>
            <w:r w:rsidRPr="00815F10">
              <w:rPr>
                <w:sz w:val="22"/>
                <w:szCs w:val="22"/>
              </w:rPr>
              <w:t>5,0</w:t>
            </w:r>
          </w:p>
        </w:tc>
        <w:tc>
          <w:tcPr>
            <w:tcW w:w="1404" w:type="dxa"/>
            <w:vAlign w:val="bottom"/>
          </w:tcPr>
          <w:p w:rsidR="004B6A68" w:rsidRPr="00815F10" w:rsidRDefault="004B6A68" w:rsidP="004B6A68">
            <w:pPr>
              <w:pStyle w:val="2"/>
              <w:widowControl/>
              <w:ind w:firstLine="0"/>
              <w:jc w:val="center"/>
              <w:rPr>
                <w:sz w:val="22"/>
                <w:szCs w:val="22"/>
              </w:rPr>
            </w:pPr>
            <w:r w:rsidRPr="00815F10">
              <w:rPr>
                <w:sz w:val="22"/>
                <w:szCs w:val="22"/>
              </w:rPr>
              <w:t>17 486,0</w:t>
            </w:r>
          </w:p>
        </w:tc>
        <w:tc>
          <w:tcPr>
            <w:tcW w:w="1405" w:type="dxa"/>
            <w:vAlign w:val="bottom"/>
          </w:tcPr>
          <w:p w:rsidR="004B6A68" w:rsidRPr="00815F10" w:rsidRDefault="004B6A68" w:rsidP="004B6A68">
            <w:pPr>
              <w:pStyle w:val="2"/>
              <w:widowControl/>
              <w:ind w:firstLine="0"/>
              <w:jc w:val="center"/>
              <w:rPr>
                <w:sz w:val="22"/>
                <w:szCs w:val="22"/>
              </w:rPr>
            </w:pPr>
            <w:r w:rsidRPr="00815F10">
              <w:rPr>
                <w:sz w:val="22"/>
                <w:szCs w:val="22"/>
              </w:rPr>
              <w:t>18090,6</w:t>
            </w:r>
          </w:p>
        </w:tc>
        <w:tc>
          <w:tcPr>
            <w:tcW w:w="1629" w:type="dxa"/>
            <w:vAlign w:val="bottom"/>
          </w:tcPr>
          <w:p w:rsidR="004B6A68" w:rsidRPr="00815F10" w:rsidRDefault="004B6A68" w:rsidP="004B6A68">
            <w:pPr>
              <w:pStyle w:val="2"/>
              <w:widowControl/>
              <w:ind w:firstLine="0"/>
              <w:jc w:val="center"/>
              <w:rPr>
                <w:sz w:val="22"/>
                <w:szCs w:val="22"/>
              </w:rPr>
            </w:pPr>
            <w:r w:rsidRPr="00815F10">
              <w:rPr>
                <w:sz w:val="22"/>
                <w:szCs w:val="22"/>
              </w:rPr>
              <w:t>103,5</w:t>
            </w:r>
          </w:p>
        </w:tc>
      </w:tr>
      <w:tr w:rsidR="004B6A68" w:rsidRPr="00815F10" w:rsidTr="004B6A68">
        <w:trPr>
          <w:trHeight w:val="286"/>
        </w:trPr>
        <w:tc>
          <w:tcPr>
            <w:tcW w:w="2495" w:type="dxa"/>
          </w:tcPr>
          <w:p w:rsidR="004B6A68" w:rsidRPr="00815F10" w:rsidRDefault="004B6A68" w:rsidP="004B6A68">
            <w:pPr>
              <w:pStyle w:val="2"/>
              <w:widowControl/>
              <w:ind w:firstLine="0"/>
              <w:rPr>
                <w:sz w:val="22"/>
                <w:szCs w:val="22"/>
              </w:rPr>
            </w:pPr>
            <w:r w:rsidRPr="00815F10">
              <w:rPr>
                <w:sz w:val="22"/>
                <w:szCs w:val="22"/>
              </w:rPr>
              <w:t>Одежда</w:t>
            </w:r>
          </w:p>
        </w:tc>
        <w:tc>
          <w:tcPr>
            <w:tcW w:w="1545" w:type="dxa"/>
            <w:vAlign w:val="bottom"/>
          </w:tcPr>
          <w:p w:rsidR="004B6A68" w:rsidRPr="00815F10" w:rsidRDefault="004B6A68" w:rsidP="004B6A68">
            <w:pPr>
              <w:pStyle w:val="2"/>
              <w:widowControl/>
              <w:ind w:firstLine="0"/>
              <w:jc w:val="center"/>
              <w:rPr>
                <w:sz w:val="22"/>
                <w:szCs w:val="22"/>
              </w:rPr>
            </w:pPr>
            <w:r w:rsidRPr="00815F10">
              <w:rPr>
                <w:sz w:val="22"/>
                <w:szCs w:val="22"/>
              </w:rPr>
              <w:t>3,0</w:t>
            </w:r>
          </w:p>
        </w:tc>
        <w:tc>
          <w:tcPr>
            <w:tcW w:w="1405" w:type="dxa"/>
            <w:vAlign w:val="bottom"/>
          </w:tcPr>
          <w:p w:rsidR="004B6A68" w:rsidRPr="00815F10" w:rsidRDefault="004B6A68" w:rsidP="004B6A68">
            <w:pPr>
              <w:pStyle w:val="2"/>
              <w:widowControl/>
              <w:ind w:firstLine="0"/>
              <w:jc w:val="center"/>
              <w:rPr>
                <w:sz w:val="22"/>
                <w:szCs w:val="22"/>
              </w:rPr>
            </w:pPr>
            <w:r w:rsidRPr="00815F10">
              <w:rPr>
                <w:sz w:val="22"/>
                <w:szCs w:val="22"/>
              </w:rPr>
              <w:t>2,1</w:t>
            </w:r>
          </w:p>
        </w:tc>
        <w:tc>
          <w:tcPr>
            <w:tcW w:w="1404" w:type="dxa"/>
            <w:vAlign w:val="bottom"/>
          </w:tcPr>
          <w:p w:rsidR="004B6A68" w:rsidRPr="00815F10" w:rsidRDefault="004B6A68" w:rsidP="004B6A68">
            <w:pPr>
              <w:pStyle w:val="2"/>
              <w:widowControl/>
              <w:ind w:firstLine="0"/>
              <w:jc w:val="center"/>
              <w:rPr>
                <w:sz w:val="22"/>
                <w:szCs w:val="22"/>
              </w:rPr>
            </w:pPr>
            <w:r w:rsidRPr="00815F10">
              <w:rPr>
                <w:sz w:val="22"/>
                <w:szCs w:val="22"/>
              </w:rPr>
              <w:t>6 355,2</w:t>
            </w:r>
          </w:p>
        </w:tc>
        <w:tc>
          <w:tcPr>
            <w:tcW w:w="1405" w:type="dxa"/>
            <w:vAlign w:val="bottom"/>
          </w:tcPr>
          <w:p w:rsidR="004B6A68" w:rsidRPr="00815F10" w:rsidRDefault="004B6A68" w:rsidP="004B6A68">
            <w:pPr>
              <w:pStyle w:val="2"/>
              <w:widowControl/>
              <w:ind w:firstLine="0"/>
              <w:jc w:val="center"/>
              <w:rPr>
                <w:sz w:val="22"/>
                <w:szCs w:val="22"/>
              </w:rPr>
            </w:pPr>
            <w:r w:rsidRPr="00815F10">
              <w:rPr>
                <w:sz w:val="22"/>
                <w:szCs w:val="22"/>
              </w:rPr>
              <w:t>7 726,1</w:t>
            </w:r>
          </w:p>
        </w:tc>
        <w:tc>
          <w:tcPr>
            <w:tcW w:w="1629" w:type="dxa"/>
            <w:vAlign w:val="bottom"/>
          </w:tcPr>
          <w:p w:rsidR="004B6A68" w:rsidRPr="00815F10" w:rsidRDefault="004B6A68" w:rsidP="004B6A68">
            <w:pPr>
              <w:pStyle w:val="2"/>
              <w:widowControl/>
              <w:ind w:firstLine="0"/>
              <w:jc w:val="center"/>
              <w:rPr>
                <w:sz w:val="22"/>
                <w:szCs w:val="22"/>
              </w:rPr>
            </w:pPr>
            <w:r w:rsidRPr="00815F10">
              <w:rPr>
                <w:sz w:val="22"/>
                <w:szCs w:val="22"/>
              </w:rPr>
              <w:t>121,6</w:t>
            </w:r>
          </w:p>
        </w:tc>
      </w:tr>
      <w:tr w:rsidR="004B6A68" w:rsidRPr="00815F10" w:rsidTr="004B6A68">
        <w:trPr>
          <w:trHeight w:val="226"/>
        </w:trPr>
        <w:tc>
          <w:tcPr>
            <w:tcW w:w="2495" w:type="dxa"/>
          </w:tcPr>
          <w:p w:rsidR="004B6A68" w:rsidRPr="00815F10" w:rsidRDefault="004B6A68" w:rsidP="004B6A68">
            <w:pPr>
              <w:pStyle w:val="2"/>
              <w:widowControl/>
              <w:ind w:firstLine="0"/>
              <w:rPr>
                <w:sz w:val="22"/>
                <w:szCs w:val="22"/>
              </w:rPr>
            </w:pPr>
            <w:r w:rsidRPr="00815F10">
              <w:rPr>
                <w:sz w:val="22"/>
                <w:szCs w:val="22"/>
              </w:rPr>
              <w:t>Текстильные изделия</w:t>
            </w:r>
          </w:p>
        </w:tc>
        <w:tc>
          <w:tcPr>
            <w:tcW w:w="1545" w:type="dxa"/>
          </w:tcPr>
          <w:p w:rsidR="004B6A68" w:rsidRPr="00815F10" w:rsidRDefault="004B6A68" w:rsidP="004B6A68">
            <w:pPr>
              <w:pStyle w:val="2"/>
              <w:widowControl/>
              <w:ind w:firstLine="0"/>
              <w:jc w:val="center"/>
              <w:rPr>
                <w:sz w:val="22"/>
                <w:szCs w:val="22"/>
              </w:rPr>
            </w:pPr>
            <w:r w:rsidRPr="00815F10">
              <w:rPr>
                <w:sz w:val="22"/>
                <w:szCs w:val="22"/>
              </w:rPr>
              <w:t>9,4</w:t>
            </w:r>
          </w:p>
        </w:tc>
        <w:tc>
          <w:tcPr>
            <w:tcW w:w="1405" w:type="dxa"/>
          </w:tcPr>
          <w:p w:rsidR="004B6A68" w:rsidRPr="00815F10" w:rsidRDefault="004B6A68" w:rsidP="004B6A68">
            <w:pPr>
              <w:pStyle w:val="2"/>
              <w:widowControl/>
              <w:ind w:firstLine="0"/>
              <w:jc w:val="center"/>
              <w:rPr>
                <w:sz w:val="22"/>
                <w:szCs w:val="22"/>
              </w:rPr>
            </w:pPr>
            <w:r w:rsidRPr="00815F10">
              <w:rPr>
                <w:sz w:val="22"/>
                <w:szCs w:val="22"/>
              </w:rPr>
              <w:t>5,3</w:t>
            </w:r>
          </w:p>
        </w:tc>
        <w:tc>
          <w:tcPr>
            <w:tcW w:w="1404" w:type="dxa"/>
          </w:tcPr>
          <w:p w:rsidR="004B6A68" w:rsidRPr="00815F10" w:rsidRDefault="004B6A68" w:rsidP="004B6A68">
            <w:pPr>
              <w:pStyle w:val="2"/>
              <w:widowControl/>
              <w:ind w:firstLine="0"/>
              <w:jc w:val="center"/>
              <w:rPr>
                <w:sz w:val="22"/>
                <w:szCs w:val="22"/>
              </w:rPr>
            </w:pPr>
            <w:r w:rsidRPr="00815F10">
              <w:rPr>
                <w:sz w:val="22"/>
                <w:szCs w:val="22"/>
              </w:rPr>
              <w:t>19 807,3</w:t>
            </w:r>
          </w:p>
        </w:tc>
        <w:tc>
          <w:tcPr>
            <w:tcW w:w="1405" w:type="dxa"/>
          </w:tcPr>
          <w:p w:rsidR="004B6A68" w:rsidRPr="00815F10" w:rsidRDefault="004B6A68" w:rsidP="004B6A68">
            <w:pPr>
              <w:pStyle w:val="2"/>
              <w:widowControl/>
              <w:ind w:firstLine="0"/>
              <w:jc w:val="center"/>
              <w:rPr>
                <w:sz w:val="22"/>
                <w:szCs w:val="22"/>
              </w:rPr>
            </w:pPr>
            <w:r w:rsidRPr="00815F10">
              <w:rPr>
                <w:sz w:val="22"/>
                <w:szCs w:val="22"/>
              </w:rPr>
              <w:t>19 096,3</w:t>
            </w:r>
          </w:p>
        </w:tc>
        <w:tc>
          <w:tcPr>
            <w:tcW w:w="1629" w:type="dxa"/>
          </w:tcPr>
          <w:p w:rsidR="004B6A68" w:rsidRPr="00815F10" w:rsidRDefault="004B6A68" w:rsidP="004B6A68">
            <w:pPr>
              <w:pStyle w:val="2"/>
              <w:widowControl/>
              <w:ind w:firstLine="0"/>
              <w:jc w:val="center"/>
              <w:rPr>
                <w:sz w:val="22"/>
                <w:szCs w:val="22"/>
              </w:rPr>
            </w:pPr>
            <w:r w:rsidRPr="00815F10">
              <w:rPr>
                <w:sz w:val="22"/>
                <w:szCs w:val="22"/>
              </w:rPr>
              <w:t>96,4</w:t>
            </w:r>
          </w:p>
        </w:tc>
      </w:tr>
      <w:tr w:rsidR="004B6A68" w:rsidRPr="00815F10" w:rsidTr="004B6A68">
        <w:trPr>
          <w:trHeight w:val="230"/>
        </w:trPr>
        <w:tc>
          <w:tcPr>
            <w:tcW w:w="2495" w:type="dxa"/>
          </w:tcPr>
          <w:p w:rsidR="004B6A68" w:rsidRPr="00815F10" w:rsidRDefault="004B6A68" w:rsidP="004B6A68">
            <w:pPr>
              <w:pStyle w:val="2"/>
              <w:widowControl/>
              <w:ind w:firstLine="0"/>
              <w:rPr>
                <w:sz w:val="22"/>
                <w:szCs w:val="22"/>
              </w:rPr>
            </w:pPr>
            <w:r w:rsidRPr="00815F10">
              <w:rPr>
                <w:sz w:val="22"/>
                <w:szCs w:val="22"/>
              </w:rPr>
              <w:t>Обувь и части обуви</w:t>
            </w:r>
          </w:p>
        </w:tc>
        <w:tc>
          <w:tcPr>
            <w:tcW w:w="1545" w:type="dxa"/>
          </w:tcPr>
          <w:p w:rsidR="004B6A68" w:rsidRPr="00815F10" w:rsidRDefault="004B6A68" w:rsidP="004B6A68">
            <w:pPr>
              <w:pStyle w:val="2"/>
              <w:widowControl/>
              <w:ind w:firstLine="0"/>
              <w:jc w:val="center"/>
              <w:rPr>
                <w:sz w:val="22"/>
                <w:szCs w:val="22"/>
              </w:rPr>
            </w:pPr>
            <w:r w:rsidRPr="00815F10">
              <w:rPr>
                <w:sz w:val="22"/>
                <w:szCs w:val="22"/>
              </w:rPr>
              <w:t>10,1</w:t>
            </w:r>
          </w:p>
        </w:tc>
        <w:tc>
          <w:tcPr>
            <w:tcW w:w="1405" w:type="dxa"/>
          </w:tcPr>
          <w:p w:rsidR="004B6A68" w:rsidRPr="00815F10" w:rsidRDefault="004B6A68" w:rsidP="004B6A68">
            <w:pPr>
              <w:pStyle w:val="2"/>
              <w:widowControl/>
              <w:ind w:firstLine="0"/>
              <w:jc w:val="center"/>
              <w:rPr>
                <w:sz w:val="22"/>
                <w:szCs w:val="22"/>
              </w:rPr>
            </w:pPr>
            <w:r w:rsidRPr="00815F10">
              <w:rPr>
                <w:sz w:val="22"/>
                <w:szCs w:val="22"/>
              </w:rPr>
              <w:t>6,5</w:t>
            </w:r>
          </w:p>
        </w:tc>
        <w:tc>
          <w:tcPr>
            <w:tcW w:w="1404" w:type="dxa"/>
          </w:tcPr>
          <w:p w:rsidR="004B6A68" w:rsidRPr="00815F10" w:rsidRDefault="004B6A68" w:rsidP="004B6A68">
            <w:pPr>
              <w:pStyle w:val="2"/>
              <w:widowControl/>
              <w:ind w:firstLine="0"/>
              <w:jc w:val="center"/>
              <w:rPr>
                <w:sz w:val="22"/>
                <w:szCs w:val="22"/>
              </w:rPr>
            </w:pPr>
            <w:r w:rsidRPr="00815F10">
              <w:rPr>
                <w:sz w:val="22"/>
                <w:szCs w:val="22"/>
              </w:rPr>
              <w:t>21 350,4</w:t>
            </w:r>
          </w:p>
        </w:tc>
        <w:tc>
          <w:tcPr>
            <w:tcW w:w="1405" w:type="dxa"/>
          </w:tcPr>
          <w:p w:rsidR="004B6A68" w:rsidRPr="00815F10" w:rsidRDefault="004B6A68" w:rsidP="004B6A68">
            <w:pPr>
              <w:pStyle w:val="2"/>
              <w:widowControl/>
              <w:ind w:firstLine="0"/>
              <w:jc w:val="center"/>
              <w:rPr>
                <w:sz w:val="22"/>
                <w:szCs w:val="22"/>
              </w:rPr>
            </w:pPr>
            <w:r w:rsidRPr="00815F10">
              <w:rPr>
                <w:sz w:val="22"/>
                <w:szCs w:val="22"/>
              </w:rPr>
              <w:t>23 723,7</w:t>
            </w:r>
          </w:p>
        </w:tc>
        <w:tc>
          <w:tcPr>
            <w:tcW w:w="1629" w:type="dxa"/>
          </w:tcPr>
          <w:p w:rsidR="004B6A68" w:rsidRPr="00815F10" w:rsidRDefault="004B6A68" w:rsidP="004B6A68">
            <w:pPr>
              <w:pStyle w:val="2"/>
              <w:widowControl/>
              <w:ind w:firstLine="0"/>
              <w:jc w:val="center"/>
              <w:rPr>
                <w:sz w:val="22"/>
                <w:szCs w:val="22"/>
              </w:rPr>
            </w:pPr>
            <w:r w:rsidRPr="00815F10">
              <w:rPr>
                <w:sz w:val="22"/>
                <w:szCs w:val="22"/>
              </w:rPr>
              <w:t>111,1</w:t>
            </w:r>
          </w:p>
        </w:tc>
      </w:tr>
    </w:tbl>
    <w:p w:rsidR="004B6A68" w:rsidRPr="009346DF" w:rsidRDefault="004B6A68" w:rsidP="004B6A68">
      <w:pPr>
        <w:autoSpaceDE w:val="0"/>
        <w:autoSpaceDN w:val="0"/>
        <w:adjustRightInd w:val="0"/>
        <w:spacing w:after="0" w:line="240" w:lineRule="auto"/>
        <w:ind w:firstLine="708"/>
        <w:jc w:val="both"/>
        <w:rPr>
          <w:rFonts w:ascii="Times New Roman" w:hAnsi="Times New Roman"/>
          <w:sz w:val="24"/>
          <w:szCs w:val="24"/>
        </w:rPr>
      </w:pPr>
      <w:r w:rsidRPr="009346DF">
        <w:rPr>
          <w:rFonts w:ascii="Times New Roman" w:hAnsi="Times New Roman"/>
          <w:sz w:val="24"/>
          <w:szCs w:val="24"/>
        </w:rPr>
        <w:t xml:space="preserve">Активной динамикой роста в рассматриваемом периоде также характеризовался экспорт продовольственных товаров и сырья, совокупный объем которых вырос по отношению к аналогичному периоду 2013 года на 47,7%, но при этом их долевое участие в структуре экспорта сократилось на 2,0 процентных пункта до 12,8%. </w:t>
      </w:r>
    </w:p>
    <w:p w:rsidR="004B6A68" w:rsidRPr="00C07037" w:rsidRDefault="004B6A68" w:rsidP="004B6A68">
      <w:pPr>
        <w:pStyle w:val="a4"/>
        <w:jc w:val="right"/>
      </w:pPr>
      <w:r>
        <w:t>Таблица №1</w:t>
      </w:r>
      <w:r w:rsidR="00815F10">
        <w:t>4</w:t>
      </w:r>
    </w:p>
    <w:p w:rsidR="004B6A68" w:rsidRPr="00C07037" w:rsidRDefault="004B6A68" w:rsidP="004B6A68">
      <w:pPr>
        <w:pStyle w:val="2"/>
        <w:widowControl/>
        <w:jc w:val="center"/>
        <w:rPr>
          <w:b/>
          <w:sz w:val="24"/>
          <w:szCs w:val="24"/>
        </w:rPr>
      </w:pPr>
      <w:r w:rsidRPr="00C07037">
        <w:rPr>
          <w:b/>
          <w:sz w:val="24"/>
          <w:szCs w:val="24"/>
        </w:rPr>
        <w:t>Показатели экспорта по отрасли</w:t>
      </w:r>
    </w:p>
    <w:p w:rsidR="004B6A68" w:rsidRPr="00C07037" w:rsidRDefault="004B6A68" w:rsidP="004B6A68">
      <w:pPr>
        <w:pStyle w:val="2"/>
        <w:widowControl/>
        <w:jc w:val="center"/>
        <w:rPr>
          <w:b/>
          <w:sz w:val="24"/>
          <w:szCs w:val="24"/>
        </w:rPr>
      </w:pPr>
      <w:r w:rsidRPr="00C07037">
        <w:rPr>
          <w:b/>
          <w:sz w:val="24"/>
          <w:szCs w:val="24"/>
        </w:rPr>
        <w:t>«Продовольственные товары и сырье» (основные группы)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1417"/>
        <w:gridCol w:w="1418"/>
        <w:gridCol w:w="1328"/>
        <w:gridCol w:w="1365"/>
        <w:gridCol w:w="1559"/>
      </w:tblGrid>
      <w:tr w:rsidR="004B6A68" w:rsidRPr="00815F10" w:rsidTr="004B6A68">
        <w:trPr>
          <w:trHeight w:val="841"/>
        </w:trPr>
        <w:tc>
          <w:tcPr>
            <w:tcW w:w="2552" w:type="dxa"/>
            <w:vMerge w:val="restart"/>
            <w:vAlign w:val="center"/>
          </w:tcPr>
          <w:p w:rsidR="004B6A68" w:rsidRPr="00815F10" w:rsidRDefault="004B6A68" w:rsidP="004B6A68">
            <w:pPr>
              <w:pStyle w:val="2"/>
              <w:widowControl/>
              <w:ind w:right="-108" w:firstLine="0"/>
              <w:jc w:val="center"/>
              <w:rPr>
                <w:sz w:val="22"/>
                <w:szCs w:val="22"/>
              </w:rPr>
            </w:pPr>
            <w:r w:rsidRPr="00815F10">
              <w:rPr>
                <w:sz w:val="22"/>
                <w:szCs w:val="22"/>
              </w:rPr>
              <w:t xml:space="preserve">Наименование товарной группы </w:t>
            </w:r>
          </w:p>
        </w:tc>
        <w:tc>
          <w:tcPr>
            <w:tcW w:w="2835" w:type="dxa"/>
            <w:gridSpan w:val="2"/>
            <w:vAlign w:val="bottom"/>
          </w:tcPr>
          <w:p w:rsidR="004B6A68" w:rsidRPr="00815F10" w:rsidRDefault="004B6A68" w:rsidP="004B6A68">
            <w:pPr>
              <w:jc w:val="center"/>
              <w:rPr>
                <w:rFonts w:ascii="Times New Roman" w:hAnsi="Times New Roman"/>
              </w:rPr>
            </w:pPr>
            <w:r w:rsidRPr="00815F10">
              <w:rPr>
                <w:rFonts w:ascii="Times New Roman" w:hAnsi="Times New Roman"/>
              </w:rPr>
              <w:t>Уд. вес. в стоимостной структуре, %</w:t>
            </w:r>
          </w:p>
        </w:tc>
        <w:tc>
          <w:tcPr>
            <w:tcW w:w="2693" w:type="dxa"/>
            <w:gridSpan w:val="2"/>
          </w:tcPr>
          <w:p w:rsidR="004B6A68" w:rsidRPr="00815F10" w:rsidRDefault="004B6A68" w:rsidP="004B6A68">
            <w:pPr>
              <w:pStyle w:val="2"/>
              <w:widowControl/>
              <w:ind w:firstLine="0"/>
              <w:jc w:val="center"/>
              <w:rPr>
                <w:bCs/>
                <w:sz w:val="22"/>
                <w:szCs w:val="22"/>
              </w:rPr>
            </w:pPr>
            <w:r w:rsidRPr="00815F10">
              <w:rPr>
                <w:bCs/>
                <w:sz w:val="22"/>
                <w:szCs w:val="22"/>
              </w:rPr>
              <w:t>Фактическая стоимость, тыс. долл. США</w:t>
            </w:r>
          </w:p>
        </w:tc>
        <w:tc>
          <w:tcPr>
            <w:tcW w:w="1559" w:type="dxa"/>
            <w:vMerge w:val="restart"/>
            <w:vAlign w:val="center"/>
          </w:tcPr>
          <w:p w:rsidR="004B6A68" w:rsidRPr="00815F10" w:rsidRDefault="004B6A68" w:rsidP="004B6A68">
            <w:pPr>
              <w:pStyle w:val="2"/>
              <w:widowControl/>
              <w:ind w:firstLine="0"/>
              <w:jc w:val="center"/>
              <w:rPr>
                <w:bCs/>
                <w:sz w:val="22"/>
                <w:szCs w:val="22"/>
              </w:rPr>
            </w:pPr>
            <w:r w:rsidRPr="00815F10">
              <w:rPr>
                <w:bCs/>
                <w:sz w:val="22"/>
                <w:szCs w:val="22"/>
              </w:rPr>
              <w:t>Темп роста январь-июнь 2014 г. к</w:t>
            </w:r>
          </w:p>
          <w:p w:rsidR="004B6A68" w:rsidRPr="00815F10" w:rsidRDefault="004B6A68" w:rsidP="004B6A68">
            <w:pPr>
              <w:pStyle w:val="2"/>
              <w:widowControl/>
              <w:ind w:firstLine="0"/>
              <w:jc w:val="center"/>
              <w:rPr>
                <w:bCs/>
                <w:sz w:val="22"/>
                <w:szCs w:val="22"/>
              </w:rPr>
            </w:pPr>
            <w:r w:rsidRPr="00815F10">
              <w:rPr>
                <w:bCs/>
                <w:sz w:val="22"/>
                <w:szCs w:val="22"/>
              </w:rPr>
              <w:t>январю-июню 2013 г., %</w:t>
            </w:r>
          </w:p>
        </w:tc>
      </w:tr>
      <w:tr w:rsidR="004B6A68" w:rsidRPr="00815F10" w:rsidTr="004B6A68">
        <w:trPr>
          <w:trHeight w:val="297"/>
        </w:trPr>
        <w:tc>
          <w:tcPr>
            <w:tcW w:w="2552" w:type="dxa"/>
            <w:vMerge/>
            <w:vAlign w:val="center"/>
          </w:tcPr>
          <w:p w:rsidR="004B6A68" w:rsidRPr="00815F10" w:rsidRDefault="004B6A68" w:rsidP="004B6A68">
            <w:pPr>
              <w:pStyle w:val="2"/>
              <w:widowControl/>
              <w:ind w:firstLine="0"/>
              <w:jc w:val="center"/>
              <w:rPr>
                <w:sz w:val="22"/>
                <w:szCs w:val="22"/>
              </w:rPr>
            </w:pPr>
          </w:p>
        </w:tc>
        <w:tc>
          <w:tcPr>
            <w:tcW w:w="1417" w:type="dxa"/>
            <w:vAlign w:val="center"/>
          </w:tcPr>
          <w:p w:rsidR="004B6A68" w:rsidRPr="00815F10" w:rsidRDefault="004B6A68" w:rsidP="004B6A68">
            <w:pPr>
              <w:pStyle w:val="2"/>
              <w:widowControl/>
              <w:ind w:left="-108" w:right="-108" w:firstLine="0"/>
              <w:jc w:val="center"/>
              <w:rPr>
                <w:sz w:val="22"/>
                <w:szCs w:val="22"/>
              </w:rPr>
            </w:pPr>
            <w:r w:rsidRPr="00815F10">
              <w:rPr>
                <w:sz w:val="22"/>
                <w:szCs w:val="22"/>
              </w:rPr>
              <w:t>январь-июнь 2013 г.</w:t>
            </w:r>
          </w:p>
        </w:tc>
        <w:tc>
          <w:tcPr>
            <w:tcW w:w="1418" w:type="dxa"/>
            <w:vAlign w:val="center"/>
          </w:tcPr>
          <w:p w:rsidR="004B6A68" w:rsidRPr="00815F10" w:rsidRDefault="004B6A68" w:rsidP="004B6A68">
            <w:pPr>
              <w:pStyle w:val="2"/>
              <w:widowControl/>
              <w:ind w:left="-108" w:right="-108" w:firstLine="0"/>
              <w:jc w:val="center"/>
              <w:rPr>
                <w:sz w:val="22"/>
                <w:szCs w:val="22"/>
              </w:rPr>
            </w:pPr>
            <w:r w:rsidRPr="00815F10">
              <w:rPr>
                <w:sz w:val="22"/>
                <w:szCs w:val="22"/>
              </w:rPr>
              <w:t>январь-июнь 2014 г.</w:t>
            </w:r>
          </w:p>
        </w:tc>
        <w:tc>
          <w:tcPr>
            <w:tcW w:w="1328" w:type="dxa"/>
            <w:vAlign w:val="center"/>
          </w:tcPr>
          <w:p w:rsidR="004B6A68" w:rsidRPr="00815F10" w:rsidRDefault="004B6A68" w:rsidP="004B6A68">
            <w:pPr>
              <w:pStyle w:val="2"/>
              <w:widowControl/>
              <w:ind w:left="-108" w:right="-108" w:firstLine="0"/>
              <w:jc w:val="center"/>
              <w:rPr>
                <w:sz w:val="22"/>
                <w:szCs w:val="22"/>
              </w:rPr>
            </w:pPr>
            <w:r w:rsidRPr="00815F10">
              <w:rPr>
                <w:sz w:val="22"/>
                <w:szCs w:val="22"/>
              </w:rPr>
              <w:t>январь-июнь 2013 г.</w:t>
            </w:r>
          </w:p>
        </w:tc>
        <w:tc>
          <w:tcPr>
            <w:tcW w:w="1365" w:type="dxa"/>
            <w:vAlign w:val="center"/>
          </w:tcPr>
          <w:p w:rsidR="004B6A68" w:rsidRPr="00815F10" w:rsidRDefault="004B6A68" w:rsidP="004B6A68">
            <w:pPr>
              <w:pStyle w:val="2"/>
              <w:widowControl/>
              <w:ind w:left="-108" w:right="-108" w:firstLine="0"/>
              <w:jc w:val="center"/>
              <w:rPr>
                <w:sz w:val="22"/>
                <w:szCs w:val="22"/>
              </w:rPr>
            </w:pPr>
            <w:r w:rsidRPr="00815F10">
              <w:rPr>
                <w:sz w:val="22"/>
                <w:szCs w:val="22"/>
              </w:rPr>
              <w:t>январь-июнь 2014 г.</w:t>
            </w:r>
          </w:p>
        </w:tc>
        <w:tc>
          <w:tcPr>
            <w:tcW w:w="1559" w:type="dxa"/>
            <w:vMerge/>
            <w:vAlign w:val="bottom"/>
          </w:tcPr>
          <w:p w:rsidR="004B6A68" w:rsidRPr="00815F10" w:rsidRDefault="004B6A68" w:rsidP="004B6A68">
            <w:pPr>
              <w:pStyle w:val="2"/>
              <w:widowControl/>
              <w:ind w:left="-108" w:right="-108" w:firstLine="0"/>
              <w:jc w:val="center"/>
              <w:rPr>
                <w:sz w:val="22"/>
                <w:szCs w:val="22"/>
              </w:rPr>
            </w:pPr>
          </w:p>
        </w:tc>
      </w:tr>
      <w:tr w:rsidR="004B6A68" w:rsidRPr="00815F10" w:rsidTr="004B6A68">
        <w:trPr>
          <w:trHeight w:val="571"/>
        </w:trPr>
        <w:tc>
          <w:tcPr>
            <w:tcW w:w="2552" w:type="dxa"/>
            <w:vAlign w:val="bottom"/>
          </w:tcPr>
          <w:p w:rsidR="004B6A68" w:rsidRPr="00815F10" w:rsidRDefault="004B6A68" w:rsidP="004B6A68">
            <w:pPr>
              <w:pStyle w:val="2"/>
              <w:widowControl/>
              <w:ind w:firstLine="0"/>
              <w:jc w:val="left"/>
              <w:rPr>
                <w:sz w:val="22"/>
                <w:szCs w:val="22"/>
              </w:rPr>
            </w:pPr>
            <w:r w:rsidRPr="00815F10">
              <w:rPr>
                <w:b/>
                <w:sz w:val="22"/>
                <w:szCs w:val="22"/>
              </w:rPr>
              <w:t>Продовольственные товары и сырье,</w:t>
            </w:r>
            <w:r w:rsidRPr="00815F10">
              <w:rPr>
                <w:b/>
                <w:i/>
                <w:sz w:val="22"/>
                <w:szCs w:val="22"/>
              </w:rPr>
              <w:t xml:space="preserve"> всего</w:t>
            </w:r>
          </w:p>
        </w:tc>
        <w:tc>
          <w:tcPr>
            <w:tcW w:w="1417" w:type="dxa"/>
            <w:vAlign w:val="bottom"/>
          </w:tcPr>
          <w:p w:rsidR="004B6A68" w:rsidRPr="00815F10" w:rsidRDefault="004B6A68" w:rsidP="004B6A68">
            <w:pPr>
              <w:pStyle w:val="2"/>
              <w:widowControl/>
              <w:ind w:left="-108" w:right="-108" w:firstLine="0"/>
              <w:jc w:val="center"/>
              <w:rPr>
                <w:b/>
                <w:sz w:val="22"/>
                <w:szCs w:val="22"/>
              </w:rPr>
            </w:pPr>
            <w:r w:rsidRPr="00815F10">
              <w:rPr>
                <w:b/>
                <w:sz w:val="22"/>
                <w:szCs w:val="22"/>
              </w:rPr>
              <w:t>14,8</w:t>
            </w:r>
          </w:p>
        </w:tc>
        <w:tc>
          <w:tcPr>
            <w:tcW w:w="1418" w:type="dxa"/>
            <w:vAlign w:val="bottom"/>
          </w:tcPr>
          <w:p w:rsidR="004B6A68" w:rsidRPr="00815F10" w:rsidRDefault="004B6A68" w:rsidP="004B6A68">
            <w:pPr>
              <w:pStyle w:val="2"/>
              <w:widowControl/>
              <w:ind w:left="-108" w:right="-108" w:firstLine="0"/>
              <w:jc w:val="center"/>
              <w:rPr>
                <w:b/>
                <w:sz w:val="22"/>
                <w:szCs w:val="22"/>
              </w:rPr>
            </w:pPr>
            <w:r w:rsidRPr="00815F10">
              <w:rPr>
                <w:b/>
                <w:sz w:val="22"/>
                <w:szCs w:val="22"/>
              </w:rPr>
              <w:t>12,8</w:t>
            </w:r>
          </w:p>
        </w:tc>
        <w:tc>
          <w:tcPr>
            <w:tcW w:w="1328" w:type="dxa"/>
            <w:vAlign w:val="bottom"/>
          </w:tcPr>
          <w:p w:rsidR="004B6A68" w:rsidRPr="00815F10" w:rsidRDefault="004B6A68" w:rsidP="004B6A68">
            <w:pPr>
              <w:pStyle w:val="2"/>
              <w:widowControl/>
              <w:ind w:left="-108" w:right="-108" w:firstLine="0"/>
              <w:jc w:val="center"/>
              <w:rPr>
                <w:b/>
                <w:sz w:val="22"/>
                <w:szCs w:val="22"/>
              </w:rPr>
            </w:pPr>
            <w:r w:rsidRPr="00815F10">
              <w:rPr>
                <w:b/>
                <w:sz w:val="22"/>
                <w:szCs w:val="22"/>
              </w:rPr>
              <w:t>31 348,8</w:t>
            </w:r>
          </w:p>
        </w:tc>
        <w:tc>
          <w:tcPr>
            <w:tcW w:w="1365" w:type="dxa"/>
            <w:vAlign w:val="bottom"/>
          </w:tcPr>
          <w:p w:rsidR="004B6A68" w:rsidRPr="00815F10" w:rsidRDefault="004B6A68" w:rsidP="004B6A68">
            <w:pPr>
              <w:pStyle w:val="2"/>
              <w:widowControl/>
              <w:ind w:left="-108" w:right="-108" w:firstLine="0"/>
              <w:jc w:val="center"/>
              <w:rPr>
                <w:b/>
                <w:sz w:val="22"/>
                <w:szCs w:val="22"/>
              </w:rPr>
            </w:pPr>
            <w:r w:rsidRPr="00815F10">
              <w:rPr>
                <w:b/>
                <w:sz w:val="22"/>
                <w:szCs w:val="22"/>
              </w:rPr>
              <w:t>46 313,7</w:t>
            </w:r>
          </w:p>
        </w:tc>
        <w:tc>
          <w:tcPr>
            <w:tcW w:w="1559" w:type="dxa"/>
            <w:vAlign w:val="bottom"/>
          </w:tcPr>
          <w:p w:rsidR="004B6A68" w:rsidRPr="00815F10" w:rsidRDefault="004B6A68" w:rsidP="004B6A68">
            <w:pPr>
              <w:pStyle w:val="2"/>
              <w:widowControl/>
              <w:ind w:left="-108" w:right="-108" w:firstLine="0"/>
              <w:jc w:val="center"/>
              <w:rPr>
                <w:b/>
                <w:sz w:val="22"/>
                <w:szCs w:val="22"/>
              </w:rPr>
            </w:pPr>
            <w:r w:rsidRPr="00815F10">
              <w:rPr>
                <w:b/>
                <w:sz w:val="22"/>
                <w:szCs w:val="22"/>
              </w:rPr>
              <w:t>147,7</w:t>
            </w:r>
          </w:p>
        </w:tc>
      </w:tr>
      <w:tr w:rsidR="004B6A68" w:rsidRPr="00815F10" w:rsidTr="004B6A68">
        <w:trPr>
          <w:trHeight w:val="287"/>
        </w:trPr>
        <w:tc>
          <w:tcPr>
            <w:tcW w:w="2552" w:type="dxa"/>
            <w:vAlign w:val="bottom"/>
          </w:tcPr>
          <w:p w:rsidR="004B6A68" w:rsidRPr="00815F10" w:rsidRDefault="004B6A68" w:rsidP="004B6A68">
            <w:pPr>
              <w:pStyle w:val="2"/>
              <w:widowControl/>
              <w:ind w:firstLine="0"/>
              <w:jc w:val="left"/>
              <w:rPr>
                <w:b/>
                <w:sz w:val="22"/>
                <w:szCs w:val="22"/>
              </w:rPr>
            </w:pPr>
            <w:r w:rsidRPr="00815F10">
              <w:rPr>
                <w:i/>
                <w:sz w:val="22"/>
                <w:szCs w:val="22"/>
              </w:rPr>
              <w:t>в т. ч.</w:t>
            </w:r>
          </w:p>
        </w:tc>
        <w:tc>
          <w:tcPr>
            <w:tcW w:w="1417" w:type="dxa"/>
            <w:vAlign w:val="bottom"/>
          </w:tcPr>
          <w:p w:rsidR="004B6A68" w:rsidRPr="00815F10" w:rsidRDefault="004B6A68" w:rsidP="004B6A68">
            <w:pPr>
              <w:pStyle w:val="2"/>
              <w:widowControl/>
              <w:ind w:left="-108" w:right="-108" w:firstLine="0"/>
              <w:jc w:val="center"/>
              <w:rPr>
                <w:b/>
                <w:sz w:val="22"/>
                <w:szCs w:val="22"/>
              </w:rPr>
            </w:pPr>
          </w:p>
        </w:tc>
        <w:tc>
          <w:tcPr>
            <w:tcW w:w="1418" w:type="dxa"/>
            <w:vAlign w:val="bottom"/>
          </w:tcPr>
          <w:p w:rsidR="004B6A68" w:rsidRPr="00815F10" w:rsidRDefault="004B6A68" w:rsidP="004B6A68">
            <w:pPr>
              <w:pStyle w:val="2"/>
              <w:widowControl/>
              <w:ind w:left="-108" w:right="-108" w:firstLine="0"/>
              <w:jc w:val="center"/>
              <w:rPr>
                <w:b/>
                <w:sz w:val="22"/>
                <w:szCs w:val="22"/>
              </w:rPr>
            </w:pPr>
          </w:p>
        </w:tc>
        <w:tc>
          <w:tcPr>
            <w:tcW w:w="1328" w:type="dxa"/>
            <w:vAlign w:val="bottom"/>
          </w:tcPr>
          <w:p w:rsidR="004B6A68" w:rsidRPr="00815F10" w:rsidRDefault="004B6A68" w:rsidP="004B6A68">
            <w:pPr>
              <w:pStyle w:val="2"/>
              <w:widowControl/>
              <w:ind w:left="-108" w:right="-108" w:firstLine="0"/>
              <w:jc w:val="center"/>
              <w:rPr>
                <w:b/>
                <w:sz w:val="22"/>
                <w:szCs w:val="22"/>
              </w:rPr>
            </w:pPr>
          </w:p>
        </w:tc>
        <w:tc>
          <w:tcPr>
            <w:tcW w:w="1365" w:type="dxa"/>
            <w:vAlign w:val="bottom"/>
          </w:tcPr>
          <w:p w:rsidR="004B6A68" w:rsidRPr="00815F10" w:rsidRDefault="004B6A68" w:rsidP="004B6A68">
            <w:pPr>
              <w:pStyle w:val="2"/>
              <w:widowControl/>
              <w:ind w:left="-108" w:right="-108" w:firstLine="0"/>
              <w:jc w:val="center"/>
              <w:rPr>
                <w:b/>
                <w:sz w:val="22"/>
                <w:szCs w:val="22"/>
              </w:rPr>
            </w:pPr>
          </w:p>
        </w:tc>
        <w:tc>
          <w:tcPr>
            <w:tcW w:w="1559" w:type="dxa"/>
            <w:vAlign w:val="bottom"/>
          </w:tcPr>
          <w:p w:rsidR="004B6A68" w:rsidRPr="00815F10" w:rsidRDefault="004B6A68" w:rsidP="004B6A68">
            <w:pPr>
              <w:pStyle w:val="2"/>
              <w:widowControl/>
              <w:ind w:left="-108" w:right="-108" w:firstLine="0"/>
              <w:jc w:val="center"/>
              <w:rPr>
                <w:b/>
                <w:sz w:val="22"/>
                <w:szCs w:val="22"/>
              </w:rPr>
            </w:pPr>
          </w:p>
        </w:tc>
      </w:tr>
      <w:tr w:rsidR="004B6A68" w:rsidRPr="00815F10" w:rsidTr="004B6A68">
        <w:trPr>
          <w:trHeight w:val="141"/>
        </w:trPr>
        <w:tc>
          <w:tcPr>
            <w:tcW w:w="2552" w:type="dxa"/>
            <w:vAlign w:val="bottom"/>
          </w:tcPr>
          <w:p w:rsidR="004B6A68" w:rsidRPr="00815F10" w:rsidRDefault="004B6A68" w:rsidP="004B6A68">
            <w:pPr>
              <w:pStyle w:val="2"/>
              <w:widowControl/>
              <w:ind w:firstLine="0"/>
              <w:jc w:val="left"/>
              <w:rPr>
                <w:sz w:val="22"/>
                <w:szCs w:val="22"/>
              </w:rPr>
            </w:pPr>
            <w:r w:rsidRPr="00815F10">
              <w:rPr>
                <w:sz w:val="22"/>
                <w:szCs w:val="22"/>
              </w:rPr>
              <w:t>Молочная продукция; яйца птиц; мед натуральный</w:t>
            </w:r>
          </w:p>
        </w:tc>
        <w:tc>
          <w:tcPr>
            <w:tcW w:w="1417"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0,42</w:t>
            </w:r>
          </w:p>
        </w:tc>
        <w:tc>
          <w:tcPr>
            <w:tcW w:w="1418"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0,27</w:t>
            </w:r>
          </w:p>
        </w:tc>
        <w:tc>
          <w:tcPr>
            <w:tcW w:w="1328"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899,5</w:t>
            </w:r>
          </w:p>
        </w:tc>
        <w:tc>
          <w:tcPr>
            <w:tcW w:w="1365"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997,7</w:t>
            </w:r>
          </w:p>
        </w:tc>
        <w:tc>
          <w:tcPr>
            <w:tcW w:w="1559"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110,9</w:t>
            </w:r>
          </w:p>
        </w:tc>
      </w:tr>
      <w:tr w:rsidR="004B6A68" w:rsidRPr="00815F10" w:rsidTr="004B6A68">
        <w:trPr>
          <w:trHeight w:val="571"/>
        </w:trPr>
        <w:tc>
          <w:tcPr>
            <w:tcW w:w="2552" w:type="dxa"/>
          </w:tcPr>
          <w:p w:rsidR="004B6A68" w:rsidRPr="00815F10" w:rsidRDefault="004B6A68" w:rsidP="004B6A68">
            <w:pPr>
              <w:pStyle w:val="2"/>
              <w:widowControl/>
              <w:ind w:firstLine="0"/>
              <w:jc w:val="left"/>
              <w:rPr>
                <w:sz w:val="22"/>
                <w:szCs w:val="22"/>
              </w:rPr>
            </w:pPr>
            <w:r w:rsidRPr="00815F10">
              <w:rPr>
                <w:sz w:val="22"/>
                <w:szCs w:val="22"/>
              </w:rPr>
              <w:t>Овощи и некоторые съедобные корнеплоды</w:t>
            </w:r>
          </w:p>
        </w:tc>
        <w:tc>
          <w:tcPr>
            <w:tcW w:w="1417"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0,45</w:t>
            </w:r>
          </w:p>
        </w:tc>
        <w:tc>
          <w:tcPr>
            <w:tcW w:w="1418"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0,47</w:t>
            </w:r>
          </w:p>
        </w:tc>
        <w:tc>
          <w:tcPr>
            <w:tcW w:w="1328"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962,8</w:t>
            </w:r>
          </w:p>
        </w:tc>
        <w:tc>
          <w:tcPr>
            <w:tcW w:w="1365"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1 691,9</w:t>
            </w:r>
          </w:p>
        </w:tc>
        <w:tc>
          <w:tcPr>
            <w:tcW w:w="1559"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175,7</w:t>
            </w:r>
          </w:p>
        </w:tc>
      </w:tr>
      <w:tr w:rsidR="004B6A68" w:rsidRPr="00815F10" w:rsidTr="004B6A68">
        <w:trPr>
          <w:trHeight w:val="271"/>
        </w:trPr>
        <w:tc>
          <w:tcPr>
            <w:tcW w:w="2552" w:type="dxa"/>
          </w:tcPr>
          <w:p w:rsidR="004B6A68" w:rsidRPr="00815F10" w:rsidRDefault="004B6A68" w:rsidP="004B6A68">
            <w:pPr>
              <w:pStyle w:val="2"/>
              <w:widowControl/>
              <w:ind w:firstLine="0"/>
              <w:jc w:val="left"/>
              <w:rPr>
                <w:sz w:val="22"/>
                <w:szCs w:val="22"/>
              </w:rPr>
            </w:pPr>
            <w:r w:rsidRPr="00815F10">
              <w:rPr>
                <w:sz w:val="22"/>
                <w:szCs w:val="22"/>
              </w:rPr>
              <w:t>Масличные семена и плоды</w:t>
            </w:r>
          </w:p>
        </w:tc>
        <w:tc>
          <w:tcPr>
            <w:tcW w:w="1417"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5,04</w:t>
            </w:r>
          </w:p>
        </w:tc>
        <w:tc>
          <w:tcPr>
            <w:tcW w:w="1418"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4,26</w:t>
            </w:r>
          </w:p>
        </w:tc>
        <w:tc>
          <w:tcPr>
            <w:tcW w:w="1328"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10 682,8</w:t>
            </w:r>
          </w:p>
        </w:tc>
        <w:tc>
          <w:tcPr>
            <w:tcW w:w="1365"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15 461,9</w:t>
            </w:r>
          </w:p>
        </w:tc>
        <w:tc>
          <w:tcPr>
            <w:tcW w:w="1559"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144,7</w:t>
            </w:r>
          </w:p>
        </w:tc>
      </w:tr>
      <w:tr w:rsidR="004B6A68" w:rsidRPr="00815F10" w:rsidTr="004B6A68">
        <w:trPr>
          <w:trHeight w:val="278"/>
        </w:trPr>
        <w:tc>
          <w:tcPr>
            <w:tcW w:w="2552" w:type="dxa"/>
          </w:tcPr>
          <w:p w:rsidR="004B6A68" w:rsidRPr="00815F10" w:rsidRDefault="004B6A68" w:rsidP="004B6A68">
            <w:pPr>
              <w:pStyle w:val="2"/>
              <w:widowControl/>
              <w:ind w:firstLine="0"/>
              <w:jc w:val="left"/>
              <w:rPr>
                <w:sz w:val="22"/>
                <w:szCs w:val="22"/>
              </w:rPr>
            </w:pPr>
            <w:r w:rsidRPr="00815F10">
              <w:rPr>
                <w:sz w:val="22"/>
                <w:szCs w:val="22"/>
              </w:rPr>
              <w:t>Зерновые хлеба</w:t>
            </w:r>
          </w:p>
        </w:tc>
        <w:tc>
          <w:tcPr>
            <w:tcW w:w="1417" w:type="dxa"/>
          </w:tcPr>
          <w:p w:rsidR="004B6A68" w:rsidRPr="00815F10" w:rsidRDefault="004B6A68" w:rsidP="004B6A68">
            <w:pPr>
              <w:pStyle w:val="2"/>
              <w:widowControl/>
              <w:ind w:left="-108" w:right="-108" w:firstLine="0"/>
              <w:jc w:val="center"/>
              <w:rPr>
                <w:sz w:val="22"/>
                <w:szCs w:val="22"/>
              </w:rPr>
            </w:pPr>
            <w:r w:rsidRPr="00815F10">
              <w:rPr>
                <w:sz w:val="22"/>
                <w:szCs w:val="22"/>
              </w:rPr>
              <w:t>2,30</w:t>
            </w:r>
          </w:p>
        </w:tc>
        <w:tc>
          <w:tcPr>
            <w:tcW w:w="1418" w:type="dxa"/>
          </w:tcPr>
          <w:p w:rsidR="004B6A68" w:rsidRPr="00815F10" w:rsidRDefault="004B6A68" w:rsidP="004B6A68">
            <w:pPr>
              <w:pStyle w:val="2"/>
              <w:widowControl/>
              <w:ind w:left="-108" w:right="-108" w:firstLine="0"/>
              <w:jc w:val="center"/>
              <w:rPr>
                <w:sz w:val="22"/>
                <w:szCs w:val="22"/>
              </w:rPr>
            </w:pPr>
            <w:r w:rsidRPr="00815F10">
              <w:rPr>
                <w:sz w:val="22"/>
                <w:szCs w:val="22"/>
              </w:rPr>
              <w:t>4,28</w:t>
            </w:r>
          </w:p>
        </w:tc>
        <w:tc>
          <w:tcPr>
            <w:tcW w:w="1328"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4 869,1</w:t>
            </w:r>
          </w:p>
        </w:tc>
        <w:tc>
          <w:tcPr>
            <w:tcW w:w="1365" w:type="dxa"/>
          </w:tcPr>
          <w:p w:rsidR="004B6A68" w:rsidRPr="00815F10" w:rsidRDefault="004B6A68" w:rsidP="004B6A68">
            <w:pPr>
              <w:pStyle w:val="2"/>
              <w:widowControl/>
              <w:ind w:left="-108" w:right="-108" w:firstLine="0"/>
              <w:jc w:val="center"/>
              <w:rPr>
                <w:sz w:val="22"/>
                <w:szCs w:val="22"/>
              </w:rPr>
            </w:pPr>
            <w:r w:rsidRPr="00815F10">
              <w:rPr>
                <w:sz w:val="22"/>
                <w:szCs w:val="22"/>
              </w:rPr>
              <w:t>15 527,6</w:t>
            </w:r>
          </w:p>
        </w:tc>
        <w:tc>
          <w:tcPr>
            <w:tcW w:w="1559"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в 3,2 р.</w:t>
            </w:r>
          </w:p>
        </w:tc>
      </w:tr>
      <w:tr w:rsidR="004B6A68" w:rsidRPr="00815F10" w:rsidTr="004B6A68">
        <w:trPr>
          <w:trHeight w:val="338"/>
        </w:trPr>
        <w:tc>
          <w:tcPr>
            <w:tcW w:w="2552" w:type="dxa"/>
          </w:tcPr>
          <w:p w:rsidR="004B6A68" w:rsidRPr="00815F10" w:rsidRDefault="004B6A68" w:rsidP="004B6A68">
            <w:pPr>
              <w:pStyle w:val="2"/>
              <w:widowControl/>
              <w:ind w:firstLine="0"/>
              <w:jc w:val="left"/>
              <w:rPr>
                <w:sz w:val="22"/>
                <w:szCs w:val="22"/>
              </w:rPr>
            </w:pPr>
            <w:r w:rsidRPr="00815F10">
              <w:rPr>
                <w:sz w:val="22"/>
                <w:szCs w:val="22"/>
              </w:rPr>
              <w:t>Продукты переработки овощей, фруктов, орехов</w:t>
            </w:r>
          </w:p>
        </w:tc>
        <w:tc>
          <w:tcPr>
            <w:tcW w:w="1417"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0,25</w:t>
            </w:r>
          </w:p>
        </w:tc>
        <w:tc>
          <w:tcPr>
            <w:tcW w:w="1418"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0,55</w:t>
            </w:r>
          </w:p>
        </w:tc>
        <w:tc>
          <w:tcPr>
            <w:tcW w:w="1328"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536,3</w:t>
            </w:r>
          </w:p>
        </w:tc>
        <w:tc>
          <w:tcPr>
            <w:tcW w:w="1365"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1 980,6</w:t>
            </w:r>
          </w:p>
        </w:tc>
        <w:tc>
          <w:tcPr>
            <w:tcW w:w="1559"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в 3,7 р.</w:t>
            </w:r>
          </w:p>
        </w:tc>
      </w:tr>
      <w:tr w:rsidR="004B6A68" w:rsidRPr="00815F10" w:rsidTr="004B6A68">
        <w:trPr>
          <w:trHeight w:val="571"/>
        </w:trPr>
        <w:tc>
          <w:tcPr>
            <w:tcW w:w="2552" w:type="dxa"/>
          </w:tcPr>
          <w:p w:rsidR="004B6A68" w:rsidRPr="00815F10" w:rsidRDefault="004B6A68" w:rsidP="004B6A68">
            <w:pPr>
              <w:pStyle w:val="2"/>
              <w:widowControl/>
              <w:ind w:firstLine="0"/>
              <w:jc w:val="left"/>
              <w:rPr>
                <w:sz w:val="22"/>
                <w:szCs w:val="22"/>
              </w:rPr>
            </w:pPr>
            <w:r w:rsidRPr="00815F10">
              <w:rPr>
                <w:sz w:val="22"/>
                <w:szCs w:val="22"/>
              </w:rPr>
              <w:t>Алкогольные и безалкогольные напитки</w:t>
            </w:r>
          </w:p>
        </w:tc>
        <w:tc>
          <w:tcPr>
            <w:tcW w:w="1417"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2,68</w:t>
            </w:r>
          </w:p>
        </w:tc>
        <w:tc>
          <w:tcPr>
            <w:tcW w:w="1418"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1,23</w:t>
            </w:r>
          </w:p>
        </w:tc>
        <w:tc>
          <w:tcPr>
            <w:tcW w:w="1328"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5 667,0</w:t>
            </w:r>
          </w:p>
        </w:tc>
        <w:tc>
          <w:tcPr>
            <w:tcW w:w="1365"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4 472,6</w:t>
            </w:r>
          </w:p>
        </w:tc>
        <w:tc>
          <w:tcPr>
            <w:tcW w:w="1559" w:type="dxa"/>
            <w:vAlign w:val="bottom"/>
          </w:tcPr>
          <w:p w:rsidR="004B6A68" w:rsidRPr="00815F10" w:rsidRDefault="004B6A68" w:rsidP="004B6A68">
            <w:pPr>
              <w:pStyle w:val="2"/>
              <w:widowControl/>
              <w:ind w:left="-108" w:right="-108" w:firstLine="0"/>
              <w:jc w:val="center"/>
              <w:rPr>
                <w:sz w:val="22"/>
                <w:szCs w:val="22"/>
              </w:rPr>
            </w:pPr>
            <w:r w:rsidRPr="00815F10">
              <w:rPr>
                <w:sz w:val="22"/>
                <w:szCs w:val="22"/>
              </w:rPr>
              <w:t>78,9</w:t>
            </w:r>
          </w:p>
        </w:tc>
      </w:tr>
    </w:tbl>
    <w:p w:rsidR="004B6A68" w:rsidRPr="00814E96" w:rsidRDefault="004B6A68" w:rsidP="004B6A68">
      <w:pPr>
        <w:autoSpaceDE w:val="0"/>
        <w:autoSpaceDN w:val="0"/>
        <w:adjustRightInd w:val="0"/>
        <w:spacing w:after="0" w:line="240" w:lineRule="auto"/>
        <w:ind w:firstLine="709"/>
        <w:jc w:val="both"/>
        <w:rPr>
          <w:rFonts w:ascii="Times New Roman" w:hAnsi="Times New Roman"/>
          <w:sz w:val="24"/>
          <w:szCs w:val="24"/>
        </w:rPr>
      </w:pPr>
      <w:r w:rsidRPr="00D8067A">
        <w:rPr>
          <w:rFonts w:ascii="Times New Roman" w:hAnsi="Times New Roman"/>
        </w:rPr>
        <w:lastRenderedPageBreak/>
        <w:t xml:space="preserve">К </w:t>
      </w:r>
      <w:r w:rsidRPr="00D8067A">
        <w:rPr>
          <w:rFonts w:ascii="Times New Roman" w:hAnsi="Times New Roman"/>
          <w:sz w:val="24"/>
          <w:szCs w:val="24"/>
        </w:rPr>
        <w:t>статьям</w:t>
      </w:r>
      <w:r w:rsidRPr="00814E96">
        <w:rPr>
          <w:rFonts w:ascii="Times New Roman" w:hAnsi="Times New Roman"/>
          <w:sz w:val="24"/>
          <w:szCs w:val="24"/>
        </w:rPr>
        <w:t xml:space="preserve"> экспорта, характеризовавшихся активной динамикой роста в</w:t>
      </w:r>
      <w:r w:rsidR="009346DF">
        <w:rPr>
          <w:rFonts w:ascii="Times New Roman" w:hAnsi="Times New Roman"/>
          <w:sz w:val="24"/>
          <w:szCs w:val="24"/>
        </w:rPr>
        <w:t xml:space="preserve">                 </w:t>
      </w:r>
      <w:r w:rsidRPr="00814E96">
        <w:rPr>
          <w:rFonts w:ascii="Times New Roman" w:hAnsi="Times New Roman"/>
          <w:sz w:val="24"/>
          <w:szCs w:val="24"/>
        </w:rPr>
        <w:t xml:space="preserve"> январе-июне текущего года, можно </w:t>
      </w:r>
      <w:r>
        <w:rPr>
          <w:rFonts w:ascii="Times New Roman" w:hAnsi="Times New Roman"/>
          <w:sz w:val="24"/>
          <w:szCs w:val="24"/>
        </w:rPr>
        <w:t xml:space="preserve">также </w:t>
      </w:r>
      <w:r w:rsidRPr="00814E96">
        <w:rPr>
          <w:rFonts w:ascii="Times New Roman" w:hAnsi="Times New Roman"/>
          <w:sz w:val="24"/>
          <w:szCs w:val="24"/>
        </w:rPr>
        <w:t>отнести «минеральные продукты», поставки которых выросли в 2,4 раза до 20,4 млн. долл. США</w:t>
      </w:r>
      <w:r>
        <w:rPr>
          <w:rFonts w:ascii="Times New Roman" w:hAnsi="Times New Roman"/>
          <w:sz w:val="24"/>
          <w:szCs w:val="24"/>
        </w:rPr>
        <w:t xml:space="preserve">, </w:t>
      </w:r>
      <w:r w:rsidRPr="00814E96">
        <w:rPr>
          <w:rFonts w:ascii="Times New Roman" w:hAnsi="Times New Roman"/>
          <w:sz w:val="24"/>
          <w:szCs w:val="24"/>
        </w:rPr>
        <w:t>расшири</w:t>
      </w:r>
      <w:r>
        <w:rPr>
          <w:rFonts w:ascii="Times New Roman" w:hAnsi="Times New Roman"/>
          <w:sz w:val="24"/>
          <w:szCs w:val="24"/>
        </w:rPr>
        <w:t>в</w:t>
      </w:r>
      <w:r w:rsidRPr="00814E96">
        <w:rPr>
          <w:rFonts w:ascii="Times New Roman" w:hAnsi="Times New Roman"/>
          <w:sz w:val="24"/>
          <w:szCs w:val="24"/>
        </w:rPr>
        <w:t xml:space="preserve"> долевое участие в структуре экспортных поставок на 1,67 процентных пункта до 5,6%. В определяющей степени прирост показателя обеспечен увеличением продаж цемента.</w:t>
      </w:r>
      <w:r>
        <w:rPr>
          <w:rFonts w:ascii="Times New Roman" w:hAnsi="Times New Roman"/>
          <w:sz w:val="24"/>
          <w:szCs w:val="24"/>
        </w:rPr>
        <w:t xml:space="preserve"> </w:t>
      </w:r>
      <w:r w:rsidRPr="000F3BBA">
        <w:rPr>
          <w:rFonts w:ascii="Times New Roman" w:hAnsi="Times New Roman"/>
          <w:sz w:val="24"/>
          <w:szCs w:val="24"/>
        </w:rPr>
        <w:t>Главным потребителем минеральных продуктов оставались контрагенты из Республики Молдова</w:t>
      </w:r>
      <w:r w:rsidRPr="008B04B8">
        <w:rPr>
          <w:rFonts w:ascii="Times New Roman" w:hAnsi="Times New Roman"/>
          <w:sz w:val="24"/>
          <w:szCs w:val="24"/>
        </w:rPr>
        <w:t xml:space="preserve"> (92,7% совокупного экспорта по данной группе товаров).</w:t>
      </w:r>
      <w:r w:rsidRPr="00814E96">
        <w:rPr>
          <w:rFonts w:ascii="Times New Roman" w:hAnsi="Times New Roman"/>
          <w:sz w:val="24"/>
          <w:szCs w:val="24"/>
        </w:rPr>
        <w:t xml:space="preserve"> </w:t>
      </w:r>
    </w:p>
    <w:p w:rsidR="004B6A68" w:rsidRDefault="004B6A68" w:rsidP="004B6A68">
      <w:pPr>
        <w:autoSpaceDE w:val="0"/>
        <w:autoSpaceDN w:val="0"/>
        <w:adjustRightInd w:val="0"/>
        <w:spacing w:after="0" w:line="240" w:lineRule="auto"/>
        <w:ind w:firstLine="708"/>
        <w:jc w:val="right"/>
        <w:rPr>
          <w:rFonts w:ascii="Times New Roman" w:hAnsi="Times New Roman"/>
          <w:sz w:val="24"/>
          <w:szCs w:val="24"/>
        </w:rPr>
      </w:pPr>
      <w:r>
        <w:rPr>
          <w:rFonts w:ascii="Times New Roman" w:hAnsi="Times New Roman"/>
          <w:sz w:val="24"/>
          <w:szCs w:val="24"/>
        </w:rPr>
        <w:t>Таблица №1</w:t>
      </w:r>
      <w:r w:rsidR="00815F10">
        <w:rPr>
          <w:rFonts w:ascii="Times New Roman" w:hAnsi="Times New Roman"/>
          <w:sz w:val="24"/>
          <w:szCs w:val="24"/>
        </w:rPr>
        <w:t>5</w:t>
      </w:r>
    </w:p>
    <w:p w:rsidR="004B6A68" w:rsidRPr="00F15BFD" w:rsidRDefault="004B6A68" w:rsidP="004B6A68">
      <w:pPr>
        <w:pStyle w:val="2"/>
        <w:widowControl/>
        <w:jc w:val="center"/>
        <w:rPr>
          <w:b/>
          <w:sz w:val="24"/>
          <w:szCs w:val="24"/>
        </w:rPr>
      </w:pPr>
      <w:r w:rsidRPr="00C07037">
        <w:rPr>
          <w:b/>
          <w:sz w:val="24"/>
          <w:szCs w:val="24"/>
        </w:rPr>
        <w:t xml:space="preserve">Показатели </w:t>
      </w:r>
      <w:r>
        <w:rPr>
          <w:b/>
          <w:sz w:val="24"/>
          <w:szCs w:val="24"/>
        </w:rPr>
        <w:t xml:space="preserve">экспорта </w:t>
      </w:r>
      <w:r w:rsidRPr="00C07037">
        <w:rPr>
          <w:b/>
          <w:sz w:val="24"/>
          <w:szCs w:val="24"/>
        </w:rPr>
        <w:t xml:space="preserve">по </w:t>
      </w:r>
      <w:r>
        <w:rPr>
          <w:b/>
          <w:sz w:val="24"/>
          <w:szCs w:val="24"/>
        </w:rPr>
        <w:t>группе</w:t>
      </w:r>
      <w:r w:rsidRPr="00C07037">
        <w:rPr>
          <w:b/>
          <w:sz w:val="24"/>
          <w:szCs w:val="24"/>
        </w:rPr>
        <w:t xml:space="preserve"> «</w:t>
      </w:r>
      <w:r>
        <w:rPr>
          <w:b/>
          <w:sz w:val="24"/>
          <w:szCs w:val="24"/>
        </w:rPr>
        <w:t>М</w:t>
      </w:r>
      <w:r w:rsidRPr="00120133">
        <w:rPr>
          <w:b/>
          <w:sz w:val="24"/>
          <w:szCs w:val="24"/>
        </w:rPr>
        <w:t>инеральны</w:t>
      </w:r>
      <w:r>
        <w:rPr>
          <w:b/>
          <w:sz w:val="24"/>
          <w:szCs w:val="24"/>
        </w:rPr>
        <w:t>е</w:t>
      </w:r>
      <w:r w:rsidRPr="00120133">
        <w:rPr>
          <w:b/>
          <w:sz w:val="24"/>
          <w:szCs w:val="24"/>
        </w:rPr>
        <w:t xml:space="preserve"> продукт</w:t>
      </w:r>
      <w:r>
        <w:rPr>
          <w:b/>
          <w:sz w:val="24"/>
          <w:szCs w:val="24"/>
        </w:rPr>
        <w:t>ы</w:t>
      </w:r>
      <w:r w:rsidRPr="00C07037">
        <w:rPr>
          <w:b/>
          <w:sz w:val="24"/>
          <w:szCs w:val="24"/>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1417"/>
        <w:gridCol w:w="1418"/>
        <w:gridCol w:w="1559"/>
        <w:gridCol w:w="1418"/>
        <w:gridCol w:w="1950"/>
      </w:tblGrid>
      <w:tr w:rsidR="004B6A68" w:rsidTr="004B6A68">
        <w:trPr>
          <w:trHeight w:val="580"/>
        </w:trPr>
        <w:tc>
          <w:tcPr>
            <w:tcW w:w="2093" w:type="dxa"/>
            <w:vMerge w:val="restart"/>
            <w:vAlign w:val="center"/>
          </w:tcPr>
          <w:p w:rsidR="004B6A68" w:rsidRDefault="004B6A68" w:rsidP="004B6A68">
            <w:pPr>
              <w:pStyle w:val="2"/>
              <w:widowControl/>
              <w:ind w:firstLine="0"/>
              <w:jc w:val="center"/>
              <w:rPr>
                <w:sz w:val="24"/>
                <w:szCs w:val="24"/>
              </w:rPr>
            </w:pPr>
            <w:r w:rsidRPr="00995EAD">
              <w:rPr>
                <w:sz w:val="24"/>
                <w:szCs w:val="24"/>
              </w:rPr>
              <w:t>Наименование товарной группы</w:t>
            </w:r>
          </w:p>
        </w:tc>
        <w:tc>
          <w:tcPr>
            <w:tcW w:w="2835" w:type="dxa"/>
            <w:gridSpan w:val="2"/>
            <w:vAlign w:val="center"/>
          </w:tcPr>
          <w:p w:rsidR="004B6A68" w:rsidRPr="00B93B92" w:rsidRDefault="004B6A68" w:rsidP="004B6A68">
            <w:pPr>
              <w:jc w:val="center"/>
              <w:rPr>
                <w:rFonts w:ascii="Times New Roman" w:hAnsi="Times New Roman"/>
              </w:rPr>
            </w:pPr>
            <w:r w:rsidRPr="00B93B92">
              <w:rPr>
                <w:rFonts w:ascii="Times New Roman" w:hAnsi="Times New Roman"/>
              </w:rPr>
              <w:t>Уд. вес. в стоимостной структуре, %</w:t>
            </w:r>
          </w:p>
        </w:tc>
        <w:tc>
          <w:tcPr>
            <w:tcW w:w="2977" w:type="dxa"/>
            <w:gridSpan w:val="2"/>
            <w:vAlign w:val="center"/>
          </w:tcPr>
          <w:p w:rsidR="004B6A68" w:rsidRPr="00995EAD" w:rsidRDefault="004B6A68" w:rsidP="004B6A68">
            <w:pPr>
              <w:pStyle w:val="2"/>
              <w:widowControl/>
              <w:ind w:firstLine="0"/>
              <w:jc w:val="center"/>
              <w:rPr>
                <w:bCs/>
                <w:sz w:val="24"/>
                <w:szCs w:val="24"/>
              </w:rPr>
            </w:pPr>
            <w:r>
              <w:rPr>
                <w:bCs/>
                <w:sz w:val="24"/>
                <w:szCs w:val="24"/>
              </w:rPr>
              <w:t>Фактическая стоимость, тыс. долл. США</w:t>
            </w:r>
          </w:p>
        </w:tc>
        <w:tc>
          <w:tcPr>
            <w:tcW w:w="1950" w:type="dxa"/>
            <w:vMerge w:val="restart"/>
          </w:tcPr>
          <w:p w:rsidR="004B6A68" w:rsidRPr="00A943F0" w:rsidRDefault="004B6A68" w:rsidP="004B6A68">
            <w:pPr>
              <w:pStyle w:val="2"/>
              <w:widowControl/>
              <w:ind w:firstLine="0"/>
              <w:jc w:val="center"/>
              <w:rPr>
                <w:bCs/>
                <w:sz w:val="22"/>
                <w:szCs w:val="22"/>
              </w:rPr>
            </w:pPr>
            <w:r w:rsidRPr="00A943F0">
              <w:rPr>
                <w:bCs/>
                <w:sz w:val="22"/>
                <w:szCs w:val="22"/>
              </w:rPr>
              <w:t>Темп роста январь-июнь 2014 г. к</w:t>
            </w:r>
          </w:p>
          <w:p w:rsidR="004B6A68" w:rsidRDefault="004B6A68" w:rsidP="004B6A68">
            <w:pPr>
              <w:pStyle w:val="2"/>
              <w:widowControl/>
              <w:ind w:firstLine="0"/>
              <w:rPr>
                <w:sz w:val="24"/>
                <w:szCs w:val="24"/>
              </w:rPr>
            </w:pPr>
            <w:r w:rsidRPr="00A943F0">
              <w:rPr>
                <w:bCs/>
                <w:sz w:val="22"/>
                <w:szCs w:val="22"/>
              </w:rPr>
              <w:t>январю-июню 2013 г., %</w:t>
            </w:r>
          </w:p>
        </w:tc>
      </w:tr>
      <w:tr w:rsidR="004B6A68" w:rsidTr="004B6A68">
        <w:trPr>
          <w:trHeight w:val="155"/>
        </w:trPr>
        <w:tc>
          <w:tcPr>
            <w:tcW w:w="2093" w:type="dxa"/>
            <w:vMerge/>
          </w:tcPr>
          <w:p w:rsidR="004B6A68" w:rsidRDefault="004B6A68" w:rsidP="004B6A68">
            <w:pPr>
              <w:pStyle w:val="2"/>
              <w:widowControl/>
              <w:ind w:firstLine="0"/>
              <w:rPr>
                <w:sz w:val="24"/>
                <w:szCs w:val="24"/>
              </w:rPr>
            </w:pPr>
          </w:p>
        </w:tc>
        <w:tc>
          <w:tcPr>
            <w:tcW w:w="1417" w:type="dxa"/>
            <w:vAlign w:val="center"/>
          </w:tcPr>
          <w:p w:rsidR="004B6A68" w:rsidRDefault="004B6A68" w:rsidP="004B6A68">
            <w:pPr>
              <w:pStyle w:val="2"/>
              <w:widowControl/>
              <w:ind w:left="-108" w:right="-108" w:firstLine="0"/>
              <w:jc w:val="center"/>
              <w:rPr>
                <w:sz w:val="24"/>
                <w:szCs w:val="24"/>
              </w:rPr>
            </w:pPr>
            <w:r>
              <w:rPr>
                <w:sz w:val="24"/>
                <w:szCs w:val="24"/>
              </w:rPr>
              <w:t xml:space="preserve">январь-июнь </w:t>
            </w:r>
          </w:p>
          <w:p w:rsidR="004B6A68" w:rsidRPr="00995EAD" w:rsidRDefault="004B6A68" w:rsidP="004B6A68">
            <w:pPr>
              <w:pStyle w:val="2"/>
              <w:widowControl/>
              <w:ind w:left="-108" w:right="-108" w:firstLine="0"/>
              <w:jc w:val="center"/>
              <w:rPr>
                <w:sz w:val="24"/>
                <w:szCs w:val="24"/>
              </w:rPr>
            </w:pPr>
            <w:r>
              <w:rPr>
                <w:sz w:val="24"/>
                <w:szCs w:val="24"/>
              </w:rPr>
              <w:t>2013 г.</w:t>
            </w:r>
          </w:p>
        </w:tc>
        <w:tc>
          <w:tcPr>
            <w:tcW w:w="1418" w:type="dxa"/>
            <w:vAlign w:val="center"/>
          </w:tcPr>
          <w:p w:rsidR="004B6A68" w:rsidRPr="00995EAD" w:rsidRDefault="004B6A68" w:rsidP="004B6A68">
            <w:pPr>
              <w:pStyle w:val="2"/>
              <w:widowControl/>
              <w:ind w:left="-108" w:right="-108" w:firstLine="0"/>
              <w:jc w:val="center"/>
              <w:rPr>
                <w:sz w:val="24"/>
                <w:szCs w:val="24"/>
              </w:rPr>
            </w:pPr>
            <w:r>
              <w:rPr>
                <w:sz w:val="24"/>
                <w:szCs w:val="24"/>
              </w:rPr>
              <w:t>январь-июнь 2014 г.</w:t>
            </w:r>
          </w:p>
        </w:tc>
        <w:tc>
          <w:tcPr>
            <w:tcW w:w="1559" w:type="dxa"/>
            <w:vAlign w:val="center"/>
          </w:tcPr>
          <w:p w:rsidR="004B6A68" w:rsidRPr="00995EAD" w:rsidRDefault="004B6A68" w:rsidP="004B6A68">
            <w:pPr>
              <w:pStyle w:val="2"/>
              <w:widowControl/>
              <w:ind w:left="-108" w:right="-108" w:firstLine="0"/>
              <w:jc w:val="center"/>
              <w:rPr>
                <w:sz w:val="24"/>
                <w:szCs w:val="24"/>
              </w:rPr>
            </w:pPr>
            <w:r>
              <w:rPr>
                <w:sz w:val="24"/>
                <w:szCs w:val="24"/>
              </w:rPr>
              <w:t>январь-июнь 2013 г.</w:t>
            </w:r>
          </w:p>
        </w:tc>
        <w:tc>
          <w:tcPr>
            <w:tcW w:w="1418" w:type="dxa"/>
            <w:vAlign w:val="center"/>
          </w:tcPr>
          <w:p w:rsidR="004B6A68" w:rsidRPr="00995EAD" w:rsidRDefault="004B6A68" w:rsidP="004B6A68">
            <w:pPr>
              <w:pStyle w:val="2"/>
              <w:widowControl/>
              <w:ind w:left="-108" w:right="-108" w:firstLine="0"/>
              <w:jc w:val="center"/>
              <w:rPr>
                <w:sz w:val="24"/>
                <w:szCs w:val="24"/>
              </w:rPr>
            </w:pPr>
            <w:r>
              <w:rPr>
                <w:sz w:val="24"/>
                <w:szCs w:val="24"/>
              </w:rPr>
              <w:t>январь-июнь 2014 г.</w:t>
            </w:r>
          </w:p>
        </w:tc>
        <w:tc>
          <w:tcPr>
            <w:tcW w:w="1950" w:type="dxa"/>
            <w:vMerge/>
          </w:tcPr>
          <w:p w:rsidR="004B6A68" w:rsidRDefault="004B6A68" w:rsidP="004B6A68">
            <w:pPr>
              <w:pStyle w:val="2"/>
              <w:widowControl/>
              <w:ind w:firstLine="0"/>
              <w:rPr>
                <w:sz w:val="24"/>
                <w:szCs w:val="24"/>
              </w:rPr>
            </w:pPr>
          </w:p>
        </w:tc>
      </w:tr>
      <w:tr w:rsidR="004B6A68" w:rsidTr="004B6A68">
        <w:trPr>
          <w:trHeight w:val="583"/>
        </w:trPr>
        <w:tc>
          <w:tcPr>
            <w:tcW w:w="2093" w:type="dxa"/>
            <w:vAlign w:val="bottom"/>
          </w:tcPr>
          <w:p w:rsidR="004B6A68" w:rsidRPr="00316A39" w:rsidRDefault="004B6A68" w:rsidP="00815F10">
            <w:pPr>
              <w:pStyle w:val="2"/>
              <w:widowControl/>
              <w:ind w:firstLine="0"/>
              <w:jc w:val="left"/>
              <w:rPr>
                <w:b/>
                <w:sz w:val="24"/>
                <w:szCs w:val="24"/>
              </w:rPr>
            </w:pPr>
            <w:r>
              <w:rPr>
                <w:b/>
                <w:sz w:val="24"/>
                <w:szCs w:val="24"/>
              </w:rPr>
              <w:t>М</w:t>
            </w:r>
            <w:r w:rsidRPr="00120133">
              <w:rPr>
                <w:b/>
                <w:sz w:val="24"/>
                <w:szCs w:val="24"/>
              </w:rPr>
              <w:t>инеральны</w:t>
            </w:r>
            <w:r>
              <w:rPr>
                <w:b/>
                <w:sz w:val="24"/>
                <w:szCs w:val="24"/>
              </w:rPr>
              <w:t>е</w:t>
            </w:r>
            <w:r w:rsidRPr="00120133">
              <w:rPr>
                <w:b/>
                <w:sz w:val="24"/>
                <w:szCs w:val="24"/>
              </w:rPr>
              <w:t xml:space="preserve"> продукт</w:t>
            </w:r>
            <w:r>
              <w:rPr>
                <w:b/>
                <w:sz w:val="24"/>
                <w:szCs w:val="24"/>
              </w:rPr>
              <w:t>ы</w:t>
            </w:r>
            <w:r w:rsidRPr="007500BC">
              <w:rPr>
                <w:i/>
                <w:sz w:val="24"/>
                <w:szCs w:val="24"/>
              </w:rPr>
              <w:t xml:space="preserve"> </w:t>
            </w:r>
          </w:p>
        </w:tc>
        <w:tc>
          <w:tcPr>
            <w:tcW w:w="1417" w:type="dxa"/>
            <w:vAlign w:val="bottom"/>
          </w:tcPr>
          <w:p w:rsidR="004B6A68" w:rsidRPr="00316A39" w:rsidRDefault="004B6A68" w:rsidP="004B6A68">
            <w:pPr>
              <w:pStyle w:val="2"/>
              <w:widowControl/>
              <w:ind w:firstLine="0"/>
              <w:jc w:val="center"/>
              <w:rPr>
                <w:b/>
                <w:sz w:val="24"/>
                <w:szCs w:val="24"/>
              </w:rPr>
            </w:pPr>
            <w:r>
              <w:rPr>
                <w:b/>
                <w:sz w:val="24"/>
                <w:szCs w:val="24"/>
              </w:rPr>
              <w:t>3,9</w:t>
            </w:r>
          </w:p>
        </w:tc>
        <w:tc>
          <w:tcPr>
            <w:tcW w:w="1418" w:type="dxa"/>
            <w:vAlign w:val="bottom"/>
          </w:tcPr>
          <w:p w:rsidR="004B6A68" w:rsidRPr="00316A39" w:rsidRDefault="004B6A68" w:rsidP="004B6A68">
            <w:pPr>
              <w:pStyle w:val="2"/>
              <w:widowControl/>
              <w:ind w:firstLine="0"/>
              <w:jc w:val="center"/>
              <w:rPr>
                <w:b/>
                <w:sz w:val="24"/>
                <w:szCs w:val="24"/>
              </w:rPr>
            </w:pPr>
            <w:r>
              <w:rPr>
                <w:b/>
                <w:sz w:val="24"/>
                <w:szCs w:val="24"/>
              </w:rPr>
              <w:t>5,6</w:t>
            </w:r>
          </w:p>
        </w:tc>
        <w:tc>
          <w:tcPr>
            <w:tcW w:w="1559" w:type="dxa"/>
            <w:vAlign w:val="bottom"/>
          </w:tcPr>
          <w:p w:rsidR="004B6A68" w:rsidRPr="00316A39" w:rsidRDefault="004B6A68" w:rsidP="004B6A68">
            <w:pPr>
              <w:pStyle w:val="2"/>
              <w:widowControl/>
              <w:ind w:firstLine="0"/>
              <w:jc w:val="right"/>
              <w:rPr>
                <w:b/>
                <w:sz w:val="24"/>
                <w:szCs w:val="24"/>
              </w:rPr>
            </w:pPr>
            <w:r>
              <w:rPr>
                <w:b/>
                <w:sz w:val="24"/>
                <w:szCs w:val="24"/>
              </w:rPr>
              <w:t>8 354,2</w:t>
            </w:r>
          </w:p>
        </w:tc>
        <w:tc>
          <w:tcPr>
            <w:tcW w:w="1418" w:type="dxa"/>
            <w:vAlign w:val="bottom"/>
          </w:tcPr>
          <w:p w:rsidR="004B6A68" w:rsidRPr="00316A39" w:rsidRDefault="004B6A68" w:rsidP="004B6A68">
            <w:pPr>
              <w:pStyle w:val="2"/>
              <w:widowControl/>
              <w:ind w:firstLine="0"/>
              <w:jc w:val="right"/>
              <w:rPr>
                <w:b/>
                <w:sz w:val="24"/>
                <w:szCs w:val="24"/>
              </w:rPr>
            </w:pPr>
            <w:r>
              <w:rPr>
                <w:b/>
                <w:sz w:val="24"/>
                <w:szCs w:val="24"/>
              </w:rPr>
              <w:t>20 358,7</w:t>
            </w:r>
          </w:p>
        </w:tc>
        <w:tc>
          <w:tcPr>
            <w:tcW w:w="1950" w:type="dxa"/>
            <w:vAlign w:val="bottom"/>
          </w:tcPr>
          <w:p w:rsidR="004B6A68" w:rsidRPr="00316A39" w:rsidRDefault="004B6A68" w:rsidP="004B6A68">
            <w:pPr>
              <w:pStyle w:val="2"/>
              <w:widowControl/>
              <w:ind w:firstLine="0"/>
              <w:jc w:val="center"/>
              <w:rPr>
                <w:b/>
                <w:sz w:val="24"/>
                <w:szCs w:val="24"/>
              </w:rPr>
            </w:pPr>
            <w:r>
              <w:rPr>
                <w:b/>
                <w:sz w:val="24"/>
                <w:szCs w:val="24"/>
              </w:rPr>
              <w:t>в 2,5 раза</w:t>
            </w:r>
          </w:p>
        </w:tc>
      </w:tr>
    </w:tbl>
    <w:p w:rsidR="004B6A68" w:rsidRDefault="004B6A68" w:rsidP="004B6A68">
      <w:pPr>
        <w:pStyle w:val="a4"/>
      </w:pPr>
      <w:r>
        <w:t xml:space="preserve">В числе статей экспорта, уступивших параметрам </w:t>
      </w:r>
      <w:r>
        <w:rPr>
          <w:lang w:val="en-US"/>
        </w:rPr>
        <w:t>I</w:t>
      </w:r>
      <w:r w:rsidRPr="00491878">
        <w:t xml:space="preserve"> полугодия </w:t>
      </w:r>
      <w:r>
        <w:t xml:space="preserve">2013 года, фигурирует машиностроительная продукция, реализация которой на внешних рынках сократилась на 8,1% до 13,6 млн. долл. США, сузив долевое представительство в структуре экспорта до 3,8% или на 3,2 процентных пункта. </w:t>
      </w:r>
    </w:p>
    <w:p w:rsidR="004B6A68" w:rsidRDefault="004B6A68" w:rsidP="004B6A68">
      <w:pPr>
        <w:autoSpaceDE w:val="0"/>
        <w:autoSpaceDN w:val="0"/>
        <w:adjustRightInd w:val="0"/>
        <w:spacing w:after="0" w:line="240" w:lineRule="auto"/>
        <w:ind w:firstLine="708"/>
        <w:jc w:val="right"/>
        <w:rPr>
          <w:rFonts w:ascii="Times New Roman" w:hAnsi="Times New Roman"/>
          <w:sz w:val="24"/>
          <w:szCs w:val="24"/>
        </w:rPr>
      </w:pPr>
      <w:r>
        <w:rPr>
          <w:rFonts w:ascii="Times New Roman" w:hAnsi="Times New Roman"/>
          <w:sz w:val="24"/>
          <w:szCs w:val="24"/>
        </w:rPr>
        <w:t>Таблица №1</w:t>
      </w:r>
      <w:r w:rsidR="00815F10">
        <w:rPr>
          <w:rFonts w:ascii="Times New Roman" w:hAnsi="Times New Roman"/>
          <w:sz w:val="24"/>
          <w:szCs w:val="24"/>
        </w:rPr>
        <w:t>6</w:t>
      </w:r>
    </w:p>
    <w:p w:rsidR="004B6A68" w:rsidRPr="00F15BFD" w:rsidRDefault="004B6A68" w:rsidP="004B6A68">
      <w:pPr>
        <w:pStyle w:val="2"/>
        <w:widowControl/>
        <w:jc w:val="center"/>
        <w:rPr>
          <w:b/>
          <w:sz w:val="24"/>
          <w:szCs w:val="24"/>
        </w:rPr>
      </w:pPr>
      <w:r w:rsidRPr="00C07037">
        <w:rPr>
          <w:b/>
          <w:sz w:val="24"/>
          <w:szCs w:val="24"/>
        </w:rPr>
        <w:t xml:space="preserve">Показатели </w:t>
      </w:r>
      <w:r>
        <w:rPr>
          <w:b/>
          <w:sz w:val="24"/>
          <w:szCs w:val="24"/>
        </w:rPr>
        <w:t xml:space="preserve">экспорта </w:t>
      </w:r>
      <w:r w:rsidRPr="00C07037">
        <w:rPr>
          <w:b/>
          <w:sz w:val="24"/>
          <w:szCs w:val="24"/>
        </w:rPr>
        <w:t xml:space="preserve">по </w:t>
      </w:r>
      <w:r>
        <w:rPr>
          <w:b/>
          <w:sz w:val="24"/>
          <w:szCs w:val="24"/>
        </w:rPr>
        <w:t>группе</w:t>
      </w:r>
      <w:r w:rsidRPr="00C07037">
        <w:rPr>
          <w:b/>
          <w:sz w:val="24"/>
          <w:szCs w:val="24"/>
        </w:rPr>
        <w:t xml:space="preserve"> «</w:t>
      </w:r>
      <w:r>
        <w:rPr>
          <w:b/>
          <w:sz w:val="24"/>
          <w:szCs w:val="24"/>
        </w:rPr>
        <w:t>Машиностроительная продукция</w:t>
      </w:r>
      <w:r w:rsidRPr="00C07037">
        <w:rPr>
          <w:b/>
          <w:sz w:val="24"/>
          <w:szCs w:val="24"/>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73"/>
        <w:gridCol w:w="1404"/>
        <w:gridCol w:w="1418"/>
        <w:gridCol w:w="1417"/>
        <w:gridCol w:w="1418"/>
        <w:gridCol w:w="1559"/>
      </w:tblGrid>
      <w:tr w:rsidR="004B6A68" w:rsidTr="004B6A68">
        <w:trPr>
          <w:trHeight w:val="588"/>
        </w:trPr>
        <w:tc>
          <w:tcPr>
            <w:tcW w:w="2673" w:type="dxa"/>
            <w:vMerge w:val="restart"/>
            <w:vAlign w:val="center"/>
          </w:tcPr>
          <w:p w:rsidR="004B6A68" w:rsidRDefault="004B6A68" w:rsidP="004B6A68">
            <w:pPr>
              <w:pStyle w:val="2"/>
              <w:widowControl/>
              <w:ind w:firstLine="0"/>
              <w:jc w:val="center"/>
              <w:rPr>
                <w:sz w:val="24"/>
                <w:szCs w:val="24"/>
              </w:rPr>
            </w:pPr>
            <w:r w:rsidRPr="00995EAD">
              <w:rPr>
                <w:sz w:val="24"/>
                <w:szCs w:val="24"/>
              </w:rPr>
              <w:t>Наименование товарной группы</w:t>
            </w:r>
          </w:p>
        </w:tc>
        <w:tc>
          <w:tcPr>
            <w:tcW w:w="2822" w:type="dxa"/>
            <w:gridSpan w:val="2"/>
            <w:vAlign w:val="center"/>
          </w:tcPr>
          <w:p w:rsidR="004B6A68" w:rsidRPr="00B93B92" w:rsidRDefault="004B6A68" w:rsidP="004B6A68">
            <w:pPr>
              <w:jc w:val="center"/>
              <w:rPr>
                <w:rFonts w:ascii="Times New Roman" w:hAnsi="Times New Roman"/>
              </w:rPr>
            </w:pPr>
            <w:r w:rsidRPr="00B93B92">
              <w:rPr>
                <w:rFonts w:ascii="Times New Roman" w:hAnsi="Times New Roman"/>
              </w:rPr>
              <w:t>Уд. вес. в стоимостной структуре, %</w:t>
            </w:r>
          </w:p>
        </w:tc>
        <w:tc>
          <w:tcPr>
            <w:tcW w:w="2835" w:type="dxa"/>
            <w:gridSpan w:val="2"/>
            <w:vAlign w:val="center"/>
          </w:tcPr>
          <w:p w:rsidR="004B6A68" w:rsidRPr="00995EAD" w:rsidRDefault="004B6A68" w:rsidP="004B6A68">
            <w:pPr>
              <w:pStyle w:val="2"/>
              <w:widowControl/>
              <w:ind w:firstLine="0"/>
              <w:jc w:val="center"/>
              <w:rPr>
                <w:bCs/>
                <w:sz w:val="24"/>
                <w:szCs w:val="24"/>
              </w:rPr>
            </w:pPr>
            <w:r>
              <w:rPr>
                <w:bCs/>
                <w:sz w:val="24"/>
                <w:szCs w:val="24"/>
              </w:rPr>
              <w:t>Фактическая стоимость, тыс. долл. США</w:t>
            </w:r>
          </w:p>
        </w:tc>
        <w:tc>
          <w:tcPr>
            <w:tcW w:w="1559" w:type="dxa"/>
            <w:vMerge w:val="restart"/>
          </w:tcPr>
          <w:p w:rsidR="004B6A68" w:rsidRPr="00A943F0" w:rsidRDefault="004B6A68" w:rsidP="004B6A68">
            <w:pPr>
              <w:pStyle w:val="2"/>
              <w:widowControl/>
              <w:ind w:firstLine="0"/>
              <w:jc w:val="center"/>
              <w:rPr>
                <w:bCs/>
                <w:sz w:val="22"/>
                <w:szCs w:val="22"/>
              </w:rPr>
            </w:pPr>
            <w:r w:rsidRPr="00A943F0">
              <w:rPr>
                <w:bCs/>
                <w:sz w:val="22"/>
                <w:szCs w:val="22"/>
              </w:rPr>
              <w:t>Темп роста январь-июнь 2014 г. к</w:t>
            </w:r>
          </w:p>
          <w:p w:rsidR="004B6A68" w:rsidRDefault="004B6A68" w:rsidP="004B6A68">
            <w:pPr>
              <w:pStyle w:val="2"/>
              <w:widowControl/>
              <w:ind w:firstLine="0"/>
              <w:rPr>
                <w:sz w:val="24"/>
                <w:szCs w:val="24"/>
              </w:rPr>
            </w:pPr>
            <w:r w:rsidRPr="00A943F0">
              <w:rPr>
                <w:bCs/>
                <w:sz w:val="22"/>
                <w:szCs w:val="22"/>
              </w:rPr>
              <w:t>январю-июню 2013 г., %</w:t>
            </w:r>
          </w:p>
        </w:tc>
      </w:tr>
      <w:tr w:rsidR="004B6A68" w:rsidTr="004B6A68">
        <w:trPr>
          <w:trHeight w:val="157"/>
        </w:trPr>
        <w:tc>
          <w:tcPr>
            <w:tcW w:w="2673" w:type="dxa"/>
            <w:vMerge/>
          </w:tcPr>
          <w:p w:rsidR="004B6A68" w:rsidRDefault="004B6A68" w:rsidP="004B6A68">
            <w:pPr>
              <w:pStyle w:val="2"/>
              <w:widowControl/>
              <w:ind w:firstLine="0"/>
              <w:rPr>
                <w:sz w:val="24"/>
                <w:szCs w:val="24"/>
              </w:rPr>
            </w:pPr>
          </w:p>
        </w:tc>
        <w:tc>
          <w:tcPr>
            <w:tcW w:w="1404" w:type="dxa"/>
            <w:vAlign w:val="center"/>
          </w:tcPr>
          <w:p w:rsidR="004B6A68" w:rsidRDefault="004B6A68" w:rsidP="004B6A68">
            <w:pPr>
              <w:pStyle w:val="2"/>
              <w:widowControl/>
              <w:ind w:left="-108" w:right="-108" w:firstLine="0"/>
              <w:jc w:val="center"/>
              <w:rPr>
                <w:sz w:val="24"/>
                <w:szCs w:val="24"/>
              </w:rPr>
            </w:pPr>
            <w:r>
              <w:rPr>
                <w:sz w:val="24"/>
                <w:szCs w:val="24"/>
              </w:rPr>
              <w:t xml:space="preserve">январь-июнь </w:t>
            </w:r>
          </w:p>
          <w:p w:rsidR="004B6A68" w:rsidRPr="00995EAD" w:rsidRDefault="004B6A68" w:rsidP="004B6A68">
            <w:pPr>
              <w:pStyle w:val="2"/>
              <w:widowControl/>
              <w:ind w:left="-108" w:right="-108" w:firstLine="0"/>
              <w:jc w:val="center"/>
              <w:rPr>
                <w:sz w:val="24"/>
                <w:szCs w:val="24"/>
              </w:rPr>
            </w:pPr>
            <w:r>
              <w:rPr>
                <w:sz w:val="24"/>
                <w:szCs w:val="24"/>
              </w:rPr>
              <w:t>2013 г.</w:t>
            </w:r>
          </w:p>
        </w:tc>
        <w:tc>
          <w:tcPr>
            <w:tcW w:w="1418" w:type="dxa"/>
            <w:vAlign w:val="center"/>
          </w:tcPr>
          <w:p w:rsidR="004B6A68" w:rsidRPr="00995EAD" w:rsidRDefault="004B6A68" w:rsidP="004B6A68">
            <w:pPr>
              <w:pStyle w:val="2"/>
              <w:widowControl/>
              <w:ind w:left="-108" w:right="-108" w:firstLine="0"/>
              <w:jc w:val="center"/>
              <w:rPr>
                <w:sz w:val="24"/>
                <w:szCs w:val="24"/>
              </w:rPr>
            </w:pPr>
            <w:r>
              <w:rPr>
                <w:sz w:val="24"/>
                <w:szCs w:val="24"/>
              </w:rPr>
              <w:t>январь-июнь 2014 г.</w:t>
            </w:r>
          </w:p>
        </w:tc>
        <w:tc>
          <w:tcPr>
            <w:tcW w:w="1417" w:type="dxa"/>
            <w:vAlign w:val="center"/>
          </w:tcPr>
          <w:p w:rsidR="004B6A68" w:rsidRPr="00995EAD" w:rsidRDefault="004B6A68" w:rsidP="004B6A68">
            <w:pPr>
              <w:pStyle w:val="2"/>
              <w:widowControl/>
              <w:ind w:left="-108" w:right="-108" w:firstLine="0"/>
              <w:jc w:val="center"/>
              <w:rPr>
                <w:sz w:val="24"/>
                <w:szCs w:val="24"/>
              </w:rPr>
            </w:pPr>
            <w:r>
              <w:rPr>
                <w:sz w:val="24"/>
                <w:szCs w:val="24"/>
              </w:rPr>
              <w:t>январь-июнь 2013 г.</w:t>
            </w:r>
          </w:p>
        </w:tc>
        <w:tc>
          <w:tcPr>
            <w:tcW w:w="1418" w:type="dxa"/>
            <w:vAlign w:val="center"/>
          </w:tcPr>
          <w:p w:rsidR="004B6A68" w:rsidRPr="00995EAD" w:rsidRDefault="004B6A68" w:rsidP="004B6A68">
            <w:pPr>
              <w:pStyle w:val="2"/>
              <w:widowControl/>
              <w:ind w:left="-108" w:right="-108" w:firstLine="0"/>
              <w:jc w:val="center"/>
              <w:rPr>
                <w:sz w:val="24"/>
                <w:szCs w:val="24"/>
              </w:rPr>
            </w:pPr>
            <w:r>
              <w:rPr>
                <w:sz w:val="24"/>
                <w:szCs w:val="24"/>
              </w:rPr>
              <w:t>январь-июнь 2014 г.</w:t>
            </w:r>
          </w:p>
        </w:tc>
        <w:tc>
          <w:tcPr>
            <w:tcW w:w="1559" w:type="dxa"/>
            <w:vMerge/>
          </w:tcPr>
          <w:p w:rsidR="004B6A68" w:rsidRDefault="004B6A68" w:rsidP="004B6A68">
            <w:pPr>
              <w:pStyle w:val="2"/>
              <w:widowControl/>
              <w:ind w:firstLine="0"/>
              <w:rPr>
                <w:sz w:val="24"/>
                <w:szCs w:val="24"/>
              </w:rPr>
            </w:pPr>
          </w:p>
        </w:tc>
      </w:tr>
      <w:tr w:rsidR="004B6A68" w:rsidTr="004B6A68">
        <w:trPr>
          <w:trHeight w:val="591"/>
        </w:trPr>
        <w:tc>
          <w:tcPr>
            <w:tcW w:w="2673" w:type="dxa"/>
            <w:vAlign w:val="bottom"/>
          </w:tcPr>
          <w:p w:rsidR="004B6A68" w:rsidRPr="00316A39" w:rsidRDefault="004B6A68" w:rsidP="00815F10">
            <w:pPr>
              <w:pStyle w:val="2"/>
              <w:widowControl/>
              <w:ind w:firstLine="0"/>
              <w:jc w:val="left"/>
              <w:rPr>
                <w:b/>
                <w:sz w:val="24"/>
                <w:szCs w:val="24"/>
              </w:rPr>
            </w:pPr>
            <w:r>
              <w:rPr>
                <w:b/>
                <w:sz w:val="24"/>
                <w:szCs w:val="24"/>
              </w:rPr>
              <w:t>Машиностроительная</w:t>
            </w:r>
            <w:r w:rsidRPr="00120133">
              <w:rPr>
                <w:b/>
                <w:sz w:val="24"/>
                <w:szCs w:val="24"/>
              </w:rPr>
              <w:t xml:space="preserve"> продук</w:t>
            </w:r>
            <w:r>
              <w:rPr>
                <w:b/>
                <w:sz w:val="24"/>
                <w:szCs w:val="24"/>
              </w:rPr>
              <w:t>ция</w:t>
            </w:r>
            <w:r w:rsidRPr="007500BC">
              <w:rPr>
                <w:i/>
                <w:sz w:val="24"/>
                <w:szCs w:val="24"/>
              </w:rPr>
              <w:t xml:space="preserve"> </w:t>
            </w:r>
          </w:p>
        </w:tc>
        <w:tc>
          <w:tcPr>
            <w:tcW w:w="1404" w:type="dxa"/>
            <w:vAlign w:val="bottom"/>
          </w:tcPr>
          <w:p w:rsidR="004B6A68" w:rsidRPr="00316A39" w:rsidRDefault="004B6A68" w:rsidP="004B6A68">
            <w:pPr>
              <w:pStyle w:val="2"/>
              <w:widowControl/>
              <w:ind w:firstLine="0"/>
              <w:jc w:val="center"/>
              <w:rPr>
                <w:b/>
                <w:sz w:val="24"/>
                <w:szCs w:val="24"/>
              </w:rPr>
            </w:pPr>
            <w:r>
              <w:rPr>
                <w:b/>
                <w:sz w:val="24"/>
                <w:szCs w:val="24"/>
              </w:rPr>
              <w:t>7,0</w:t>
            </w:r>
          </w:p>
        </w:tc>
        <w:tc>
          <w:tcPr>
            <w:tcW w:w="1418" w:type="dxa"/>
            <w:vAlign w:val="bottom"/>
          </w:tcPr>
          <w:p w:rsidR="004B6A68" w:rsidRPr="00316A39" w:rsidRDefault="004B6A68" w:rsidP="004B6A68">
            <w:pPr>
              <w:pStyle w:val="2"/>
              <w:widowControl/>
              <w:ind w:firstLine="0"/>
              <w:jc w:val="center"/>
              <w:rPr>
                <w:b/>
                <w:sz w:val="24"/>
                <w:szCs w:val="24"/>
              </w:rPr>
            </w:pPr>
            <w:r>
              <w:rPr>
                <w:b/>
                <w:sz w:val="24"/>
                <w:szCs w:val="24"/>
              </w:rPr>
              <w:t>3,8</w:t>
            </w:r>
          </w:p>
        </w:tc>
        <w:tc>
          <w:tcPr>
            <w:tcW w:w="1417" w:type="dxa"/>
            <w:vAlign w:val="bottom"/>
          </w:tcPr>
          <w:p w:rsidR="004B6A68" w:rsidRPr="00316A39" w:rsidRDefault="004B6A68" w:rsidP="004B6A68">
            <w:pPr>
              <w:pStyle w:val="2"/>
              <w:widowControl/>
              <w:ind w:firstLine="0"/>
              <w:jc w:val="right"/>
              <w:rPr>
                <w:b/>
                <w:sz w:val="24"/>
                <w:szCs w:val="24"/>
              </w:rPr>
            </w:pPr>
            <w:r>
              <w:rPr>
                <w:b/>
                <w:sz w:val="24"/>
                <w:szCs w:val="24"/>
              </w:rPr>
              <w:t>14 801,2</w:t>
            </w:r>
          </w:p>
        </w:tc>
        <w:tc>
          <w:tcPr>
            <w:tcW w:w="1418" w:type="dxa"/>
            <w:vAlign w:val="bottom"/>
          </w:tcPr>
          <w:p w:rsidR="004B6A68" w:rsidRPr="00316A39" w:rsidRDefault="004B6A68" w:rsidP="004B6A68">
            <w:pPr>
              <w:pStyle w:val="2"/>
              <w:widowControl/>
              <w:ind w:firstLine="0"/>
              <w:jc w:val="right"/>
              <w:rPr>
                <w:b/>
                <w:sz w:val="24"/>
                <w:szCs w:val="24"/>
              </w:rPr>
            </w:pPr>
            <w:r>
              <w:rPr>
                <w:b/>
                <w:sz w:val="24"/>
                <w:szCs w:val="24"/>
              </w:rPr>
              <w:t>13 596,3</w:t>
            </w:r>
          </w:p>
        </w:tc>
        <w:tc>
          <w:tcPr>
            <w:tcW w:w="1559" w:type="dxa"/>
            <w:vAlign w:val="bottom"/>
          </w:tcPr>
          <w:p w:rsidR="004B6A68" w:rsidRPr="00316A39" w:rsidRDefault="004B6A68" w:rsidP="004B6A68">
            <w:pPr>
              <w:pStyle w:val="2"/>
              <w:widowControl/>
              <w:ind w:firstLine="0"/>
              <w:jc w:val="center"/>
              <w:rPr>
                <w:b/>
                <w:sz w:val="24"/>
                <w:szCs w:val="24"/>
              </w:rPr>
            </w:pPr>
            <w:r>
              <w:rPr>
                <w:b/>
                <w:sz w:val="24"/>
                <w:szCs w:val="24"/>
              </w:rPr>
              <w:t>91,9</w:t>
            </w:r>
          </w:p>
        </w:tc>
      </w:tr>
    </w:tbl>
    <w:p w:rsidR="004B6A68" w:rsidRDefault="004B6A68" w:rsidP="004B6A68">
      <w:pPr>
        <w:pStyle w:val="a4"/>
      </w:pPr>
      <w:r>
        <w:t>Совокупная величина товарных закупок на внешних рынках зафиксирована в сумме 824,6 млн. долл. США с умеренным приростом («+»10,1%) к уровню показателя января-июня 2013 года, что сыграло определяющую роль в снижении отрицательного сальдо.</w:t>
      </w:r>
    </w:p>
    <w:p w:rsidR="004B6A68" w:rsidRPr="00C563D4" w:rsidRDefault="004B6A68" w:rsidP="004B6A68">
      <w:pPr>
        <w:pStyle w:val="a4"/>
      </w:pPr>
      <w:r>
        <w:t>Долевое соотношение между группами стран практически не изменилось: доминировал ввоз товаров из стран Содружества (76,4%), достигший в абсолютном выражении 629,8 млн. долл. США и расширившийся на 12,8%. Из стран дальнего зарубежья было импортировано товаров на 194,5</w:t>
      </w:r>
      <w:r w:rsidRPr="00C905E7">
        <w:t xml:space="preserve"> </w:t>
      </w:r>
      <w:r>
        <w:t>млн. долл. США («+»2,4%).</w:t>
      </w:r>
    </w:p>
    <w:p w:rsidR="004B6A68" w:rsidRDefault="004B6A68" w:rsidP="004B6A68">
      <w:pPr>
        <w:pStyle w:val="2"/>
        <w:ind w:firstLine="708"/>
        <w:rPr>
          <w:sz w:val="24"/>
          <w:szCs w:val="24"/>
        </w:rPr>
      </w:pPr>
      <w:r w:rsidRPr="00992620">
        <w:rPr>
          <w:sz w:val="24"/>
          <w:szCs w:val="24"/>
        </w:rPr>
        <w:t xml:space="preserve">Основными торговыми партнерами </w:t>
      </w:r>
      <w:r w:rsidRPr="00992620">
        <w:rPr>
          <w:color w:val="000000"/>
          <w:sz w:val="24"/>
          <w:szCs w:val="24"/>
        </w:rPr>
        <w:t xml:space="preserve">по импортным поставкам были </w:t>
      </w:r>
      <w:r w:rsidRPr="00992620">
        <w:rPr>
          <w:sz w:val="24"/>
          <w:szCs w:val="24"/>
        </w:rPr>
        <w:t>Российская Федерация (4</w:t>
      </w:r>
      <w:r>
        <w:rPr>
          <w:sz w:val="24"/>
          <w:szCs w:val="24"/>
        </w:rPr>
        <w:t>6</w:t>
      </w:r>
      <w:r w:rsidRPr="00992620">
        <w:rPr>
          <w:sz w:val="24"/>
          <w:szCs w:val="24"/>
        </w:rPr>
        <w:t>,</w:t>
      </w:r>
      <w:r>
        <w:rPr>
          <w:sz w:val="24"/>
          <w:szCs w:val="24"/>
        </w:rPr>
        <w:t>6</w:t>
      </w:r>
      <w:r w:rsidRPr="00992620">
        <w:rPr>
          <w:sz w:val="24"/>
          <w:szCs w:val="24"/>
        </w:rPr>
        <w:t>% всех поставок), Украина (1</w:t>
      </w:r>
      <w:r>
        <w:rPr>
          <w:sz w:val="24"/>
          <w:szCs w:val="24"/>
        </w:rPr>
        <w:t>3</w:t>
      </w:r>
      <w:r w:rsidRPr="00992620">
        <w:rPr>
          <w:sz w:val="24"/>
          <w:szCs w:val="24"/>
        </w:rPr>
        <w:t>,</w:t>
      </w:r>
      <w:r>
        <w:rPr>
          <w:sz w:val="24"/>
          <w:szCs w:val="24"/>
        </w:rPr>
        <w:t>4</w:t>
      </w:r>
      <w:r w:rsidRPr="00992620">
        <w:rPr>
          <w:sz w:val="24"/>
          <w:szCs w:val="24"/>
        </w:rPr>
        <w:t>%), Республика Беларусь (</w:t>
      </w:r>
      <w:r>
        <w:rPr>
          <w:sz w:val="24"/>
          <w:szCs w:val="24"/>
        </w:rPr>
        <w:t>7,8</w:t>
      </w:r>
      <w:r w:rsidRPr="00992620">
        <w:rPr>
          <w:sz w:val="24"/>
          <w:szCs w:val="24"/>
        </w:rPr>
        <w:t>%), Республика Молдова (</w:t>
      </w:r>
      <w:r>
        <w:rPr>
          <w:sz w:val="24"/>
          <w:szCs w:val="24"/>
        </w:rPr>
        <w:t>6,7</w:t>
      </w:r>
      <w:r w:rsidRPr="00992620">
        <w:rPr>
          <w:sz w:val="24"/>
          <w:szCs w:val="24"/>
        </w:rPr>
        <w:t>%), Германия (5,</w:t>
      </w:r>
      <w:r>
        <w:rPr>
          <w:sz w:val="24"/>
          <w:szCs w:val="24"/>
        </w:rPr>
        <w:t>4</w:t>
      </w:r>
      <w:r w:rsidRPr="00992620">
        <w:rPr>
          <w:sz w:val="24"/>
          <w:szCs w:val="24"/>
        </w:rPr>
        <w:t>%) и др.</w:t>
      </w:r>
    </w:p>
    <w:p w:rsidR="004B6A68" w:rsidRDefault="004B6A68" w:rsidP="004B6A68">
      <w:pPr>
        <w:pStyle w:val="2"/>
        <w:ind w:firstLine="0"/>
        <w:rPr>
          <w:sz w:val="28"/>
          <w:szCs w:val="28"/>
        </w:rPr>
      </w:pPr>
      <w:r>
        <w:rPr>
          <w:noProof/>
          <w:sz w:val="24"/>
          <w:szCs w:val="24"/>
        </w:rPr>
        <w:drawing>
          <wp:inline distT="0" distB="0" distL="0" distR="0">
            <wp:extent cx="6086475" cy="2124075"/>
            <wp:effectExtent l="0" t="0" r="0" b="0"/>
            <wp:docPr id="3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B6A68" w:rsidRDefault="004B6A68" w:rsidP="004B6A68">
      <w:pPr>
        <w:pStyle w:val="2"/>
        <w:ind w:firstLine="709"/>
        <w:rPr>
          <w:sz w:val="24"/>
          <w:szCs w:val="24"/>
        </w:rPr>
      </w:pPr>
      <w:r w:rsidRPr="009D158E">
        <w:rPr>
          <w:sz w:val="24"/>
          <w:szCs w:val="24"/>
        </w:rPr>
        <w:lastRenderedPageBreak/>
        <w:t>Динамика структурных составляющих импорта товаров в республику в</w:t>
      </w:r>
      <w:r w:rsidR="009346DF">
        <w:rPr>
          <w:sz w:val="24"/>
          <w:szCs w:val="24"/>
        </w:rPr>
        <w:t xml:space="preserve">          </w:t>
      </w:r>
      <w:r w:rsidRPr="009D158E">
        <w:rPr>
          <w:sz w:val="24"/>
          <w:szCs w:val="24"/>
        </w:rPr>
        <w:t xml:space="preserve"> </w:t>
      </w:r>
      <w:r>
        <w:rPr>
          <w:sz w:val="24"/>
          <w:szCs w:val="24"/>
        </w:rPr>
        <w:t xml:space="preserve">январе-июне </w:t>
      </w:r>
      <w:r w:rsidRPr="009D158E">
        <w:rPr>
          <w:sz w:val="24"/>
          <w:szCs w:val="24"/>
        </w:rPr>
        <w:t>201</w:t>
      </w:r>
      <w:r>
        <w:rPr>
          <w:sz w:val="24"/>
          <w:szCs w:val="24"/>
        </w:rPr>
        <w:t>4</w:t>
      </w:r>
      <w:r w:rsidRPr="009D158E">
        <w:rPr>
          <w:sz w:val="24"/>
          <w:szCs w:val="24"/>
        </w:rPr>
        <w:t xml:space="preserve"> год</w:t>
      </w:r>
      <w:r>
        <w:rPr>
          <w:sz w:val="24"/>
          <w:szCs w:val="24"/>
        </w:rPr>
        <w:t>а</w:t>
      </w:r>
      <w:r w:rsidRPr="009D158E">
        <w:rPr>
          <w:sz w:val="24"/>
          <w:szCs w:val="24"/>
        </w:rPr>
        <w:t xml:space="preserve"> обуславливалась во</w:t>
      </w:r>
      <w:r>
        <w:rPr>
          <w:sz w:val="24"/>
          <w:szCs w:val="24"/>
        </w:rPr>
        <w:t>с</w:t>
      </w:r>
      <w:r w:rsidRPr="009D158E">
        <w:rPr>
          <w:sz w:val="24"/>
          <w:szCs w:val="24"/>
        </w:rPr>
        <w:t>требованостью крупных предприятий индустрии в сырьевых материалах и ресурсах</w:t>
      </w:r>
      <w:r>
        <w:rPr>
          <w:sz w:val="24"/>
          <w:szCs w:val="24"/>
        </w:rPr>
        <w:t xml:space="preserve"> и выглядела следующим образом:</w:t>
      </w:r>
    </w:p>
    <w:p w:rsidR="004B6A68" w:rsidRDefault="004B6A68" w:rsidP="004B6A68">
      <w:pPr>
        <w:pStyle w:val="2"/>
        <w:ind w:firstLine="0"/>
        <w:rPr>
          <w:sz w:val="24"/>
          <w:szCs w:val="24"/>
        </w:rPr>
      </w:pPr>
      <w:r w:rsidRPr="000330C0">
        <w:rPr>
          <w:noProof/>
          <w:sz w:val="24"/>
          <w:szCs w:val="24"/>
        </w:rPr>
        <w:drawing>
          <wp:inline distT="0" distB="0" distL="0" distR="0">
            <wp:extent cx="6124575" cy="2514600"/>
            <wp:effectExtent l="0" t="0" r="0" b="0"/>
            <wp:docPr id="39"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15F10" w:rsidRDefault="00815F10" w:rsidP="004B6A68">
      <w:pPr>
        <w:pStyle w:val="2"/>
        <w:ind w:firstLine="709"/>
        <w:rPr>
          <w:sz w:val="24"/>
          <w:szCs w:val="24"/>
        </w:rPr>
      </w:pPr>
    </w:p>
    <w:p w:rsidR="004B6A68" w:rsidRDefault="004B6A68" w:rsidP="004B6A68">
      <w:pPr>
        <w:pStyle w:val="2"/>
        <w:ind w:firstLine="709"/>
        <w:rPr>
          <w:sz w:val="24"/>
          <w:szCs w:val="24"/>
        </w:rPr>
      </w:pPr>
      <w:r>
        <w:rPr>
          <w:sz w:val="24"/>
          <w:szCs w:val="24"/>
        </w:rPr>
        <w:t>Подавляющая часть прироста совокупного показателя была обусловлена наращиванием закупок ОАО «Молдавский металлургический завод»</w:t>
      </w:r>
      <w:r w:rsidRPr="009D158E">
        <w:rPr>
          <w:sz w:val="24"/>
          <w:szCs w:val="24"/>
        </w:rPr>
        <w:t xml:space="preserve">. </w:t>
      </w:r>
      <w:r>
        <w:rPr>
          <w:sz w:val="24"/>
          <w:szCs w:val="24"/>
        </w:rPr>
        <w:t xml:space="preserve">В итоге, абсолютная стоимость ввезенных металлов и изделий из них выросла в 3,4 раза до </w:t>
      </w:r>
      <w:r w:rsidR="009346DF">
        <w:rPr>
          <w:sz w:val="24"/>
          <w:szCs w:val="24"/>
        </w:rPr>
        <w:t xml:space="preserve">                             </w:t>
      </w:r>
      <w:r>
        <w:rPr>
          <w:sz w:val="24"/>
          <w:szCs w:val="24"/>
        </w:rPr>
        <w:t xml:space="preserve">92,8 млн. долл. США, расширив долевое участие в структуре ввозимых товаров на </w:t>
      </w:r>
      <w:r w:rsidR="009346DF">
        <w:rPr>
          <w:sz w:val="24"/>
          <w:szCs w:val="24"/>
        </w:rPr>
        <w:t xml:space="preserve">                 </w:t>
      </w:r>
      <w:r>
        <w:rPr>
          <w:sz w:val="24"/>
          <w:szCs w:val="24"/>
        </w:rPr>
        <w:t>7,6 процентных пункта до 11,3</w:t>
      </w:r>
      <w:r w:rsidRPr="0055630B">
        <w:rPr>
          <w:sz w:val="24"/>
          <w:szCs w:val="24"/>
        </w:rPr>
        <w:t>%.</w:t>
      </w:r>
      <w:r w:rsidRPr="0055630B">
        <w:rPr>
          <w:noProof/>
          <w:sz w:val="24"/>
          <w:szCs w:val="24"/>
        </w:rPr>
        <w:t xml:space="preserve"> Основная доля товаров данной группы была </w:t>
      </w:r>
      <w:r w:rsidR="009346DF">
        <w:rPr>
          <w:noProof/>
          <w:sz w:val="24"/>
          <w:szCs w:val="24"/>
        </w:rPr>
        <w:t>импортирована</w:t>
      </w:r>
      <w:r w:rsidRPr="0055630B">
        <w:rPr>
          <w:noProof/>
          <w:sz w:val="24"/>
          <w:szCs w:val="24"/>
        </w:rPr>
        <w:t xml:space="preserve"> из Республики Молдова (36,4</w:t>
      </w:r>
      <w:r w:rsidRPr="0055630B">
        <w:rPr>
          <w:sz w:val="24"/>
          <w:szCs w:val="24"/>
        </w:rPr>
        <w:t>% совокупного импорта</w:t>
      </w:r>
      <w:r>
        <w:rPr>
          <w:sz w:val="24"/>
          <w:szCs w:val="24"/>
        </w:rPr>
        <w:t xml:space="preserve"> данной товарной группы</w:t>
      </w:r>
      <w:r w:rsidRPr="0055630B">
        <w:rPr>
          <w:noProof/>
          <w:sz w:val="24"/>
          <w:szCs w:val="24"/>
        </w:rPr>
        <w:t xml:space="preserve">), на поставки из России и Украины пришлось по 6,1% </w:t>
      </w:r>
      <w:r>
        <w:rPr>
          <w:noProof/>
          <w:sz w:val="24"/>
          <w:szCs w:val="24"/>
        </w:rPr>
        <w:t>ввезенного сырья.</w:t>
      </w:r>
    </w:p>
    <w:p w:rsidR="004B6A68" w:rsidRDefault="004B6A68" w:rsidP="004B6A68">
      <w:pPr>
        <w:pStyle w:val="2"/>
        <w:widowControl/>
        <w:ind w:firstLine="709"/>
        <w:jc w:val="right"/>
        <w:rPr>
          <w:sz w:val="24"/>
          <w:szCs w:val="24"/>
        </w:rPr>
      </w:pPr>
      <w:r>
        <w:rPr>
          <w:sz w:val="24"/>
          <w:szCs w:val="24"/>
        </w:rPr>
        <w:t>Таблица №</w:t>
      </w:r>
      <w:r w:rsidR="00815F10">
        <w:rPr>
          <w:sz w:val="24"/>
          <w:szCs w:val="24"/>
        </w:rPr>
        <w:t>17</w:t>
      </w:r>
    </w:p>
    <w:p w:rsidR="004B6A68" w:rsidRPr="00C07037" w:rsidRDefault="004B6A68" w:rsidP="004B6A68">
      <w:pPr>
        <w:pStyle w:val="2"/>
        <w:widowControl/>
        <w:jc w:val="center"/>
        <w:rPr>
          <w:b/>
          <w:sz w:val="24"/>
          <w:szCs w:val="24"/>
        </w:rPr>
      </w:pPr>
      <w:r w:rsidRPr="00C07037">
        <w:rPr>
          <w:b/>
          <w:sz w:val="24"/>
          <w:szCs w:val="24"/>
        </w:rPr>
        <w:t xml:space="preserve">Показатели </w:t>
      </w:r>
      <w:r>
        <w:rPr>
          <w:b/>
          <w:sz w:val="24"/>
          <w:szCs w:val="24"/>
        </w:rPr>
        <w:t xml:space="preserve">импорта </w:t>
      </w:r>
      <w:r w:rsidRPr="00C07037">
        <w:rPr>
          <w:b/>
          <w:sz w:val="24"/>
          <w:szCs w:val="24"/>
        </w:rPr>
        <w:t xml:space="preserve">по </w:t>
      </w:r>
      <w:r>
        <w:rPr>
          <w:b/>
          <w:sz w:val="24"/>
          <w:szCs w:val="24"/>
        </w:rPr>
        <w:t>группе</w:t>
      </w:r>
      <w:r w:rsidRPr="00C07037">
        <w:rPr>
          <w:b/>
          <w:sz w:val="24"/>
          <w:szCs w:val="24"/>
        </w:rPr>
        <w:t xml:space="preserve"> </w:t>
      </w:r>
    </w:p>
    <w:p w:rsidR="004B6A68" w:rsidRDefault="004B6A68" w:rsidP="004B6A68">
      <w:pPr>
        <w:pStyle w:val="2"/>
        <w:widowControl/>
        <w:ind w:firstLine="709"/>
        <w:jc w:val="center"/>
        <w:rPr>
          <w:sz w:val="24"/>
          <w:szCs w:val="24"/>
        </w:rPr>
      </w:pPr>
      <w:r w:rsidRPr="00C07037">
        <w:rPr>
          <w:b/>
          <w:sz w:val="24"/>
          <w:szCs w:val="24"/>
        </w:rPr>
        <w:t>«</w:t>
      </w:r>
      <w:r>
        <w:rPr>
          <w:b/>
          <w:sz w:val="24"/>
          <w:szCs w:val="24"/>
        </w:rPr>
        <w:t>Металлы и изделия из них</w:t>
      </w:r>
      <w:r w:rsidRPr="00C07037">
        <w:rPr>
          <w:b/>
          <w:sz w:val="24"/>
          <w:szCs w:val="24"/>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60"/>
        <w:gridCol w:w="1417"/>
        <w:gridCol w:w="1418"/>
        <w:gridCol w:w="1417"/>
        <w:gridCol w:w="1418"/>
        <w:gridCol w:w="1559"/>
      </w:tblGrid>
      <w:tr w:rsidR="004B6A68" w:rsidRPr="00815F10" w:rsidTr="004B6A68">
        <w:tc>
          <w:tcPr>
            <w:tcW w:w="2660" w:type="dxa"/>
            <w:vMerge w:val="restart"/>
            <w:vAlign w:val="center"/>
          </w:tcPr>
          <w:p w:rsidR="004B6A68" w:rsidRPr="00815F10" w:rsidRDefault="004B6A68" w:rsidP="004B6A68">
            <w:pPr>
              <w:pStyle w:val="2"/>
              <w:widowControl/>
              <w:ind w:firstLine="0"/>
              <w:jc w:val="center"/>
              <w:rPr>
                <w:sz w:val="22"/>
                <w:szCs w:val="22"/>
              </w:rPr>
            </w:pPr>
            <w:r w:rsidRPr="00815F10">
              <w:rPr>
                <w:sz w:val="22"/>
                <w:szCs w:val="22"/>
              </w:rPr>
              <w:t>Наименование товарной группы</w:t>
            </w:r>
          </w:p>
        </w:tc>
        <w:tc>
          <w:tcPr>
            <w:tcW w:w="2835" w:type="dxa"/>
            <w:gridSpan w:val="2"/>
            <w:vAlign w:val="bottom"/>
          </w:tcPr>
          <w:p w:rsidR="004B6A68" w:rsidRPr="00815F10" w:rsidRDefault="004B6A68" w:rsidP="004B6A68">
            <w:pPr>
              <w:spacing w:after="0"/>
              <w:jc w:val="center"/>
              <w:rPr>
                <w:rFonts w:ascii="Times New Roman" w:hAnsi="Times New Roman"/>
              </w:rPr>
            </w:pPr>
            <w:r w:rsidRPr="00815F10">
              <w:rPr>
                <w:rFonts w:ascii="Times New Roman" w:hAnsi="Times New Roman"/>
              </w:rPr>
              <w:t>Уд. вес. в стоимостной структуре, %</w:t>
            </w:r>
          </w:p>
        </w:tc>
        <w:tc>
          <w:tcPr>
            <w:tcW w:w="2835" w:type="dxa"/>
            <w:gridSpan w:val="2"/>
            <w:vAlign w:val="bottom"/>
          </w:tcPr>
          <w:p w:rsidR="004B6A68" w:rsidRPr="00815F10" w:rsidRDefault="004B6A68" w:rsidP="004B6A68">
            <w:pPr>
              <w:pStyle w:val="2"/>
              <w:widowControl/>
              <w:ind w:firstLine="0"/>
              <w:jc w:val="center"/>
              <w:rPr>
                <w:bCs/>
                <w:sz w:val="22"/>
                <w:szCs w:val="22"/>
              </w:rPr>
            </w:pPr>
            <w:r w:rsidRPr="00815F10">
              <w:rPr>
                <w:bCs/>
                <w:sz w:val="22"/>
                <w:szCs w:val="22"/>
              </w:rPr>
              <w:t>Фактическая стоимость, тыс. долл. США</w:t>
            </w:r>
          </w:p>
        </w:tc>
        <w:tc>
          <w:tcPr>
            <w:tcW w:w="1559" w:type="dxa"/>
            <w:vMerge w:val="restart"/>
            <w:vAlign w:val="bottom"/>
          </w:tcPr>
          <w:p w:rsidR="004B6A68" w:rsidRPr="00815F10" w:rsidRDefault="004B6A68" w:rsidP="004B6A68">
            <w:pPr>
              <w:pStyle w:val="2"/>
              <w:widowControl/>
              <w:ind w:firstLine="0"/>
              <w:jc w:val="center"/>
              <w:rPr>
                <w:bCs/>
                <w:sz w:val="22"/>
                <w:szCs w:val="22"/>
              </w:rPr>
            </w:pPr>
            <w:r w:rsidRPr="00815F10">
              <w:rPr>
                <w:bCs/>
                <w:sz w:val="22"/>
                <w:szCs w:val="22"/>
              </w:rPr>
              <w:t>Темп роста январь-июнь 2014 г. к</w:t>
            </w:r>
          </w:p>
          <w:p w:rsidR="004B6A68" w:rsidRPr="00815F10" w:rsidRDefault="004B6A68" w:rsidP="004B6A68">
            <w:pPr>
              <w:pStyle w:val="2"/>
              <w:widowControl/>
              <w:ind w:firstLine="0"/>
              <w:jc w:val="center"/>
              <w:rPr>
                <w:sz w:val="22"/>
                <w:szCs w:val="22"/>
              </w:rPr>
            </w:pPr>
            <w:r w:rsidRPr="00815F10">
              <w:rPr>
                <w:bCs/>
                <w:sz w:val="22"/>
                <w:szCs w:val="22"/>
              </w:rPr>
              <w:t>январю-июню 2013 г., %</w:t>
            </w:r>
          </w:p>
        </w:tc>
      </w:tr>
      <w:tr w:rsidR="004B6A68" w:rsidRPr="00815F10" w:rsidTr="004B6A68">
        <w:tc>
          <w:tcPr>
            <w:tcW w:w="2660" w:type="dxa"/>
            <w:vMerge/>
          </w:tcPr>
          <w:p w:rsidR="004B6A68" w:rsidRPr="00815F10" w:rsidRDefault="004B6A68" w:rsidP="004B6A68">
            <w:pPr>
              <w:pStyle w:val="2"/>
              <w:widowControl/>
              <w:ind w:firstLine="0"/>
              <w:rPr>
                <w:sz w:val="22"/>
                <w:szCs w:val="22"/>
              </w:rPr>
            </w:pPr>
          </w:p>
        </w:tc>
        <w:tc>
          <w:tcPr>
            <w:tcW w:w="1417" w:type="dxa"/>
            <w:vAlign w:val="center"/>
          </w:tcPr>
          <w:p w:rsidR="004B6A68" w:rsidRPr="00815F10" w:rsidRDefault="004B6A68" w:rsidP="004B6A68">
            <w:pPr>
              <w:pStyle w:val="2"/>
              <w:widowControl/>
              <w:ind w:left="-108" w:right="-108" w:firstLine="0"/>
              <w:jc w:val="center"/>
              <w:rPr>
                <w:sz w:val="22"/>
                <w:szCs w:val="22"/>
              </w:rPr>
            </w:pPr>
            <w:r w:rsidRPr="00815F10">
              <w:rPr>
                <w:sz w:val="22"/>
                <w:szCs w:val="22"/>
              </w:rPr>
              <w:t xml:space="preserve">январь-июнь </w:t>
            </w:r>
          </w:p>
          <w:p w:rsidR="004B6A68" w:rsidRPr="00815F10" w:rsidRDefault="004B6A68" w:rsidP="004B6A68">
            <w:pPr>
              <w:pStyle w:val="2"/>
              <w:widowControl/>
              <w:ind w:left="-108" w:right="-108" w:firstLine="0"/>
              <w:jc w:val="center"/>
              <w:rPr>
                <w:sz w:val="22"/>
                <w:szCs w:val="22"/>
              </w:rPr>
            </w:pPr>
            <w:r w:rsidRPr="00815F10">
              <w:rPr>
                <w:sz w:val="22"/>
                <w:szCs w:val="22"/>
              </w:rPr>
              <w:t>2013 г.</w:t>
            </w:r>
          </w:p>
        </w:tc>
        <w:tc>
          <w:tcPr>
            <w:tcW w:w="1418" w:type="dxa"/>
            <w:vAlign w:val="center"/>
          </w:tcPr>
          <w:p w:rsidR="004B6A68" w:rsidRPr="00815F10" w:rsidRDefault="004B6A68" w:rsidP="004B6A68">
            <w:pPr>
              <w:pStyle w:val="2"/>
              <w:widowControl/>
              <w:ind w:left="-108" w:right="-108" w:firstLine="0"/>
              <w:jc w:val="center"/>
              <w:rPr>
                <w:sz w:val="22"/>
                <w:szCs w:val="22"/>
              </w:rPr>
            </w:pPr>
            <w:r w:rsidRPr="00815F10">
              <w:rPr>
                <w:sz w:val="22"/>
                <w:szCs w:val="22"/>
              </w:rPr>
              <w:t>январь-июнь 2014 г.</w:t>
            </w:r>
          </w:p>
        </w:tc>
        <w:tc>
          <w:tcPr>
            <w:tcW w:w="1417" w:type="dxa"/>
            <w:vAlign w:val="center"/>
          </w:tcPr>
          <w:p w:rsidR="004B6A68" w:rsidRPr="00815F10" w:rsidRDefault="004B6A68" w:rsidP="004B6A68">
            <w:pPr>
              <w:pStyle w:val="2"/>
              <w:widowControl/>
              <w:ind w:left="-108" w:right="-108" w:firstLine="0"/>
              <w:jc w:val="center"/>
              <w:rPr>
                <w:sz w:val="22"/>
                <w:szCs w:val="22"/>
              </w:rPr>
            </w:pPr>
            <w:r w:rsidRPr="00815F10">
              <w:rPr>
                <w:sz w:val="22"/>
                <w:szCs w:val="22"/>
              </w:rPr>
              <w:t>январь-июнь 2013 г.</w:t>
            </w:r>
          </w:p>
        </w:tc>
        <w:tc>
          <w:tcPr>
            <w:tcW w:w="1418" w:type="dxa"/>
            <w:vAlign w:val="center"/>
          </w:tcPr>
          <w:p w:rsidR="004B6A68" w:rsidRPr="00815F10" w:rsidRDefault="004B6A68" w:rsidP="004B6A68">
            <w:pPr>
              <w:pStyle w:val="2"/>
              <w:widowControl/>
              <w:ind w:left="-108" w:right="-108" w:firstLine="0"/>
              <w:jc w:val="center"/>
              <w:rPr>
                <w:sz w:val="22"/>
                <w:szCs w:val="22"/>
              </w:rPr>
            </w:pPr>
            <w:r w:rsidRPr="00815F10">
              <w:rPr>
                <w:sz w:val="22"/>
                <w:szCs w:val="22"/>
              </w:rPr>
              <w:t>январь-июнь 2014 г.</w:t>
            </w:r>
          </w:p>
        </w:tc>
        <w:tc>
          <w:tcPr>
            <w:tcW w:w="1559" w:type="dxa"/>
            <w:vMerge/>
          </w:tcPr>
          <w:p w:rsidR="004B6A68" w:rsidRPr="00815F10" w:rsidRDefault="004B6A68" w:rsidP="004B6A68">
            <w:pPr>
              <w:pStyle w:val="2"/>
              <w:widowControl/>
              <w:ind w:firstLine="0"/>
              <w:rPr>
                <w:sz w:val="22"/>
                <w:szCs w:val="22"/>
              </w:rPr>
            </w:pPr>
          </w:p>
        </w:tc>
      </w:tr>
      <w:tr w:rsidR="004B6A68" w:rsidRPr="00815F10" w:rsidTr="004B6A68">
        <w:tc>
          <w:tcPr>
            <w:tcW w:w="2660" w:type="dxa"/>
            <w:vAlign w:val="bottom"/>
          </w:tcPr>
          <w:p w:rsidR="004B6A68" w:rsidRPr="00815F10" w:rsidRDefault="004B6A68" w:rsidP="00815F10">
            <w:pPr>
              <w:pStyle w:val="2"/>
              <w:widowControl/>
              <w:ind w:firstLine="0"/>
              <w:jc w:val="left"/>
              <w:rPr>
                <w:b/>
                <w:sz w:val="22"/>
                <w:szCs w:val="22"/>
              </w:rPr>
            </w:pPr>
            <w:r w:rsidRPr="00815F10">
              <w:rPr>
                <w:b/>
                <w:sz w:val="22"/>
                <w:szCs w:val="22"/>
              </w:rPr>
              <w:t xml:space="preserve">Металлы и изделия из </w:t>
            </w:r>
            <w:r w:rsidR="00815F10" w:rsidRPr="00815F10">
              <w:rPr>
                <w:b/>
                <w:sz w:val="22"/>
                <w:szCs w:val="22"/>
              </w:rPr>
              <w:t>них</w:t>
            </w:r>
            <w:r w:rsidRPr="00815F10">
              <w:rPr>
                <w:i/>
                <w:sz w:val="22"/>
                <w:szCs w:val="22"/>
              </w:rPr>
              <w:t xml:space="preserve"> </w:t>
            </w:r>
          </w:p>
        </w:tc>
        <w:tc>
          <w:tcPr>
            <w:tcW w:w="1417" w:type="dxa"/>
            <w:vAlign w:val="bottom"/>
          </w:tcPr>
          <w:p w:rsidR="004B6A68" w:rsidRPr="00815F10" w:rsidRDefault="004B6A68" w:rsidP="004B6A68">
            <w:pPr>
              <w:pStyle w:val="2"/>
              <w:widowControl/>
              <w:ind w:firstLine="0"/>
              <w:jc w:val="center"/>
              <w:rPr>
                <w:b/>
                <w:sz w:val="22"/>
                <w:szCs w:val="22"/>
              </w:rPr>
            </w:pPr>
            <w:r w:rsidRPr="00815F10">
              <w:rPr>
                <w:b/>
                <w:sz w:val="22"/>
                <w:szCs w:val="22"/>
              </w:rPr>
              <w:t>3,6</w:t>
            </w:r>
          </w:p>
        </w:tc>
        <w:tc>
          <w:tcPr>
            <w:tcW w:w="1418" w:type="dxa"/>
            <w:vAlign w:val="bottom"/>
          </w:tcPr>
          <w:p w:rsidR="004B6A68" w:rsidRPr="00815F10" w:rsidRDefault="004B6A68" w:rsidP="004B6A68">
            <w:pPr>
              <w:pStyle w:val="2"/>
              <w:widowControl/>
              <w:ind w:right="-108" w:firstLine="0"/>
              <w:jc w:val="center"/>
              <w:rPr>
                <w:b/>
                <w:sz w:val="22"/>
                <w:szCs w:val="22"/>
              </w:rPr>
            </w:pPr>
            <w:r w:rsidRPr="00815F10">
              <w:rPr>
                <w:b/>
                <w:sz w:val="22"/>
                <w:szCs w:val="22"/>
              </w:rPr>
              <w:t>11,3</w:t>
            </w:r>
          </w:p>
        </w:tc>
        <w:tc>
          <w:tcPr>
            <w:tcW w:w="1417" w:type="dxa"/>
            <w:vAlign w:val="bottom"/>
          </w:tcPr>
          <w:p w:rsidR="004B6A68" w:rsidRPr="00815F10" w:rsidRDefault="004B6A68" w:rsidP="004B6A68">
            <w:pPr>
              <w:pStyle w:val="2"/>
              <w:widowControl/>
              <w:ind w:firstLine="0"/>
              <w:jc w:val="right"/>
              <w:rPr>
                <w:b/>
                <w:sz w:val="22"/>
                <w:szCs w:val="22"/>
              </w:rPr>
            </w:pPr>
            <w:r w:rsidRPr="00815F10">
              <w:rPr>
                <w:b/>
                <w:sz w:val="22"/>
                <w:szCs w:val="22"/>
              </w:rPr>
              <w:t>27 145,0</w:t>
            </w:r>
          </w:p>
        </w:tc>
        <w:tc>
          <w:tcPr>
            <w:tcW w:w="1418" w:type="dxa"/>
            <w:vAlign w:val="bottom"/>
          </w:tcPr>
          <w:p w:rsidR="004B6A68" w:rsidRPr="00815F10" w:rsidRDefault="004B6A68" w:rsidP="004B6A68">
            <w:pPr>
              <w:pStyle w:val="2"/>
              <w:widowControl/>
              <w:ind w:firstLine="0"/>
              <w:jc w:val="right"/>
              <w:rPr>
                <w:b/>
                <w:sz w:val="22"/>
                <w:szCs w:val="22"/>
              </w:rPr>
            </w:pPr>
            <w:r w:rsidRPr="00815F10">
              <w:rPr>
                <w:b/>
                <w:sz w:val="22"/>
                <w:szCs w:val="22"/>
              </w:rPr>
              <w:t>92 790,8</w:t>
            </w:r>
          </w:p>
        </w:tc>
        <w:tc>
          <w:tcPr>
            <w:tcW w:w="1559" w:type="dxa"/>
            <w:vAlign w:val="bottom"/>
          </w:tcPr>
          <w:p w:rsidR="004B6A68" w:rsidRPr="00815F10" w:rsidRDefault="004B6A68" w:rsidP="004B6A68">
            <w:pPr>
              <w:pStyle w:val="2"/>
              <w:widowControl/>
              <w:ind w:firstLine="0"/>
              <w:jc w:val="center"/>
              <w:rPr>
                <w:b/>
                <w:sz w:val="22"/>
                <w:szCs w:val="22"/>
              </w:rPr>
            </w:pPr>
            <w:r w:rsidRPr="00815F10">
              <w:rPr>
                <w:b/>
                <w:sz w:val="22"/>
                <w:szCs w:val="22"/>
              </w:rPr>
              <w:t>в 3,4 раза</w:t>
            </w:r>
          </w:p>
        </w:tc>
      </w:tr>
    </w:tbl>
    <w:p w:rsidR="00815F10" w:rsidRDefault="004B6A68" w:rsidP="00815F10">
      <w:pPr>
        <w:pStyle w:val="2"/>
        <w:ind w:firstLine="709"/>
        <w:rPr>
          <w:sz w:val="24"/>
          <w:szCs w:val="24"/>
        </w:rPr>
      </w:pPr>
      <w:r>
        <w:rPr>
          <w:sz w:val="24"/>
          <w:szCs w:val="24"/>
        </w:rPr>
        <w:t>Вместе с этим т</w:t>
      </w:r>
      <w:r w:rsidRPr="0061340C">
        <w:rPr>
          <w:sz w:val="24"/>
          <w:szCs w:val="24"/>
        </w:rPr>
        <w:t xml:space="preserve">радиционно </w:t>
      </w:r>
      <w:r>
        <w:rPr>
          <w:sz w:val="24"/>
          <w:szCs w:val="24"/>
        </w:rPr>
        <w:t>преобладающая</w:t>
      </w:r>
      <w:r w:rsidRPr="0061340C">
        <w:rPr>
          <w:sz w:val="24"/>
          <w:szCs w:val="24"/>
        </w:rPr>
        <w:t xml:space="preserve"> часть импорта (46,6%) представлена топливно-энергетическими товарами, ввоз которых по отношению к базовому показателю минувшего года повысился на 2,0%</w:t>
      </w:r>
      <w:r>
        <w:rPr>
          <w:sz w:val="24"/>
          <w:szCs w:val="24"/>
        </w:rPr>
        <w:t>, при этом на фоне более активного наращивания импорта других структурных компонент их долевое участие понизилось на</w:t>
      </w:r>
      <w:r w:rsidR="009346DF">
        <w:rPr>
          <w:sz w:val="24"/>
          <w:szCs w:val="24"/>
        </w:rPr>
        <w:t xml:space="preserve">                      </w:t>
      </w:r>
      <w:r>
        <w:rPr>
          <w:sz w:val="24"/>
          <w:szCs w:val="24"/>
        </w:rPr>
        <w:t xml:space="preserve"> 3,7 процентных пункта</w:t>
      </w:r>
      <w:r w:rsidRPr="0061340C">
        <w:rPr>
          <w:sz w:val="24"/>
          <w:szCs w:val="24"/>
        </w:rPr>
        <w:t xml:space="preserve">. Главными поставщиками данной группы товаров выступали </w:t>
      </w:r>
      <w:r w:rsidRPr="00694F8C">
        <w:rPr>
          <w:sz w:val="24"/>
          <w:szCs w:val="24"/>
        </w:rPr>
        <w:t>контрагенты</w:t>
      </w:r>
      <w:r w:rsidRPr="00694F8C">
        <w:rPr>
          <w:noProof/>
          <w:sz w:val="24"/>
          <w:szCs w:val="24"/>
        </w:rPr>
        <w:t xml:space="preserve"> из России (86,2</w:t>
      </w:r>
      <w:r w:rsidRPr="00694F8C">
        <w:rPr>
          <w:sz w:val="24"/>
          <w:szCs w:val="24"/>
        </w:rPr>
        <w:t>% совокупного импорта</w:t>
      </w:r>
      <w:r w:rsidRPr="00694F8C">
        <w:rPr>
          <w:noProof/>
          <w:sz w:val="24"/>
          <w:szCs w:val="24"/>
        </w:rPr>
        <w:t>), Республики Беларусь (9,5</w:t>
      </w:r>
      <w:r w:rsidRPr="00694F8C">
        <w:rPr>
          <w:sz w:val="24"/>
          <w:szCs w:val="24"/>
        </w:rPr>
        <w:t>%).</w:t>
      </w:r>
    </w:p>
    <w:p w:rsidR="004B6A68" w:rsidRDefault="004B6A68" w:rsidP="004B6A68">
      <w:pPr>
        <w:autoSpaceDE w:val="0"/>
        <w:autoSpaceDN w:val="0"/>
        <w:adjustRightInd w:val="0"/>
        <w:spacing w:after="0" w:line="240" w:lineRule="auto"/>
        <w:ind w:firstLine="708"/>
        <w:jc w:val="right"/>
        <w:rPr>
          <w:rFonts w:ascii="Times New Roman" w:hAnsi="Times New Roman"/>
          <w:sz w:val="24"/>
          <w:szCs w:val="24"/>
        </w:rPr>
      </w:pPr>
      <w:r>
        <w:rPr>
          <w:rFonts w:ascii="Times New Roman" w:hAnsi="Times New Roman"/>
          <w:sz w:val="24"/>
          <w:szCs w:val="24"/>
        </w:rPr>
        <w:t>Таблица №</w:t>
      </w:r>
      <w:r w:rsidR="00815F10">
        <w:rPr>
          <w:rFonts w:ascii="Times New Roman" w:hAnsi="Times New Roman"/>
          <w:sz w:val="24"/>
          <w:szCs w:val="24"/>
        </w:rPr>
        <w:t>18</w:t>
      </w:r>
    </w:p>
    <w:p w:rsidR="004B6A68" w:rsidRPr="00C07037" w:rsidRDefault="004B6A68" w:rsidP="004B6A68">
      <w:pPr>
        <w:pStyle w:val="2"/>
        <w:widowControl/>
        <w:jc w:val="center"/>
        <w:rPr>
          <w:b/>
          <w:sz w:val="24"/>
          <w:szCs w:val="24"/>
        </w:rPr>
      </w:pPr>
      <w:r w:rsidRPr="00C07037">
        <w:rPr>
          <w:b/>
          <w:sz w:val="24"/>
          <w:szCs w:val="24"/>
        </w:rPr>
        <w:t xml:space="preserve">Показатели </w:t>
      </w:r>
      <w:r>
        <w:rPr>
          <w:b/>
          <w:sz w:val="24"/>
          <w:szCs w:val="24"/>
        </w:rPr>
        <w:t xml:space="preserve">импорта </w:t>
      </w:r>
      <w:r w:rsidRPr="00C07037">
        <w:rPr>
          <w:b/>
          <w:sz w:val="24"/>
          <w:szCs w:val="24"/>
        </w:rPr>
        <w:t xml:space="preserve">по </w:t>
      </w:r>
      <w:r>
        <w:rPr>
          <w:b/>
          <w:sz w:val="24"/>
          <w:szCs w:val="24"/>
        </w:rPr>
        <w:t>группе</w:t>
      </w:r>
      <w:r w:rsidRPr="00C07037">
        <w:rPr>
          <w:b/>
          <w:sz w:val="24"/>
          <w:szCs w:val="24"/>
        </w:rPr>
        <w:t xml:space="preserve"> </w:t>
      </w:r>
    </w:p>
    <w:p w:rsidR="004B6A68" w:rsidRDefault="004B6A68" w:rsidP="004B6A68">
      <w:pPr>
        <w:pStyle w:val="2"/>
        <w:widowControl/>
        <w:ind w:firstLine="709"/>
        <w:jc w:val="center"/>
        <w:rPr>
          <w:sz w:val="24"/>
          <w:szCs w:val="24"/>
        </w:rPr>
      </w:pPr>
      <w:r w:rsidRPr="00C07037">
        <w:rPr>
          <w:b/>
          <w:sz w:val="24"/>
          <w:szCs w:val="24"/>
        </w:rPr>
        <w:t>«</w:t>
      </w:r>
      <w:r>
        <w:rPr>
          <w:b/>
          <w:sz w:val="24"/>
          <w:szCs w:val="24"/>
        </w:rPr>
        <w:t>Т</w:t>
      </w:r>
      <w:r w:rsidRPr="000E6124">
        <w:rPr>
          <w:b/>
          <w:sz w:val="24"/>
          <w:szCs w:val="24"/>
        </w:rPr>
        <w:t>опливно-энергетические</w:t>
      </w:r>
      <w:r w:rsidRPr="000E6124">
        <w:rPr>
          <w:sz w:val="24"/>
          <w:szCs w:val="24"/>
        </w:rPr>
        <w:t xml:space="preserve"> </w:t>
      </w:r>
      <w:r w:rsidRPr="000E6124">
        <w:rPr>
          <w:b/>
          <w:sz w:val="24"/>
          <w:szCs w:val="24"/>
        </w:rPr>
        <w:t>товары</w:t>
      </w:r>
      <w:r w:rsidRPr="00C07037">
        <w:rPr>
          <w:b/>
          <w:sz w:val="24"/>
          <w:szCs w:val="24"/>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701"/>
        <w:gridCol w:w="1134"/>
        <w:gridCol w:w="1418"/>
        <w:gridCol w:w="1559"/>
        <w:gridCol w:w="1559"/>
      </w:tblGrid>
      <w:tr w:rsidR="004B6A68" w:rsidRPr="00815F10" w:rsidTr="004B6A68">
        <w:tc>
          <w:tcPr>
            <w:tcW w:w="2518" w:type="dxa"/>
            <w:vMerge w:val="restart"/>
            <w:vAlign w:val="center"/>
          </w:tcPr>
          <w:p w:rsidR="004B6A68" w:rsidRPr="00815F10" w:rsidRDefault="004B6A68" w:rsidP="004B6A68">
            <w:pPr>
              <w:pStyle w:val="2"/>
              <w:widowControl/>
              <w:ind w:firstLine="0"/>
              <w:jc w:val="center"/>
              <w:rPr>
                <w:sz w:val="22"/>
                <w:szCs w:val="22"/>
              </w:rPr>
            </w:pPr>
            <w:r w:rsidRPr="00815F10">
              <w:rPr>
                <w:sz w:val="22"/>
                <w:szCs w:val="22"/>
              </w:rPr>
              <w:t>Наименование товарной группы</w:t>
            </w:r>
          </w:p>
        </w:tc>
        <w:tc>
          <w:tcPr>
            <w:tcW w:w="2835" w:type="dxa"/>
            <w:gridSpan w:val="2"/>
            <w:vAlign w:val="bottom"/>
          </w:tcPr>
          <w:p w:rsidR="004B6A68" w:rsidRPr="00815F10" w:rsidRDefault="004B6A68" w:rsidP="004B6A68">
            <w:pPr>
              <w:spacing w:after="0"/>
              <w:jc w:val="center"/>
              <w:rPr>
                <w:rFonts w:ascii="Times New Roman" w:hAnsi="Times New Roman"/>
              </w:rPr>
            </w:pPr>
            <w:r w:rsidRPr="00815F10">
              <w:rPr>
                <w:rFonts w:ascii="Times New Roman" w:hAnsi="Times New Roman"/>
              </w:rPr>
              <w:t>Уд. вес. в стоимостной структуре, %</w:t>
            </w:r>
          </w:p>
        </w:tc>
        <w:tc>
          <w:tcPr>
            <w:tcW w:w="2977" w:type="dxa"/>
            <w:gridSpan w:val="2"/>
            <w:vAlign w:val="center"/>
          </w:tcPr>
          <w:p w:rsidR="004B6A68" w:rsidRPr="00815F10" w:rsidRDefault="004B6A68" w:rsidP="004B6A68">
            <w:pPr>
              <w:pStyle w:val="2"/>
              <w:widowControl/>
              <w:ind w:firstLine="0"/>
              <w:jc w:val="center"/>
              <w:rPr>
                <w:bCs/>
                <w:sz w:val="22"/>
                <w:szCs w:val="22"/>
              </w:rPr>
            </w:pPr>
            <w:r w:rsidRPr="00815F10">
              <w:rPr>
                <w:bCs/>
                <w:sz w:val="22"/>
                <w:szCs w:val="22"/>
              </w:rPr>
              <w:t>Фактическая стоимость, тыс. долл. США</w:t>
            </w:r>
          </w:p>
        </w:tc>
        <w:tc>
          <w:tcPr>
            <w:tcW w:w="1559" w:type="dxa"/>
            <w:vMerge w:val="restart"/>
          </w:tcPr>
          <w:p w:rsidR="004B6A68" w:rsidRPr="00815F10" w:rsidRDefault="004B6A68" w:rsidP="004B6A68">
            <w:pPr>
              <w:pStyle w:val="2"/>
              <w:widowControl/>
              <w:ind w:firstLine="0"/>
              <w:jc w:val="center"/>
              <w:rPr>
                <w:bCs/>
                <w:sz w:val="22"/>
                <w:szCs w:val="22"/>
              </w:rPr>
            </w:pPr>
            <w:r w:rsidRPr="00815F10">
              <w:rPr>
                <w:bCs/>
                <w:sz w:val="22"/>
                <w:szCs w:val="22"/>
              </w:rPr>
              <w:t>Темп роста январь-июнь 2014 г. к</w:t>
            </w:r>
          </w:p>
          <w:p w:rsidR="004B6A68" w:rsidRPr="00815F10" w:rsidRDefault="004B6A68" w:rsidP="004B6A68">
            <w:pPr>
              <w:pStyle w:val="2"/>
              <w:widowControl/>
              <w:ind w:firstLine="0"/>
              <w:jc w:val="center"/>
              <w:rPr>
                <w:sz w:val="22"/>
                <w:szCs w:val="22"/>
              </w:rPr>
            </w:pPr>
            <w:r w:rsidRPr="00815F10">
              <w:rPr>
                <w:bCs/>
                <w:sz w:val="22"/>
                <w:szCs w:val="22"/>
              </w:rPr>
              <w:t>январю-июню 2013 г., %</w:t>
            </w:r>
          </w:p>
        </w:tc>
      </w:tr>
      <w:tr w:rsidR="004B6A68" w:rsidRPr="00815F10" w:rsidTr="004B6A68">
        <w:tc>
          <w:tcPr>
            <w:tcW w:w="2518" w:type="dxa"/>
            <w:vMerge/>
          </w:tcPr>
          <w:p w:rsidR="004B6A68" w:rsidRPr="00815F10" w:rsidRDefault="004B6A68" w:rsidP="004B6A68">
            <w:pPr>
              <w:pStyle w:val="2"/>
              <w:widowControl/>
              <w:ind w:firstLine="0"/>
              <w:rPr>
                <w:sz w:val="22"/>
                <w:szCs w:val="22"/>
              </w:rPr>
            </w:pPr>
          </w:p>
        </w:tc>
        <w:tc>
          <w:tcPr>
            <w:tcW w:w="1701" w:type="dxa"/>
            <w:vAlign w:val="center"/>
          </w:tcPr>
          <w:p w:rsidR="004B6A68" w:rsidRPr="00815F10" w:rsidRDefault="004B6A68" w:rsidP="004B6A68">
            <w:pPr>
              <w:pStyle w:val="2"/>
              <w:widowControl/>
              <w:ind w:left="-108" w:right="-108" w:firstLine="0"/>
              <w:jc w:val="center"/>
              <w:rPr>
                <w:sz w:val="22"/>
                <w:szCs w:val="22"/>
              </w:rPr>
            </w:pPr>
            <w:r w:rsidRPr="00815F10">
              <w:rPr>
                <w:sz w:val="22"/>
                <w:szCs w:val="22"/>
              </w:rPr>
              <w:t xml:space="preserve">январь-июнь </w:t>
            </w:r>
          </w:p>
          <w:p w:rsidR="004B6A68" w:rsidRPr="00815F10" w:rsidRDefault="004B6A68" w:rsidP="004B6A68">
            <w:pPr>
              <w:pStyle w:val="2"/>
              <w:widowControl/>
              <w:ind w:left="-108" w:right="-108" w:firstLine="0"/>
              <w:jc w:val="center"/>
              <w:rPr>
                <w:sz w:val="22"/>
                <w:szCs w:val="22"/>
              </w:rPr>
            </w:pPr>
            <w:r w:rsidRPr="00815F10">
              <w:rPr>
                <w:sz w:val="22"/>
                <w:szCs w:val="22"/>
              </w:rPr>
              <w:t>2013 г.</w:t>
            </w:r>
          </w:p>
        </w:tc>
        <w:tc>
          <w:tcPr>
            <w:tcW w:w="1134" w:type="dxa"/>
            <w:vAlign w:val="center"/>
          </w:tcPr>
          <w:p w:rsidR="004B6A68" w:rsidRPr="00815F10" w:rsidRDefault="004B6A68" w:rsidP="004B6A68">
            <w:pPr>
              <w:pStyle w:val="2"/>
              <w:widowControl/>
              <w:ind w:left="-108" w:right="-108" w:firstLine="0"/>
              <w:jc w:val="center"/>
              <w:rPr>
                <w:sz w:val="22"/>
                <w:szCs w:val="22"/>
              </w:rPr>
            </w:pPr>
            <w:r w:rsidRPr="00815F10">
              <w:rPr>
                <w:sz w:val="22"/>
                <w:szCs w:val="22"/>
              </w:rPr>
              <w:t>январь-июнь 2014 г.</w:t>
            </w:r>
          </w:p>
        </w:tc>
        <w:tc>
          <w:tcPr>
            <w:tcW w:w="1418" w:type="dxa"/>
            <w:vAlign w:val="center"/>
          </w:tcPr>
          <w:p w:rsidR="004B6A68" w:rsidRPr="00815F10" w:rsidRDefault="004B6A68" w:rsidP="004B6A68">
            <w:pPr>
              <w:pStyle w:val="2"/>
              <w:widowControl/>
              <w:ind w:left="-108" w:right="-108" w:firstLine="0"/>
              <w:jc w:val="center"/>
              <w:rPr>
                <w:sz w:val="22"/>
                <w:szCs w:val="22"/>
              </w:rPr>
            </w:pPr>
            <w:r w:rsidRPr="00815F10">
              <w:rPr>
                <w:sz w:val="22"/>
                <w:szCs w:val="22"/>
              </w:rPr>
              <w:t>январь-июнь 2013 г.</w:t>
            </w:r>
          </w:p>
        </w:tc>
        <w:tc>
          <w:tcPr>
            <w:tcW w:w="1559" w:type="dxa"/>
            <w:vAlign w:val="center"/>
          </w:tcPr>
          <w:p w:rsidR="004B6A68" w:rsidRPr="00815F10" w:rsidRDefault="004B6A68" w:rsidP="004B6A68">
            <w:pPr>
              <w:pStyle w:val="2"/>
              <w:widowControl/>
              <w:ind w:left="-108" w:right="-108" w:firstLine="0"/>
              <w:jc w:val="center"/>
              <w:rPr>
                <w:sz w:val="22"/>
                <w:szCs w:val="22"/>
              </w:rPr>
            </w:pPr>
            <w:r w:rsidRPr="00815F10">
              <w:rPr>
                <w:sz w:val="22"/>
                <w:szCs w:val="22"/>
              </w:rPr>
              <w:t>январь-июнь 2014 г.</w:t>
            </w:r>
          </w:p>
        </w:tc>
        <w:tc>
          <w:tcPr>
            <w:tcW w:w="1559" w:type="dxa"/>
            <w:vMerge/>
          </w:tcPr>
          <w:p w:rsidR="004B6A68" w:rsidRPr="00815F10" w:rsidRDefault="004B6A68" w:rsidP="004B6A68">
            <w:pPr>
              <w:pStyle w:val="2"/>
              <w:widowControl/>
              <w:ind w:firstLine="0"/>
              <w:rPr>
                <w:sz w:val="22"/>
                <w:szCs w:val="22"/>
              </w:rPr>
            </w:pPr>
          </w:p>
        </w:tc>
      </w:tr>
      <w:tr w:rsidR="004B6A68" w:rsidRPr="00815F10" w:rsidTr="004B6A68">
        <w:tc>
          <w:tcPr>
            <w:tcW w:w="2518" w:type="dxa"/>
            <w:vAlign w:val="bottom"/>
          </w:tcPr>
          <w:p w:rsidR="004B6A68" w:rsidRPr="00815F10" w:rsidRDefault="004B6A68" w:rsidP="00815F10">
            <w:pPr>
              <w:pStyle w:val="2"/>
              <w:widowControl/>
              <w:ind w:firstLine="0"/>
              <w:jc w:val="left"/>
              <w:rPr>
                <w:b/>
                <w:sz w:val="22"/>
                <w:szCs w:val="22"/>
              </w:rPr>
            </w:pPr>
            <w:r w:rsidRPr="00815F10">
              <w:rPr>
                <w:b/>
                <w:sz w:val="22"/>
                <w:szCs w:val="22"/>
              </w:rPr>
              <w:t>Топливно-энергетические</w:t>
            </w:r>
            <w:r w:rsidRPr="00815F10">
              <w:rPr>
                <w:sz w:val="22"/>
                <w:szCs w:val="22"/>
              </w:rPr>
              <w:t xml:space="preserve"> </w:t>
            </w:r>
            <w:r w:rsidRPr="00815F10">
              <w:rPr>
                <w:b/>
                <w:sz w:val="22"/>
                <w:szCs w:val="22"/>
              </w:rPr>
              <w:t xml:space="preserve">товары </w:t>
            </w:r>
          </w:p>
        </w:tc>
        <w:tc>
          <w:tcPr>
            <w:tcW w:w="1701" w:type="dxa"/>
            <w:vAlign w:val="bottom"/>
          </w:tcPr>
          <w:p w:rsidR="004B6A68" w:rsidRPr="00815F10" w:rsidRDefault="004B6A68" w:rsidP="004B6A68">
            <w:pPr>
              <w:pStyle w:val="2"/>
              <w:widowControl/>
              <w:ind w:firstLine="0"/>
              <w:jc w:val="center"/>
              <w:rPr>
                <w:b/>
                <w:sz w:val="22"/>
                <w:szCs w:val="22"/>
              </w:rPr>
            </w:pPr>
            <w:r w:rsidRPr="00815F10">
              <w:rPr>
                <w:b/>
                <w:sz w:val="22"/>
                <w:szCs w:val="22"/>
              </w:rPr>
              <w:t>50,3</w:t>
            </w:r>
          </w:p>
        </w:tc>
        <w:tc>
          <w:tcPr>
            <w:tcW w:w="1134" w:type="dxa"/>
            <w:vAlign w:val="bottom"/>
          </w:tcPr>
          <w:p w:rsidR="004B6A68" w:rsidRPr="00815F10" w:rsidRDefault="004B6A68" w:rsidP="004B6A68">
            <w:pPr>
              <w:pStyle w:val="2"/>
              <w:widowControl/>
              <w:ind w:firstLine="0"/>
              <w:jc w:val="center"/>
              <w:rPr>
                <w:b/>
                <w:sz w:val="22"/>
                <w:szCs w:val="22"/>
              </w:rPr>
            </w:pPr>
            <w:r w:rsidRPr="00815F10">
              <w:rPr>
                <w:b/>
                <w:sz w:val="22"/>
                <w:szCs w:val="22"/>
              </w:rPr>
              <w:t>46,6</w:t>
            </w:r>
          </w:p>
        </w:tc>
        <w:tc>
          <w:tcPr>
            <w:tcW w:w="1418" w:type="dxa"/>
            <w:vAlign w:val="bottom"/>
          </w:tcPr>
          <w:p w:rsidR="004B6A68" w:rsidRPr="00815F10" w:rsidRDefault="004B6A68" w:rsidP="004B6A68">
            <w:pPr>
              <w:pStyle w:val="2"/>
              <w:widowControl/>
              <w:ind w:firstLine="0"/>
              <w:jc w:val="right"/>
              <w:rPr>
                <w:b/>
                <w:sz w:val="22"/>
                <w:szCs w:val="22"/>
              </w:rPr>
            </w:pPr>
            <w:r w:rsidRPr="00815F10">
              <w:rPr>
                <w:b/>
                <w:sz w:val="22"/>
                <w:szCs w:val="22"/>
              </w:rPr>
              <w:t>376,4</w:t>
            </w:r>
          </w:p>
        </w:tc>
        <w:tc>
          <w:tcPr>
            <w:tcW w:w="1559" w:type="dxa"/>
            <w:vAlign w:val="bottom"/>
          </w:tcPr>
          <w:p w:rsidR="004B6A68" w:rsidRPr="00815F10" w:rsidRDefault="004B6A68" w:rsidP="004B6A68">
            <w:pPr>
              <w:pStyle w:val="2"/>
              <w:widowControl/>
              <w:ind w:firstLine="0"/>
              <w:jc w:val="right"/>
              <w:rPr>
                <w:b/>
                <w:sz w:val="22"/>
                <w:szCs w:val="22"/>
              </w:rPr>
            </w:pPr>
            <w:r w:rsidRPr="00815F10">
              <w:rPr>
                <w:b/>
                <w:sz w:val="22"/>
                <w:szCs w:val="22"/>
              </w:rPr>
              <w:t>384,0</w:t>
            </w:r>
          </w:p>
        </w:tc>
        <w:tc>
          <w:tcPr>
            <w:tcW w:w="1559" w:type="dxa"/>
            <w:vAlign w:val="bottom"/>
          </w:tcPr>
          <w:p w:rsidR="004B6A68" w:rsidRPr="00815F10" w:rsidRDefault="004B6A68" w:rsidP="00CF6C7C">
            <w:pPr>
              <w:pStyle w:val="2"/>
              <w:widowControl/>
              <w:ind w:firstLine="0"/>
              <w:jc w:val="center"/>
              <w:rPr>
                <w:b/>
                <w:sz w:val="22"/>
                <w:szCs w:val="22"/>
              </w:rPr>
            </w:pPr>
            <w:r w:rsidRPr="00815F10">
              <w:rPr>
                <w:b/>
                <w:sz w:val="22"/>
                <w:szCs w:val="22"/>
              </w:rPr>
              <w:t>102,</w:t>
            </w:r>
            <w:r w:rsidR="00CF6C7C">
              <w:rPr>
                <w:b/>
                <w:sz w:val="22"/>
                <w:szCs w:val="22"/>
              </w:rPr>
              <w:t>0</w:t>
            </w:r>
          </w:p>
        </w:tc>
      </w:tr>
    </w:tbl>
    <w:p w:rsidR="004B6A68" w:rsidRDefault="004B6A68" w:rsidP="004B6A68">
      <w:pPr>
        <w:pStyle w:val="2"/>
        <w:ind w:firstLine="709"/>
        <w:rPr>
          <w:sz w:val="24"/>
          <w:szCs w:val="24"/>
        </w:rPr>
      </w:pPr>
    </w:p>
    <w:p w:rsidR="004B6A68" w:rsidRDefault="004B6A68" w:rsidP="004B6A68">
      <w:pPr>
        <w:pStyle w:val="2"/>
        <w:widowControl/>
        <w:tabs>
          <w:tab w:val="left" w:pos="900"/>
        </w:tabs>
        <w:ind w:firstLine="709"/>
        <w:rPr>
          <w:sz w:val="24"/>
          <w:szCs w:val="24"/>
        </w:rPr>
      </w:pPr>
      <w:r>
        <w:rPr>
          <w:sz w:val="24"/>
          <w:szCs w:val="24"/>
        </w:rPr>
        <w:lastRenderedPageBreak/>
        <w:t>На</w:t>
      </w:r>
      <w:r w:rsidRPr="008C73EF">
        <w:rPr>
          <w:sz w:val="24"/>
          <w:szCs w:val="24"/>
        </w:rPr>
        <w:t xml:space="preserve"> фоне </w:t>
      </w:r>
      <w:r>
        <w:rPr>
          <w:sz w:val="24"/>
          <w:szCs w:val="24"/>
        </w:rPr>
        <w:t xml:space="preserve">активизации строительства в республике, существенно вырос спрос на цемент, что явилось ключевым фактором роста такой товарной группы как «Минеральные продукты» (в 2,6 раза) до 5,0 млн. долл. США, и в свою очередь обеспечило расширение данных компонент в товарной структуре импорта на 0,4 процентных пункта до 0,61%. </w:t>
      </w:r>
      <w:r w:rsidRPr="00F35E6E">
        <w:rPr>
          <w:sz w:val="24"/>
          <w:szCs w:val="24"/>
        </w:rPr>
        <w:t xml:space="preserve">Основными </w:t>
      </w:r>
      <w:r w:rsidRPr="0009090D">
        <w:rPr>
          <w:sz w:val="24"/>
          <w:szCs w:val="24"/>
        </w:rPr>
        <w:t>контрагентами по данной товарной группе выступали такие страны как: Украина (15,9% от совокупной величины поставок), Молдова (2,1%) соответственно.</w:t>
      </w:r>
    </w:p>
    <w:p w:rsidR="004B6A68" w:rsidRDefault="004B6A68" w:rsidP="004B6A68">
      <w:pPr>
        <w:autoSpaceDE w:val="0"/>
        <w:autoSpaceDN w:val="0"/>
        <w:adjustRightInd w:val="0"/>
        <w:spacing w:after="0" w:line="240" w:lineRule="auto"/>
        <w:ind w:firstLine="708"/>
        <w:jc w:val="right"/>
        <w:rPr>
          <w:rFonts w:ascii="Times New Roman" w:hAnsi="Times New Roman"/>
          <w:sz w:val="24"/>
          <w:szCs w:val="24"/>
        </w:rPr>
      </w:pPr>
      <w:r>
        <w:rPr>
          <w:rFonts w:ascii="Times New Roman" w:hAnsi="Times New Roman"/>
          <w:sz w:val="24"/>
          <w:szCs w:val="24"/>
        </w:rPr>
        <w:t>Таблица №1</w:t>
      </w:r>
      <w:r w:rsidR="00815F10">
        <w:rPr>
          <w:rFonts w:ascii="Times New Roman" w:hAnsi="Times New Roman"/>
          <w:sz w:val="24"/>
          <w:szCs w:val="24"/>
        </w:rPr>
        <w:t>9</w:t>
      </w:r>
    </w:p>
    <w:p w:rsidR="004B6A68" w:rsidRPr="00F15BFD" w:rsidRDefault="004B6A68" w:rsidP="004B6A68">
      <w:pPr>
        <w:pStyle w:val="2"/>
        <w:widowControl/>
        <w:jc w:val="center"/>
        <w:rPr>
          <w:b/>
          <w:sz w:val="24"/>
          <w:szCs w:val="24"/>
        </w:rPr>
      </w:pPr>
      <w:r w:rsidRPr="00C07037">
        <w:rPr>
          <w:b/>
          <w:sz w:val="24"/>
          <w:szCs w:val="24"/>
        </w:rPr>
        <w:t xml:space="preserve">Показатели </w:t>
      </w:r>
      <w:r>
        <w:rPr>
          <w:b/>
          <w:sz w:val="24"/>
          <w:szCs w:val="24"/>
        </w:rPr>
        <w:t xml:space="preserve">импорта </w:t>
      </w:r>
      <w:r w:rsidRPr="00C07037">
        <w:rPr>
          <w:b/>
          <w:sz w:val="24"/>
          <w:szCs w:val="24"/>
        </w:rPr>
        <w:t xml:space="preserve">по </w:t>
      </w:r>
      <w:r>
        <w:rPr>
          <w:b/>
          <w:sz w:val="24"/>
          <w:szCs w:val="24"/>
        </w:rPr>
        <w:t>группе</w:t>
      </w:r>
      <w:r w:rsidRPr="00C07037">
        <w:rPr>
          <w:b/>
          <w:sz w:val="24"/>
          <w:szCs w:val="24"/>
        </w:rPr>
        <w:t xml:space="preserve"> «</w:t>
      </w:r>
      <w:r>
        <w:rPr>
          <w:b/>
          <w:sz w:val="24"/>
          <w:szCs w:val="24"/>
        </w:rPr>
        <w:t>М</w:t>
      </w:r>
      <w:r w:rsidRPr="00120133">
        <w:rPr>
          <w:b/>
          <w:sz w:val="24"/>
          <w:szCs w:val="24"/>
        </w:rPr>
        <w:t>инеральны</w:t>
      </w:r>
      <w:r>
        <w:rPr>
          <w:b/>
          <w:sz w:val="24"/>
          <w:szCs w:val="24"/>
        </w:rPr>
        <w:t>е</w:t>
      </w:r>
      <w:r w:rsidRPr="00120133">
        <w:rPr>
          <w:b/>
          <w:sz w:val="24"/>
          <w:szCs w:val="24"/>
        </w:rPr>
        <w:t xml:space="preserve"> продукт</w:t>
      </w:r>
      <w:r>
        <w:rPr>
          <w:b/>
          <w:sz w:val="24"/>
          <w:szCs w:val="24"/>
        </w:rPr>
        <w:t>ы</w:t>
      </w:r>
      <w:r w:rsidRPr="00C07037">
        <w:rPr>
          <w:b/>
          <w:sz w:val="24"/>
          <w:szCs w:val="24"/>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1417"/>
        <w:gridCol w:w="1418"/>
        <w:gridCol w:w="1559"/>
        <w:gridCol w:w="1418"/>
        <w:gridCol w:w="1950"/>
      </w:tblGrid>
      <w:tr w:rsidR="004B6A68" w:rsidTr="004B6A68">
        <w:trPr>
          <w:trHeight w:val="580"/>
        </w:trPr>
        <w:tc>
          <w:tcPr>
            <w:tcW w:w="2093" w:type="dxa"/>
            <w:vMerge w:val="restart"/>
            <w:vAlign w:val="center"/>
          </w:tcPr>
          <w:p w:rsidR="004B6A68" w:rsidRDefault="004B6A68" w:rsidP="004B6A68">
            <w:pPr>
              <w:pStyle w:val="2"/>
              <w:widowControl/>
              <w:ind w:firstLine="0"/>
              <w:jc w:val="center"/>
              <w:rPr>
                <w:sz w:val="24"/>
                <w:szCs w:val="24"/>
              </w:rPr>
            </w:pPr>
            <w:r w:rsidRPr="00995EAD">
              <w:rPr>
                <w:sz w:val="24"/>
                <w:szCs w:val="24"/>
              </w:rPr>
              <w:t>Наименование товарной группы</w:t>
            </w:r>
          </w:p>
        </w:tc>
        <w:tc>
          <w:tcPr>
            <w:tcW w:w="2835" w:type="dxa"/>
            <w:gridSpan w:val="2"/>
            <w:vAlign w:val="center"/>
          </w:tcPr>
          <w:p w:rsidR="004B6A68" w:rsidRPr="00B93B92" w:rsidRDefault="004B6A68" w:rsidP="004B6A68">
            <w:pPr>
              <w:jc w:val="center"/>
              <w:rPr>
                <w:rFonts w:ascii="Times New Roman" w:hAnsi="Times New Roman"/>
              </w:rPr>
            </w:pPr>
            <w:r w:rsidRPr="00B93B92">
              <w:rPr>
                <w:rFonts w:ascii="Times New Roman" w:hAnsi="Times New Roman"/>
              </w:rPr>
              <w:t>Уд. вес. в стоимостной структуре, %</w:t>
            </w:r>
          </w:p>
        </w:tc>
        <w:tc>
          <w:tcPr>
            <w:tcW w:w="2977" w:type="dxa"/>
            <w:gridSpan w:val="2"/>
            <w:vAlign w:val="center"/>
          </w:tcPr>
          <w:p w:rsidR="004B6A68" w:rsidRPr="00995EAD" w:rsidRDefault="004B6A68" w:rsidP="004B6A68">
            <w:pPr>
              <w:pStyle w:val="2"/>
              <w:widowControl/>
              <w:ind w:firstLine="0"/>
              <w:jc w:val="center"/>
              <w:rPr>
                <w:bCs/>
                <w:sz w:val="24"/>
                <w:szCs w:val="24"/>
              </w:rPr>
            </w:pPr>
            <w:r>
              <w:rPr>
                <w:bCs/>
                <w:sz w:val="24"/>
                <w:szCs w:val="24"/>
              </w:rPr>
              <w:t>Фактическая стоимость, тыс. долл. США</w:t>
            </w:r>
          </w:p>
        </w:tc>
        <w:tc>
          <w:tcPr>
            <w:tcW w:w="1950" w:type="dxa"/>
            <w:vMerge w:val="restart"/>
          </w:tcPr>
          <w:p w:rsidR="004B6A68" w:rsidRPr="00A943F0" w:rsidRDefault="004B6A68" w:rsidP="004B6A68">
            <w:pPr>
              <w:pStyle w:val="2"/>
              <w:widowControl/>
              <w:ind w:firstLine="0"/>
              <w:jc w:val="center"/>
              <w:rPr>
                <w:bCs/>
                <w:sz w:val="22"/>
                <w:szCs w:val="22"/>
              </w:rPr>
            </w:pPr>
            <w:r w:rsidRPr="00A943F0">
              <w:rPr>
                <w:bCs/>
                <w:sz w:val="22"/>
                <w:szCs w:val="22"/>
              </w:rPr>
              <w:t>Темп роста январь-июнь 2014 г. к</w:t>
            </w:r>
          </w:p>
          <w:p w:rsidR="004B6A68" w:rsidRDefault="004B6A68" w:rsidP="004B6A68">
            <w:pPr>
              <w:pStyle w:val="2"/>
              <w:widowControl/>
              <w:ind w:firstLine="0"/>
              <w:rPr>
                <w:sz w:val="24"/>
                <w:szCs w:val="24"/>
              </w:rPr>
            </w:pPr>
            <w:r w:rsidRPr="00A943F0">
              <w:rPr>
                <w:bCs/>
                <w:sz w:val="22"/>
                <w:szCs w:val="22"/>
              </w:rPr>
              <w:t>январю-июню 2013 г., %</w:t>
            </w:r>
          </w:p>
        </w:tc>
      </w:tr>
      <w:tr w:rsidR="004B6A68" w:rsidTr="004B6A68">
        <w:trPr>
          <w:trHeight w:val="155"/>
        </w:trPr>
        <w:tc>
          <w:tcPr>
            <w:tcW w:w="2093" w:type="dxa"/>
            <w:vMerge/>
          </w:tcPr>
          <w:p w:rsidR="004B6A68" w:rsidRDefault="004B6A68" w:rsidP="004B6A68">
            <w:pPr>
              <w:pStyle w:val="2"/>
              <w:widowControl/>
              <w:ind w:firstLine="0"/>
              <w:rPr>
                <w:sz w:val="24"/>
                <w:szCs w:val="24"/>
              </w:rPr>
            </w:pPr>
          </w:p>
        </w:tc>
        <w:tc>
          <w:tcPr>
            <w:tcW w:w="1417" w:type="dxa"/>
            <w:vAlign w:val="center"/>
          </w:tcPr>
          <w:p w:rsidR="004B6A68" w:rsidRDefault="004B6A68" w:rsidP="004B6A68">
            <w:pPr>
              <w:pStyle w:val="2"/>
              <w:widowControl/>
              <w:ind w:left="-108" w:right="-108" w:firstLine="0"/>
              <w:jc w:val="center"/>
              <w:rPr>
                <w:sz w:val="24"/>
                <w:szCs w:val="24"/>
              </w:rPr>
            </w:pPr>
            <w:r>
              <w:rPr>
                <w:sz w:val="24"/>
                <w:szCs w:val="24"/>
              </w:rPr>
              <w:t xml:space="preserve">январь-июнь </w:t>
            </w:r>
          </w:p>
          <w:p w:rsidR="004B6A68" w:rsidRPr="00995EAD" w:rsidRDefault="004B6A68" w:rsidP="004B6A68">
            <w:pPr>
              <w:pStyle w:val="2"/>
              <w:widowControl/>
              <w:ind w:left="-108" w:right="-108" w:firstLine="0"/>
              <w:jc w:val="center"/>
              <w:rPr>
                <w:sz w:val="24"/>
                <w:szCs w:val="24"/>
              </w:rPr>
            </w:pPr>
            <w:r>
              <w:rPr>
                <w:sz w:val="24"/>
                <w:szCs w:val="24"/>
              </w:rPr>
              <w:t>2013 г.</w:t>
            </w:r>
          </w:p>
        </w:tc>
        <w:tc>
          <w:tcPr>
            <w:tcW w:w="1418" w:type="dxa"/>
            <w:vAlign w:val="center"/>
          </w:tcPr>
          <w:p w:rsidR="004B6A68" w:rsidRPr="00995EAD" w:rsidRDefault="004B6A68" w:rsidP="004B6A68">
            <w:pPr>
              <w:pStyle w:val="2"/>
              <w:widowControl/>
              <w:ind w:left="-108" w:right="-108" w:firstLine="0"/>
              <w:jc w:val="center"/>
              <w:rPr>
                <w:sz w:val="24"/>
                <w:szCs w:val="24"/>
              </w:rPr>
            </w:pPr>
            <w:r>
              <w:rPr>
                <w:sz w:val="24"/>
                <w:szCs w:val="24"/>
              </w:rPr>
              <w:t>январь-июнь 2014 г.</w:t>
            </w:r>
          </w:p>
        </w:tc>
        <w:tc>
          <w:tcPr>
            <w:tcW w:w="1559" w:type="dxa"/>
            <w:vAlign w:val="center"/>
          </w:tcPr>
          <w:p w:rsidR="004B6A68" w:rsidRPr="00995EAD" w:rsidRDefault="004B6A68" w:rsidP="004B6A68">
            <w:pPr>
              <w:pStyle w:val="2"/>
              <w:widowControl/>
              <w:ind w:left="-108" w:right="-108" w:firstLine="0"/>
              <w:jc w:val="center"/>
              <w:rPr>
                <w:sz w:val="24"/>
                <w:szCs w:val="24"/>
              </w:rPr>
            </w:pPr>
            <w:r>
              <w:rPr>
                <w:sz w:val="24"/>
                <w:szCs w:val="24"/>
              </w:rPr>
              <w:t>январь-июнь 2013 г.</w:t>
            </w:r>
          </w:p>
        </w:tc>
        <w:tc>
          <w:tcPr>
            <w:tcW w:w="1418" w:type="dxa"/>
            <w:vAlign w:val="center"/>
          </w:tcPr>
          <w:p w:rsidR="004B6A68" w:rsidRPr="00995EAD" w:rsidRDefault="004B6A68" w:rsidP="004B6A68">
            <w:pPr>
              <w:pStyle w:val="2"/>
              <w:widowControl/>
              <w:ind w:left="-108" w:right="-108" w:firstLine="0"/>
              <w:jc w:val="center"/>
              <w:rPr>
                <w:sz w:val="24"/>
                <w:szCs w:val="24"/>
              </w:rPr>
            </w:pPr>
            <w:r>
              <w:rPr>
                <w:sz w:val="24"/>
                <w:szCs w:val="24"/>
              </w:rPr>
              <w:t>январь-июнь 2014 г.</w:t>
            </w:r>
          </w:p>
        </w:tc>
        <w:tc>
          <w:tcPr>
            <w:tcW w:w="1950" w:type="dxa"/>
            <w:vMerge/>
          </w:tcPr>
          <w:p w:rsidR="004B6A68" w:rsidRDefault="004B6A68" w:rsidP="004B6A68">
            <w:pPr>
              <w:pStyle w:val="2"/>
              <w:widowControl/>
              <w:ind w:firstLine="0"/>
              <w:rPr>
                <w:sz w:val="24"/>
                <w:szCs w:val="24"/>
              </w:rPr>
            </w:pPr>
          </w:p>
        </w:tc>
      </w:tr>
      <w:tr w:rsidR="004B6A68" w:rsidTr="004B6A68">
        <w:trPr>
          <w:trHeight w:val="583"/>
        </w:trPr>
        <w:tc>
          <w:tcPr>
            <w:tcW w:w="2093" w:type="dxa"/>
            <w:vAlign w:val="bottom"/>
          </w:tcPr>
          <w:p w:rsidR="004B6A68" w:rsidRPr="00316A39" w:rsidRDefault="004B6A68" w:rsidP="00815F10">
            <w:pPr>
              <w:pStyle w:val="2"/>
              <w:widowControl/>
              <w:ind w:firstLine="0"/>
              <w:jc w:val="left"/>
              <w:rPr>
                <w:b/>
                <w:sz w:val="24"/>
                <w:szCs w:val="24"/>
              </w:rPr>
            </w:pPr>
            <w:r>
              <w:rPr>
                <w:b/>
                <w:sz w:val="24"/>
                <w:szCs w:val="24"/>
              </w:rPr>
              <w:t>М</w:t>
            </w:r>
            <w:r w:rsidRPr="00120133">
              <w:rPr>
                <w:b/>
                <w:sz w:val="24"/>
                <w:szCs w:val="24"/>
              </w:rPr>
              <w:t>инеральны</w:t>
            </w:r>
            <w:r>
              <w:rPr>
                <w:b/>
                <w:sz w:val="24"/>
                <w:szCs w:val="24"/>
              </w:rPr>
              <w:t>е</w:t>
            </w:r>
            <w:r w:rsidRPr="00120133">
              <w:rPr>
                <w:b/>
                <w:sz w:val="24"/>
                <w:szCs w:val="24"/>
              </w:rPr>
              <w:t xml:space="preserve"> продукт</w:t>
            </w:r>
            <w:r>
              <w:rPr>
                <w:b/>
                <w:sz w:val="24"/>
                <w:szCs w:val="24"/>
              </w:rPr>
              <w:t>ы</w:t>
            </w:r>
            <w:r w:rsidRPr="007500BC">
              <w:rPr>
                <w:i/>
                <w:sz w:val="24"/>
                <w:szCs w:val="24"/>
              </w:rPr>
              <w:t xml:space="preserve"> </w:t>
            </w:r>
          </w:p>
        </w:tc>
        <w:tc>
          <w:tcPr>
            <w:tcW w:w="1417" w:type="dxa"/>
            <w:vAlign w:val="bottom"/>
          </w:tcPr>
          <w:p w:rsidR="004B6A68" w:rsidRPr="00316A39" w:rsidRDefault="004B6A68" w:rsidP="004B6A68">
            <w:pPr>
              <w:pStyle w:val="2"/>
              <w:widowControl/>
              <w:ind w:firstLine="0"/>
              <w:jc w:val="center"/>
              <w:rPr>
                <w:b/>
                <w:sz w:val="24"/>
                <w:szCs w:val="24"/>
              </w:rPr>
            </w:pPr>
            <w:r>
              <w:rPr>
                <w:b/>
                <w:sz w:val="24"/>
                <w:szCs w:val="24"/>
              </w:rPr>
              <w:t>0,25</w:t>
            </w:r>
          </w:p>
        </w:tc>
        <w:tc>
          <w:tcPr>
            <w:tcW w:w="1418" w:type="dxa"/>
            <w:vAlign w:val="bottom"/>
          </w:tcPr>
          <w:p w:rsidR="004B6A68" w:rsidRPr="00316A39" w:rsidRDefault="004B6A68" w:rsidP="004B6A68">
            <w:pPr>
              <w:pStyle w:val="2"/>
              <w:widowControl/>
              <w:ind w:firstLine="0"/>
              <w:jc w:val="center"/>
              <w:rPr>
                <w:b/>
                <w:sz w:val="24"/>
                <w:szCs w:val="24"/>
              </w:rPr>
            </w:pPr>
            <w:r>
              <w:rPr>
                <w:b/>
                <w:sz w:val="24"/>
                <w:szCs w:val="24"/>
              </w:rPr>
              <w:t>0,61</w:t>
            </w:r>
          </w:p>
        </w:tc>
        <w:tc>
          <w:tcPr>
            <w:tcW w:w="1559" w:type="dxa"/>
            <w:vAlign w:val="bottom"/>
          </w:tcPr>
          <w:p w:rsidR="004B6A68" w:rsidRPr="00316A39" w:rsidRDefault="004B6A68" w:rsidP="004B6A68">
            <w:pPr>
              <w:pStyle w:val="2"/>
              <w:widowControl/>
              <w:ind w:firstLine="0"/>
              <w:jc w:val="right"/>
              <w:rPr>
                <w:b/>
                <w:sz w:val="24"/>
                <w:szCs w:val="24"/>
              </w:rPr>
            </w:pPr>
            <w:r>
              <w:rPr>
                <w:b/>
                <w:sz w:val="24"/>
                <w:szCs w:val="24"/>
              </w:rPr>
              <w:t>1 898,4</w:t>
            </w:r>
          </w:p>
        </w:tc>
        <w:tc>
          <w:tcPr>
            <w:tcW w:w="1418" w:type="dxa"/>
            <w:vAlign w:val="bottom"/>
          </w:tcPr>
          <w:p w:rsidR="004B6A68" w:rsidRPr="00316A39" w:rsidRDefault="004B6A68" w:rsidP="004B6A68">
            <w:pPr>
              <w:pStyle w:val="2"/>
              <w:widowControl/>
              <w:ind w:firstLine="0"/>
              <w:jc w:val="right"/>
              <w:rPr>
                <w:b/>
                <w:sz w:val="24"/>
                <w:szCs w:val="24"/>
              </w:rPr>
            </w:pPr>
            <w:r>
              <w:rPr>
                <w:b/>
                <w:sz w:val="24"/>
                <w:szCs w:val="24"/>
              </w:rPr>
              <w:t>4 999,9</w:t>
            </w:r>
          </w:p>
        </w:tc>
        <w:tc>
          <w:tcPr>
            <w:tcW w:w="1950" w:type="dxa"/>
            <w:vAlign w:val="bottom"/>
          </w:tcPr>
          <w:p w:rsidR="004B6A68" w:rsidRPr="00316A39" w:rsidRDefault="004B6A68" w:rsidP="004B6A68">
            <w:pPr>
              <w:pStyle w:val="2"/>
              <w:widowControl/>
              <w:ind w:firstLine="0"/>
              <w:jc w:val="center"/>
              <w:rPr>
                <w:b/>
                <w:sz w:val="24"/>
                <w:szCs w:val="24"/>
              </w:rPr>
            </w:pPr>
            <w:r>
              <w:rPr>
                <w:b/>
                <w:sz w:val="24"/>
                <w:szCs w:val="24"/>
              </w:rPr>
              <w:t>в 2,6 раза</w:t>
            </w:r>
          </w:p>
        </w:tc>
      </w:tr>
    </w:tbl>
    <w:p w:rsidR="004B6A68" w:rsidRDefault="004B6A68" w:rsidP="004B6A68">
      <w:pPr>
        <w:pStyle w:val="ad"/>
        <w:tabs>
          <w:tab w:val="left" w:pos="900"/>
        </w:tabs>
        <w:spacing w:after="0"/>
        <w:ind w:firstLine="709"/>
        <w:jc w:val="both"/>
        <w:rPr>
          <w:sz w:val="24"/>
          <w:szCs w:val="24"/>
        </w:rPr>
      </w:pPr>
    </w:p>
    <w:p w:rsidR="004B6A68" w:rsidRDefault="004B6A68" w:rsidP="004B6A68">
      <w:pPr>
        <w:pStyle w:val="a4"/>
      </w:pPr>
      <w:r>
        <w:t xml:space="preserve">Спрос экономических агентов на машиностроительную продукцию сложился практически сопоставимым базовой величине января-июня 2013 года, абсолютная стоимость которой составила 90,6 млн. долл. США, сократившись на 0,4%, при этом долевое представительство данной группы товаров понизилось на 1,16 процентных пункта до 11,0%. </w:t>
      </w:r>
    </w:p>
    <w:p w:rsidR="004B6A68" w:rsidRPr="00E22210" w:rsidRDefault="004B6A68" w:rsidP="004B6A68">
      <w:pPr>
        <w:pStyle w:val="ad"/>
        <w:tabs>
          <w:tab w:val="left" w:pos="900"/>
        </w:tabs>
        <w:spacing w:after="0"/>
        <w:ind w:firstLine="709"/>
        <w:jc w:val="right"/>
        <w:rPr>
          <w:sz w:val="24"/>
          <w:szCs w:val="24"/>
        </w:rPr>
      </w:pPr>
      <w:r w:rsidRPr="00E22210">
        <w:rPr>
          <w:sz w:val="24"/>
          <w:szCs w:val="24"/>
        </w:rPr>
        <w:t>Таблица №</w:t>
      </w:r>
      <w:r w:rsidR="00815F10">
        <w:rPr>
          <w:sz w:val="24"/>
          <w:szCs w:val="24"/>
        </w:rPr>
        <w:t>20</w:t>
      </w:r>
    </w:p>
    <w:p w:rsidR="004B6A68" w:rsidRDefault="004B6A68" w:rsidP="004B6A68">
      <w:pPr>
        <w:pStyle w:val="2"/>
        <w:widowControl/>
        <w:jc w:val="center"/>
        <w:rPr>
          <w:sz w:val="24"/>
          <w:szCs w:val="24"/>
        </w:rPr>
      </w:pPr>
      <w:r w:rsidRPr="00C07037">
        <w:rPr>
          <w:b/>
          <w:sz w:val="24"/>
          <w:szCs w:val="24"/>
        </w:rPr>
        <w:t xml:space="preserve">Показатели </w:t>
      </w:r>
      <w:r>
        <w:rPr>
          <w:b/>
          <w:sz w:val="24"/>
          <w:szCs w:val="24"/>
        </w:rPr>
        <w:t>импорта машиностроительной продукции</w:t>
      </w:r>
      <w:r w:rsidRPr="00C07037">
        <w:rPr>
          <w:b/>
          <w:sz w:val="24"/>
          <w:szCs w:val="24"/>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60"/>
        <w:gridCol w:w="1417"/>
        <w:gridCol w:w="1418"/>
        <w:gridCol w:w="1417"/>
        <w:gridCol w:w="1418"/>
        <w:gridCol w:w="1559"/>
      </w:tblGrid>
      <w:tr w:rsidR="004B6A68" w:rsidTr="004B6A68">
        <w:trPr>
          <w:trHeight w:val="829"/>
        </w:trPr>
        <w:tc>
          <w:tcPr>
            <w:tcW w:w="2660" w:type="dxa"/>
            <w:vMerge w:val="restart"/>
            <w:vAlign w:val="center"/>
          </w:tcPr>
          <w:p w:rsidR="004B6A68" w:rsidRDefault="004B6A68" w:rsidP="004B6A68">
            <w:pPr>
              <w:pStyle w:val="2"/>
              <w:widowControl/>
              <w:ind w:firstLine="0"/>
              <w:jc w:val="center"/>
              <w:rPr>
                <w:sz w:val="24"/>
                <w:szCs w:val="24"/>
              </w:rPr>
            </w:pPr>
            <w:r w:rsidRPr="00995EAD">
              <w:rPr>
                <w:sz w:val="24"/>
                <w:szCs w:val="24"/>
              </w:rPr>
              <w:t>Наименование товарной группы</w:t>
            </w:r>
          </w:p>
        </w:tc>
        <w:tc>
          <w:tcPr>
            <w:tcW w:w="2835" w:type="dxa"/>
            <w:gridSpan w:val="2"/>
            <w:vAlign w:val="center"/>
          </w:tcPr>
          <w:p w:rsidR="004B6A68" w:rsidRPr="00B93B92" w:rsidRDefault="004B6A68" w:rsidP="004B6A68">
            <w:pPr>
              <w:jc w:val="center"/>
              <w:rPr>
                <w:rFonts w:ascii="Times New Roman" w:hAnsi="Times New Roman"/>
              </w:rPr>
            </w:pPr>
            <w:r w:rsidRPr="00B93B92">
              <w:rPr>
                <w:rFonts w:ascii="Times New Roman" w:hAnsi="Times New Roman"/>
              </w:rPr>
              <w:t>Уд. вес. в стоимостной структуре, %</w:t>
            </w:r>
          </w:p>
        </w:tc>
        <w:tc>
          <w:tcPr>
            <w:tcW w:w="2835" w:type="dxa"/>
            <w:gridSpan w:val="2"/>
            <w:vAlign w:val="center"/>
          </w:tcPr>
          <w:p w:rsidR="004B6A68" w:rsidRPr="00995EAD" w:rsidRDefault="004B6A68" w:rsidP="004B6A68">
            <w:pPr>
              <w:pStyle w:val="2"/>
              <w:widowControl/>
              <w:ind w:firstLine="0"/>
              <w:jc w:val="center"/>
              <w:rPr>
                <w:bCs/>
                <w:sz w:val="24"/>
                <w:szCs w:val="24"/>
              </w:rPr>
            </w:pPr>
            <w:r>
              <w:rPr>
                <w:bCs/>
                <w:sz w:val="24"/>
                <w:szCs w:val="24"/>
              </w:rPr>
              <w:t>Фактическая стоимость, тыс. долл. США</w:t>
            </w:r>
          </w:p>
        </w:tc>
        <w:tc>
          <w:tcPr>
            <w:tcW w:w="1559" w:type="dxa"/>
            <w:vMerge w:val="restart"/>
          </w:tcPr>
          <w:p w:rsidR="004B6A68" w:rsidRPr="00A943F0" w:rsidRDefault="004B6A68" w:rsidP="004B6A68">
            <w:pPr>
              <w:pStyle w:val="2"/>
              <w:widowControl/>
              <w:ind w:firstLine="0"/>
              <w:jc w:val="center"/>
              <w:rPr>
                <w:bCs/>
                <w:sz w:val="22"/>
                <w:szCs w:val="22"/>
              </w:rPr>
            </w:pPr>
            <w:r w:rsidRPr="00A943F0">
              <w:rPr>
                <w:bCs/>
                <w:sz w:val="22"/>
                <w:szCs w:val="22"/>
              </w:rPr>
              <w:t>Темп роста январь-июнь 2014 г. к</w:t>
            </w:r>
          </w:p>
          <w:p w:rsidR="004B6A68" w:rsidRDefault="004B6A68" w:rsidP="004B6A68">
            <w:pPr>
              <w:pStyle w:val="2"/>
              <w:widowControl/>
              <w:ind w:firstLine="0"/>
              <w:jc w:val="center"/>
              <w:rPr>
                <w:sz w:val="24"/>
                <w:szCs w:val="24"/>
              </w:rPr>
            </w:pPr>
            <w:r w:rsidRPr="00A943F0">
              <w:rPr>
                <w:bCs/>
                <w:sz w:val="22"/>
                <w:szCs w:val="22"/>
              </w:rPr>
              <w:t>январю-июню 2013 г., %</w:t>
            </w:r>
          </w:p>
        </w:tc>
      </w:tr>
      <w:tr w:rsidR="004B6A68" w:rsidTr="004B6A68">
        <w:trPr>
          <w:trHeight w:val="145"/>
        </w:trPr>
        <w:tc>
          <w:tcPr>
            <w:tcW w:w="2660" w:type="dxa"/>
            <w:vMerge/>
          </w:tcPr>
          <w:p w:rsidR="004B6A68" w:rsidRDefault="004B6A68" w:rsidP="004B6A68">
            <w:pPr>
              <w:pStyle w:val="2"/>
              <w:widowControl/>
              <w:ind w:firstLine="0"/>
              <w:rPr>
                <w:sz w:val="24"/>
                <w:szCs w:val="24"/>
              </w:rPr>
            </w:pPr>
          </w:p>
        </w:tc>
        <w:tc>
          <w:tcPr>
            <w:tcW w:w="1417" w:type="dxa"/>
            <w:vAlign w:val="center"/>
          </w:tcPr>
          <w:p w:rsidR="004B6A68" w:rsidRDefault="004B6A68" w:rsidP="004B6A68">
            <w:pPr>
              <w:pStyle w:val="2"/>
              <w:widowControl/>
              <w:ind w:left="-108" w:right="-108" w:firstLine="0"/>
              <w:jc w:val="center"/>
              <w:rPr>
                <w:sz w:val="24"/>
                <w:szCs w:val="24"/>
              </w:rPr>
            </w:pPr>
            <w:r>
              <w:rPr>
                <w:sz w:val="24"/>
                <w:szCs w:val="24"/>
              </w:rPr>
              <w:t xml:space="preserve">январь-июнь </w:t>
            </w:r>
          </w:p>
          <w:p w:rsidR="004B6A68" w:rsidRPr="00995EAD" w:rsidRDefault="004B6A68" w:rsidP="004B6A68">
            <w:pPr>
              <w:pStyle w:val="2"/>
              <w:widowControl/>
              <w:ind w:left="-108" w:right="-108" w:firstLine="0"/>
              <w:jc w:val="center"/>
              <w:rPr>
                <w:sz w:val="24"/>
                <w:szCs w:val="24"/>
              </w:rPr>
            </w:pPr>
            <w:r>
              <w:rPr>
                <w:sz w:val="24"/>
                <w:szCs w:val="24"/>
              </w:rPr>
              <w:t>2013 г.</w:t>
            </w:r>
          </w:p>
        </w:tc>
        <w:tc>
          <w:tcPr>
            <w:tcW w:w="1418" w:type="dxa"/>
            <w:vAlign w:val="center"/>
          </w:tcPr>
          <w:p w:rsidR="004B6A68" w:rsidRPr="00995EAD" w:rsidRDefault="004B6A68" w:rsidP="004B6A68">
            <w:pPr>
              <w:pStyle w:val="2"/>
              <w:widowControl/>
              <w:ind w:left="-108" w:right="-108" w:firstLine="0"/>
              <w:jc w:val="center"/>
              <w:rPr>
                <w:sz w:val="24"/>
                <w:szCs w:val="24"/>
              </w:rPr>
            </w:pPr>
            <w:r>
              <w:rPr>
                <w:sz w:val="24"/>
                <w:szCs w:val="24"/>
              </w:rPr>
              <w:t>январь-июнь 2014 г.</w:t>
            </w:r>
          </w:p>
        </w:tc>
        <w:tc>
          <w:tcPr>
            <w:tcW w:w="1417" w:type="dxa"/>
            <w:vAlign w:val="center"/>
          </w:tcPr>
          <w:p w:rsidR="004B6A68" w:rsidRPr="00995EAD" w:rsidRDefault="004B6A68" w:rsidP="004B6A68">
            <w:pPr>
              <w:pStyle w:val="2"/>
              <w:widowControl/>
              <w:ind w:left="-108" w:right="-108" w:firstLine="0"/>
              <w:jc w:val="center"/>
              <w:rPr>
                <w:sz w:val="24"/>
                <w:szCs w:val="24"/>
              </w:rPr>
            </w:pPr>
            <w:r>
              <w:rPr>
                <w:sz w:val="24"/>
                <w:szCs w:val="24"/>
              </w:rPr>
              <w:t>январь-июнь 2013 г.</w:t>
            </w:r>
          </w:p>
        </w:tc>
        <w:tc>
          <w:tcPr>
            <w:tcW w:w="1418" w:type="dxa"/>
            <w:vAlign w:val="center"/>
          </w:tcPr>
          <w:p w:rsidR="004B6A68" w:rsidRPr="00995EAD" w:rsidRDefault="004B6A68" w:rsidP="004B6A68">
            <w:pPr>
              <w:pStyle w:val="2"/>
              <w:widowControl/>
              <w:ind w:left="-108" w:right="-108" w:firstLine="0"/>
              <w:jc w:val="center"/>
              <w:rPr>
                <w:sz w:val="24"/>
                <w:szCs w:val="24"/>
              </w:rPr>
            </w:pPr>
            <w:r>
              <w:rPr>
                <w:sz w:val="24"/>
                <w:szCs w:val="24"/>
              </w:rPr>
              <w:t>январь-июнь 2014 г.</w:t>
            </w:r>
          </w:p>
        </w:tc>
        <w:tc>
          <w:tcPr>
            <w:tcW w:w="1559" w:type="dxa"/>
            <w:vMerge/>
          </w:tcPr>
          <w:p w:rsidR="004B6A68" w:rsidRPr="00B043D4" w:rsidRDefault="004B6A68" w:rsidP="004B6A68">
            <w:pPr>
              <w:pStyle w:val="2"/>
              <w:widowControl/>
              <w:ind w:firstLine="0"/>
              <w:rPr>
                <w:sz w:val="24"/>
                <w:szCs w:val="24"/>
              </w:rPr>
            </w:pPr>
          </w:p>
        </w:tc>
      </w:tr>
      <w:tr w:rsidR="004B6A68" w:rsidTr="004B6A68">
        <w:trPr>
          <w:trHeight w:val="543"/>
        </w:trPr>
        <w:tc>
          <w:tcPr>
            <w:tcW w:w="2660" w:type="dxa"/>
            <w:vAlign w:val="bottom"/>
          </w:tcPr>
          <w:p w:rsidR="004B6A68" w:rsidRPr="006C5A32" w:rsidRDefault="004B6A68" w:rsidP="004B6A68">
            <w:pPr>
              <w:pStyle w:val="2"/>
              <w:widowControl/>
              <w:ind w:right="-108" w:firstLine="0"/>
              <w:jc w:val="left"/>
              <w:rPr>
                <w:b/>
                <w:sz w:val="24"/>
                <w:szCs w:val="24"/>
              </w:rPr>
            </w:pPr>
            <w:r>
              <w:rPr>
                <w:b/>
                <w:sz w:val="24"/>
                <w:szCs w:val="24"/>
              </w:rPr>
              <w:t>Машиностроительная продукция</w:t>
            </w:r>
          </w:p>
        </w:tc>
        <w:tc>
          <w:tcPr>
            <w:tcW w:w="1417" w:type="dxa"/>
            <w:vAlign w:val="bottom"/>
          </w:tcPr>
          <w:p w:rsidR="004B6A68" w:rsidRPr="00B043D4" w:rsidRDefault="004B6A68" w:rsidP="004B6A68">
            <w:pPr>
              <w:pStyle w:val="2"/>
              <w:widowControl/>
              <w:ind w:firstLine="0"/>
              <w:jc w:val="center"/>
              <w:rPr>
                <w:b/>
                <w:sz w:val="24"/>
                <w:szCs w:val="24"/>
              </w:rPr>
            </w:pPr>
            <w:r>
              <w:rPr>
                <w:b/>
                <w:sz w:val="24"/>
                <w:szCs w:val="24"/>
              </w:rPr>
              <w:t>12,2</w:t>
            </w:r>
          </w:p>
        </w:tc>
        <w:tc>
          <w:tcPr>
            <w:tcW w:w="1418" w:type="dxa"/>
            <w:vAlign w:val="bottom"/>
          </w:tcPr>
          <w:p w:rsidR="004B6A68" w:rsidRPr="00B043D4" w:rsidRDefault="004B6A68" w:rsidP="004B6A68">
            <w:pPr>
              <w:pStyle w:val="2"/>
              <w:widowControl/>
              <w:ind w:firstLine="0"/>
              <w:jc w:val="center"/>
              <w:rPr>
                <w:b/>
                <w:sz w:val="24"/>
                <w:szCs w:val="24"/>
              </w:rPr>
            </w:pPr>
            <w:r>
              <w:rPr>
                <w:b/>
                <w:sz w:val="24"/>
                <w:szCs w:val="24"/>
              </w:rPr>
              <w:t>11,0</w:t>
            </w:r>
          </w:p>
        </w:tc>
        <w:tc>
          <w:tcPr>
            <w:tcW w:w="1417" w:type="dxa"/>
            <w:vAlign w:val="bottom"/>
          </w:tcPr>
          <w:p w:rsidR="004B6A68" w:rsidRPr="00B043D4" w:rsidRDefault="004B6A68" w:rsidP="004B6A68">
            <w:pPr>
              <w:pStyle w:val="2"/>
              <w:widowControl/>
              <w:ind w:firstLine="0"/>
              <w:jc w:val="right"/>
              <w:rPr>
                <w:b/>
                <w:sz w:val="24"/>
                <w:szCs w:val="24"/>
              </w:rPr>
            </w:pPr>
            <w:r>
              <w:rPr>
                <w:b/>
                <w:sz w:val="24"/>
                <w:szCs w:val="24"/>
              </w:rPr>
              <w:t xml:space="preserve">90,9 </w:t>
            </w:r>
          </w:p>
        </w:tc>
        <w:tc>
          <w:tcPr>
            <w:tcW w:w="1418" w:type="dxa"/>
            <w:vAlign w:val="bottom"/>
          </w:tcPr>
          <w:p w:rsidR="004B6A68" w:rsidRPr="00B043D4" w:rsidRDefault="004B6A68" w:rsidP="004B6A68">
            <w:pPr>
              <w:pStyle w:val="2"/>
              <w:widowControl/>
              <w:ind w:firstLine="0"/>
              <w:jc w:val="right"/>
              <w:rPr>
                <w:b/>
                <w:sz w:val="24"/>
                <w:szCs w:val="24"/>
              </w:rPr>
            </w:pPr>
            <w:r>
              <w:rPr>
                <w:b/>
                <w:sz w:val="24"/>
                <w:szCs w:val="24"/>
              </w:rPr>
              <w:t>90,6</w:t>
            </w:r>
          </w:p>
        </w:tc>
        <w:tc>
          <w:tcPr>
            <w:tcW w:w="1559" w:type="dxa"/>
            <w:vAlign w:val="bottom"/>
          </w:tcPr>
          <w:p w:rsidR="004B6A68" w:rsidRPr="00B043D4" w:rsidRDefault="004B6A68" w:rsidP="004B6A68">
            <w:pPr>
              <w:pStyle w:val="2"/>
              <w:widowControl/>
              <w:ind w:firstLine="0"/>
              <w:jc w:val="center"/>
              <w:rPr>
                <w:b/>
                <w:sz w:val="24"/>
                <w:szCs w:val="24"/>
              </w:rPr>
            </w:pPr>
            <w:r>
              <w:rPr>
                <w:b/>
                <w:sz w:val="24"/>
                <w:szCs w:val="24"/>
              </w:rPr>
              <w:t>99,6</w:t>
            </w:r>
          </w:p>
        </w:tc>
      </w:tr>
    </w:tbl>
    <w:p w:rsidR="004B6A68" w:rsidRDefault="004B6A68" w:rsidP="004B6A68">
      <w:pPr>
        <w:pStyle w:val="a4"/>
      </w:pPr>
    </w:p>
    <w:p w:rsidR="004B6A68" w:rsidRDefault="004B6A68" w:rsidP="004B6A68">
      <w:pPr>
        <w:pStyle w:val="ad"/>
        <w:tabs>
          <w:tab w:val="left" w:pos="900"/>
        </w:tabs>
        <w:spacing w:after="0"/>
        <w:ind w:firstLine="709"/>
        <w:jc w:val="both"/>
        <w:rPr>
          <w:sz w:val="24"/>
          <w:szCs w:val="24"/>
        </w:rPr>
      </w:pPr>
      <w:r>
        <w:rPr>
          <w:sz w:val="24"/>
          <w:szCs w:val="24"/>
        </w:rPr>
        <w:t>Изменения других структурных составляющих импорта характеризовались понижательной динамикой.</w:t>
      </w:r>
    </w:p>
    <w:p w:rsidR="004B6A68" w:rsidRPr="00A539FC" w:rsidRDefault="004B6A68" w:rsidP="004B6A68">
      <w:pPr>
        <w:pStyle w:val="ad"/>
        <w:tabs>
          <w:tab w:val="left" w:pos="900"/>
        </w:tabs>
        <w:spacing w:after="0"/>
        <w:ind w:firstLine="709"/>
        <w:jc w:val="both"/>
        <w:rPr>
          <w:sz w:val="24"/>
          <w:szCs w:val="24"/>
        </w:rPr>
      </w:pPr>
      <w:r>
        <w:rPr>
          <w:sz w:val="24"/>
          <w:szCs w:val="24"/>
        </w:rPr>
        <w:t>Так, в</w:t>
      </w:r>
      <w:r w:rsidRPr="00A539FC">
        <w:rPr>
          <w:sz w:val="24"/>
          <w:szCs w:val="24"/>
        </w:rPr>
        <w:t xml:space="preserve"> связи со снижением ввоза текстильных материалов (</w:t>
      </w:r>
      <w:r w:rsidR="009346DF">
        <w:rPr>
          <w:sz w:val="24"/>
          <w:szCs w:val="24"/>
        </w:rPr>
        <w:t>«-»22,1%), обуви и частей обуви («-»</w:t>
      </w:r>
      <w:r w:rsidRPr="00A539FC">
        <w:rPr>
          <w:sz w:val="24"/>
          <w:szCs w:val="24"/>
        </w:rPr>
        <w:t xml:space="preserve">12,8%) стоимостной объем импорта сырья и продукции легкой промышленности сократился на 18,8%, при этом доля данных компонент в структуре поставок уменьшилась на 1,3 процентных пункта до 3,7%. Поставки сырья и продукции легкой промышленности главным образом осуществлялись из </w:t>
      </w:r>
      <w:r>
        <w:rPr>
          <w:sz w:val="24"/>
          <w:szCs w:val="24"/>
        </w:rPr>
        <w:t xml:space="preserve">Казахстана </w:t>
      </w:r>
      <w:r w:rsidRPr="00A539FC">
        <w:rPr>
          <w:sz w:val="24"/>
          <w:szCs w:val="24"/>
        </w:rPr>
        <w:t>(</w:t>
      </w:r>
      <w:r>
        <w:rPr>
          <w:sz w:val="24"/>
          <w:szCs w:val="24"/>
        </w:rPr>
        <w:t>29,4</w:t>
      </w:r>
      <w:r w:rsidRPr="00A539FC">
        <w:rPr>
          <w:sz w:val="24"/>
          <w:szCs w:val="24"/>
        </w:rPr>
        <w:t xml:space="preserve">% всего импорта данной группы), </w:t>
      </w:r>
      <w:r>
        <w:rPr>
          <w:sz w:val="24"/>
          <w:szCs w:val="24"/>
        </w:rPr>
        <w:t xml:space="preserve">Германии (16,7%), Узбекистана </w:t>
      </w:r>
      <w:r w:rsidRPr="00A539FC">
        <w:rPr>
          <w:sz w:val="24"/>
          <w:szCs w:val="24"/>
        </w:rPr>
        <w:t>(</w:t>
      </w:r>
      <w:r>
        <w:rPr>
          <w:sz w:val="24"/>
          <w:szCs w:val="24"/>
        </w:rPr>
        <w:t>15,9</w:t>
      </w:r>
      <w:r w:rsidRPr="00A539FC">
        <w:rPr>
          <w:sz w:val="24"/>
          <w:szCs w:val="24"/>
        </w:rPr>
        <w:t>%), Италии (</w:t>
      </w:r>
      <w:r>
        <w:rPr>
          <w:sz w:val="24"/>
          <w:szCs w:val="24"/>
        </w:rPr>
        <w:t>10,4</w:t>
      </w:r>
      <w:r w:rsidRPr="00A539FC">
        <w:rPr>
          <w:sz w:val="24"/>
          <w:szCs w:val="24"/>
        </w:rPr>
        <w:t>%).</w:t>
      </w:r>
    </w:p>
    <w:p w:rsidR="004B6A68" w:rsidRPr="00E22210" w:rsidRDefault="004B6A68" w:rsidP="004B6A68">
      <w:pPr>
        <w:pStyle w:val="ad"/>
        <w:tabs>
          <w:tab w:val="left" w:pos="900"/>
        </w:tabs>
        <w:spacing w:after="0"/>
        <w:ind w:firstLine="709"/>
        <w:jc w:val="right"/>
        <w:rPr>
          <w:sz w:val="24"/>
          <w:szCs w:val="24"/>
        </w:rPr>
      </w:pPr>
      <w:r w:rsidRPr="00E22210">
        <w:rPr>
          <w:sz w:val="24"/>
          <w:szCs w:val="24"/>
        </w:rPr>
        <w:t>Таблица №</w:t>
      </w:r>
      <w:r w:rsidR="00827768">
        <w:rPr>
          <w:sz w:val="24"/>
          <w:szCs w:val="24"/>
        </w:rPr>
        <w:t>21</w:t>
      </w:r>
    </w:p>
    <w:p w:rsidR="004B6A68" w:rsidRDefault="004B6A68" w:rsidP="004B6A68">
      <w:pPr>
        <w:pStyle w:val="2"/>
        <w:widowControl/>
        <w:jc w:val="center"/>
        <w:rPr>
          <w:sz w:val="24"/>
          <w:szCs w:val="24"/>
        </w:rPr>
      </w:pPr>
      <w:r w:rsidRPr="00C07037">
        <w:rPr>
          <w:b/>
          <w:sz w:val="24"/>
          <w:szCs w:val="24"/>
        </w:rPr>
        <w:t xml:space="preserve">Показатели </w:t>
      </w:r>
      <w:r>
        <w:rPr>
          <w:b/>
          <w:sz w:val="24"/>
          <w:szCs w:val="24"/>
        </w:rPr>
        <w:t>импорта сырья и продукции легкой промышленности</w:t>
      </w:r>
      <w:r w:rsidRPr="00C07037">
        <w:rPr>
          <w:b/>
          <w:sz w:val="24"/>
          <w:szCs w:val="24"/>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1559"/>
        <w:gridCol w:w="1418"/>
        <w:gridCol w:w="1417"/>
        <w:gridCol w:w="1418"/>
        <w:gridCol w:w="1559"/>
      </w:tblGrid>
      <w:tr w:rsidR="004B6A68" w:rsidTr="004B6A68">
        <w:trPr>
          <w:trHeight w:val="571"/>
        </w:trPr>
        <w:tc>
          <w:tcPr>
            <w:tcW w:w="2518" w:type="dxa"/>
            <w:vMerge w:val="restart"/>
            <w:vAlign w:val="center"/>
          </w:tcPr>
          <w:p w:rsidR="004B6A68" w:rsidRDefault="004B6A68" w:rsidP="004B6A68">
            <w:pPr>
              <w:pStyle w:val="2"/>
              <w:widowControl/>
              <w:ind w:firstLine="0"/>
              <w:jc w:val="center"/>
              <w:rPr>
                <w:sz w:val="24"/>
                <w:szCs w:val="24"/>
              </w:rPr>
            </w:pPr>
            <w:r w:rsidRPr="00995EAD">
              <w:rPr>
                <w:sz w:val="24"/>
                <w:szCs w:val="24"/>
              </w:rPr>
              <w:t>Наименование товарной группы</w:t>
            </w:r>
          </w:p>
        </w:tc>
        <w:tc>
          <w:tcPr>
            <w:tcW w:w="2977" w:type="dxa"/>
            <w:gridSpan w:val="2"/>
            <w:vAlign w:val="bottom"/>
          </w:tcPr>
          <w:p w:rsidR="004B6A68" w:rsidRPr="00B93B92" w:rsidRDefault="004B6A68" w:rsidP="004B6A68">
            <w:pPr>
              <w:jc w:val="center"/>
              <w:rPr>
                <w:rFonts w:ascii="Times New Roman" w:hAnsi="Times New Roman"/>
              </w:rPr>
            </w:pPr>
            <w:r w:rsidRPr="00B93B92">
              <w:rPr>
                <w:rFonts w:ascii="Times New Roman" w:hAnsi="Times New Roman"/>
              </w:rPr>
              <w:t>Уд. вес. в стоимостной структуре, %</w:t>
            </w:r>
          </w:p>
        </w:tc>
        <w:tc>
          <w:tcPr>
            <w:tcW w:w="2835" w:type="dxa"/>
            <w:gridSpan w:val="2"/>
            <w:vAlign w:val="bottom"/>
          </w:tcPr>
          <w:p w:rsidR="004B6A68" w:rsidRPr="00995EAD" w:rsidRDefault="004B6A68" w:rsidP="004B6A68">
            <w:pPr>
              <w:pStyle w:val="2"/>
              <w:widowControl/>
              <w:ind w:firstLine="0"/>
              <w:jc w:val="center"/>
              <w:rPr>
                <w:bCs/>
                <w:sz w:val="24"/>
                <w:szCs w:val="24"/>
              </w:rPr>
            </w:pPr>
            <w:r>
              <w:rPr>
                <w:bCs/>
                <w:sz w:val="24"/>
                <w:szCs w:val="24"/>
              </w:rPr>
              <w:t>Фактическая стоимость, тыс. долл. США</w:t>
            </w:r>
          </w:p>
        </w:tc>
        <w:tc>
          <w:tcPr>
            <w:tcW w:w="1559" w:type="dxa"/>
            <w:vMerge w:val="restart"/>
          </w:tcPr>
          <w:p w:rsidR="004B6A68" w:rsidRPr="00A943F0" w:rsidRDefault="004B6A68" w:rsidP="004B6A68">
            <w:pPr>
              <w:pStyle w:val="2"/>
              <w:widowControl/>
              <w:ind w:firstLine="0"/>
              <w:jc w:val="center"/>
              <w:rPr>
                <w:bCs/>
                <w:sz w:val="22"/>
                <w:szCs w:val="22"/>
              </w:rPr>
            </w:pPr>
            <w:r w:rsidRPr="00A943F0">
              <w:rPr>
                <w:bCs/>
                <w:sz w:val="22"/>
                <w:szCs w:val="22"/>
              </w:rPr>
              <w:t>Темп роста январь-июнь 2014 г. к</w:t>
            </w:r>
          </w:p>
          <w:p w:rsidR="004B6A68" w:rsidRDefault="004B6A68" w:rsidP="004B6A68">
            <w:pPr>
              <w:pStyle w:val="2"/>
              <w:widowControl/>
              <w:ind w:firstLine="0"/>
              <w:jc w:val="center"/>
              <w:rPr>
                <w:sz w:val="24"/>
                <w:szCs w:val="24"/>
              </w:rPr>
            </w:pPr>
            <w:r w:rsidRPr="00A943F0">
              <w:rPr>
                <w:bCs/>
                <w:sz w:val="22"/>
                <w:szCs w:val="22"/>
              </w:rPr>
              <w:t>январю-июню 2013 г., %</w:t>
            </w:r>
          </w:p>
        </w:tc>
      </w:tr>
      <w:tr w:rsidR="004B6A68" w:rsidTr="004B6A68">
        <w:trPr>
          <w:trHeight w:val="145"/>
        </w:trPr>
        <w:tc>
          <w:tcPr>
            <w:tcW w:w="2518" w:type="dxa"/>
            <w:vMerge/>
          </w:tcPr>
          <w:p w:rsidR="004B6A68" w:rsidRDefault="004B6A68" w:rsidP="004B6A68">
            <w:pPr>
              <w:pStyle w:val="2"/>
              <w:widowControl/>
              <w:ind w:firstLine="0"/>
              <w:rPr>
                <w:sz w:val="24"/>
                <w:szCs w:val="24"/>
              </w:rPr>
            </w:pPr>
          </w:p>
        </w:tc>
        <w:tc>
          <w:tcPr>
            <w:tcW w:w="1559" w:type="dxa"/>
            <w:vAlign w:val="center"/>
          </w:tcPr>
          <w:p w:rsidR="004B6A68" w:rsidRDefault="004B6A68" w:rsidP="004B6A68">
            <w:pPr>
              <w:pStyle w:val="2"/>
              <w:widowControl/>
              <w:ind w:left="-108" w:right="-108" w:firstLine="0"/>
              <w:jc w:val="center"/>
              <w:rPr>
                <w:sz w:val="24"/>
                <w:szCs w:val="24"/>
              </w:rPr>
            </w:pPr>
            <w:r>
              <w:rPr>
                <w:sz w:val="24"/>
                <w:szCs w:val="24"/>
              </w:rPr>
              <w:t xml:space="preserve">январь-июнь </w:t>
            </w:r>
          </w:p>
          <w:p w:rsidR="004B6A68" w:rsidRPr="00995EAD" w:rsidRDefault="004B6A68" w:rsidP="004B6A68">
            <w:pPr>
              <w:pStyle w:val="2"/>
              <w:widowControl/>
              <w:ind w:left="-108" w:right="-108" w:firstLine="0"/>
              <w:jc w:val="center"/>
              <w:rPr>
                <w:sz w:val="24"/>
                <w:szCs w:val="24"/>
              </w:rPr>
            </w:pPr>
            <w:r>
              <w:rPr>
                <w:sz w:val="24"/>
                <w:szCs w:val="24"/>
              </w:rPr>
              <w:t>2013 г.</w:t>
            </w:r>
          </w:p>
        </w:tc>
        <w:tc>
          <w:tcPr>
            <w:tcW w:w="1418" w:type="dxa"/>
            <w:vAlign w:val="center"/>
          </w:tcPr>
          <w:p w:rsidR="004B6A68" w:rsidRPr="00995EAD" w:rsidRDefault="004B6A68" w:rsidP="004B6A68">
            <w:pPr>
              <w:pStyle w:val="2"/>
              <w:widowControl/>
              <w:ind w:left="-108" w:right="-108" w:firstLine="0"/>
              <w:jc w:val="center"/>
              <w:rPr>
                <w:sz w:val="24"/>
                <w:szCs w:val="24"/>
              </w:rPr>
            </w:pPr>
            <w:r>
              <w:rPr>
                <w:sz w:val="24"/>
                <w:szCs w:val="24"/>
              </w:rPr>
              <w:t>январь-июнь 2014 г.</w:t>
            </w:r>
          </w:p>
        </w:tc>
        <w:tc>
          <w:tcPr>
            <w:tcW w:w="1417" w:type="dxa"/>
            <w:vAlign w:val="center"/>
          </w:tcPr>
          <w:p w:rsidR="004B6A68" w:rsidRPr="00995EAD" w:rsidRDefault="004B6A68" w:rsidP="004B6A68">
            <w:pPr>
              <w:pStyle w:val="2"/>
              <w:widowControl/>
              <w:ind w:left="-108" w:right="-108" w:firstLine="0"/>
              <w:jc w:val="center"/>
              <w:rPr>
                <w:sz w:val="24"/>
                <w:szCs w:val="24"/>
              </w:rPr>
            </w:pPr>
            <w:r>
              <w:rPr>
                <w:sz w:val="24"/>
                <w:szCs w:val="24"/>
              </w:rPr>
              <w:t>январь-июнь 2013 г.</w:t>
            </w:r>
          </w:p>
        </w:tc>
        <w:tc>
          <w:tcPr>
            <w:tcW w:w="1418" w:type="dxa"/>
            <w:vAlign w:val="center"/>
          </w:tcPr>
          <w:p w:rsidR="004B6A68" w:rsidRPr="00995EAD" w:rsidRDefault="004B6A68" w:rsidP="004B6A68">
            <w:pPr>
              <w:pStyle w:val="2"/>
              <w:widowControl/>
              <w:ind w:left="-108" w:right="-108" w:firstLine="0"/>
              <w:jc w:val="center"/>
              <w:rPr>
                <w:sz w:val="24"/>
                <w:szCs w:val="24"/>
              </w:rPr>
            </w:pPr>
            <w:r>
              <w:rPr>
                <w:sz w:val="24"/>
                <w:szCs w:val="24"/>
              </w:rPr>
              <w:t>январь-июнь 2014 г.</w:t>
            </w:r>
          </w:p>
        </w:tc>
        <w:tc>
          <w:tcPr>
            <w:tcW w:w="1559" w:type="dxa"/>
            <w:vMerge/>
          </w:tcPr>
          <w:p w:rsidR="004B6A68" w:rsidRPr="00B043D4" w:rsidRDefault="004B6A68" w:rsidP="004B6A68">
            <w:pPr>
              <w:pStyle w:val="2"/>
              <w:widowControl/>
              <w:ind w:firstLine="0"/>
              <w:rPr>
                <w:sz w:val="24"/>
                <w:szCs w:val="24"/>
              </w:rPr>
            </w:pPr>
          </w:p>
        </w:tc>
      </w:tr>
      <w:tr w:rsidR="004B6A68" w:rsidTr="004B6A68">
        <w:trPr>
          <w:trHeight w:val="543"/>
        </w:trPr>
        <w:tc>
          <w:tcPr>
            <w:tcW w:w="2518" w:type="dxa"/>
            <w:vAlign w:val="bottom"/>
          </w:tcPr>
          <w:p w:rsidR="004B6A68" w:rsidRPr="006C5A32" w:rsidRDefault="004B6A68" w:rsidP="00815F10">
            <w:pPr>
              <w:pStyle w:val="2"/>
              <w:widowControl/>
              <w:ind w:right="-108" w:firstLine="0"/>
              <w:jc w:val="left"/>
              <w:rPr>
                <w:b/>
                <w:sz w:val="24"/>
                <w:szCs w:val="24"/>
              </w:rPr>
            </w:pPr>
            <w:r w:rsidRPr="006C5A32">
              <w:rPr>
                <w:b/>
                <w:sz w:val="24"/>
                <w:szCs w:val="24"/>
              </w:rPr>
              <w:t>Сырье и продукция легкой промышленности</w:t>
            </w:r>
          </w:p>
        </w:tc>
        <w:tc>
          <w:tcPr>
            <w:tcW w:w="1559" w:type="dxa"/>
            <w:vAlign w:val="bottom"/>
          </w:tcPr>
          <w:p w:rsidR="004B6A68" w:rsidRPr="00B043D4" w:rsidRDefault="004B6A68" w:rsidP="004B6A68">
            <w:pPr>
              <w:pStyle w:val="2"/>
              <w:widowControl/>
              <w:ind w:firstLine="0"/>
              <w:jc w:val="center"/>
              <w:rPr>
                <w:b/>
                <w:sz w:val="24"/>
                <w:szCs w:val="24"/>
              </w:rPr>
            </w:pPr>
            <w:r>
              <w:rPr>
                <w:b/>
                <w:sz w:val="24"/>
                <w:szCs w:val="24"/>
              </w:rPr>
              <w:t>5,0</w:t>
            </w:r>
          </w:p>
        </w:tc>
        <w:tc>
          <w:tcPr>
            <w:tcW w:w="1418" w:type="dxa"/>
            <w:vAlign w:val="bottom"/>
          </w:tcPr>
          <w:p w:rsidR="004B6A68" w:rsidRPr="00B043D4" w:rsidRDefault="004B6A68" w:rsidP="004B6A68">
            <w:pPr>
              <w:pStyle w:val="2"/>
              <w:widowControl/>
              <w:ind w:firstLine="0"/>
              <w:jc w:val="center"/>
              <w:rPr>
                <w:b/>
                <w:sz w:val="24"/>
                <w:szCs w:val="24"/>
              </w:rPr>
            </w:pPr>
            <w:r>
              <w:rPr>
                <w:b/>
                <w:sz w:val="24"/>
                <w:szCs w:val="24"/>
              </w:rPr>
              <w:t>3,7</w:t>
            </w:r>
          </w:p>
        </w:tc>
        <w:tc>
          <w:tcPr>
            <w:tcW w:w="1417" w:type="dxa"/>
            <w:vAlign w:val="bottom"/>
          </w:tcPr>
          <w:p w:rsidR="004B6A68" w:rsidRPr="00B043D4" w:rsidRDefault="004B6A68" w:rsidP="004B6A68">
            <w:pPr>
              <w:pStyle w:val="2"/>
              <w:widowControl/>
              <w:ind w:firstLine="0"/>
              <w:jc w:val="right"/>
              <w:rPr>
                <w:b/>
                <w:sz w:val="24"/>
                <w:szCs w:val="24"/>
              </w:rPr>
            </w:pPr>
            <w:r>
              <w:rPr>
                <w:b/>
                <w:sz w:val="24"/>
                <w:szCs w:val="24"/>
              </w:rPr>
              <w:t xml:space="preserve">37,7 </w:t>
            </w:r>
          </w:p>
        </w:tc>
        <w:tc>
          <w:tcPr>
            <w:tcW w:w="1418" w:type="dxa"/>
            <w:vAlign w:val="bottom"/>
          </w:tcPr>
          <w:p w:rsidR="004B6A68" w:rsidRPr="00B043D4" w:rsidRDefault="004B6A68" w:rsidP="004B6A68">
            <w:pPr>
              <w:pStyle w:val="2"/>
              <w:widowControl/>
              <w:ind w:firstLine="0"/>
              <w:jc w:val="right"/>
              <w:rPr>
                <w:b/>
                <w:sz w:val="24"/>
                <w:szCs w:val="24"/>
              </w:rPr>
            </w:pPr>
            <w:r>
              <w:rPr>
                <w:b/>
                <w:sz w:val="24"/>
                <w:szCs w:val="24"/>
              </w:rPr>
              <w:t>30,6</w:t>
            </w:r>
          </w:p>
        </w:tc>
        <w:tc>
          <w:tcPr>
            <w:tcW w:w="1559" w:type="dxa"/>
            <w:vAlign w:val="bottom"/>
          </w:tcPr>
          <w:p w:rsidR="004B6A68" w:rsidRPr="00B043D4" w:rsidRDefault="004B6A68" w:rsidP="004B6A68">
            <w:pPr>
              <w:pStyle w:val="2"/>
              <w:widowControl/>
              <w:ind w:firstLine="0"/>
              <w:jc w:val="center"/>
              <w:rPr>
                <w:b/>
                <w:sz w:val="24"/>
                <w:szCs w:val="24"/>
              </w:rPr>
            </w:pPr>
            <w:r>
              <w:rPr>
                <w:b/>
                <w:sz w:val="24"/>
                <w:szCs w:val="24"/>
              </w:rPr>
              <w:t>81,2</w:t>
            </w:r>
          </w:p>
        </w:tc>
      </w:tr>
    </w:tbl>
    <w:p w:rsidR="00827768" w:rsidRDefault="00827768" w:rsidP="004B6A68">
      <w:pPr>
        <w:pStyle w:val="2"/>
        <w:widowControl/>
        <w:tabs>
          <w:tab w:val="left" w:pos="900"/>
        </w:tabs>
        <w:ind w:firstLine="709"/>
        <w:rPr>
          <w:sz w:val="24"/>
          <w:szCs w:val="24"/>
        </w:rPr>
      </w:pPr>
    </w:p>
    <w:p w:rsidR="004B6A68" w:rsidRPr="00103FA5" w:rsidRDefault="004B6A68" w:rsidP="004B6A68">
      <w:pPr>
        <w:pStyle w:val="2"/>
        <w:widowControl/>
        <w:tabs>
          <w:tab w:val="left" w:pos="900"/>
        </w:tabs>
        <w:ind w:firstLine="709"/>
        <w:rPr>
          <w:sz w:val="24"/>
          <w:szCs w:val="24"/>
        </w:rPr>
      </w:pPr>
      <w:r>
        <w:rPr>
          <w:sz w:val="24"/>
          <w:szCs w:val="24"/>
        </w:rPr>
        <w:t>И</w:t>
      </w:r>
      <w:r w:rsidRPr="00103FA5">
        <w:rPr>
          <w:sz w:val="24"/>
          <w:szCs w:val="24"/>
        </w:rPr>
        <w:t>мпорт продовольственных товаров и сырья в республику в январе-июне текущего года сложил</w:t>
      </w:r>
      <w:r w:rsidR="00381ABA">
        <w:rPr>
          <w:sz w:val="24"/>
          <w:szCs w:val="24"/>
        </w:rPr>
        <w:t>ся</w:t>
      </w:r>
      <w:r w:rsidRPr="00103FA5">
        <w:rPr>
          <w:sz w:val="24"/>
          <w:szCs w:val="24"/>
        </w:rPr>
        <w:t xml:space="preserve"> на 8,8% ниже базисной величины минувшего года и составил</w:t>
      </w:r>
      <w:r w:rsidR="00381ABA">
        <w:rPr>
          <w:sz w:val="24"/>
          <w:szCs w:val="24"/>
        </w:rPr>
        <w:t xml:space="preserve"> </w:t>
      </w:r>
      <w:r w:rsidRPr="00103FA5">
        <w:rPr>
          <w:sz w:val="24"/>
          <w:szCs w:val="24"/>
        </w:rPr>
        <w:t xml:space="preserve"> </w:t>
      </w:r>
      <w:r w:rsidR="00827768">
        <w:rPr>
          <w:sz w:val="24"/>
          <w:szCs w:val="24"/>
        </w:rPr>
        <w:t xml:space="preserve">                </w:t>
      </w:r>
      <w:r w:rsidRPr="00103FA5">
        <w:rPr>
          <w:sz w:val="24"/>
          <w:szCs w:val="24"/>
        </w:rPr>
        <w:lastRenderedPageBreak/>
        <w:t xml:space="preserve">83,9 млн. долл. США, сократив свое представительство в структуре импорта на </w:t>
      </w:r>
      <w:r w:rsidR="00827768">
        <w:rPr>
          <w:sz w:val="24"/>
          <w:szCs w:val="24"/>
        </w:rPr>
        <w:t xml:space="preserve">                      </w:t>
      </w:r>
      <w:r w:rsidRPr="00103FA5">
        <w:rPr>
          <w:sz w:val="24"/>
          <w:szCs w:val="24"/>
        </w:rPr>
        <w:t xml:space="preserve">2,1 процентных пункта до 10,2%. </w:t>
      </w:r>
    </w:p>
    <w:p w:rsidR="004B6A68" w:rsidRPr="00B64FAF" w:rsidRDefault="004B6A68" w:rsidP="004B6A68">
      <w:pPr>
        <w:pStyle w:val="2"/>
        <w:widowControl/>
        <w:jc w:val="right"/>
        <w:rPr>
          <w:sz w:val="24"/>
          <w:szCs w:val="24"/>
        </w:rPr>
      </w:pPr>
      <w:r w:rsidRPr="00B64FAF">
        <w:rPr>
          <w:sz w:val="24"/>
          <w:szCs w:val="24"/>
        </w:rPr>
        <w:t xml:space="preserve">Таблица № </w:t>
      </w:r>
      <w:r w:rsidR="00827768">
        <w:rPr>
          <w:sz w:val="24"/>
          <w:szCs w:val="24"/>
        </w:rPr>
        <w:t>22</w:t>
      </w:r>
    </w:p>
    <w:p w:rsidR="004B6A68" w:rsidRPr="00701E27" w:rsidRDefault="004B6A68" w:rsidP="004B6A68">
      <w:pPr>
        <w:pStyle w:val="2"/>
        <w:widowControl/>
        <w:jc w:val="center"/>
        <w:rPr>
          <w:b/>
          <w:sz w:val="24"/>
          <w:szCs w:val="24"/>
        </w:rPr>
      </w:pPr>
      <w:r w:rsidRPr="00701E27">
        <w:rPr>
          <w:b/>
          <w:sz w:val="24"/>
          <w:szCs w:val="24"/>
        </w:rPr>
        <w:t xml:space="preserve">Показатели импорта по отрасли </w:t>
      </w:r>
    </w:p>
    <w:p w:rsidR="004B6A68" w:rsidRPr="00995EAD" w:rsidRDefault="004B6A68" w:rsidP="004B6A68">
      <w:pPr>
        <w:pStyle w:val="2"/>
        <w:widowControl/>
        <w:jc w:val="center"/>
        <w:rPr>
          <w:b/>
          <w:sz w:val="28"/>
          <w:szCs w:val="28"/>
        </w:rPr>
      </w:pPr>
      <w:r w:rsidRPr="00701E27">
        <w:rPr>
          <w:b/>
          <w:sz w:val="24"/>
          <w:szCs w:val="24"/>
        </w:rPr>
        <w:t>«Продовольственные товары и сырье» (основные</w:t>
      </w:r>
      <w:r w:rsidRPr="00995EAD">
        <w:rPr>
          <w:b/>
          <w:sz w:val="24"/>
          <w:szCs w:val="24"/>
        </w:rPr>
        <w:t xml:space="preserve"> группы)</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1559"/>
        <w:gridCol w:w="1418"/>
        <w:gridCol w:w="1417"/>
        <w:gridCol w:w="1418"/>
        <w:gridCol w:w="1559"/>
      </w:tblGrid>
      <w:tr w:rsidR="004B6A68" w:rsidRPr="00995EAD" w:rsidTr="004B6A68">
        <w:trPr>
          <w:trHeight w:val="543"/>
        </w:trPr>
        <w:tc>
          <w:tcPr>
            <w:tcW w:w="2410" w:type="dxa"/>
            <w:vMerge w:val="restart"/>
            <w:vAlign w:val="center"/>
          </w:tcPr>
          <w:p w:rsidR="004B6A68" w:rsidRPr="00995EAD" w:rsidRDefault="004B6A68" w:rsidP="004B6A68">
            <w:pPr>
              <w:pStyle w:val="2"/>
              <w:widowControl/>
              <w:ind w:right="-108" w:firstLine="0"/>
              <w:jc w:val="center"/>
              <w:rPr>
                <w:sz w:val="24"/>
                <w:szCs w:val="24"/>
              </w:rPr>
            </w:pPr>
            <w:r w:rsidRPr="00995EAD">
              <w:rPr>
                <w:sz w:val="24"/>
                <w:szCs w:val="24"/>
              </w:rPr>
              <w:t xml:space="preserve">Наименование товарной группы </w:t>
            </w:r>
          </w:p>
        </w:tc>
        <w:tc>
          <w:tcPr>
            <w:tcW w:w="2977" w:type="dxa"/>
            <w:gridSpan w:val="2"/>
            <w:vAlign w:val="bottom"/>
          </w:tcPr>
          <w:p w:rsidR="004B6A68" w:rsidRPr="00B93B92" w:rsidRDefault="004B6A68" w:rsidP="004B6A68">
            <w:pPr>
              <w:spacing w:after="0"/>
              <w:jc w:val="center"/>
              <w:rPr>
                <w:rFonts w:ascii="Times New Roman" w:hAnsi="Times New Roman"/>
              </w:rPr>
            </w:pPr>
            <w:r w:rsidRPr="00B93B92">
              <w:rPr>
                <w:rFonts w:ascii="Times New Roman" w:hAnsi="Times New Roman"/>
              </w:rPr>
              <w:t>Уд. вес. в стоимостной структуре, %</w:t>
            </w:r>
          </w:p>
        </w:tc>
        <w:tc>
          <w:tcPr>
            <w:tcW w:w="2835" w:type="dxa"/>
            <w:gridSpan w:val="2"/>
            <w:vAlign w:val="bottom"/>
          </w:tcPr>
          <w:p w:rsidR="004B6A68" w:rsidRPr="00995EAD" w:rsidRDefault="004B6A68" w:rsidP="004B6A68">
            <w:pPr>
              <w:pStyle w:val="2"/>
              <w:widowControl/>
              <w:ind w:firstLine="0"/>
              <w:jc w:val="center"/>
              <w:rPr>
                <w:bCs/>
                <w:sz w:val="24"/>
                <w:szCs w:val="24"/>
              </w:rPr>
            </w:pPr>
            <w:r>
              <w:rPr>
                <w:bCs/>
                <w:sz w:val="24"/>
                <w:szCs w:val="24"/>
              </w:rPr>
              <w:t>Фактическая стоимость, тыс. долл. США</w:t>
            </w:r>
          </w:p>
        </w:tc>
        <w:tc>
          <w:tcPr>
            <w:tcW w:w="1559" w:type="dxa"/>
            <w:vMerge w:val="restart"/>
            <w:vAlign w:val="center"/>
          </w:tcPr>
          <w:p w:rsidR="004B6A68" w:rsidRPr="00A943F0" w:rsidRDefault="004B6A68" w:rsidP="004B6A68">
            <w:pPr>
              <w:pStyle w:val="2"/>
              <w:widowControl/>
              <w:ind w:firstLine="0"/>
              <w:jc w:val="center"/>
              <w:rPr>
                <w:bCs/>
                <w:sz w:val="22"/>
                <w:szCs w:val="22"/>
              </w:rPr>
            </w:pPr>
            <w:r w:rsidRPr="00A943F0">
              <w:rPr>
                <w:bCs/>
                <w:sz w:val="22"/>
                <w:szCs w:val="22"/>
              </w:rPr>
              <w:t>Темп роста январь-июнь 2014 г. к</w:t>
            </w:r>
          </w:p>
          <w:p w:rsidR="004B6A68" w:rsidRPr="00995EAD" w:rsidRDefault="004B6A68" w:rsidP="004B6A68">
            <w:pPr>
              <w:pStyle w:val="2"/>
              <w:widowControl/>
              <w:ind w:firstLine="0"/>
              <w:jc w:val="center"/>
              <w:rPr>
                <w:bCs/>
                <w:sz w:val="24"/>
                <w:szCs w:val="24"/>
              </w:rPr>
            </w:pPr>
            <w:r w:rsidRPr="00A943F0">
              <w:rPr>
                <w:bCs/>
                <w:sz w:val="22"/>
                <w:szCs w:val="22"/>
              </w:rPr>
              <w:t>январю-июню 2013 г., %</w:t>
            </w:r>
          </w:p>
        </w:tc>
      </w:tr>
      <w:tr w:rsidR="004B6A68" w:rsidRPr="00995EAD" w:rsidTr="004B6A68">
        <w:trPr>
          <w:trHeight w:val="183"/>
        </w:trPr>
        <w:tc>
          <w:tcPr>
            <w:tcW w:w="2410" w:type="dxa"/>
            <w:vMerge/>
            <w:vAlign w:val="center"/>
          </w:tcPr>
          <w:p w:rsidR="004B6A68" w:rsidRPr="00995EAD" w:rsidRDefault="004B6A68" w:rsidP="004B6A68">
            <w:pPr>
              <w:pStyle w:val="2"/>
              <w:widowControl/>
              <w:ind w:firstLine="0"/>
              <w:jc w:val="center"/>
              <w:rPr>
                <w:sz w:val="24"/>
                <w:szCs w:val="24"/>
              </w:rPr>
            </w:pPr>
          </w:p>
        </w:tc>
        <w:tc>
          <w:tcPr>
            <w:tcW w:w="1559" w:type="dxa"/>
            <w:vAlign w:val="center"/>
          </w:tcPr>
          <w:p w:rsidR="004B6A68" w:rsidRDefault="004B6A68" w:rsidP="004B6A68">
            <w:pPr>
              <w:pStyle w:val="2"/>
              <w:widowControl/>
              <w:ind w:left="-108" w:right="-108" w:firstLine="0"/>
              <w:jc w:val="center"/>
              <w:rPr>
                <w:sz w:val="24"/>
                <w:szCs w:val="24"/>
              </w:rPr>
            </w:pPr>
            <w:r>
              <w:rPr>
                <w:sz w:val="24"/>
                <w:szCs w:val="24"/>
              </w:rPr>
              <w:t xml:space="preserve">январь-июнь </w:t>
            </w:r>
          </w:p>
          <w:p w:rsidR="004B6A68" w:rsidRPr="00995EAD" w:rsidRDefault="004B6A68" w:rsidP="004B6A68">
            <w:pPr>
              <w:pStyle w:val="2"/>
              <w:widowControl/>
              <w:ind w:left="-108" w:right="-108" w:firstLine="0"/>
              <w:jc w:val="center"/>
              <w:rPr>
                <w:sz w:val="24"/>
                <w:szCs w:val="24"/>
              </w:rPr>
            </w:pPr>
            <w:r>
              <w:rPr>
                <w:sz w:val="24"/>
                <w:szCs w:val="24"/>
              </w:rPr>
              <w:t>2013 г.</w:t>
            </w:r>
          </w:p>
        </w:tc>
        <w:tc>
          <w:tcPr>
            <w:tcW w:w="1418" w:type="dxa"/>
            <w:vAlign w:val="center"/>
          </w:tcPr>
          <w:p w:rsidR="004B6A68" w:rsidRPr="00995EAD" w:rsidRDefault="004B6A68" w:rsidP="004B6A68">
            <w:pPr>
              <w:pStyle w:val="2"/>
              <w:widowControl/>
              <w:ind w:left="-108" w:right="-108" w:firstLine="0"/>
              <w:jc w:val="center"/>
              <w:rPr>
                <w:sz w:val="24"/>
                <w:szCs w:val="24"/>
              </w:rPr>
            </w:pPr>
            <w:r>
              <w:rPr>
                <w:sz w:val="24"/>
                <w:szCs w:val="24"/>
              </w:rPr>
              <w:t>январь-июнь 2014 г.</w:t>
            </w:r>
          </w:p>
        </w:tc>
        <w:tc>
          <w:tcPr>
            <w:tcW w:w="1417" w:type="dxa"/>
            <w:vAlign w:val="center"/>
          </w:tcPr>
          <w:p w:rsidR="004B6A68" w:rsidRPr="00995EAD" w:rsidRDefault="004B6A68" w:rsidP="004B6A68">
            <w:pPr>
              <w:pStyle w:val="2"/>
              <w:widowControl/>
              <w:ind w:left="-108" w:right="-108" w:firstLine="0"/>
              <w:jc w:val="center"/>
              <w:rPr>
                <w:sz w:val="24"/>
                <w:szCs w:val="24"/>
              </w:rPr>
            </w:pPr>
            <w:r>
              <w:rPr>
                <w:sz w:val="24"/>
                <w:szCs w:val="24"/>
              </w:rPr>
              <w:t>январь-июнь 2013 г.</w:t>
            </w:r>
          </w:p>
        </w:tc>
        <w:tc>
          <w:tcPr>
            <w:tcW w:w="1418" w:type="dxa"/>
            <w:vAlign w:val="center"/>
          </w:tcPr>
          <w:p w:rsidR="004B6A68" w:rsidRPr="00995EAD" w:rsidRDefault="004B6A68" w:rsidP="004B6A68">
            <w:pPr>
              <w:pStyle w:val="2"/>
              <w:widowControl/>
              <w:ind w:left="-108" w:right="-108" w:firstLine="0"/>
              <w:jc w:val="center"/>
              <w:rPr>
                <w:sz w:val="24"/>
                <w:szCs w:val="24"/>
              </w:rPr>
            </w:pPr>
            <w:r>
              <w:rPr>
                <w:sz w:val="24"/>
                <w:szCs w:val="24"/>
              </w:rPr>
              <w:t>январь-июнь 2014 г.</w:t>
            </w:r>
          </w:p>
        </w:tc>
        <w:tc>
          <w:tcPr>
            <w:tcW w:w="1559" w:type="dxa"/>
            <w:vMerge/>
            <w:vAlign w:val="bottom"/>
          </w:tcPr>
          <w:p w:rsidR="004B6A68" w:rsidRPr="00995EAD" w:rsidRDefault="004B6A68" w:rsidP="004B6A68">
            <w:pPr>
              <w:pStyle w:val="2"/>
              <w:widowControl/>
              <w:ind w:left="-108" w:right="-108" w:firstLine="0"/>
              <w:jc w:val="center"/>
              <w:rPr>
                <w:sz w:val="24"/>
                <w:szCs w:val="24"/>
              </w:rPr>
            </w:pPr>
          </w:p>
        </w:tc>
      </w:tr>
      <w:tr w:rsidR="004B6A68" w:rsidRPr="00995EAD" w:rsidTr="004B6A68">
        <w:trPr>
          <w:trHeight w:val="292"/>
        </w:trPr>
        <w:tc>
          <w:tcPr>
            <w:tcW w:w="2410" w:type="dxa"/>
            <w:vAlign w:val="bottom"/>
          </w:tcPr>
          <w:p w:rsidR="004B6A68" w:rsidRPr="00540BBA" w:rsidRDefault="004B6A68" w:rsidP="004B6A68">
            <w:pPr>
              <w:pStyle w:val="2"/>
              <w:widowControl/>
              <w:ind w:left="-108" w:right="-108" w:firstLine="0"/>
              <w:jc w:val="left"/>
              <w:rPr>
                <w:sz w:val="24"/>
                <w:szCs w:val="24"/>
              </w:rPr>
            </w:pPr>
            <w:r w:rsidRPr="00540BBA">
              <w:rPr>
                <w:b/>
                <w:sz w:val="24"/>
                <w:szCs w:val="24"/>
              </w:rPr>
              <w:t>Продовольственные товары и сырье</w:t>
            </w:r>
            <w:r>
              <w:rPr>
                <w:b/>
                <w:sz w:val="24"/>
                <w:szCs w:val="24"/>
              </w:rPr>
              <w:t>, всего</w:t>
            </w:r>
          </w:p>
        </w:tc>
        <w:tc>
          <w:tcPr>
            <w:tcW w:w="1559" w:type="dxa"/>
            <w:vAlign w:val="bottom"/>
          </w:tcPr>
          <w:p w:rsidR="004B6A68" w:rsidRPr="003E0490" w:rsidRDefault="00815F10" w:rsidP="004B6A68">
            <w:pPr>
              <w:pStyle w:val="2"/>
              <w:widowControl/>
              <w:ind w:left="-108" w:right="-108" w:firstLine="0"/>
              <w:jc w:val="center"/>
              <w:rPr>
                <w:b/>
                <w:sz w:val="24"/>
                <w:szCs w:val="24"/>
              </w:rPr>
            </w:pPr>
            <w:r>
              <w:rPr>
                <w:b/>
                <w:sz w:val="24"/>
                <w:szCs w:val="24"/>
              </w:rPr>
              <w:t>12,29</w:t>
            </w:r>
          </w:p>
        </w:tc>
        <w:tc>
          <w:tcPr>
            <w:tcW w:w="1418" w:type="dxa"/>
            <w:vAlign w:val="bottom"/>
          </w:tcPr>
          <w:p w:rsidR="004B6A68" w:rsidRDefault="00815F10" w:rsidP="004B6A68">
            <w:pPr>
              <w:pStyle w:val="2"/>
              <w:widowControl/>
              <w:ind w:left="-108" w:right="-108" w:firstLine="0"/>
              <w:jc w:val="center"/>
              <w:rPr>
                <w:b/>
                <w:sz w:val="24"/>
                <w:szCs w:val="24"/>
              </w:rPr>
            </w:pPr>
            <w:r>
              <w:rPr>
                <w:b/>
                <w:sz w:val="24"/>
                <w:szCs w:val="24"/>
              </w:rPr>
              <w:t>10,18</w:t>
            </w:r>
          </w:p>
        </w:tc>
        <w:tc>
          <w:tcPr>
            <w:tcW w:w="1417" w:type="dxa"/>
            <w:vAlign w:val="bottom"/>
          </w:tcPr>
          <w:p w:rsidR="004B6A68" w:rsidRPr="003E0490" w:rsidRDefault="004B6A68" w:rsidP="004B6A68">
            <w:pPr>
              <w:pStyle w:val="2"/>
              <w:widowControl/>
              <w:ind w:left="-108" w:right="-108" w:firstLine="0"/>
              <w:jc w:val="center"/>
              <w:rPr>
                <w:b/>
                <w:sz w:val="24"/>
                <w:szCs w:val="24"/>
              </w:rPr>
            </w:pPr>
            <w:r>
              <w:rPr>
                <w:b/>
                <w:sz w:val="24"/>
                <w:szCs w:val="24"/>
              </w:rPr>
              <w:t>92 039,8</w:t>
            </w:r>
          </w:p>
        </w:tc>
        <w:tc>
          <w:tcPr>
            <w:tcW w:w="1418" w:type="dxa"/>
            <w:vAlign w:val="bottom"/>
          </w:tcPr>
          <w:p w:rsidR="004B6A68" w:rsidRPr="003E0490" w:rsidRDefault="004B6A68" w:rsidP="004B6A68">
            <w:pPr>
              <w:pStyle w:val="2"/>
              <w:widowControl/>
              <w:ind w:left="-108" w:right="-108" w:firstLine="0"/>
              <w:jc w:val="center"/>
              <w:rPr>
                <w:b/>
                <w:sz w:val="24"/>
                <w:szCs w:val="24"/>
              </w:rPr>
            </w:pPr>
            <w:r>
              <w:rPr>
                <w:b/>
                <w:sz w:val="24"/>
                <w:szCs w:val="24"/>
              </w:rPr>
              <w:t>83 926,3</w:t>
            </w:r>
          </w:p>
        </w:tc>
        <w:tc>
          <w:tcPr>
            <w:tcW w:w="1559" w:type="dxa"/>
            <w:vAlign w:val="bottom"/>
          </w:tcPr>
          <w:p w:rsidR="004B6A68" w:rsidRPr="003E0490" w:rsidRDefault="004B6A68" w:rsidP="004B6A68">
            <w:pPr>
              <w:pStyle w:val="2"/>
              <w:widowControl/>
              <w:ind w:left="-108" w:right="-108" w:firstLine="0"/>
              <w:jc w:val="center"/>
              <w:rPr>
                <w:b/>
                <w:sz w:val="24"/>
                <w:szCs w:val="24"/>
              </w:rPr>
            </w:pPr>
            <w:r>
              <w:rPr>
                <w:b/>
                <w:sz w:val="24"/>
                <w:szCs w:val="24"/>
              </w:rPr>
              <w:t>91,2</w:t>
            </w:r>
          </w:p>
        </w:tc>
      </w:tr>
      <w:tr w:rsidR="004B6A68" w:rsidRPr="00995EAD" w:rsidTr="004B6A68">
        <w:trPr>
          <w:trHeight w:val="292"/>
        </w:trPr>
        <w:tc>
          <w:tcPr>
            <w:tcW w:w="2410" w:type="dxa"/>
            <w:vAlign w:val="bottom"/>
          </w:tcPr>
          <w:p w:rsidR="004B6A68" w:rsidRPr="00540BBA" w:rsidRDefault="004B6A68" w:rsidP="004B6A68">
            <w:pPr>
              <w:pStyle w:val="2"/>
              <w:widowControl/>
              <w:ind w:firstLine="0"/>
              <w:jc w:val="left"/>
              <w:rPr>
                <w:b/>
                <w:sz w:val="24"/>
                <w:szCs w:val="24"/>
              </w:rPr>
            </w:pPr>
            <w:r w:rsidRPr="00B9404D">
              <w:rPr>
                <w:sz w:val="24"/>
                <w:szCs w:val="24"/>
              </w:rPr>
              <w:t>в т. ч.</w:t>
            </w:r>
          </w:p>
        </w:tc>
        <w:tc>
          <w:tcPr>
            <w:tcW w:w="1559" w:type="dxa"/>
            <w:vAlign w:val="bottom"/>
          </w:tcPr>
          <w:p w:rsidR="004B6A68" w:rsidRDefault="004B6A68" w:rsidP="004B6A68">
            <w:pPr>
              <w:pStyle w:val="2"/>
              <w:widowControl/>
              <w:ind w:left="-108" w:right="-108" w:firstLine="0"/>
              <w:jc w:val="center"/>
              <w:rPr>
                <w:b/>
                <w:sz w:val="24"/>
                <w:szCs w:val="24"/>
              </w:rPr>
            </w:pPr>
          </w:p>
        </w:tc>
        <w:tc>
          <w:tcPr>
            <w:tcW w:w="1418" w:type="dxa"/>
            <w:vAlign w:val="bottom"/>
          </w:tcPr>
          <w:p w:rsidR="004B6A68" w:rsidRDefault="004B6A68" w:rsidP="00815F10">
            <w:pPr>
              <w:pStyle w:val="2"/>
              <w:widowControl/>
              <w:ind w:left="-108" w:right="-108" w:firstLine="0"/>
              <w:jc w:val="center"/>
              <w:rPr>
                <w:b/>
                <w:sz w:val="24"/>
                <w:szCs w:val="24"/>
              </w:rPr>
            </w:pPr>
          </w:p>
        </w:tc>
        <w:tc>
          <w:tcPr>
            <w:tcW w:w="1417" w:type="dxa"/>
            <w:vAlign w:val="bottom"/>
          </w:tcPr>
          <w:p w:rsidR="004B6A68" w:rsidRDefault="004B6A68" w:rsidP="004B6A68">
            <w:pPr>
              <w:pStyle w:val="2"/>
              <w:widowControl/>
              <w:ind w:left="-108" w:right="-108" w:firstLine="0"/>
              <w:jc w:val="center"/>
              <w:rPr>
                <w:b/>
                <w:sz w:val="24"/>
                <w:szCs w:val="24"/>
              </w:rPr>
            </w:pPr>
          </w:p>
        </w:tc>
        <w:tc>
          <w:tcPr>
            <w:tcW w:w="1418" w:type="dxa"/>
            <w:vAlign w:val="bottom"/>
          </w:tcPr>
          <w:p w:rsidR="004B6A68" w:rsidRDefault="004B6A68" w:rsidP="004B6A68">
            <w:pPr>
              <w:pStyle w:val="2"/>
              <w:widowControl/>
              <w:ind w:left="-108" w:right="-108" w:firstLine="0"/>
              <w:jc w:val="center"/>
              <w:rPr>
                <w:b/>
                <w:sz w:val="24"/>
                <w:szCs w:val="24"/>
              </w:rPr>
            </w:pPr>
          </w:p>
        </w:tc>
        <w:tc>
          <w:tcPr>
            <w:tcW w:w="1559" w:type="dxa"/>
            <w:vAlign w:val="bottom"/>
          </w:tcPr>
          <w:p w:rsidR="004B6A68" w:rsidRDefault="004B6A68" w:rsidP="004B6A68">
            <w:pPr>
              <w:pStyle w:val="2"/>
              <w:widowControl/>
              <w:ind w:left="-108" w:right="-108" w:firstLine="0"/>
              <w:jc w:val="center"/>
              <w:rPr>
                <w:b/>
                <w:sz w:val="24"/>
                <w:szCs w:val="24"/>
              </w:rPr>
            </w:pPr>
          </w:p>
        </w:tc>
      </w:tr>
      <w:tr w:rsidR="004B6A68" w:rsidRPr="00995EAD" w:rsidTr="004B6A68">
        <w:trPr>
          <w:trHeight w:val="157"/>
        </w:trPr>
        <w:tc>
          <w:tcPr>
            <w:tcW w:w="2410" w:type="dxa"/>
            <w:vAlign w:val="bottom"/>
          </w:tcPr>
          <w:p w:rsidR="004B6A68" w:rsidRPr="003E0490" w:rsidRDefault="004B6A68" w:rsidP="004B6A68">
            <w:pPr>
              <w:pStyle w:val="2"/>
              <w:widowControl/>
              <w:ind w:firstLine="0"/>
              <w:jc w:val="left"/>
              <w:rPr>
                <w:sz w:val="24"/>
                <w:szCs w:val="24"/>
              </w:rPr>
            </w:pPr>
            <w:r>
              <w:rPr>
                <w:sz w:val="24"/>
                <w:szCs w:val="24"/>
              </w:rPr>
              <w:t>Мясо и пищевые мясные субпродукты</w:t>
            </w:r>
          </w:p>
        </w:tc>
        <w:tc>
          <w:tcPr>
            <w:tcW w:w="1559" w:type="dxa"/>
            <w:vAlign w:val="bottom"/>
          </w:tcPr>
          <w:p w:rsidR="004B6A68" w:rsidRPr="008C5585" w:rsidRDefault="00815F10" w:rsidP="004B6A68">
            <w:pPr>
              <w:pStyle w:val="2"/>
              <w:widowControl/>
              <w:ind w:left="-108" w:right="-108" w:firstLine="0"/>
              <w:jc w:val="center"/>
              <w:rPr>
                <w:sz w:val="24"/>
                <w:szCs w:val="24"/>
              </w:rPr>
            </w:pPr>
            <w:r>
              <w:rPr>
                <w:sz w:val="24"/>
                <w:szCs w:val="24"/>
              </w:rPr>
              <w:t>2,46</w:t>
            </w:r>
          </w:p>
        </w:tc>
        <w:tc>
          <w:tcPr>
            <w:tcW w:w="1418" w:type="dxa"/>
            <w:vAlign w:val="bottom"/>
          </w:tcPr>
          <w:p w:rsidR="004B6A68" w:rsidRPr="00827CB9" w:rsidRDefault="00815F10" w:rsidP="004B6A68">
            <w:pPr>
              <w:pStyle w:val="2"/>
              <w:widowControl/>
              <w:ind w:left="-108" w:right="-108" w:firstLine="0"/>
              <w:jc w:val="center"/>
              <w:rPr>
                <w:sz w:val="24"/>
                <w:szCs w:val="24"/>
              </w:rPr>
            </w:pPr>
            <w:r>
              <w:rPr>
                <w:sz w:val="24"/>
                <w:szCs w:val="24"/>
              </w:rPr>
              <w:t>1,93</w:t>
            </w:r>
          </w:p>
        </w:tc>
        <w:tc>
          <w:tcPr>
            <w:tcW w:w="1417" w:type="dxa"/>
            <w:vAlign w:val="bottom"/>
          </w:tcPr>
          <w:p w:rsidR="004B6A68" w:rsidRPr="00827CB9" w:rsidRDefault="004B6A68" w:rsidP="004B6A68">
            <w:pPr>
              <w:pStyle w:val="2"/>
              <w:widowControl/>
              <w:ind w:left="-108" w:right="-108" w:firstLine="0"/>
              <w:jc w:val="center"/>
              <w:rPr>
                <w:sz w:val="24"/>
                <w:szCs w:val="24"/>
              </w:rPr>
            </w:pPr>
            <w:r>
              <w:rPr>
                <w:sz w:val="24"/>
                <w:szCs w:val="24"/>
              </w:rPr>
              <w:t>18 407,8</w:t>
            </w:r>
          </w:p>
        </w:tc>
        <w:tc>
          <w:tcPr>
            <w:tcW w:w="1418" w:type="dxa"/>
            <w:vAlign w:val="bottom"/>
          </w:tcPr>
          <w:p w:rsidR="004B6A68" w:rsidRPr="00827CB9" w:rsidRDefault="004B6A68" w:rsidP="004B6A68">
            <w:pPr>
              <w:pStyle w:val="2"/>
              <w:widowControl/>
              <w:ind w:left="-108" w:right="-108" w:firstLine="0"/>
              <w:jc w:val="center"/>
              <w:rPr>
                <w:sz w:val="24"/>
                <w:szCs w:val="24"/>
              </w:rPr>
            </w:pPr>
            <w:r>
              <w:rPr>
                <w:sz w:val="24"/>
                <w:szCs w:val="24"/>
              </w:rPr>
              <w:t>15 907,6</w:t>
            </w:r>
          </w:p>
        </w:tc>
        <w:tc>
          <w:tcPr>
            <w:tcW w:w="1559" w:type="dxa"/>
            <w:vAlign w:val="bottom"/>
          </w:tcPr>
          <w:p w:rsidR="004B6A68" w:rsidRPr="00827CB9" w:rsidRDefault="004B6A68" w:rsidP="004B6A68">
            <w:pPr>
              <w:pStyle w:val="2"/>
              <w:widowControl/>
              <w:ind w:left="-108" w:right="-108" w:firstLine="0"/>
              <w:jc w:val="center"/>
              <w:rPr>
                <w:sz w:val="24"/>
                <w:szCs w:val="24"/>
              </w:rPr>
            </w:pPr>
            <w:r>
              <w:rPr>
                <w:sz w:val="24"/>
                <w:szCs w:val="24"/>
              </w:rPr>
              <w:t>86,4</w:t>
            </w:r>
          </w:p>
        </w:tc>
      </w:tr>
      <w:tr w:rsidR="004B6A68" w:rsidRPr="00995EAD" w:rsidTr="004B6A68">
        <w:trPr>
          <w:trHeight w:val="157"/>
        </w:trPr>
        <w:tc>
          <w:tcPr>
            <w:tcW w:w="2410" w:type="dxa"/>
            <w:vAlign w:val="bottom"/>
          </w:tcPr>
          <w:p w:rsidR="004B6A68" w:rsidRDefault="004B6A68" w:rsidP="004B6A68">
            <w:pPr>
              <w:pStyle w:val="2"/>
              <w:widowControl/>
              <w:ind w:firstLine="0"/>
              <w:jc w:val="left"/>
              <w:rPr>
                <w:sz w:val="24"/>
                <w:szCs w:val="24"/>
              </w:rPr>
            </w:pPr>
            <w:r>
              <w:rPr>
                <w:sz w:val="24"/>
                <w:szCs w:val="24"/>
              </w:rPr>
              <w:t>Молочная продукция, яйца птиц, мед натуральный</w:t>
            </w:r>
          </w:p>
        </w:tc>
        <w:tc>
          <w:tcPr>
            <w:tcW w:w="1559" w:type="dxa"/>
            <w:vAlign w:val="bottom"/>
          </w:tcPr>
          <w:p w:rsidR="004B6A68" w:rsidRPr="008C5585" w:rsidRDefault="00815F10" w:rsidP="004B6A68">
            <w:pPr>
              <w:pStyle w:val="2"/>
              <w:widowControl/>
              <w:ind w:left="-108" w:right="-108" w:firstLine="0"/>
              <w:jc w:val="center"/>
              <w:rPr>
                <w:sz w:val="24"/>
                <w:szCs w:val="24"/>
              </w:rPr>
            </w:pPr>
            <w:r>
              <w:rPr>
                <w:sz w:val="24"/>
                <w:szCs w:val="24"/>
              </w:rPr>
              <w:t>1,28</w:t>
            </w:r>
          </w:p>
        </w:tc>
        <w:tc>
          <w:tcPr>
            <w:tcW w:w="1418" w:type="dxa"/>
            <w:vAlign w:val="bottom"/>
          </w:tcPr>
          <w:p w:rsidR="004B6A68" w:rsidRPr="00827CB9" w:rsidRDefault="00815F10" w:rsidP="004B6A68">
            <w:pPr>
              <w:pStyle w:val="2"/>
              <w:widowControl/>
              <w:ind w:left="-108" w:right="-108" w:firstLine="0"/>
              <w:jc w:val="center"/>
              <w:rPr>
                <w:sz w:val="24"/>
                <w:szCs w:val="24"/>
              </w:rPr>
            </w:pPr>
            <w:r>
              <w:rPr>
                <w:sz w:val="24"/>
                <w:szCs w:val="24"/>
              </w:rPr>
              <w:t>1,21</w:t>
            </w:r>
          </w:p>
        </w:tc>
        <w:tc>
          <w:tcPr>
            <w:tcW w:w="1417" w:type="dxa"/>
            <w:vAlign w:val="bottom"/>
          </w:tcPr>
          <w:p w:rsidR="004B6A68" w:rsidRPr="00827CB9" w:rsidRDefault="004B6A68" w:rsidP="004B6A68">
            <w:pPr>
              <w:pStyle w:val="2"/>
              <w:widowControl/>
              <w:ind w:left="-108" w:right="-108" w:firstLine="0"/>
              <w:jc w:val="center"/>
              <w:rPr>
                <w:sz w:val="24"/>
                <w:szCs w:val="24"/>
              </w:rPr>
            </w:pPr>
            <w:r>
              <w:rPr>
                <w:sz w:val="24"/>
                <w:szCs w:val="24"/>
              </w:rPr>
              <w:t>9 549,8</w:t>
            </w:r>
          </w:p>
        </w:tc>
        <w:tc>
          <w:tcPr>
            <w:tcW w:w="1418" w:type="dxa"/>
            <w:vAlign w:val="bottom"/>
          </w:tcPr>
          <w:p w:rsidR="004B6A68" w:rsidRPr="00827CB9" w:rsidRDefault="004B6A68" w:rsidP="004B6A68">
            <w:pPr>
              <w:pStyle w:val="2"/>
              <w:widowControl/>
              <w:ind w:left="-108" w:right="-108" w:firstLine="0"/>
              <w:jc w:val="center"/>
              <w:rPr>
                <w:sz w:val="24"/>
                <w:szCs w:val="24"/>
              </w:rPr>
            </w:pPr>
            <w:r>
              <w:rPr>
                <w:sz w:val="24"/>
                <w:szCs w:val="24"/>
              </w:rPr>
              <w:t>9 987,1</w:t>
            </w:r>
          </w:p>
        </w:tc>
        <w:tc>
          <w:tcPr>
            <w:tcW w:w="1559" w:type="dxa"/>
            <w:vAlign w:val="bottom"/>
          </w:tcPr>
          <w:p w:rsidR="004B6A68" w:rsidRPr="00827CB9" w:rsidRDefault="004B6A68" w:rsidP="004B6A68">
            <w:pPr>
              <w:pStyle w:val="2"/>
              <w:widowControl/>
              <w:ind w:left="-108" w:right="-108" w:firstLine="0"/>
              <w:jc w:val="center"/>
              <w:rPr>
                <w:sz w:val="24"/>
                <w:szCs w:val="24"/>
              </w:rPr>
            </w:pPr>
            <w:r>
              <w:rPr>
                <w:sz w:val="24"/>
                <w:szCs w:val="24"/>
              </w:rPr>
              <w:t>104,6</w:t>
            </w:r>
          </w:p>
        </w:tc>
      </w:tr>
      <w:tr w:rsidR="004B6A68" w:rsidRPr="00995EAD" w:rsidTr="004B6A68">
        <w:trPr>
          <w:trHeight w:val="569"/>
        </w:trPr>
        <w:tc>
          <w:tcPr>
            <w:tcW w:w="2410" w:type="dxa"/>
          </w:tcPr>
          <w:p w:rsidR="004B6A68" w:rsidRPr="00995EAD" w:rsidRDefault="004B6A68" w:rsidP="004B6A68">
            <w:pPr>
              <w:pStyle w:val="2"/>
              <w:widowControl/>
              <w:ind w:firstLine="0"/>
              <w:jc w:val="left"/>
              <w:rPr>
                <w:sz w:val="24"/>
                <w:szCs w:val="24"/>
              </w:rPr>
            </w:pPr>
            <w:r>
              <w:rPr>
                <w:sz w:val="24"/>
                <w:szCs w:val="24"/>
              </w:rPr>
              <w:t>Овощи и некоторые съедобные корнеплоды и клубнеплоды</w:t>
            </w:r>
          </w:p>
        </w:tc>
        <w:tc>
          <w:tcPr>
            <w:tcW w:w="1559" w:type="dxa"/>
            <w:vAlign w:val="bottom"/>
          </w:tcPr>
          <w:p w:rsidR="004B6A68" w:rsidRPr="00995EAD" w:rsidRDefault="00815F10" w:rsidP="004B6A68">
            <w:pPr>
              <w:pStyle w:val="2"/>
              <w:widowControl/>
              <w:ind w:left="-108" w:right="-108" w:firstLine="0"/>
              <w:jc w:val="center"/>
              <w:rPr>
                <w:sz w:val="24"/>
                <w:szCs w:val="24"/>
              </w:rPr>
            </w:pPr>
            <w:r>
              <w:rPr>
                <w:sz w:val="24"/>
                <w:szCs w:val="24"/>
              </w:rPr>
              <w:t>0,67</w:t>
            </w:r>
          </w:p>
        </w:tc>
        <w:tc>
          <w:tcPr>
            <w:tcW w:w="1418" w:type="dxa"/>
            <w:vAlign w:val="bottom"/>
          </w:tcPr>
          <w:p w:rsidR="004B6A68" w:rsidRPr="00723A3D" w:rsidRDefault="00815F10" w:rsidP="004B6A68">
            <w:pPr>
              <w:pStyle w:val="2"/>
              <w:widowControl/>
              <w:ind w:left="-108" w:right="-108" w:firstLine="0"/>
              <w:jc w:val="center"/>
              <w:rPr>
                <w:sz w:val="24"/>
                <w:szCs w:val="24"/>
              </w:rPr>
            </w:pPr>
            <w:r>
              <w:rPr>
                <w:sz w:val="24"/>
                <w:szCs w:val="24"/>
              </w:rPr>
              <w:t>0,46</w:t>
            </w:r>
          </w:p>
        </w:tc>
        <w:tc>
          <w:tcPr>
            <w:tcW w:w="1417" w:type="dxa"/>
            <w:vAlign w:val="bottom"/>
          </w:tcPr>
          <w:p w:rsidR="004B6A68" w:rsidRPr="00995EAD" w:rsidRDefault="004B6A68" w:rsidP="004B6A68">
            <w:pPr>
              <w:pStyle w:val="2"/>
              <w:widowControl/>
              <w:ind w:left="-108" w:right="-108" w:firstLine="0"/>
              <w:jc w:val="center"/>
              <w:rPr>
                <w:sz w:val="24"/>
                <w:szCs w:val="24"/>
              </w:rPr>
            </w:pPr>
            <w:r>
              <w:rPr>
                <w:sz w:val="24"/>
                <w:szCs w:val="24"/>
              </w:rPr>
              <w:t>5 000,1</w:t>
            </w:r>
          </w:p>
        </w:tc>
        <w:tc>
          <w:tcPr>
            <w:tcW w:w="1418" w:type="dxa"/>
            <w:vAlign w:val="bottom"/>
          </w:tcPr>
          <w:p w:rsidR="004B6A68" w:rsidRPr="00995EAD" w:rsidRDefault="004B6A68" w:rsidP="004B6A68">
            <w:pPr>
              <w:pStyle w:val="2"/>
              <w:widowControl/>
              <w:ind w:left="-108" w:right="-108" w:firstLine="0"/>
              <w:jc w:val="center"/>
              <w:rPr>
                <w:sz w:val="24"/>
                <w:szCs w:val="24"/>
              </w:rPr>
            </w:pPr>
            <w:r>
              <w:rPr>
                <w:sz w:val="24"/>
                <w:szCs w:val="24"/>
              </w:rPr>
              <w:t>3 793,5</w:t>
            </w:r>
          </w:p>
        </w:tc>
        <w:tc>
          <w:tcPr>
            <w:tcW w:w="1559" w:type="dxa"/>
            <w:vAlign w:val="bottom"/>
          </w:tcPr>
          <w:p w:rsidR="004B6A68" w:rsidRPr="00B93B92" w:rsidRDefault="004B6A68" w:rsidP="004B6A68">
            <w:pPr>
              <w:pStyle w:val="2"/>
              <w:widowControl/>
              <w:ind w:left="-108" w:right="-108" w:firstLine="0"/>
              <w:jc w:val="center"/>
              <w:rPr>
                <w:sz w:val="24"/>
                <w:szCs w:val="24"/>
              </w:rPr>
            </w:pPr>
            <w:r>
              <w:rPr>
                <w:sz w:val="24"/>
                <w:szCs w:val="24"/>
              </w:rPr>
              <w:t>75,9</w:t>
            </w:r>
          </w:p>
        </w:tc>
      </w:tr>
      <w:tr w:rsidR="004B6A68" w:rsidRPr="00995EAD" w:rsidTr="004B6A68">
        <w:trPr>
          <w:trHeight w:val="245"/>
        </w:trPr>
        <w:tc>
          <w:tcPr>
            <w:tcW w:w="2410" w:type="dxa"/>
          </w:tcPr>
          <w:p w:rsidR="004B6A68" w:rsidRPr="00E6395E" w:rsidRDefault="004B6A68" w:rsidP="004B6A68">
            <w:pPr>
              <w:pStyle w:val="2"/>
              <w:widowControl/>
              <w:ind w:firstLine="0"/>
              <w:jc w:val="left"/>
              <w:rPr>
                <w:sz w:val="24"/>
                <w:szCs w:val="24"/>
              </w:rPr>
            </w:pPr>
            <w:r>
              <w:rPr>
                <w:sz w:val="24"/>
                <w:szCs w:val="24"/>
              </w:rPr>
              <w:t>С</w:t>
            </w:r>
            <w:r w:rsidRPr="00E6395E">
              <w:rPr>
                <w:sz w:val="24"/>
                <w:szCs w:val="24"/>
              </w:rPr>
              <w:t xml:space="preserve">ъедобные </w:t>
            </w:r>
            <w:r>
              <w:rPr>
                <w:sz w:val="24"/>
                <w:szCs w:val="24"/>
              </w:rPr>
              <w:t>фрукты и орехи, цитрусовые</w:t>
            </w:r>
          </w:p>
        </w:tc>
        <w:tc>
          <w:tcPr>
            <w:tcW w:w="1559" w:type="dxa"/>
            <w:vAlign w:val="bottom"/>
          </w:tcPr>
          <w:p w:rsidR="004B6A68" w:rsidRPr="00995EAD" w:rsidRDefault="00815F10" w:rsidP="004B6A68">
            <w:pPr>
              <w:pStyle w:val="2"/>
              <w:widowControl/>
              <w:ind w:left="-108" w:right="-108" w:firstLine="0"/>
              <w:jc w:val="center"/>
              <w:rPr>
                <w:sz w:val="24"/>
                <w:szCs w:val="24"/>
              </w:rPr>
            </w:pPr>
            <w:r>
              <w:rPr>
                <w:sz w:val="24"/>
                <w:szCs w:val="24"/>
              </w:rPr>
              <w:t>0,39</w:t>
            </w:r>
          </w:p>
        </w:tc>
        <w:tc>
          <w:tcPr>
            <w:tcW w:w="1418" w:type="dxa"/>
            <w:vAlign w:val="bottom"/>
          </w:tcPr>
          <w:p w:rsidR="004B6A68" w:rsidRDefault="00815F10" w:rsidP="004B6A68">
            <w:pPr>
              <w:pStyle w:val="2"/>
              <w:widowControl/>
              <w:ind w:left="-108" w:right="-108" w:firstLine="0"/>
              <w:jc w:val="center"/>
              <w:rPr>
                <w:sz w:val="24"/>
                <w:szCs w:val="24"/>
              </w:rPr>
            </w:pPr>
            <w:r>
              <w:rPr>
                <w:sz w:val="24"/>
                <w:szCs w:val="24"/>
              </w:rPr>
              <w:t>0,32</w:t>
            </w:r>
          </w:p>
        </w:tc>
        <w:tc>
          <w:tcPr>
            <w:tcW w:w="1417" w:type="dxa"/>
            <w:vAlign w:val="bottom"/>
          </w:tcPr>
          <w:p w:rsidR="004B6A68" w:rsidRPr="00995EAD" w:rsidRDefault="004B6A68" w:rsidP="004B6A68">
            <w:pPr>
              <w:pStyle w:val="2"/>
              <w:widowControl/>
              <w:ind w:left="-108" w:right="-108" w:firstLine="0"/>
              <w:jc w:val="center"/>
              <w:rPr>
                <w:sz w:val="24"/>
                <w:szCs w:val="24"/>
              </w:rPr>
            </w:pPr>
            <w:r>
              <w:rPr>
                <w:sz w:val="24"/>
                <w:szCs w:val="24"/>
              </w:rPr>
              <w:t>2 886,7</w:t>
            </w:r>
          </w:p>
        </w:tc>
        <w:tc>
          <w:tcPr>
            <w:tcW w:w="1418" w:type="dxa"/>
            <w:vAlign w:val="bottom"/>
          </w:tcPr>
          <w:p w:rsidR="004B6A68" w:rsidRPr="00995EAD" w:rsidRDefault="004B6A68" w:rsidP="004B6A68">
            <w:pPr>
              <w:pStyle w:val="2"/>
              <w:widowControl/>
              <w:ind w:left="-108" w:right="-108" w:firstLine="0"/>
              <w:jc w:val="center"/>
              <w:rPr>
                <w:sz w:val="24"/>
                <w:szCs w:val="24"/>
              </w:rPr>
            </w:pPr>
            <w:r>
              <w:rPr>
                <w:sz w:val="24"/>
                <w:szCs w:val="24"/>
              </w:rPr>
              <w:t>2 623,9</w:t>
            </w:r>
          </w:p>
        </w:tc>
        <w:tc>
          <w:tcPr>
            <w:tcW w:w="1559" w:type="dxa"/>
            <w:vAlign w:val="bottom"/>
          </w:tcPr>
          <w:p w:rsidR="004B6A68" w:rsidRPr="00995EAD" w:rsidRDefault="004B6A68" w:rsidP="004B6A68">
            <w:pPr>
              <w:pStyle w:val="2"/>
              <w:widowControl/>
              <w:ind w:left="-108" w:right="-108" w:firstLine="0"/>
              <w:jc w:val="center"/>
              <w:rPr>
                <w:sz w:val="24"/>
                <w:szCs w:val="24"/>
              </w:rPr>
            </w:pPr>
            <w:r>
              <w:rPr>
                <w:sz w:val="24"/>
                <w:szCs w:val="24"/>
              </w:rPr>
              <w:t>90,9</w:t>
            </w:r>
          </w:p>
        </w:tc>
      </w:tr>
      <w:tr w:rsidR="004B6A68" w:rsidRPr="00995EAD" w:rsidTr="004B6A68">
        <w:trPr>
          <w:trHeight w:val="277"/>
        </w:trPr>
        <w:tc>
          <w:tcPr>
            <w:tcW w:w="2410" w:type="dxa"/>
          </w:tcPr>
          <w:p w:rsidR="004B6A68" w:rsidRDefault="004B6A68" w:rsidP="004B6A68">
            <w:pPr>
              <w:pStyle w:val="2"/>
              <w:widowControl/>
              <w:ind w:firstLine="0"/>
              <w:jc w:val="left"/>
              <w:rPr>
                <w:sz w:val="24"/>
                <w:szCs w:val="24"/>
              </w:rPr>
            </w:pPr>
            <w:r>
              <w:rPr>
                <w:sz w:val="24"/>
                <w:szCs w:val="24"/>
              </w:rPr>
              <w:t>Зерновые хлеба (злаки)</w:t>
            </w:r>
          </w:p>
        </w:tc>
        <w:tc>
          <w:tcPr>
            <w:tcW w:w="1559" w:type="dxa"/>
            <w:vAlign w:val="bottom"/>
          </w:tcPr>
          <w:p w:rsidR="004B6A68" w:rsidRPr="00995EAD" w:rsidRDefault="00815F10" w:rsidP="004B6A68">
            <w:pPr>
              <w:pStyle w:val="2"/>
              <w:widowControl/>
              <w:ind w:left="-108" w:right="-108" w:firstLine="0"/>
              <w:jc w:val="center"/>
              <w:rPr>
                <w:sz w:val="24"/>
                <w:szCs w:val="24"/>
              </w:rPr>
            </w:pPr>
            <w:r>
              <w:rPr>
                <w:sz w:val="24"/>
                <w:szCs w:val="24"/>
              </w:rPr>
              <w:t>0,26</w:t>
            </w:r>
          </w:p>
        </w:tc>
        <w:tc>
          <w:tcPr>
            <w:tcW w:w="1418" w:type="dxa"/>
            <w:vAlign w:val="bottom"/>
          </w:tcPr>
          <w:p w:rsidR="004B6A68" w:rsidRDefault="00815F10" w:rsidP="004B6A68">
            <w:pPr>
              <w:pStyle w:val="2"/>
              <w:widowControl/>
              <w:ind w:left="-108" w:right="-108" w:firstLine="0"/>
              <w:jc w:val="center"/>
              <w:rPr>
                <w:sz w:val="24"/>
                <w:szCs w:val="24"/>
              </w:rPr>
            </w:pPr>
            <w:r>
              <w:rPr>
                <w:sz w:val="24"/>
                <w:szCs w:val="24"/>
              </w:rPr>
              <w:t>0,24</w:t>
            </w:r>
          </w:p>
        </w:tc>
        <w:tc>
          <w:tcPr>
            <w:tcW w:w="1417" w:type="dxa"/>
            <w:vAlign w:val="bottom"/>
          </w:tcPr>
          <w:p w:rsidR="004B6A68" w:rsidRPr="00995EAD" w:rsidRDefault="004B6A68" w:rsidP="004B6A68">
            <w:pPr>
              <w:pStyle w:val="2"/>
              <w:widowControl/>
              <w:ind w:left="-108" w:right="-108" w:firstLine="0"/>
              <w:jc w:val="center"/>
              <w:rPr>
                <w:sz w:val="24"/>
                <w:szCs w:val="24"/>
              </w:rPr>
            </w:pPr>
            <w:r>
              <w:rPr>
                <w:sz w:val="24"/>
                <w:szCs w:val="24"/>
              </w:rPr>
              <w:t>1 948,7</w:t>
            </w:r>
          </w:p>
        </w:tc>
        <w:tc>
          <w:tcPr>
            <w:tcW w:w="1418" w:type="dxa"/>
            <w:vAlign w:val="bottom"/>
          </w:tcPr>
          <w:p w:rsidR="004B6A68" w:rsidRPr="00995EAD" w:rsidRDefault="004B6A68" w:rsidP="004B6A68">
            <w:pPr>
              <w:pStyle w:val="2"/>
              <w:widowControl/>
              <w:ind w:left="-108" w:right="-108" w:firstLine="0"/>
              <w:jc w:val="center"/>
              <w:rPr>
                <w:sz w:val="24"/>
                <w:szCs w:val="24"/>
              </w:rPr>
            </w:pPr>
            <w:r>
              <w:rPr>
                <w:sz w:val="24"/>
                <w:szCs w:val="24"/>
              </w:rPr>
              <w:t>2 011,2</w:t>
            </w:r>
          </w:p>
        </w:tc>
        <w:tc>
          <w:tcPr>
            <w:tcW w:w="1559" w:type="dxa"/>
            <w:vAlign w:val="bottom"/>
          </w:tcPr>
          <w:p w:rsidR="004B6A68" w:rsidRPr="00995EAD" w:rsidRDefault="004B6A68" w:rsidP="004B6A68">
            <w:pPr>
              <w:pStyle w:val="2"/>
              <w:widowControl/>
              <w:ind w:left="-108" w:right="-108" w:firstLine="0"/>
              <w:jc w:val="center"/>
              <w:rPr>
                <w:sz w:val="24"/>
                <w:szCs w:val="24"/>
              </w:rPr>
            </w:pPr>
            <w:r>
              <w:rPr>
                <w:sz w:val="24"/>
                <w:szCs w:val="24"/>
              </w:rPr>
              <w:t>103,2</w:t>
            </w:r>
          </w:p>
        </w:tc>
      </w:tr>
      <w:tr w:rsidR="004B6A68" w:rsidRPr="00995EAD" w:rsidTr="004B6A68">
        <w:trPr>
          <w:trHeight w:val="337"/>
        </w:trPr>
        <w:tc>
          <w:tcPr>
            <w:tcW w:w="2410" w:type="dxa"/>
            <w:vAlign w:val="bottom"/>
          </w:tcPr>
          <w:p w:rsidR="004B6A68" w:rsidRPr="00E6395E" w:rsidRDefault="004B6A68" w:rsidP="004B6A68">
            <w:pPr>
              <w:pStyle w:val="2"/>
              <w:widowControl/>
              <w:ind w:firstLine="0"/>
              <w:jc w:val="left"/>
              <w:rPr>
                <w:sz w:val="24"/>
                <w:szCs w:val="24"/>
              </w:rPr>
            </w:pPr>
            <w:r w:rsidRPr="00E6395E">
              <w:rPr>
                <w:sz w:val="24"/>
                <w:szCs w:val="24"/>
              </w:rPr>
              <w:t>Масличные семена и плоды</w:t>
            </w:r>
          </w:p>
        </w:tc>
        <w:tc>
          <w:tcPr>
            <w:tcW w:w="1559" w:type="dxa"/>
            <w:vAlign w:val="bottom"/>
          </w:tcPr>
          <w:p w:rsidR="004B6A68" w:rsidRPr="00995EAD" w:rsidRDefault="00815F10" w:rsidP="004B6A68">
            <w:pPr>
              <w:pStyle w:val="2"/>
              <w:widowControl/>
              <w:ind w:left="-108" w:right="-108" w:firstLine="0"/>
              <w:jc w:val="center"/>
              <w:rPr>
                <w:sz w:val="24"/>
                <w:szCs w:val="24"/>
              </w:rPr>
            </w:pPr>
            <w:r>
              <w:rPr>
                <w:sz w:val="24"/>
                <w:szCs w:val="24"/>
              </w:rPr>
              <w:t>1,12</w:t>
            </w:r>
          </w:p>
        </w:tc>
        <w:tc>
          <w:tcPr>
            <w:tcW w:w="1418" w:type="dxa"/>
            <w:vAlign w:val="bottom"/>
          </w:tcPr>
          <w:p w:rsidR="004B6A68" w:rsidRDefault="00815F10" w:rsidP="004B6A68">
            <w:pPr>
              <w:pStyle w:val="2"/>
              <w:widowControl/>
              <w:ind w:left="-108" w:right="-108" w:firstLine="0"/>
              <w:jc w:val="center"/>
              <w:rPr>
                <w:sz w:val="24"/>
                <w:szCs w:val="24"/>
              </w:rPr>
            </w:pPr>
            <w:r>
              <w:rPr>
                <w:sz w:val="24"/>
                <w:szCs w:val="24"/>
              </w:rPr>
              <w:t>0,40</w:t>
            </w:r>
          </w:p>
        </w:tc>
        <w:tc>
          <w:tcPr>
            <w:tcW w:w="1417" w:type="dxa"/>
            <w:vAlign w:val="bottom"/>
          </w:tcPr>
          <w:p w:rsidR="004B6A68" w:rsidRPr="00995EAD" w:rsidRDefault="004B6A68" w:rsidP="004B6A68">
            <w:pPr>
              <w:pStyle w:val="2"/>
              <w:widowControl/>
              <w:ind w:left="-108" w:right="-108" w:firstLine="0"/>
              <w:jc w:val="center"/>
              <w:rPr>
                <w:sz w:val="24"/>
                <w:szCs w:val="24"/>
              </w:rPr>
            </w:pPr>
            <w:r>
              <w:rPr>
                <w:sz w:val="24"/>
                <w:szCs w:val="24"/>
              </w:rPr>
              <w:t>8 350,4</w:t>
            </w:r>
          </w:p>
        </w:tc>
        <w:tc>
          <w:tcPr>
            <w:tcW w:w="1418" w:type="dxa"/>
            <w:vAlign w:val="bottom"/>
          </w:tcPr>
          <w:p w:rsidR="004B6A68" w:rsidRPr="00995EAD" w:rsidRDefault="004B6A68" w:rsidP="004B6A68">
            <w:pPr>
              <w:pStyle w:val="2"/>
              <w:widowControl/>
              <w:ind w:left="-108" w:right="-108" w:firstLine="0"/>
              <w:jc w:val="center"/>
              <w:rPr>
                <w:sz w:val="24"/>
                <w:szCs w:val="24"/>
              </w:rPr>
            </w:pPr>
            <w:r>
              <w:rPr>
                <w:sz w:val="24"/>
                <w:szCs w:val="24"/>
              </w:rPr>
              <w:t>3 279,9</w:t>
            </w:r>
          </w:p>
        </w:tc>
        <w:tc>
          <w:tcPr>
            <w:tcW w:w="1559" w:type="dxa"/>
            <w:vAlign w:val="bottom"/>
          </w:tcPr>
          <w:p w:rsidR="004B6A68" w:rsidRPr="00B93B92" w:rsidRDefault="004B6A68" w:rsidP="004B6A68">
            <w:pPr>
              <w:pStyle w:val="2"/>
              <w:widowControl/>
              <w:ind w:left="-108" w:right="-108" w:firstLine="0"/>
              <w:jc w:val="center"/>
              <w:rPr>
                <w:sz w:val="24"/>
                <w:szCs w:val="24"/>
              </w:rPr>
            </w:pPr>
            <w:r>
              <w:rPr>
                <w:sz w:val="24"/>
                <w:szCs w:val="24"/>
              </w:rPr>
              <w:t>39,3</w:t>
            </w:r>
          </w:p>
        </w:tc>
      </w:tr>
      <w:tr w:rsidR="004B6A68" w:rsidRPr="00995EAD" w:rsidTr="004B6A68">
        <w:trPr>
          <w:trHeight w:val="337"/>
        </w:trPr>
        <w:tc>
          <w:tcPr>
            <w:tcW w:w="2410" w:type="dxa"/>
            <w:vAlign w:val="bottom"/>
          </w:tcPr>
          <w:p w:rsidR="004B6A68" w:rsidRPr="00E6395E" w:rsidRDefault="004B6A68" w:rsidP="004B6A68">
            <w:pPr>
              <w:pStyle w:val="2"/>
              <w:widowControl/>
              <w:ind w:firstLine="0"/>
              <w:jc w:val="left"/>
              <w:rPr>
                <w:sz w:val="24"/>
                <w:szCs w:val="24"/>
              </w:rPr>
            </w:pPr>
            <w:r>
              <w:rPr>
                <w:sz w:val="24"/>
                <w:szCs w:val="24"/>
              </w:rPr>
              <w:t xml:space="preserve">Готовые продукты из зерна злаков, муки, крахмала или молока, мучные кондитерские изделия </w:t>
            </w:r>
          </w:p>
        </w:tc>
        <w:tc>
          <w:tcPr>
            <w:tcW w:w="1559" w:type="dxa"/>
            <w:vAlign w:val="bottom"/>
          </w:tcPr>
          <w:p w:rsidR="004B6A68" w:rsidRDefault="00815F10" w:rsidP="004B6A68">
            <w:pPr>
              <w:pStyle w:val="2"/>
              <w:widowControl/>
              <w:ind w:left="-108" w:right="-108" w:firstLine="0"/>
              <w:jc w:val="center"/>
              <w:rPr>
                <w:sz w:val="24"/>
                <w:szCs w:val="24"/>
              </w:rPr>
            </w:pPr>
            <w:r>
              <w:rPr>
                <w:sz w:val="24"/>
                <w:szCs w:val="24"/>
              </w:rPr>
              <w:t>0,70</w:t>
            </w:r>
          </w:p>
        </w:tc>
        <w:tc>
          <w:tcPr>
            <w:tcW w:w="1418" w:type="dxa"/>
            <w:vAlign w:val="bottom"/>
          </w:tcPr>
          <w:p w:rsidR="004B6A68" w:rsidRDefault="00815F10" w:rsidP="004B6A68">
            <w:pPr>
              <w:pStyle w:val="2"/>
              <w:widowControl/>
              <w:ind w:left="-108" w:right="-108" w:firstLine="0"/>
              <w:jc w:val="center"/>
              <w:rPr>
                <w:sz w:val="24"/>
                <w:szCs w:val="24"/>
              </w:rPr>
            </w:pPr>
            <w:r>
              <w:rPr>
                <w:sz w:val="24"/>
                <w:szCs w:val="24"/>
              </w:rPr>
              <w:t>0,67</w:t>
            </w:r>
          </w:p>
        </w:tc>
        <w:tc>
          <w:tcPr>
            <w:tcW w:w="1417" w:type="dxa"/>
            <w:vAlign w:val="bottom"/>
          </w:tcPr>
          <w:p w:rsidR="004B6A68" w:rsidRDefault="004B6A68" w:rsidP="004B6A68">
            <w:pPr>
              <w:pStyle w:val="2"/>
              <w:widowControl/>
              <w:ind w:left="-108" w:right="-108" w:firstLine="0"/>
              <w:jc w:val="center"/>
              <w:rPr>
                <w:sz w:val="24"/>
                <w:szCs w:val="24"/>
              </w:rPr>
            </w:pPr>
            <w:r>
              <w:rPr>
                <w:sz w:val="24"/>
                <w:szCs w:val="24"/>
              </w:rPr>
              <w:t>5 223,7</w:t>
            </w:r>
          </w:p>
        </w:tc>
        <w:tc>
          <w:tcPr>
            <w:tcW w:w="1418" w:type="dxa"/>
            <w:vAlign w:val="bottom"/>
          </w:tcPr>
          <w:p w:rsidR="004B6A68" w:rsidRDefault="004B6A68" w:rsidP="004B6A68">
            <w:pPr>
              <w:pStyle w:val="2"/>
              <w:widowControl/>
              <w:ind w:left="-108" w:right="-108" w:firstLine="0"/>
              <w:jc w:val="center"/>
              <w:rPr>
                <w:sz w:val="24"/>
                <w:szCs w:val="24"/>
              </w:rPr>
            </w:pPr>
            <w:r>
              <w:rPr>
                <w:sz w:val="24"/>
                <w:szCs w:val="24"/>
              </w:rPr>
              <w:t>5 510,5</w:t>
            </w:r>
          </w:p>
        </w:tc>
        <w:tc>
          <w:tcPr>
            <w:tcW w:w="1559" w:type="dxa"/>
            <w:vAlign w:val="bottom"/>
          </w:tcPr>
          <w:p w:rsidR="004B6A68" w:rsidRDefault="004B6A68" w:rsidP="004B6A68">
            <w:pPr>
              <w:pStyle w:val="2"/>
              <w:widowControl/>
              <w:ind w:left="-108" w:right="-108" w:firstLine="0"/>
              <w:jc w:val="center"/>
              <w:rPr>
                <w:sz w:val="24"/>
                <w:szCs w:val="24"/>
              </w:rPr>
            </w:pPr>
            <w:r>
              <w:rPr>
                <w:sz w:val="24"/>
                <w:szCs w:val="24"/>
              </w:rPr>
              <w:t>105,5</w:t>
            </w:r>
          </w:p>
        </w:tc>
      </w:tr>
      <w:tr w:rsidR="004B6A68" w:rsidRPr="00C234A9" w:rsidTr="004B6A68">
        <w:trPr>
          <w:trHeight w:val="569"/>
        </w:trPr>
        <w:tc>
          <w:tcPr>
            <w:tcW w:w="2410" w:type="dxa"/>
          </w:tcPr>
          <w:p w:rsidR="004B6A68" w:rsidRPr="00E6395E" w:rsidRDefault="004B6A68" w:rsidP="004B6A68">
            <w:pPr>
              <w:pStyle w:val="2"/>
              <w:widowControl/>
              <w:ind w:firstLine="0"/>
              <w:jc w:val="left"/>
              <w:rPr>
                <w:sz w:val="24"/>
                <w:szCs w:val="24"/>
              </w:rPr>
            </w:pPr>
            <w:r>
              <w:rPr>
                <w:sz w:val="24"/>
                <w:szCs w:val="24"/>
              </w:rPr>
              <w:t>Продукция мукомольно-крупяной промышленности</w:t>
            </w:r>
          </w:p>
        </w:tc>
        <w:tc>
          <w:tcPr>
            <w:tcW w:w="1559" w:type="dxa"/>
            <w:vAlign w:val="bottom"/>
          </w:tcPr>
          <w:p w:rsidR="004B6A68" w:rsidRPr="00995EAD" w:rsidRDefault="00815F10" w:rsidP="004B6A68">
            <w:pPr>
              <w:pStyle w:val="2"/>
              <w:widowControl/>
              <w:ind w:left="-108" w:right="-108" w:firstLine="0"/>
              <w:jc w:val="center"/>
              <w:rPr>
                <w:sz w:val="24"/>
                <w:szCs w:val="24"/>
              </w:rPr>
            </w:pPr>
            <w:r>
              <w:rPr>
                <w:sz w:val="24"/>
                <w:szCs w:val="24"/>
              </w:rPr>
              <w:t>0,25</w:t>
            </w:r>
          </w:p>
        </w:tc>
        <w:tc>
          <w:tcPr>
            <w:tcW w:w="1418" w:type="dxa"/>
            <w:vAlign w:val="bottom"/>
          </w:tcPr>
          <w:p w:rsidR="004B6A68" w:rsidRDefault="00815F10" w:rsidP="004B6A68">
            <w:pPr>
              <w:pStyle w:val="2"/>
              <w:widowControl/>
              <w:ind w:left="-108" w:right="-108" w:firstLine="0"/>
              <w:jc w:val="center"/>
              <w:rPr>
                <w:sz w:val="24"/>
                <w:szCs w:val="24"/>
              </w:rPr>
            </w:pPr>
            <w:r>
              <w:rPr>
                <w:sz w:val="24"/>
                <w:szCs w:val="24"/>
              </w:rPr>
              <w:t>2,33</w:t>
            </w:r>
          </w:p>
        </w:tc>
        <w:tc>
          <w:tcPr>
            <w:tcW w:w="1417" w:type="dxa"/>
            <w:vAlign w:val="bottom"/>
          </w:tcPr>
          <w:p w:rsidR="004B6A68" w:rsidRPr="00995EAD" w:rsidRDefault="004B6A68" w:rsidP="004B6A68">
            <w:pPr>
              <w:pStyle w:val="2"/>
              <w:widowControl/>
              <w:ind w:left="-108" w:right="-108" w:firstLine="0"/>
              <w:jc w:val="center"/>
              <w:rPr>
                <w:sz w:val="24"/>
                <w:szCs w:val="24"/>
              </w:rPr>
            </w:pPr>
            <w:r>
              <w:rPr>
                <w:sz w:val="24"/>
                <w:szCs w:val="24"/>
              </w:rPr>
              <w:t>1 882,4</w:t>
            </w:r>
          </w:p>
        </w:tc>
        <w:tc>
          <w:tcPr>
            <w:tcW w:w="1418" w:type="dxa"/>
            <w:vAlign w:val="bottom"/>
          </w:tcPr>
          <w:p w:rsidR="004B6A68" w:rsidRPr="00995EAD" w:rsidRDefault="004B6A68" w:rsidP="004B6A68">
            <w:pPr>
              <w:pStyle w:val="2"/>
              <w:widowControl/>
              <w:ind w:left="-108" w:right="-108" w:firstLine="0"/>
              <w:jc w:val="center"/>
              <w:rPr>
                <w:sz w:val="24"/>
                <w:szCs w:val="24"/>
              </w:rPr>
            </w:pPr>
            <w:r>
              <w:rPr>
                <w:sz w:val="24"/>
                <w:szCs w:val="24"/>
              </w:rPr>
              <w:t>1 923,5</w:t>
            </w:r>
          </w:p>
        </w:tc>
        <w:tc>
          <w:tcPr>
            <w:tcW w:w="1559" w:type="dxa"/>
            <w:vAlign w:val="bottom"/>
          </w:tcPr>
          <w:p w:rsidR="004B6A68" w:rsidRPr="00995EAD" w:rsidRDefault="004B6A68" w:rsidP="004B6A68">
            <w:pPr>
              <w:pStyle w:val="2"/>
              <w:widowControl/>
              <w:ind w:left="-108" w:right="-108" w:firstLine="0"/>
              <w:jc w:val="center"/>
              <w:rPr>
                <w:sz w:val="24"/>
                <w:szCs w:val="24"/>
              </w:rPr>
            </w:pPr>
            <w:r>
              <w:rPr>
                <w:sz w:val="24"/>
                <w:szCs w:val="24"/>
              </w:rPr>
              <w:t>102,2</w:t>
            </w:r>
          </w:p>
        </w:tc>
      </w:tr>
      <w:tr w:rsidR="004B6A68" w:rsidRPr="00C234A9" w:rsidTr="004B6A68">
        <w:trPr>
          <w:trHeight w:val="569"/>
        </w:trPr>
        <w:tc>
          <w:tcPr>
            <w:tcW w:w="2410" w:type="dxa"/>
          </w:tcPr>
          <w:p w:rsidR="004B6A68" w:rsidRDefault="004B6A68" w:rsidP="004B6A68">
            <w:pPr>
              <w:pStyle w:val="2"/>
              <w:widowControl/>
              <w:ind w:firstLine="0"/>
              <w:jc w:val="left"/>
              <w:rPr>
                <w:sz w:val="24"/>
                <w:szCs w:val="24"/>
              </w:rPr>
            </w:pPr>
            <w:r>
              <w:rPr>
                <w:sz w:val="24"/>
                <w:szCs w:val="24"/>
              </w:rPr>
              <w:t>Продукты переработки овощей, фруктов, орехов</w:t>
            </w:r>
          </w:p>
        </w:tc>
        <w:tc>
          <w:tcPr>
            <w:tcW w:w="1559" w:type="dxa"/>
            <w:vAlign w:val="bottom"/>
          </w:tcPr>
          <w:p w:rsidR="004B6A68" w:rsidRDefault="00815F10" w:rsidP="004B6A68">
            <w:pPr>
              <w:pStyle w:val="2"/>
              <w:widowControl/>
              <w:ind w:left="-108" w:right="-108" w:firstLine="0"/>
              <w:jc w:val="center"/>
              <w:rPr>
                <w:sz w:val="24"/>
                <w:szCs w:val="24"/>
              </w:rPr>
            </w:pPr>
            <w:r>
              <w:rPr>
                <w:sz w:val="24"/>
                <w:szCs w:val="24"/>
              </w:rPr>
              <w:t>0,34</w:t>
            </w:r>
          </w:p>
        </w:tc>
        <w:tc>
          <w:tcPr>
            <w:tcW w:w="1418" w:type="dxa"/>
            <w:vAlign w:val="bottom"/>
          </w:tcPr>
          <w:p w:rsidR="004B6A68" w:rsidRDefault="00815F10" w:rsidP="004B6A68">
            <w:pPr>
              <w:pStyle w:val="2"/>
              <w:widowControl/>
              <w:ind w:left="-108" w:right="-108" w:firstLine="0"/>
              <w:jc w:val="center"/>
              <w:rPr>
                <w:sz w:val="24"/>
                <w:szCs w:val="24"/>
              </w:rPr>
            </w:pPr>
            <w:r>
              <w:rPr>
                <w:sz w:val="24"/>
                <w:szCs w:val="24"/>
              </w:rPr>
              <w:t>0,33</w:t>
            </w:r>
          </w:p>
        </w:tc>
        <w:tc>
          <w:tcPr>
            <w:tcW w:w="1417" w:type="dxa"/>
            <w:vAlign w:val="bottom"/>
          </w:tcPr>
          <w:p w:rsidR="004B6A68" w:rsidRDefault="004B6A68" w:rsidP="004B6A68">
            <w:pPr>
              <w:pStyle w:val="2"/>
              <w:widowControl/>
              <w:ind w:left="-108" w:right="-108" w:firstLine="0"/>
              <w:jc w:val="center"/>
              <w:rPr>
                <w:sz w:val="24"/>
                <w:szCs w:val="24"/>
              </w:rPr>
            </w:pPr>
            <w:r>
              <w:rPr>
                <w:sz w:val="24"/>
                <w:szCs w:val="24"/>
              </w:rPr>
              <w:t>2 578,4</w:t>
            </w:r>
          </w:p>
        </w:tc>
        <w:tc>
          <w:tcPr>
            <w:tcW w:w="1418" w:type="dxa"/>
            <w:vAlign w:val="bottom"/>
          </w:tcPr>
          <w:p w:rsidR="004B6A68" w:rsidRDefault="004B6A68" w:rsidP="004B6A68">
            <w:pPr>
              <w:pStyle w:val="2"/>
              <w:widowControl/>
              <w:ind w:left="-108" w:right="-108" w:firstLine="0"/>
              <w:jc w:val="center"/>
              <w:rPr>
                <w:sz w:val="24"/>
                <w:szCs w:val="24"/>
              </w:rPr>
            </w:pPr>
            <w:r>
              <w:rPr>
                <w:sz w:val="24"/>
                <w:szCs w:val="24"/>
              </w:rPr>
              <w:t>2 722,6</w:t>
            </w:r>
          </w:p>
        </w:tc>
        <w:tc>
          <w:tcPr>
            <w:tcW w:w="1559" w:type="dxa"/>
            <w:vAlign w:val="bottom"/>
          </w:tcPr>
          <w:p w:rsidR="004B6A68" w:rsidRDefault="004B6A68" w:rsidP="004B6A68">
            <w:pPr>
              <w:pStyle w:val="2"/>
              <w:widowControl/>
              <w:ind w:left="-108" w:right="-108" w:firstLine="0"/>
              <w:jc w:val="center"/>
              <w:rPr>
                <w:sz w:val="24"/>
                <w:szCs w:val="24"/>
              </w:rPr>
            </w:pPr>
            <w:r>
              <w:rPr>
                <w:sz w:val="24"/>
                <w:szCs w:val="24"/>
              </w:rPr>
              <w:t>105,6</w:t>
            </w:r>
          </w:p>
        </w:tc>
      </w:tr>
      <w:tr w:rsidR="004B6A68" w:rsidRPr="00C234A9" w:rsidTr="004B6A68">
        <w:trPr>
          <w:trHeight w:val="270"/>
        </w:trPr>
        <w:tc>
          <w:tcPr>
            <w:tcW w:w="2410" w:type="dxa"/>
          </w:tcPr>
          <w:p w:rsidR="004B6A68" w:rsidRPr="00E6395E" w:rsidRDefault="004B6A68" w:rsidP="004B6A68">
            <w:pPr>
              <w:pStyle w:val="2"/>
              <w:widowControl/>
              <w:ind w:firstLine="0"/>
              <w:jc w:val="left"/>
              <w:rPr>
                <w:sz w:val="24"/>
                <w:szCs w:val="24"/>
              </w:rPr>
            </w:pPr>
            <w:r w:rsidRPr="00E6395E">
              <w:rPr>
                <w:sz w:val="24"/>
                <w:szCs w:val="24"/>
              </w:rPr>
              <w:t>Алкогольные и безалкогольные напитки</w:t>
            </w:r>
          </w:p>
        </w:tc>
        <w:tc>
          <w:tcPr>
            <w:tcW w:w="1559" w:type="dxa"/>
            <w:vAlign w:val="bottom"/>
          </w:tcPr>
          <w:p w:rsidR="004B6A68" w:rsidRDefault="00815F10" w:rsidP="004B6A68">
            <w:pPr>
              <w:pStyle w:val="2"/>
              <w:widowControl/>
              <w:ind w:left="-108" w:right="-108" w:firstLine="0"/>
              <w:jc w:val="center"/>
              <w:rPr>
                <w:sz w:val="24"/>
                <w:szCs w:val="24"/>
              </w:rPr>
            </w:pPr>
            <w:r>
              <w:rPr>
                <w:sz w:val="24"/>
                <w:szCs w:val="24"/>
              </w:rPr>
              <w:t>0,90</w:t>
            </w:r>
          </w:p>
        </w:tc>
        <w:tc>
          <w:tcPr>
            <w:tcW w:w="1418" w:type="dxa"/>
            <w:vAlign w:val="bottom"/>
          </w:tcPr>
          <w:p w:rsidR="004B6A68" w:rsidRDefault="00815F10" w:rsidP="004B6A68">
            <w:pPr>
              <w:pStyle w:val="2"/>
              <w:widowControl/>
              <w:ind w:left="-108" w:right="-108" w:firstLine="0"/>
              <w:jc w:val="center"/>
              <w:rPr>
                <w:sz w:val="24"/>
                <w:szCs w:val="24"/>
              </w:rPr>
            </w:pPr>
            <w:r>
              <w:rPr>
                <w:sz w:val="24"/>
                <w:szCs w:val="24"/>
              </w:rPr>
              <w:t>0,84</w:t>
            </w:r>
          </w:p>
        </w:tc>
        <w:tc>
          <w:tcPr>
            <w:tcW w:w="1417" w:type="dxa"/>
            <w:vAlign w:val="bottom"/>
          </w:tcPr>
          <w:p w:rsidR="004B6A68" w:rsidRDefault="004B6A68" w:rsidP="004B6A68">
            <w:pPr>
              <w:pStyle w:val="2"/>
              <w:widowControl/>
              <w:ind w:left="-108" w:right="-108" w:firstLine="0"/>
              <w:jc w:val="center"/>
              <w:rPr>
                <w:sz w:val="24"/>
                <w:szCs w:val="24"/>
              </w:rPr>
            </w:pPr>
            <w:r>
              <w:rPr>
                <w:sz w:val="24"/>
                <w:szCs w:val="24"/>
              </w:rPr>
              <w:t>6 762,9</w:t>
            </w:r>
          </w:p>
        </w:tc>
        <w:tc>
          <w:tcPr>
            <w:tcW w:w="1418" w:type="dxa"/>
            <w:vAlign w:val="bottom"/>
          </w:tcPr>
          <w:p w:rsidR="004B6A68" w:rsidRDefault="004B6A68" w:rsidP="004B6A68">
            <w:pPr>
              <w:pStyle w:val="2"/>
              <w:widowControl/>
              <w:ind w:left="-108" w:right="-108" w:firstLine="0"/>
              <w:jc w:val="center"/>
              <w:rPr>
                <w:sz w:val="24"/>
                <w:szCs w:val="24"/>
              </w:rPr>
            </w:pPr>
            <w:r>
              <w:rPr>
                <w:sz w:val="24"/>
                <w:szCs w:val="24"/>
              </w:rPr>
              <w:t>6 891,5</w:t>
            </w:r>
          </w:p>
        </w:tc>
        <w:tc>
          <w:tcPr>
            <w:tcW w:w="1559" w:type="dxa"/>
            <w:vAlign w:val="bottom"/>
          </w:tcPr>
          <w:p w:rsidR="004B6A68" w:rsidRDefault="004B6A68" w:rsidP="004B6A68">
            <w:pPr>
              <w:pStyle w:val="2"/>
              <w:widowControl/>
              <w:ind w:left="-108" w:right="-108" w:firstLine="0"/>
              <w:jc w:val="center"/>
              <w:rPr>
                <w:sz w:val="24"/>
                <w:szCs w:val="24"/>
              </w:rPr>
            </w:pPr>
            <w:r>
              <w:rPr>
                <w:sz w:val="24"/>
                <w:szCs w:val="24"/>
              </w:rPr>
              <w:t>101,9</w:t>
            </w:r>
          </w:p>
        </w:tc>
      </w:tr>
      <w:tr w:rsidR="004B6A68" w:rsidRPr="00C234A9" w:rsidTr="004B6A68">
        <w:trPr>
          <w:trHeight w:val="260"/>
        </w:trPr>
        <w:tc>
          <w:tcPr>
            <w:tcW w:w="2410" w:type="dxa"/>
          </w:tcPr>
          <w:p w:rsidR="004B6A68" w:rsidRPr="00C45988" w:rsidRDefault="004B6A68" w:rsidP="004B6A68">
            <w:pPr>
              <w:pStyle w:val="2"/>
              <w:widowControl/>
              <w:ind w:firstLine="0"/>
              <w:jc w:val="left"/>
              <w:rPr>
                <w:sz w:val="24"/>
                <w:szCs w:val="24"/>
              </w:rPr>
            </w:pPr>
            <w:r w:rsidRPr="00C45988">
              <w:rPr>
                <w:sz w:val="24"/>
                <w:szCs w:val="24"/>
              </w:rPr>
              <w:t xml:space="preserve">Табак и промышленные заменители табака </w:t>
            </w:r>
          </w:p>
        </w:tc>
        <w:tc>
          <w:tcPr>
            <w:tcW w:w="1559" w:type="dxa"/>
            <w:vAlign w:val="bottom"/>
          </w:tcPr>
          <w:p w:rsidR="004B6A68" w:rsidRDefault="00815F10" w:rsidP="004B6A68">
            <w:pPr>
              <w:pStyle w:val="2"/>
              <w:widowControl/>
              <w:ind w:right="-108" w:firstLine="0"/>
              <w:jc w:val="center"/>
              <w:rPr>
                <w:sz w:val="24"/>
                <w:szCs w:val="24"/>
              </w:rPr>
            </w:pPr>
            <w:r>
              <w:rPr>
                <w:sz w:val="24"/>
                <w:szCs w:val="24"/>
              </w:rPr>
              <w:t>4,06</w:t>
            </w:r>
          </w:p>
        </w:tc>
        <w:tc>
          <w:tcPr>
            <w:tcW w:w="1418" w:type="dxa"/>
            <w:vAlign w:val="bottom"/>
          </w:tcPr>
          <w:p w:rsidR="004B6A68" w:rsidRDefault="00815F10" w:rsidP="004B6A68">
            <w:pPr>
              <w:pStyle w:val="2"/>
              <w:widowControl/>
              <w:ind w:left="-108" w:right="-108" w:firstLine="0"/>
              <w:jc w:val="center"/>
              <w:rPr>
                <w:sz w:val="24"/>
                <w:szCs w:val="24"/>
              </w:rPr>
            </w:pPr>
            <w:r>
              <w:rPr>
                <w:sz w:val="24"/>
                <w:szCs w:val="24"/>
              </w:rPr>
              <w:t>5,22</w:t>
            </w:r>
          </w:p>
        </w:tc>
        <w:tc>
          <w:tcPr>
            <w:tcW w:w="1417" w:type="dxa"/>
            <w:vAlign w:val="bottom"/>
          </w:tcPr>
          <w:p w:rsidR="004B6A68" w:rsidRDefault="004B6A68" w:rsidP="004B6A68">
            <w:pPr>
              <w:pStyle w:val="2"/>
              <w:widowControl/>
              <w:ind w:left="-108" w:right="-108" w:firstLine="0"/>
              <w:jc w:val="center"/>
              <w:rPr>
                <w:sz w:val="24"/>
                <w:szCs w:val="24"/>
              </w:rPr>
            </w:pPr>
            <w:r>
              <w:rPr>
                <w:sz w:val="24"/>
                <w:szCs w:val="24"/>
              </w:rPr>
              <w:t>30 417,3</w:t>
            </w:r>
          </w:p>
        </w:tc>
        <w:tc>
          <w:tcPr>
            <w:tcW w:w="1418" w:type="dxa"/>
            <w:vAlign w:val="bottom"/>
          </w:tcPr>
          <w:p w:rsidR="004B6A68" w:rsidRDefault="004B6A68" w:rsidP="004B6A68">
            <w:pPr>
              <w:pStyle w:val="2"/>
              <w:widowControl/>
              <w:ind w:left="-108" w:right="-108" w:firstLine="0"/>
              <w:jc w:val="center"/>
              <w:rPr>
                <w:sz w:val="24"/>
                <w:szCs w:val="24"/>
              </w:rPr>
            </w:pPr>
            <w:r>
              <w:rPr>
                <w:sz w:val="24"/>
                <w:szCs w:val="24"/>
              </w:rPr>
              <w:t>43 062,5</w:t>
            </w:r>
          </w:p>
        </w:tc>
        <w:tc>
          <w:tcPr>
            <w:tcW w:w="1559" w:type="dxa"/>
            <w:vAlign w:val="bottom"/>
          </w:tcPr>
          <w:p w:rsidR="004B6A68" w:rsidRDefault="004B6A68" w:rsidP="004B6A68">
            <w:pPr>
              <w:pStyle w:val="2"/>
              <w:widowControl/>
              <w:ind w:left="-108" w:right="-108" w:firstLine="0"/>
              <w:jc w:val="center"/>
              <w:rPr>
                <w:sz w:val="24"/>
                <w:szCs w:val="24"/>
              </w:rPr>
            </w:pPr>
            <w:r>
              <w:rPr>
                <w:sz w:val="24"/>
                <w:szCs w:val="24"/>
              </w:rPr>
              <w:t>141,6</w:t>
            </w:r>
          </w:p>
        </w:tc>
      </w:tr>
    </w:tbl>
    <w:p w:rsidR="004B6A68" w:rsidRDefault="004B6A68" w:rsidP="004B6A68">
      <w:pPr>
        <w:pStyle w:val="2"/>
        <w:widowControl/>
        <w:tabs>
          <w:tab w:val="left" w:pos="900"/>
        </w:tabs>
        <w:ind w:firstLine="709"/>
        <w:rPr>
          <w:sz w:val="24"/>
          <w:szCs w:val="24"/>
        </w:rPr>
      </w:pPr>
    </w:p>
    <w:p w:rsidR="004B6A68" w:rsidRDefault="004B6A68" w:rsidP="004B6A68">
      <w:pPr>
        <w:pStyle w:val="2"/>
        <w:widowControl/>
        <w:ind w:firstLine="709"/>
        <w:rPr>
          <w:sz w:val="24"/>
          <w:szCs w:val="24"/>
        </w:rPr>
      </w:pPr>
      <w:r w:rsidRPr="00E62D79">
        <w:rPr>
          <w:sz w:val="24"/>
          <w:szCs w:val="24"/>
        </w:rPr>
        <w:t>В числе статей импорта, уступивших параметрам I полугодия 2013 года, также фигурирует</w:t>
      </w:r>
      <w:r>
        <w:rPr>
          <w:sz w:val="24"/>
          <w:szCs w:val="24"/>
        </w:rPr>
        <w:t xml:space="preserve"> </w:t>
      </w:r>
      <w:r w:rsidRPr="00E62D79">
        <w:rPr>
          <w:sz w:val="24"/>
          <w:szCs w:val="24"/>
        </w:rPr>
        <w:t xml:space="preserve">поставки </w:t>
      </w:r>
      <w:r w:rsidRPr="00E62D79">
        <w:rPr>
          <w:bCs/>
          <w:color w:val="000000"/>
          <w:sz w:val="24"/>
          <w:szCs w:val="24"/>
        </w:rPr>
        <w:t xml:space="preserve">по товарной группе </w:t>
      </w:r>
      <w:r w:rsidRPr="00E62D79">
        <w:rPr>
          <w:sz w:val="24"/>
          <w:szCs w:val="24"/>
        </w:rPr>
        <w:t xml:space="preserve">«Продукция химической и связанных с ней </w:t>
      </w:r>
      <w:r w:rsidRPr="00E62D79">
        <w:rPr>
          <w:sz w:val="24"/>
          <w:szCs w:val="24"/>
        </w:rPr>
        <w:lastRenderedPageBreak/>
        <w:t>отраслей промышленности»</w:t>
      </w:r>
      <w:r w:rsidRPr="00E62D79">
        <w:rPr>
          <w:bCs/>
          <w:color w:val="000000"/>
          <w:sz w:val="24"/>
          <w:szCs w:val="24"/>
        </w:rPr>
        <w:t xml:space="preserve"> (</w:t>
      </w:r>
      <w:r w:rsidR="00815F10">
        <w:rPr>
          <w:bCs/>
          <w:color w:val="000000"/>
          <w:sz w:val="24"/>
          <w:szCs w:val="24"/>
        </w:rPr>
        <w:t xml:space="preserve">«-» </w:t>
      </w:r>
      <w:r>
        <w:rPr>
          <w:bCs/>
          <w:color w:val="000000"/>
          <w:sz w:val="24"/>
          <w:szCs w:val="24"/>
        </w:rPr>
        <w:t>3,</w:t>
      </w:r>
      <w:r w:rsidR="00815F10">
        <w:rPr>
          <w:bCs/>
          <w:color w:val="000000"/>
          <w:sz w:val="24"/>
          <w:szCs w:val="24"/>
        </w:rPr>
        <w:t>6</w:t>
      </w:r>
      <w:r>
        <w:rPr>
          <w:bCs/>
          <w:color w:val="000000"/>
          <w:sz w:val="24"/>
          <w:szCs w:val="24"/>
        </w:rPr>
        <w:t>%</w:t>
      </w:r>
      <w:r w:rsidRPr="00E62D79">
        <w:rPr>
          <w:bCs/>
          <w:color w:val="000000"/>
          <w:sz w:val="24"/>
          <w:szCs w:val="24"/>
        </w:rPr>
        <w:t>)</w:t>
      </w:r>
      <w:r>
        <w:rPr>
          <w:bCs/>
          <w:color w:val="000000"/>
          <w:sz w:val="24"/>
          <w:szCs w:val="24"/>
        </w:rPr>
        <w:t>,</w:t>
      </w:r>
      <w:r w:rsidRPr="00E62D79">
        <w:rPr>
          <w:sz w:val="24"/>
          <w:szCs w:val="24"/>
        </w:rPr>
        <w:t xml:space="preserve"> обеспечивших в товарной структуре импорта </w:t>
      </w:r>
      <w:r>
        <w:rPr>
          <w:sz w:val="24"/>
          <w:szCs w:val="24"/>
        </w:rPr>
        <w:t>7,4</w:t>
      </w:r>
      <w:r w:rsidRPr="00E62D79">
        <w:rPr>
          <w:sz w:val="24"/>
          <w:szCs w:val="24"/>
        </w:rPr>
        <w:t>% общих поставок</w:t>
      </w:r>
      <w:r>
        <w:rPr>
          <w:sz w:val="24"/>
          <w:szCs w:val="24"/>
        </w:rPr>
        <w:t xml:space="preserve"> против 8,4% в январе-июне 2013 года.</w:t>
      </w:r>
      <w:r w:rsidRPr="00E62D79">
        <w:rPr>
          <w:sz w:val="24"/>
          <w:szCs w:val="24"/>
        </w:rPr>
        <w:t xml:space="preserve"> </w:t>
      </w:r>
    </w:p>
    <w:p w:rsidR="004B6A68" w:rsidRDefault="004B6A68" w:rsidP="004B6A68">
      <w:pPr>
        <w:pStyle w:val="2"/>
        <w:widowControl/>
        <w:ind w:firstLine="709"/>
        <w:jc w:val="right"/>
        <w:rPr>
          <w:sz w:val="24"/>
          <w:szCs w:val="24"/>
        </w:rPr>
      </w:pPr>
      <w:r>
        <w:rPr>
          <w:sz w:val="24"/>
          <w:szCs w:val="24"/>
        </w:rPr>
        <w:t>Таблица №</w:t>
      </w:r>
      <w:r w:rsidR="00827768">
        <w:rPr>
          <w:sz w:val="24"/>
          <w:szCs w:val="24"/>
        </w:rPr>
        <w:t>23</w:t>
      </w:r>
    </w:p>
    <w:p w:rsidR="004B6A68" w:rsidRPr="00C07037" w:rsidRDefault="004B6A68" w:rsidP="004B6A68">
      <w:pPr>
        <w:pStyle w:val="2"/>
        <w:widowControl/>
        <w:jc w:val="center"/>
        <w:rPr>
          <w:b/>
          <w:sz w:val="24"/>
          <w:szCs w:val="24"/>
        </w:rPr>
      </w:pPr>
      <w:r w:rsidRPr="00C07037">
        <w:rPr>
          <w:b/>
          <w:sz w:val="24"/>
          <w:szCs w:val="24"/>
        </w:rPr>
        <w:t xml:space="preserve">Показатели </w:t>
      </w:r>
      <w:r>
        <w:rPr>
          <w:b/>
          <w:sz w:val="24"/>
          <w:szCs w:val="24"/>
        </w:rPr>
        <w:t xml:space="preserve">импорта </w:t>
      </w:r>
      <w:r w:rsidRPr="00C07037">
        <w:rPr>
          <w:b/>
          <w:sz w:val="24"/>
          <w:szCs w:val="24"/>
        </w:rPr>
        <w:t xml:space="preserve">по </w:t>
      </w:r>
      <w:r>
        <w:rPr>
          <w:b/>
          <w:sz w:val="24"/>
          <w:szCs w:val="24"/>
        </w:rPr>
        <w:t>группе</w:t>
      </w:r>
      <w:r w:rsidRPr="00C07037">
        <w:rPr>
          <w:b/>
          <w:sz w:val="24"/>
          <w:szCs w:val="24"/>
        </w:rPr>
        <w:t xml:space="preserve"> </w:t>
      </w:r>
    </w:p>
    <w:p w:rsidR="004B6A68" w:rsidRDefault="004B6A68" w:rsidP="004B6A68">
      <w:pPr>
        <w:pStyle w:val="2"/>
        <w:widowControl/>
        <w:ind w:firstLine="709"/>
        <w:jc w:val="center"/>
        <w:rPr>
          <w:sz w:val="24"/>
          <w:szCs w:val="24"/>
        </w:rPr>
      </w:pPr>
      <w:r w:rsidRPr="00C07037">
        <w:rPr>
          <w:b/>
          <w:sz w:val="24"/>
          <w:szCs w:val="24"/>
        </w:rPr>
        <w:t>«</w:t>
      </w:r>
      <w:r>
        <w:rPr>
          <w:b/>
          <w:sz w:val="24"/>
          <w:szCs w:val="24"/>
        </w:rPr>
        <w:t>Продукция химической и связанных с ней отраслей промышленности</w:t>
      </w:r>
      <w:r w:rsidRPr="00C07037">
        <w:rPr>
          <w:b/>
          <w:sz w:val="24"/>
          <w:szCs w:val="24"/>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1701"/>
        <w:gridCol w:w="1559"/>
        <w:gridCol w:w="1417"/>
        <w:gridCol w:w="1418"/>
        <w:gridCol w:w="1559"/>
      </w:tblGrid>
      <w:tr w:rsidR="004B6A68" w:rsidTr="004B6A68">
        <w:tc>
          <w:tcPr>
            <w:tcW w:w="2235" w:type="dxa"/>
            <w:vMerge w:val="restart"/>
            <w:vAlign w:val="center"/>
          </w:tcPr>
          <w:p w:rsidR="004B6A68" w:rsidRDefault="004B6A68" w:rsidP="004B6A68">
            <w:pPr>
              <w:pStyle w:val="2"/>
              <w:widowControl/>
              <w:ind w:firstLine="0"/>
              <w:jc w:val="center"/>
              <w:rPr>
                <w:sz w:val="24"/>
                <w:szCs w:val="24"/>
              </w:rPr>
            </w:pPr>
            <w:r w:rsidRPr="00995EAD">
              <w:rPr>
                <w:sz w:val="24"/>
                <w:szCs w:val="24"/>
              </w:rPr>
              <w:t>Наименование товарной группы</w:t>
            </w:r>
          </w:p>
        </w:tc>
        <w:tc>
          <w:tcPr>
            <w:tcW w:w="3260" w:type="dxa"/>
            <w:gridSpan w:val="2"/>
            <w:vAlign w:val="bottom"/>
          </w:tcPr>
          <w:p w:rsidR="004B6A68" w:rsidRPr="00B93B92" w:rsidRDefault="004B6A68" w:rsidP="004B6A68">
            <w:pPr>
              <w:spacing w:after="0"/>
              <w:jc w:val="center"/>
              <w:rPr>
                <w:rFonts w:ascii="Times New Roman" w:hAnsi="Times New Roman"/>
              </w:rPr>
            </w:pPr>
            <w:r w:rsidRPr="00B93B92">
              <w:rPr>
                <w:rFonts w:ascii="Times New Roman" w:hAnsi="Times New Roman"/>
              </w:rPr>
              <w:t>Уд. вес. в стоимостной структуре, %</w:t>
            </w:r>
          </w:p>
        </w:tc>
        <w:tc>
          <w:tcPr>
            <w:tcW w:w="2835" w:type="dxa"/>
            <w:gridSpan w:val="2"/>
            <w:vAlign w:val="center"/>
          </w:tcPr>
          <w:p w:rsidR="004B6A68" w:rsidRPr="00995EAD" w:rsidRDefault="004B6A68" w:rsidP="004B6A68">
            <w:pPr>
              <w:pStyle w:val="2"/>
              <w:widowControl/>
              <w:ind w:firstLine="0"/>
              <w:jc w:val="center"/>
              <w:rPr>
                <w:bCs/>
                <w:sz w:val="24"/>
                <w:szCs w:val="24"/>
              </w:rPr>
            </w:pPr>
            <w:r>
              <w:rPr>
                <w:bCs/>
                <w:sz w:val="24"/>
                <w:szCs w:val="24"/>
              </w:rPr>
              <w:t>Фактическая стоимость, тыс. долл. США</w:t>
            </w:r>
          </w:p>
        </w:tc>
        <w:tc>
          <w:tcPr>
            <w:tcW w:w="1559" w:type="dxa"/>
            <w:vMerge w:val="restart"/>
          </w:tcPr>
          <w:p w:rsidR="004B6A68" w:rsidRPr="00A943F0" w:rsidRDefault="004B6A68" w:rsidP="004B6A68">
            <w:pPr>
              <w:pStyle w:val="2"/>
              <w:widowControl/>
              <w:ind w:firstLine="0"/>
              <w:jc w:val="center"/>
              <w:rPr>
                <w:bCs/>
                <w:sz w:val="22"/>
                <w:szCs w:val="22"/>
              </w:rPr>
            </w:pPr>
            <w:r w:rsidRPr="00A943F0">
              <w:rPr>
                <w:bCs/>
                <w:sz w:val="22"/>
                <w:szCs w:val="22"/>
              </w:rPr>
              <w:t>Темп роста январь-июнь 2014 г. к</w:t>
            </w:r>
          </w:p>
          <w:p w:rsidR="004B6A68" w:rsidRDefault="004B6A68" w:rsidP="004B6A68">
            <w:pPr>
              <w:pStyle w:val="2"/>
              <w:widowControl/>
              <w:ind w:firstLine="0"/>
              <w:rPr>
                <w:sz w:val="24"/>
                <w:szCs w:val="24"/>
              </w:rPr>
            </w:pPr>
            <w:r w:rsidRPr="00A943F0">
              <w:rPr>
                <w:bCs/>
                <w:sz w:val="22"/>
                <w:szCs w:val="22"/>
              </w:rPr>
              <w:t>январю-июню 2013 г., %</w:t>
            </w:r>
          </w:p>
        </w:tc>
      </w:tr>
      <w:tr w:rsidR="004B6A68" w:rsidTr="004B6A68">
        <w:tc>
          <w:tcPr>
            <w:tcW w:w="2235" w:type="dxa"/>
            <w:vMerge/>
          </w:tcPr>
          <w:p w:rsidR="004B6A68" w:rsidRDefault="004B6A68" w:rsidP="004B6A68">
            <w:pPr>
              <w:pStyle w:val="2"/>
              <w:widowControl/>
              <w:ind w:firstLine="0"/>
              <w:rPr>
                <w:sz w:val="24"/>
                <w:szCs w:val="24"/>
              </w:rPr>
            </w:pPr>
          </w:p>
        </w:tc>
        <w:tc>
          <w:tcPr>
            <w:tcW w:w="1701" w:type="dxa"/>
            <w:vAlign w:val="center"/>
          </w:tcPr>
          <w:p w:rsidR="004B6A68" w:rsidRDefault="004B6A68" w:rsidP="004B6A68">
            <w:pPr>
              <w:pStyle w:val="2"/>
              <w:widowControl/>
              <w:ind w:left="-108" w:right="-108" w:firstLine="0"/>
              <w:jc w:val="center"/>
              <w:rPr>
                <w:sz w:val="24"/>
                <w:szCs w:val="24"/>
              </w:rPr>
            </w:pPr>
            <w:r>
              <w:rPr>
                <w:sz w:val="24"/>
                <w:szCs w:val="24"/>
              </w:rPr>
              <w:t xml:space="preserve">январь-июнь </w:t>
            </w:r>
          </w:p>
          <w:p w:rsidR="004B6A68" w:rsidRPr="00995EAD" w:rsidRDefault="004B6A68" w:rsidP="004B6A68">
            <w:pPr>
              <w:pStyle w:val="2"/>
              <w:widowControl/>
              <w:ind w:left="-108" w:right="-108" w:firstLine="0"/>
              <w:jc w:val="center"/>
              <w:rPr>
                <w:sz w:val="24"/>
                <w:szCs w:val="24"/>
              </w:rPr>
            </w:pPr>
            <w:r>
              <w:rPr>
                <w:sz w:val="24"/>
                <w:szCs w:val="24"/>
              </w:rPr>
              <w:t>2013 г.</w:t>
            </w:r>
          </w:p>
        </w:tc>
        <w:tc>
          <w:tcPr>
            <w:tcW w:w="1559" w:type="dxa"/>
            <w:vAlign w:val="center"/>
          </w:tcPr>
          <w:p w:rsidR="004B6A68" w:rsidRPr="00995EAD" w:rsidRDefault="004B6A68" w:rsidP="004B6A68">
            <w:pPr>
              <w:pStyle w:val="2"/>
              <w:widowControl/>
              <w:ind w:left="-108" w:right="-108" w:firstLine="0"/>
              <w:jc w:val="center"/>
              <w:rPr>
                <w:sz w:val="24"/>
                <w:szCs w:val="24"/>
              </w:rPr>
            </w:pPr>
            <w:r>
              <w:rPr>
                <w:sz w:val="24"/>
                <w:szCs w:val="24"/>
              </w:rPr>
              <w:t>январь-июнь 2014 г.</w:t>
            </w:r>
          </w:p>
        </w:tc>
        <w:tc>
          <w:tcPr>
            <w:tcW w:w="1417" w:type="dxa"/>
            <w:vAlign w:val="center"/>
          </w:tcPr>
          <w:p w:rsidR="004B6A68" w:rsidRPr="00995EAD" w:rsidRDefault="004B6A68" w:rsidP="004B6A68">
            <w:pPr>
              <w:pStyle w:val="2"/>
              <w:widowControl/>
              <w:ind w:left="-108" w:right="-108" w:firstLine="0"/>
              <w:jc w:val="center"/>
              <w:rPr>
                <w:sz w:val="24"/>
                <w:szCs w:val="24"/>
              </w:rPr>
            </w:pPr>
            <w:r>
              <w:rPr>
                <w:sz w:val="24"/>
                <w:szCs w:val="24"/>
              </w:rPr>
              <w:t>январь-июнь 2013 г.</w:t>
            </w:r>
          </w:p>
        </w:tc>
        <w:tc>
          <w:tcPr>
            <w:tcW w:w="1418" w:type="dxa"/>
            <w:vAlign w:val="center"/>
          </w:tcPr>
          <w:p w:rsidR="004B6A68" w:rsidRPr="00995EAD" w:rsidRDefault="004B6A68" w:rsidP="004B6A68">
            <w:pPr>
              <w:pStyle w:val="2"/>
              <w:widowControl/>
              <w:ind w:left="-108" w:right="-108" w:firstLine="0"/>
              <w:jc w:val="center"/>
              <w:rPr>
                <w:sz w:val="24"/>
                <w:szCs w:val="24"/>
              </w:rPr>
            </w:pPr>
            <w:r>
              <w:rPr>
                <w:sz w:val="24"/>
                <w:szCs w:val="24"/>
              </w:rPr>
              <w:t>январь-июнь 2014 г.</w:t>
            </w:r>
          </w:p>
        </w:tc>
        <w:tc>
          <w:tcPr>
            <w:tcW w:w="1559" w:type="dxa"/>
            <w:vMerge/>
          </w:tcPr>
          <w:p w:rsidR="004B6A68" w:rsidRDefault="004B6A68" w:rsidP="004B6A68">
            <w:pPr>
              <w:pStyle w:val="2"/>
              <w:widowControl/>
              <w:ind w:firstLine="0"/>
              <w:rPr>
                <w:sz w:val="24"/>
                <w:szCs w:val="24"/>
              </w:rPr>
            </w:pPr>
          </w:p>
        </w:tc>
      </w:tr>
      <w:tr w:rsidR="004B6A68" w:rsidTr="004B6A68">
        <w:tc>
          <w:tcPr>
            <w:tcW w:w="2235" w:type="dxa"/>
            <w:vAlign w:val="bottom"/>
          </w:tcPr>
          <w:p w:rsidR="004B6A68" w:rsidRPr="00316A39" w:rsidRDefault="004B6A68" w:rsidP="004B6A68">
            <w:pPr>
              <w:pStyle w:val="2"/>
              <w:widowControl/>
              <w:ind w:firstLine="0"/>
              <w:jc w:val="left"/>
              <w:rPr>
                <w:b/>
                <w:sz w:val="24"/>
                <w:szCs w:val="24"/>
              </w:rPr>
            </w:pPr>
            <w:r>
              <w:rPr>
                <w:b/>
                <w:sz w:val="24"/>
                <w:szCs w:val="24"/>
              </w:rPr>
              <w:t>Продукция химической и связанных с ней отраслей промышленности</w:t>
            </w:r>
          </w:p>
        </w:tc>
        <w:tc>
          <w:tcPr>
            <w:tcW w:w="1701" w:type="dxa"/>
            <w:vAlign w:val="center"/>
          </w:tcPr>
          <w:p w:rsidR="004B6A68" w:rsidRPr="009B39AE" w:rsidRDefault="004B6A68" w:rsidP="004B6A68">
            <w:pPr>
              <w:pStyle w:val="2"/>
              <w:widowControl/>
              <w:ind w:firstLine="0"/>
              <w:jc w:val="center"/>
              <w:rPr>
                <w:b/>
                <w:sz w:val="24"/>
                <w:szCs w:val="24"/>
              </w:rPr>
            </w:pPr>
            <w:r>
              <w:rPr>
                <w:b/>
                <w:sz w:val="24"/>
                <w:szCs w:val="24"/>
              </w:rPr>
              <w:t>8,4</w:t>
            </w:r>
          </w:p>
        </w:tc>
        <w:tc>
          <w:tcPr>
            <w:tcW w:w="1559" w:type="dxa"/>
            <w:vAlign w:val="center"/>
          </w:tcPr>
          <w:p w:rsidR="004B6A68" w:rsidRPr="009B39AE" w:rsidRDefault="004B6A68" w:rsidP="004B6A68">
            <w:pPr>
              <w:pStyle w:val="2"/>
              <w:widowControl/>
              <w:ind w:firstLine="0"/>
              <w:jc w:val="center"/>
              <w:rPr>
                <w:b/>
                <w:sz w:val="24"/>
                <w:szCs w:val="24"/>
              </w:rPr>
            </w:pPr>
            <w:r>
              <w:rPr>
                <w:b/>
                <w:sz w:val="24"/>
                <w:szCs w:val="24"/>
              </w:rPr>
              <w:t>7,4</w:t>
            </w:r>
          </w:p>
        </w:tc>
        <w:tc>
          <w:tcPr>
            <w:tcW w:w="1417" w:type="dxa"/>
            <w:vAlign w:val="center"/>
          </w:tcPr>
          <w:p w:rsidR="004B6A68" w:rsidRPr="009B39AE" w:rsidRDefault="004B6A68" w:rsidP="004B6A68">
            <w:pPr>
              <w:pStyle w:val="2"/>
              <w:widowControl/>
              <w:ind w:firstLine="0"/>
              <w:jc w:val="center"/>
              <w:rPr>
                <w:b/>
                <w:sz w:val="24"/>
                <w:szCs w:val="24"/>
              </w:rPr>
            </w:pPr>
            <w:r>
              <w:rPr>
                <w:b/>
                <w:sz w:val="24"/>
                <w:szCs w:val="24"/>
              </w:rPr>
              <w:t>63,0</w:t>
            </w:r>
          </w:p>
        </w:tc>
        <w:tc>
          <w:tcPr>
            <w:tcW w:w="1418" w:type="dxa"/>
            <w:vAlign w:val="center"/>
          </w:tcPr>
          <w:p w:rsidR="004B6A68" w:rsidRPr="009B39AE" w:rsidRDefault="004B6A68" w:rsidP="004B6A68">
            <w:pPr>
              <w:pStyle w:val="2"/>
              <w:widowControl/>
              <w:ind w:firstLine="0"/>
              <w:jc w:val="center"/>
              <w:rPr>
                <w:b/>
                <w:sz w:val="24"/>
                <w:szCs w:val="24"/>
              </w:rPr>
            </w:pPr>
            <w:r>
              <w:rPr>
                <w:b/>
                <w:sz w:val="24"/>
                <w:szCs w:val="24"/>
              </w:rPr>
              <w:t>60,6</w:t>
            </w:r>
          </w:p>
        </w:tc>
        <w:tc>
          <w:tcPr>
            <w:tcW w:w="1559" w:type="dxa"/>
            <w:vAlign w:val="center"/>
          </w:tcPr>
          <w:p w:rsidR="004B6A68" w:rsidRPr="009B39AE" w:rsidRDefault="004B6A68" w:rsidP="004B6A68">
            <w:pPr>
              <w:pStyle w:val="2"/>
              <w:widowControl/>
              <w:ind w:firstLine="0"/>
              <w:jc w:val="center"/>
              <w:rPr>
                <w:b/>
                <w:sz w:val="24"/>
                <w:szCs w:val="24"/>
              </w:rPr>
            </w:pPr>
            <w:r>
              <w:rPr>
                <w:b/>
                <w:sz w:val="24"/>
                <w:szCs w:val="24"/>
              </w:rPr>
              <w:t>96,4</w:t>
            </w:r>
          </w:p>
        </w:tc>
      </w:tr>
    </w:tbl>
    <w:p w:rsidR="004B6A68" w:rsidRDefault="004B6A68" w:rsidP="004B6A68">
      <w:pPr>
        <w:pStyle w:val="2"/>
        <w:widowControl/>
        <w:ind w:firstLine="709"/>
        <w:rPr>
          <w:sz w:val="24"/>
          <w:szCs w:val="24"/>
        </w:rPr>
      </w:pPr>
    </w:p>
    <w:p w:rsidR="004B6A68" w:rsidRPr="00F31959" w:rsidRDefault="004B6A68" w:rsidP="004B6A68">
      <w:pPr>
        <w:widowControl w:val="0"/>
        <w:shd w:val="clear" w:color="auto" w:fill="FFFFFF"/>
        <w:tabs>
          <w:tab w:val="left" w:pos="857"/>
        </w:tabs>
        <w:autoSpaceDE w:val="0"/>
        <w:autoSpaceDN w:val="0"/>
        <w:adjustRightInd w:val="0"/>
        <w:spacing w:after="0" w:line="240" w:lineRule="auto"/>
        <w:ind w:firstLine="709"/>
        <w:jc w:val="both"/>
        <w:rPr>
          <w:rFonts w:ascii="Times New Roman" w:hAnsi="Times New Roman"/>
          <w:sz w:val="24"/>
          <w:szCs w:val="24"/>
        </w:rPr>
      </w:pPr>
      <w:r w:rsidRPr="00F31959">
        <w:rPr>
          <w:rFonts w:ascii="Times New Roman" w:hAnsi="Times New Roman"/>
          <w:sz w:val="24"/>
          <w:szCs w:val="24"/>
        </w:rPr>
        <w:t>Таким образом, внешнеэкономическая деятельность хозяйствующих субъектов республики в первой половине 2014 года, несмотря на определившиеся дополнительные риски, вызванные нестабильной ситуацией в Украине и угрозами санкций Российской Федерации со стороны развитых стран, характеризовалась ростом показателей по отношению к аналогичному периоду минувшего года. При этом определяющим фактором положительной динамики торгового баланса стала низкая база I полугодия 2013 года, сложившаяся в результате неритмичной производственной, и как следствие, внешнеэкономической деятельности ряда ведущих предприятий республики.</w:t>
      </w:r>
    </w:p>
    <w:p w:rsidR="004B6A68" w:rsidRPr="00F31959" w:rsidRDefault="004B6A68" w:rsidP="004B6A68">
      <w:pPr>
        <w:widowControl w:val="0"/>
        <w:shd w:val="clear" w:color="auto" w:fill="FFFFFF"/>
        <w:tabs>
          <w:tab w:val="left" w:pos="857"/>
        </w:tabs>
        <w:autoSpaceDE w:val="0"/>
        <w:autoSpaceDN w:val="0"/>
        <w:adjustRightInd w:val="0"/>
        <w:spacing w:after="0" w:line="240" w:lineRule="auto"/>
        <w:ind w:firstLine="709"/>
        <w:jc w:val="both"/>
        <w:rPr>
          <w:rFonts w:ascii="Times New Roman" w:hAnsi="Times New Roman"/>
          <w:sz w:val="24"/>
          <w:szCs w:val="24"/>
        </w:rPr>
      </w:pPr>
    </w:p>
    <w:p w:rsidR="00DE2491" w:rsidRPr="004D746D" w:rsidRDefault="00DE2491" w:rsidP="00CF2D29">
      <w:pPr>
        <w:widowControl w:val="0"/>
        <w:autoSpaceDE w:val="0"/>
        <w:autoSpaceDN w:val="0"/>
        <w:adjustRightInd w:val="0"/>
        <w:spacing w:after="0" w:line="240" w:lineRule="auto"/>
        <w:ind w:firstLine="720"/>
        <w:jc w:val="both"/>
        <w:rPr>
          <w:rFonts w:ascii="Times New Roman" w:hAnsi="Times New Roman"/>
          <w:b/>
          <w:sz w:val="24"/>
          <w:szCs w:val="24"/>
        </w:rPr>
      </w:pPr>
      <w:r w:rsidRPr="004D746D">
        <w:rPr>
          <w:rFonts w:ascii="Times New Roman" w:hAnsi="Times New Roman"/>
          <w:b/>
          <w:sz w:val="24"/>
          <w:szCs w:val="24"/>
        </w:rPr>
        <w:t>Состояние реального сектора экономики</w:t>
      </w:r>
    </w:p>
    <w:p w:rsidR="00DE2491" w:rsidRPr="004D746D" w:rsidRDefault="00DE2491" w:rsidP="00CF2D29">
      <w:pPr>
        <w:widowControl w:val="0"/>
        <w:autoSpaceDE w:val="0"/>
        <w:autoSpaceDN w:val="0"/>
        <w:adjustRightInd w:val="0"/>
        <w:spacing w:after="0" w:line="240" w:lineRule="auto"/>
        <w:ind w:firstLine="720"/>
        <w:jc w:val="both"/>
        <w:rPr>
          <w:rFonts w:ascii="Times New Roman" w:hAnsi="Times New Roman"/>
          <w:b/>
          <w:sz w:val="24"/>
          <w:szCs w:val="24"/>
          <w:highlight w:val="darkGray"/>
        </w:rPr>
      </w:pPr>
    </w:p>
    <w:p w:rsidR="00D41BA6" w:rsidRPr="00B653AD" w:rsidRDefault="00D41BA6" w:rsidP="00D41BA6">
      <w:pPr>
        <w:widowControl w:val="0"/>
        <w:autoSpaceDE w:val="0"/>
        <w:autoSpaceDN w:val="0"/>
        <w:adjustRightInd w:val="0"/>
        <w:spacing w:after="0" w:line="240" w:lineRule="auto"/>
        <w:ind w:firstLine="720"/>
        <w:jc w:val="both"/>
        <w:rPr>
          <w:rFonts w:ascii="Times New Roman" w:hAnsi="Times New Roman"/>
          <w:b/>
          <w:sz w:val="24"/>
          <w:szCs w:val="24"/>
        </w:rPr>
      </w:pPr>
      <w:r w:rsidRPr="00827768">
        <w:rPr>
          <w:rFonts w:ascii="Times New Roman" w:hAnsi="Times New Roman"/>
          <w:b/>
          <w:sz w:val="24"/>
          <w:szCs w:val="24"/>
        </w:rPr>
        <w:t>Промышленность</w:t>
      </w:r>
    </w:p>
    <w:p w:rsidR="00D41BA6" w:rsidRPr="00B653AD" w:rsidRDefault="00D41BA6" w:rsidP="00D41BA6">
      <w:pPr>
        <w:autoSpaceDE w:val="0"/>
        <w:autoSpaceDN w:val="0"/>
        <w:adjustRightInd w:val="0"/>
        <w:spacing w:after="0" w:line="240" w:lineRule="auto"/>
        <w:ind w:firstLine="709"/>
        <w:jc w:val="both"/>
        <w:rPr>
          <w:rFonts w:ascii="Times New Roman" w:hAnsi="Times New Roman"/>
          <w:sz w:val="24"/>
          <w:szCs w:val="24"/>
          <w:highlight w:val="yellow"/>
        </w:rPr>
      </w:pPr>
      <w:bookmarkStart w:id="0" w:name="_Toc185403094"/>
      <w:bookmarkEnd w:id="0"/>
    </w:p>
    <w:p w:rsidR="00D41BA6" w:rsidRPr="00B653AD" w:rsidRDefault="00D41BA6" w:rsidP="00D41BA6">
      <w:pPr>
        <w:autoSpaceDE w:val="0"/>
        <w:autoSpaceDN w:val="0"/>
        <w:adjustRightInd w:val="0"/>
        <w:spacing w:after="0" w:line="240" w:lineRule="auto"/>
        <w:ind w:firstLine="709"/>
        <w:jc w:val="both"/>
        <w:rPr>
          <w:rFonts w:ascii="Times New Roman" w:hAnsi="Times New Roman"/>
          <w:sz w:val="24"/>
          <w:szCs w:val="24"/>
        </w:rPr>
      </w:pPr>
      <w:r w:rsidRPr="00B653AD">
        <w:rPr>
          <w:rFonts w:ascii="Times New Roman" w:hAnsi="Times New Roman"/>
          <w:sz w:val="24"/>
          <w:szCs w:val="24"/>
        </w:rPr>
        <w:t>Ритмичная работа ведущих предприятий индустрии, простаивающих или существенно снизивших объемы производства в I полугодии 2013 года, стала решающим фактором</w:t>
      </w:r>
      <w:r w:rsidR="00381ABA">
        <w:rPr>
          <w:rFonts w:ascii="Times New Roman" w:hAnsi="Times New Roman"/>
          <w:sz w:val="24"/>
          <w:szCs w:val="24"/>
        </w:rPr>
        <w:t>,</w:t>
      </w:r>
      <w:r w:rsidRPr="00B653AD">
        <w:rPr>
          <w:rFonts w:ascii="Times New Roman" w:hAnsi="Times New Roman"/>
          <w:sz w:val="24"/>
          <w:szCs w:val="24"/>
        </w:rPr>
        <w:t xml:space="preserve"> </w:t>
      </w:r>
      <w:r>
        <w:rPr>
          <w:rFonts w:ascii="Times New Roman" w:hAnsi="Times New Roman"/>
          <w:sz w:val="24"/>
          <w:szCs w:val="24"/>
        </w:rPr>
        <w:t>определившим</w:t>
      </w:r>
      <w:r w:rsidRPr="00B653AD">
        <w:rPr>
          <w:rFonts w:ascii="Times New Roman" w:hAnsi="Times New Roman"/>
          <w:sz w:val="24"/>
          <w:szCs w:val="24"/>
        </w:rPr>
        <w:t xml:space="preserve"> положительную динамику развития промышленности в</w:t>
      </w:r>
      <w:r>
        <w:rPr>
          <w:rFonts w:ascii="Times New Roman" w:hAnsi="Times New Roman"/>
          <w:sz w:val="24"/>
          <w:szCs w:val="24"/>
        </w:rPr>
        <w:t xml:space="preserve">                        </w:t>
      </w:r>
      <w:r w:rsidRPr="00B653AD">
        <w:rPr>
          <w:rFonts w:ascii="Times New Roman" w:hAnsi="Times New Roman"/>
          <w:sz w:val="24"/>
          <w:szCs w:val="24"/>
          <w:lang w:val="en-US"/>
        </w:rPr>
        <w:t>I</w:t>
      </w:r>
      <w:r w:rsidRPr="00B653AD">
        <w:rPr>
          <w:rFonts w:ascii="Times New Roman" w:hAnsi="Times New Roman"/>
          <w:sz w:val="24"/>
          <w:szCs w:val="24"/>
        </w:rPr>
        <w:t xml:space="preserve"> полугодии 2014 год</w:t>
      </w:r>
      <w:r>
        <w:rPr>
          <w:rFonts w:ascii="Times New Roman" w:hAnsi="Times New Roman"/>
          <w:sz w:val="24"/>
          <w:szCs w:val="24"/>
        </w:rPr>
        <w:t>а</w:t>
      </w:r>
      <w:r w:rsidRPr="00B653AD">
        <w:rPr>
          <w:rFonts w:ascii="Times New Roman" w:hAnsi="Times New Roman"/>
          <w:sz w:val="24"/>
          <w:szCs w:val="24"/>
        </w:rPr>
        <w:t>.</w:t>
      </w:r>
    </w:p>
    <w:p w:rsidR="00D41BA6" w:rsidRPr="00B653AD" w:rsidRDefault="00D41BA6" w:rsidP="00D41BA6">
      <w:pPr>
        <w:autoSpaceDE w:val="0"/>
        <w:autoSpaceDN w:val="0"/>
        <w:adjustRightInd w:val="0"/>
        <w:spacing w:after="0" w:line="240" w:lineRule="auto"/>
        <w:ind w:firstLine="709"/>
        <w:jc w:val="both"/>
        <w:rPr>
          <w:rFonts w:ascii="Times New Roman" w:hAnsi="Times New Roman"/>
          <w:snapToGrid w:val="0"/>
          <w:sz w:val="24"/>
          <w:szCs w:val="24"/>
        </w:rPr>
      </w:pPr>
      <w:r w:rsidRPr="00B653AD">
        <w:rPr>
          <w:rFonts w:ascii="Times New Roman" w:hAnsi="Times New Roman"/>
          <w:snapToGrid w:val="0"/>
          <w:sz w:val="24"/>
          <w:szCs w:val="24"/>
        </w:rPr>
        <w:t xml:space="preserve">В целом промышленными предприятиями с учетом оценки объемов производства предприятий малого предпринимательства, а также объемов продукции подсобных промышленных производств при непромышленных предприятиях, в январе-июне </w:t>
      </w:r>
      <w:r>
        <w:rPr>
          <w:rFonts w:ascii="Times New Roman" w:hAnsi="Times New Roman"/>
          <w:snapToGrid w:val="0"/>
          <w:sz w:val="24"/>
          <w:szCs w:val="24"/>
        </w:rPr>
        <w:t xml:space="preserve">           </w:t>
      </w:r>
      <w:r w:rsidRPr="00B653AD">
        <w:rPr>
          <w:rFonts w:ascii="Times New Roman" w:hAnsi="Times New Roman"/>
          <w:snapToGrid w:val="0"/>
          <w:sz w:val="24"/>
          <w:szCs w:val="24"/>
        </w:rPr>
        <w:t xml:space="preserve">2014 года произведено продукции на 5 218,7 млн. руб., что составляет 145,6% от уровня </w:t>
      </w:r>
      <w:r>
        <w:rPr>
          <w:rFonts w:ascii="Times New Roman" w:hAnsi="Times New Roman"/>
          <w:snapToGrid w:val="0"/>
          <w:sz w:val="24"/>
          <w:szCs w:val="24"/>
        </w:rPr>
        <w:t xml:space="preserve">              </w:t>
      </w:r>
      <w:r w:rsidRPr="00B653AD">
        <w:rPr>
          <w:rFonts w:ascii="Times New Roman" w:hAnsi="Times New Roman"/>
          <w:snapToGrid w:val="0"/>
          <w:sz w:val="24"/>
          <w:szCs w:val="24"/>
          <w:lang w:val="en-US"/>
        </w:rPr>
        <w:t>I</w:t>
      </w:r>
      <w:r w:rsidRPr="00B653AD">
        <w:rPr>
          <w:rFonts w:ascii="Times New Roman" w:hAnsi="Times New Roman"/>
          <w:snapToGrid w:val="0"/>
          <w:sz w:val="24"/>
          <w:szCs w:val="24"/>
        </w:rPr>
        <w:t xml:space="preserve"> полугодия 2013 года.</w:t>
      </w:r>
    </w:p>
    <w:p w:rsidR="00D41BA6" w:rsidRPr="00B653AD" w:rsidRDefault="00D41BA6" w:rsidP="00D41BA6">
      <w:pPr>
        <w:autoSpaceDE w:val="0"/>
        <w:autoSpaceDN w:val="0"/>
        <w:adjustRightInd w:val="0"/>
        <w:spacing w:after="0" w:line="240" w:lineRule="auto"/>
        <w:ind w:firstLine="709"/>
        <w:jc w:val="both"/>
        <w:rPr>
          <w:rFonts w:ascii="Times New Roman" w:hAnsi="Times New Roman"/>
          <w:snapToGrid w:val="0"/>
          <w:sz w:val="24"/>
          <w:szCs w:val="24"/>
        </w:rPr>
      </w:pPr>
      <w:r w:rsidRPr="00B653AD">
        <w:rPr>
          <w:rFonts w:ascii="Times New Roman" w:hAnsi="Times New Roman"/>
          <w:snapToGrid w:val="0"/>
          <w:sz w:val="24"/>
          <w:szCs w:val="24"/>
        </w:rPr>
        <w:t>Индекс физического объема важнейших видов промышленной продукции в рассматриваемом периоде, в результате значительного увеличения производства проката черных металлов (в 677 раз), цемента (в 2,1 раза) и увеличения выработки электроэнергии на 31,9%, составил 147,3% к уровню 2013 года.</w:t>
      </w:r>
    </w:p>
    <w:p w:rsidR="00D41BA6" w:rsidRPr="00B653AD" w:rsidRDefault="00D41BA6" w:rsidP="00D41BA6">
      <w:pPr>
        <w:spacing w:after="0" w:line="240" w:lineRule="auto"/>
        <w:ind w:firstLine="709"/>
        <w:jc w:val="both"/>
        <w:rPr>
          <w:rFonts w:ascii="Times New Roman" w:hAnsi="Times New Roman"/>
          <w:snapToGrid w:val="0"/>
          <w:sz w:val="24"/>
          <w:szCs w:val="24"/>
        </w:rPr>
      </w:pPr>
      <w:r w:rsidRPr="00B653AD">
        <w:rPr>
          <w:rFonts w:ascii="Times New Roman" w:hAnsi="Times New Roman"/>
          <w:sz w:val="24"/>
          <w:szCs w:val="24"/>
        </w:rPr>
        <w:t xml:space="preserve">За первое полугодие 2014 года промышленными предприятиями республики (без учета субъектов малого предпринимательства) произведено продукции на сумму </w:t>
      </w:r>
      <w:r>
        <w:rPr>
          <w:rFonts w:ascii="Times New Roman" w:hAnsi="Times New Roman"/>
          <w:sz w:val="24"/>
          <w:szCs w:val="24"/>
        </w:rPr>
        <w:t xml:space="preserve">             </w:t>
      </w:r>
      <w:r w:rsidRPr="00B653AD">
        <w:rPr>
          <w:rFonts w:ascii="Times New Roman" w:hAnsi="Times New Roman"/>
          <w:sz w:val="24"/>
          <w:szCs w:val="24"/>
        </w:rPr>
        <w:t>4 945,2 млн. руб., что составило в текущих ценах 146,9% к уровню данного показателя в 2013 году.</w:t>
      </w:r>
    </w:p>
    <w:p w:rsidR="00D41BA6" w:rsidRPr="00B653AD" w:rsidRDefault="00D41BA6" w:rsidP="00D41BA6">
      <w:pPr>
        <w:spacing w:after="0" w:line="240" w:lineRule="auto"/>
        <w:ind w:firstLine="720"/>
        <w:jc w:val="both"/>
        <w:rPr>
          <w:rFonts w:ascii="Times New Roman" w:hAnsi="Times New Roman"/>
          <w:sz w:val="24"/>
          <w:szCs w:val="24"/>
        </w:rPr>
      </w:pPr>
      <w:r w:rsidRPr="00B653AD">
        <w:rPr>
          <w:rFonts w:ascii="Times New Roman" w:hAnsi="Times New Roman"/>
          <w:sz w:val="24"/>
          <w:szCs w:val="24"/>
        </w:rPr>
        <w:t xml:space="preserve">Доход от реализации промышленной продукции за рассматриваемый период сложился в сумме 4 910,0 млн. руб., увеличившись на 46,8% к базисному показателю </w:t>
      </w:r>
      <w:r>
        <w:rPr>
          <w:rFonts w:ascii="Times New Roman" w:hAnsi="Times New Roman"/>
          <w:sz w:val="24"/>
          <w:szCs w:val="24"/>
        </w:rPr>
        <w:t xml:space="preserve"> </w:t>
      </w:r>
      <w:r w:rsidRPr="00B653AD">
        <w:rPr>
          <w:rFonts w:ascii="Times New Roman" w:hAnsi="Times New Roman"/>
          <w:sz w:val="24"/>
          <w:szCs w:val="24"/>
        </w:rPr>
        <w:t xml:space="preserve">2013 года. При этом объем отгруженной продукции в I полугодии 2014 года составил 4 953,8 млн. руб., что на 46,2% выше соответствующего уровня 2013 года. В целом платежная дисциплина контрагентов в </w:t>
      </w:r>
      <w:r w:rsidRPr="00B653AD">
        <w:rPr>
          <w:rFonts w:ascii="Times New Roman" w:hAnsi="Times New Roman"/>
          <w:sz w:val="24"/>
          <w:szCs w:val="24"/>
          <w:lang w:val="en-US"/>
        </w:rPr>
        <w:t>I</w:t>
      </w:r>
      <w:r w:rsidRPr="00B653AD">
        <w:rPr>
          <w:rFonts w:ascii="Times New Roman" w:hAnsi="Times New Roman"/>
          <w:sz w:val="24"/>
          <w:szCs w:val="24"/>
        </w:rPr>
        <w:t xml:space="preserve"> полугодии 2014 года была на достаточно высоком </w:t>
      </w:r>
      <w:r w:rsidRPr="00B653AD">
        <w:rPr>
          <w:rFonts w:ascii="Times New Roman" w:hAnsi="Times New Roman"/>
          <w:sz w:val="24"/>
          <w:szCs w:val="24"/>
        </w:rPr>
        <w:lastRenderedPageBreak/>
        <w:t>уровне, так доход от реализации составил 99,2% от объема отгруженной продукции, при этом в аналогичном периоде 2013 года данное соотношение сложилось в размере 98,7%.</w:t>
      </w:r>
    </w:p>
    <w:p w:rsidR="00D41BA6" w:rsidRPr="0081153C" w:rsidRDefault="00D41BA6" w:rsidP="00D41BA6">
      <w:pPr>
        <w:spacing w:after="0" w:line="240" w:lineRule="auto"/>
        <w:ind w:firstLine="709"/>
        <w:jc w:val="both"/>
        <w:rPr>
          <w:rFonts w:ascii="Times New Roman" w:hAnsi="Times New Roman"/>
          <w:color w:val="000000"/>
          <w:sz w:val="28"/>
          <w:szCs w:val="28"/>
        </w:rPr>
      </w:pPr>
      <w:r w:rsidRPr="00B653AD">
        <w:rPr>
          <w:rFonts w:ascii="Times New Roman" w:hAnsi="Times New Roman"/>
          <w:color w:val="000000"/>
          <w:sz w:val="24"/>
          <w:szCs w:val="24"/>
        </w:rPr>
        <w:t>В целом к концу I полугодия 2014 года по республике отмечено наращивание остатков готовой продукции на складе по сравнению с началом года на 10,2%, с</w:t>
      </w:r>
      <w:r w:rsidRPr="00B653AD">
        <w:rPr>
          <w:rFonts w:ascii="Times New Roman" w:hAnsi="Times New Roman"/>
          <w:sz w:val="24"/>
          <w:szCs w:val="24"/>
        </w:rPr>
        <w:t>тоимостное значение</w:t>
      </w:r>
      <w:r w:rsidRPr="00B653AD">
        <w:rPr>
          <w:rFonts w:ascii="Times New Roman" w:hAnsi="Times New Roman"/>
          <w:color w:val="000000"/>
          <w:sz w:val="24"/>
          <w:szCs w:val="24"/>
        </w:rPr>
        <w:t xml:space="preserve"> которых</w:t>
      </w:r>
      <w:r w:rsidRPr="00B653AD">
        <w:rPr>
          <w:rFonts w:ascii="Times New Roman" w:hAnsi="Times New Roman"/>
          <w:sz w:val="24"/>
          <w:szCs w:val="24"/>
        </w:rPr>
        <w:t xml:space="preserve"> по состоянию</w:t>
      </w:r>
      <w:r w:rsidRPr="0081153C">
        <w:rPr>
          <w:rFonts w:ascii="Times New Roman" w:hAnsi="Times New Roman"/>
          <w:sz w:val="28"/>
          <w:szCs w:val="28"/>
        </w:rPr>
        <w:t xml:space="preserve"> </w:t>
      </w:r>
      <w:r w:rsidRPr="00B653AD">
        <w:rPr>
          <w:rFonts w:ascii="Times New Roman" w:hAnsi="Times New Roman"/>
          <w:color w:val="000000"/>
          <w:sz w:val="24"/>
          <w:szCs w:val="24"/>
        </w:rPr>
        <w:t>на 1 июля 2014 года составило</w:t>
      </w:r>
      <w:r w:rsidRPr="00B653AD">
        <w:rPr>
          <w:rFonts w:ascii="Times New Roman" w:hAnsi="Times New Roman"/>
          <w:sz w:val="24"/>
          <w:szCs w:val="24"/>
        </w:rPr>
        <w:t xml:space="preserve"> </w:t>
      </w:r>
      <w:r>
        <w:rPr>
          <w:rFonts w:ascii="Times New Roman" w:hAnsi="Times New Roman"/>
          <w:sz w:val="24"/>
          <w:szCs w:val="24"/>
        </w:rPr>
        <w:t xml:space="preserve">                </w:t>
      </w:r>
      <w:r w:rsidRPr="00B653AD">
        <w:rPr>
          <w:rFonts w:ascii="Times New Roman" w:hAnsi="Times New Roman"/>
          <w:sz w:val="24"/>
          <w:szCs w:val="24"/>
        </w:rPr>
        <w:t xml:space="preserve">375,9 </w:t>
      </w:r>
      <w:r w:rsidRPr="00B653AD">
        <w:rPr>
          <w:rFonts w:ascii="Times New Roman" w:hAnsi="Times New Roman"/>
          <w:color w:val="000000"/>
          <w:sz w:val="24"/>
          <w:szCs w:val="24"/>
        </w:rPr>
        <w:t>млн. руб. Данное обстоятельство свидетельствует об увеличении цикла оборачиваемости готовой продукции, что в свою очередь отрицательно сказывается на платежеспособности организации.</w:t>
      </w:r>
    </w:p>
    <w:p w:rsidR="00D41BA6" w:rsidRPr="00B653AD" w:rsidRDefault="00D41BA6" w:rsidP="00D41BA6">
      <w:pPr>
        <w:spacing w:after="0" w:line="240" w:lineRule="auto"/>
        <w:ind w:firstLine="709"/>
        <w:jc w:val="both"/>
        <w:rPr>
          <w:rFonts w:ascii="Times New Roman" w:hAnsi="Times New Roman"/>
          <w:sz w:val="24"/>
          <w:szCs w:val="24"/>
        </w:rPr>
      </w:pPr>
      <w:r w:rsidRPr="00B653AD">
        <w:rPr>
          <w:rFonts w:ascii="Times New Roman" w:hAnsi="Times New Roman"/>
          <w:sz w:val="24"/>
          <w:szCs w:val="24"/>
        </w:rPr>
        <w:t xml:space="preserve">В </w:t>
      </w:r>
      <w:r w:rsidRPr="00B653AD">
        <w:rPr>
          <w:rFonts w:ascii="Times New Roman" w:hAnsi="Times New Roman"/>
          <w:color w:val="000000"/>
          <w:sz w:val="24"/>
          <w:szCs w:val="24"/>
        </w:rPr>
        <w:t xml:space="preserve">январе - июне 2014 года </w:t>
      </w:r>
      <w:r w:rsidRPr="00B653AD">
        <w:rPr>
          <w:rFonts w:ascii="Times New Roman" w:hAnsi="Times New Roman"/>
          <w:sz w:val="24"/>
          <w:szCs w:val="24"/>
        </w:rPr>
        <w:t xml:space="preserve">увеличили выпуск промышленной продукции </w:t>
      </w:r>
      <w:r>
        <w:rPr>
          <w:rFonts w:ascii="Times New Roman" w:hAnsi="Times New Roman"/>
          <w:sz w:val="24"/>
          <w:szCs w:val="24"/>
        </w:rPr>
        <w:t xml:space="preserve">                </w:t>
      </w:r>
      <w:r w:rsidRPr="00B653AD">
        <w:rPr>
          <w:rFonts w:ascii="Times New Roman" w:hAnsi="Times New Roman"/>
          <w:sz w:val="24"/>
          <w:szCs w:val="24"/>
        </w:rPr>
        <w:t>47</w:t>
      </w:r>
      <w:r w:rsidRPr="00B653AD">
        <w:rPr>
          <w:rFonts w:ascii="Times New Roman" w:hAnsi="Times New Roman"/>
          <w:color w:val="0000FF"/>
          <w:sz w:val="24"/>
          <w:szCs w:val="24"/>
        </w:rPr>
        <w:t xml:space="preserve"> </w:t>
      </w:r>
      <w:r w:rsidRPr="00B653AD">
        <w:rPr>
          <w:rFonts w:ascii="Times New Roman" w:hAnsi="Times New Roman"/>
          <w:sz w:val="24"/>
          <w:szCs w:val="24"/>
        </w:rPr>
        <w:t xml:space="preserve">предприятий или 45,6% от их общего числа (в </w:t>
      </w:r>
      <w:r w:rsidRPr="00B653AD">
        <w:rPr>
          <w:rFonts w:ascii="Times New Roman" w:hAnsi="Times New Roman"/>
          <w:color w:val="000000"/>
          <w:sz w:val="24"/>
          <w:szCs w:val="24"/>
        </w:rPr>
        <w:t xml:space="preserve">I полугодии 2013 года </w:t>
      </w:r>
      <w:r w:rsidRPr="00B653AD">
        <w:rPr>
          <w:rFonts w:ascii="Times New Roman" w:hAnsi="Times New Roman"/>
          <w:sz w:val="24"/>
          <w:szCs w:val="24"/>
        </w:rPr>
        <w:t xml:space="preserve">- 47 предприятий), спад допущен на 45 предприятии, что составляет 43,7% соответственно (в </w:t>
      </w:r>
      <w:r w:rsidRPr="00B653AD">
        <w:rPr>
          <w:rFonts w:ascii="Times New Roman" w:hAnsi="Times New Roman"/>
          <w:color w:val="000000"/>
          <w:sz w:val="24"/>
          <w:szCs w:val="24"/>
        </w:rPr>
        <w:t xml:space="preserve">I полугодии 2013 года </w:t>
      </w:r>
      <w:r w:rsidRPr="00B653AD">
        <w:rPr>
          <w:rFonts w:ascii="Times New Roman" w:hAnsi="Times New Roman"/>
          <w:sz w:val="24"/>
          <w:szCs w:val="24"/>
        </w:rPr>
        <w:t>- 43 предприятия).</w:t>
      </w:r>
    </w:p>
    <w:p w:rsidR="00D41BA6" w:rsidRPr="00B653AD" w:rsidRDefault="00D41BA6" w:rsidP="00D41BA6">
      <w:pPr>
        <w:spacing w:after="0" w:line="240" w:lineRule="auto"/>
        <w:ind w:firstLine="709"/>
        <w:jc w:val="both"/>
        <w:rPr>
          <w:rFonts w:ascii="Times New Roman" w:hAnsi="Times New Roman"/>
          <w:sz w:val="24"/>
          <w:szCs w:val="24"/>
        </w:rPr>
      </w:pPr>
      <w:r w:rsidRPr="00B653AD">
        <w:rPr>
          <w:rFonts w:ascii="Times New Roman" w:hAnsi="Times New Roman"/>
          <w:sz w:val="24"/>
          <w:szCs w:val="24"/>
        </w:rPr>
        <w:t xml:space="preserve">К выпуску промышленной продукции с начала года не приступило </w:t>
      </w:r>
      <w:r>
        <w:rPr>
          <w:rFonts w:ascii="Times New Roman" w:hAnsi="Times New Roman"/>
          <w:sz w:val="24"/>
          <w:szCs w:val="24"/>
        </w:rPr>
        <w:t xml:space="preserve">                                  </w:t>
      </w:r>
      <w:r w:rsidRPr="00B653AD">
        <w:rPr>
          <w:rFonts w:ascii="Times New Roman" w:hAnsi="Times New Roman"/>
          <w:sz w:val="24"/>
          <w:szCs w:val="24"/>
        </w:rPr>
        <w:t>10</w:t>
      </w:r>
      <w:r w:rsidRPr="00B653AD">
        <w:rPr>
          <w:rFonts w:ascii="Times New Roman" w:hAnsi="Times New Roman"/>
          <w:color w:val="0000FF"/>
          <w:sz w:val="24"/>
          <w:szCs w:val="24"/>
        </w:rPr>
        <w:t xml:space="preserve"> </w:t>
      </w:r>
      <w:r w:rsidRPr="00B653AD">
        <w:rPr>
          <w:rFonts w:ascii="Times New Roman" w:hAnsi="Times New Roman"/>
          <w:sz w:val="24"/>
          <w:szCs w:val="24"/>
        </w:rPr>
        <w:t xml:space="preserve">промышленных предприятий (в </w:t>
      </w:r>
      <w:r w:rsidRPr="00B653AD">
        <w:rPr>
          <w:rFonts w:ascii="Times New Roman" w:hAnsi="Times New Roman"/>
          <w:color w:val="000000"/>
          <w:sz w:val="24"/>
          <w:szCs w:val="24"/>
        </w:rPr>
        <w:t xml:space="preserve">I полугодии 2013 года </w:t>
      </w:r>
      <w:r w:rsidRPr="00B653AD">
        <w:rPr>
          <w:rFonts w:ascii="Times New Roman" w:hAnsi="Times New Roman"/>
          <w:sz w:val="24"/>
          <w:szCs w:val="24"/>
        </w:rPr>
        <w:t>- 11 предприятий):</w:t>
      </w:r>
    </w:p>
    <w:p w:rsidR="00D41BA6" w:rsidRPr="00B653AD" w:rsidRDefault="00D41BA6" w:rsidP="00D41BA6">
      <w:pPr>
        <w:tabs>
          <w:tab w:val="left" w:pos="1080"/>
        </w:tabs>
        <w:spacing w:after="0" w:line="240" w:lineRule="auto"/>
        <w:ind w:firstLine="709"/>
        <w:jc w:val="both"/>
        <w:rPr>
          <w:rFonts w:ascii="Times New Roman" w:hAnsi="Times New Roman"/>
          <w:sz w:val="24"/>
          <w:szCs w:val="24"/>
        </w:rPr>
      </w:pPr>
      <w:r w:rsidRPr="00B653AD">
        <w:rPr>
          <w:rFonts w:ascii="Times New Roman" w:hAnsi="Times New Roman"/>
          <w:sz w:val="24"/>
          <w:szCs w:val="24"/>
        </w:rPr>
        <w:t>–</w:t>
      </w:r>
      <w:r w:rsidRPr="00B653AD">
        <w:rPr>
          <w:rFonts w:ascii="Times New Roman" w:hAnsi="Times New Roman"/>
          <w:sz w:val="24"/>
          <w:szCs w:val="24"/>
        </w:rPr>
        <w:tab/>
        <w:t>МУП «Автосервис и торговля» г.Дубоссары - находится в стадии ликвидации;</w:t>
      </w:r>
    </w:p>
    <w:p w:rsidR="00D41BA6" w:rsidRPr="00B653AD" w:rsidRDefault="00D41BA6" w:rsidP="00D41BA6">
      <w:pPr>
        <w:tabs>
          <w:tab w:val="left" w:pos="1080"/>
        </w:tabs>
        <w:spacing w:after="0" w:line="240" w:lineRule="auto"/>
        <w:ind w:firstLine="709"/>
        <w:jc w:val="both"/>
        <w:rPr>
          <w:rFonts w:ascii="Times New Roman" w:hAnsi="Times New Roman"/>
          <w:sz w:val="24"/>
          <w:szCs w:val="24"/>
        </w:rPr>
      </w:pPr>
      <w:r w:rsidRPr="00B653AD">
        <w:rPr>
          <w:rFonts w:ascii="Times New Roman" w:hAnsi="Times New Roman"/>
          <w:sz w:val="24"/>
          <w:szCs w:val="24"/>
        </w:rPr>
        <w:t>–</w:t>
      </w:r>
      <w:r w:rsidRPr="00B653AD">
        <w:rPr>
          <w:rFonts w:ascii="Times New Roman" w:hAnsi="Times New Roman"/>
          <w:sz w:val="24"/>
          <w:szCs w:val="24"/>
        </w:rPr>
        <w:tab/>
        <w:t>ГУП «Дубоссарское хлебоприемное предприятие» - не работает по причине отсутствия сырья;</w:t>
      </w:r>
    </w:p>
    <w:p w:rsidR="00D41BA6" w:rsidRPr="00B653AD" w:rsidRDefault="00D41BA6" w:rsidP="00D41BA6">
      <w:pPr>
        <w:tabs>
          <w:tab w:val="left" w:pos="1080"/>
        </w:tabs>
        <w:spacing w:after="0" w:line="240" w:lineRule="auto"/>
        <w:ind w:firstLine="709"/>
        <w:jc w:val="both"/>
        <w:rPr>
          <w:rFonts w:ascii="Times New Roman" w:hAnsi="Times New Roman"/>
          <w:sz w:val="24"/>
          <w:szCs w:val="24"/>
        </w:rPr>
      </w:pPr>
      <w:r w:rsidRPr="00B653AD">
        <w:rPr>
          <w:rFonts w:ascii="Times New Roman" w:hAnsi="Times New Roman"/>
          <w:sz w:val="24"/>
          <w:szCs w:val="24"/>
        </w:rPr>
        <w:t>–</w:t>
      </w:r>
      <w:r w:rsidRPr="00B653AD">
        <w:rPr>
          <w:rFonts w:ascii="Times New Roman" w:hAnsi="Times New Roman"/>
          <w:sz w:val="24"/>
          <w:szCs w:val="24"/>
        </w:rPr>
        <w:tab/>
        <w:t xml:space="preserve">ДП «Н-Андрияшевский кирпичный завод» - </w:t>
      </w:r>
      <w:r w:rsidRPr="00B653AD">
        <w:rPr>
          <w:rFonts w:ascii="Times New Roman" w:hAnsi="Times New Roman"/>
          <w:bCs/>
          <w:sz w:val="24"/>
          <w:szCs w:val="24"/>
        </w:rPr>
        <w:t xml:space="preserve">отсутствует необходимое оборудование </w:t>
      </w:r>
      <w:r w:rsidRPr="00B653AD">
        <w:rPr>
          <w:rFonts w:ascii="Times New Roman" w:hAnsi="Times New Roman"/>
          <w:sz w:val="24"/>
          <w:szCs w:val="24"/>
        </w:rPr>
        <w:t xml:space="preserve">(предприятие не работает с 2005 года); </w:t>
      </w:r>
    </w:p>
    <w:p w:rsidR="00D41BA6" w:rsidRPr="00B653AD" w:rsidRDefault="00D41BA6" w:rsidP="00D41BA6">
      <w:pPr>
        <w:tabs>
          <w:tab w:val="left" w:pos="1080"/>
        </w:tabs>
        <w:spacing w:after="0" w:line="240" w:lineRule="auto"/>
        <w:ind w:firstLine="709"/>
        <w:jc w:val="both"/>
        <w:rPr>
          <w:rFonts w:ascii="Times New Roman" w:hAnsi="Times New Roman"/>
          <w:sz w:val="24"/>
          <w:szCs w:val="24"/>
        </w:rPr>
      </w:pPr>
      <w:r w:rsidRPr="00B653AD">
        <w:rPr>
          <w:rFonts w:ascii="Times New Roman" w:hAnsi="Times New Roman"/>
          <w:sz w:val="24"/>
          <w:szCs w:val="24"/>
        </w:rPr>
        <w:t>–</w:t>
      </w:r>
      <w:r w:rsidRPr="00B653AD">
        <w:rPr>
          <w:rFonts w:ascii="Times New Roman" w:hAnsi="Times New Roman"/>
          <w:sz w:val="24"/>
          <w:szCs w:val="24"/>
        </w:rPr>
        <w:tab/>
        <w:t>МУП «Ветбиофарм» - в процессе ликвидации;</w:t>
      </w:r>
    </w:p>
    <w:p w:rsidR="00D41BA6" w:rsidRPr="00B653AD" w:rsidRDefault="00D41BA6" w:rsidP="00D41BA6">
      <w:pPr>
        <w:tabs>
          <w:tab w:val="left" w:pos="1080"/>
        </w:tabs>
        <w:spacing w:after="0" w:line="240" w:lineRule="auto"/>
        <w:ind w:firstLine="709"/>
        <w:jc w:val="both"/>
        <w:rPr>
          <w:rFonts w:ascii="Times New Roman" w:hAnsi="Times New Roman"/>
          <w:sz w:val="24"/>
          <w:szCs w:val="24"/>
        </w:rPr>
      </w:pPr>
      <w:r w:rsidRPr="00B653AD">
        <w:rPr>
          <w:rFonts w:ascii="Times New Roman" w:hAnsi="Times New Roman"/>
          <w:sz w:val="24"/>
          <w:szCs w:val="24"/>
        </w:rPr>
        <w:t>–</w:t>
      </w:r>
      <w:r w:rsidRPr="00B653AD">
        <w:rPr>
          <w:rFonts w:ascii="Times New Roman" w:hAnsi="Times New Roman"/>
          <w:sz w:val="24"/>
          <w:szCs w:val="24"/>
        </w:rPr>
        <w:tab/>
        <w:t>МУП «Григориопольское ХПП», МУП «Григориопльский промкомбинат» - собственником не выполнялись в полной мере все условия Договора купли-продажи в связи с чем, дело по данному вопросу Государственной администрацией района было передано в Арбитражный суд;</w:t>
      </w:r>
    </w:p>
    <w:p w:rsidR="00D41BA6" w:rsidRPr="00B653AD" w:rsidRDefault="00D41BA6" w:rsidP="00D41BA6">
      <w:pPr>
        <w:tabs>
          <w:tab w:val="left" w:pos="1080"/>
        </w:tabs>
        <w:spacing w:after="0" w:line="240" w:lineRule="auto"/>
        <w:ind w:firstLine="709"/>
        <w:jc w:val="both"/>
        <w:rPr>
          <w:rFonts w:ascii="Times New Roman" w:hAnsi="Times New Roman"/>
          <w:sz w:val="24"/>
          <w:szCs w:val="24"/>
        </w:rPr>
      </w:pPr>
      <w:r w:rsidRPr="00B653AD">
        <w:rPr>
          <w:rFonts w:ascii="Times New Roman" w:hAnsi="Times New Roman"/>
          <w:sz w:val="24"/>
          <w:szCs w:val="24"/>
        </w:rPr>
        <w:t>-</w:t>
      </w:r>
      <w:r w:rsidRPr="00B653AD">
        <w:rPr>
          <w:rFonts w:ascii="Times New Roman" w:hAnsi="Times New Roman"/>
          <w:sz w:val="24"/>
          <w:szCs w:val="24"/>
        </w:rPr>
        <w:tab/>
        <w:t>ОАО НПП «Бендерский опытно-экспериментальный завод» - находится в стадии ликвидации;</w:t>
      </w:r>
    </w:p>
    <w:p w:rsidR="00D41BA6" w:rsidRPr="00B653AD" w:rsidRDefault="00D41BA6" w:rsidP="00D41BA6">
      <w:pPr>
        <w:tabs>
          <w:tab w:val="left" w:pos="1080"/>
        </w:tabs>
        <w:spacing w:after="0" w:line="240" w:lineRule="auto"/>
        <w:ind w:firstLine="709"/>
        <w:jc w:val="both"/>
        <w:rPr>
          <w:rFonts w:ascii="Times New Roman" w:hAnsi="Times New Roman"/>
          <w:sz w:val="24"/>
          <w:szCs w:val="24"/>
        </w:rPr>
      </w:pPr>
      <w:r w:rsidRPr="00B653AD">
        <w:rPr>
          <w:rFonts w:ascii="Times New Roman" w:hAnsi="Times New Roman"/>
          <w:sz w:val="24"/>
          <w:szCs w:val="24"/>
        </w:rPr>
        <w:t>-</w:t>
      </w:r>
      <w:r w:rsidRPr="00B653AD">
        <w:rPr>
          <w:rFonts w:ascii="Times New Roman" w:hAnsi="Times New Roman"/>
          <w:sz w:val="24"/>
          <w:szCs w:val="24"/>
        </w:rPr>
        <w:tab/>
        <w:t>ОАО «Бендерский завод «Электроаппаратура» - в связи с отсутствием денежных средств для оплаты коммерческих договоров предприятие временно приостановило свою деятельность;</w:t>
      </w:r>
    </w:p>
    <w:p w:rsidR="00D41BA6" w:rsidRPr="00B653AD" w:rsidRDefault="00D41BA6" w:rsidP="00D41BA6">
      <w:pPr>
        <w:spacing w:after="0" w:line="240" w:lineRule="auto"/>
        <w:ind w:firstLine="709"/>
        <w:jc w:val="both"/>
        <w:rPr>
          <w:rFonts w:ascii="Times New Roman" w:hAnsi="Times New Roman"/>
          <w:sz w:val="24"/>
          <w:szCs w:val="24"/>
        </w:rPr>
      </w:pPr>
      <w:r w:rsidRPr="00B653AD">
        <w:rPr>
          <w:rFonts w:ascii="Times New Roman" w:hAnsi="Times New Roman"/>
          <w:sz w:val="24"/>
          <w:szCs w:val="24"/>
        </w:rPr>
        <w:t>-</w:t>
      </w:r>
      <w:r w:rsidRPr="00B653AD">
        <w:rPr>
          <w:rFonts w:ascii="Times New Roman" w:hAnsi="Times New Roman"/>
          <w:sz w:val="24"/>
          <w:szCs w:val="24"/>
        </w:rPr>
        <w:tab/>
        <w:t>ОАО «Бендерытекс» - предприятие не работает по причине отсутствия сырья, а также оборотных средств. Кроме того, выпускаемая продукция стала неконкурентоспособной, оборудование на предприятии является энергоёмким, что в свою очередь приводит к низкому уровню производительности труда. В дальнейшем планируется переориентировать предприятие на производство стёганых одеял, швейных изделий;</w:t>
      </w:r>
    </w:p>
    <w:p w:rsidR="00D41BA6" w:rsidRPr="00B653AD" w:rsidRDefault="00D41BA6" w:rsidP="00D41BA6">
      <w:pPr>
        <w:tabs>
          <w:tab w:val="left" w:pos="1080"/>
        </w:tabs>
        <w:spacing w:after="0" w:line="240" w:lineRule="auto"/>
        <w:ind w:firstLine="709"/>
        <w:jc w:val="both"/>
        <w:rPr>
          <w:rFonts w:ascii="Times New Roman" w:hAnsi="Times New Roman"/>
          <w:sz w:val="24"/>
          <w:szCs w:val="24"/>
        </w:rPr>
      </w:pPr>
      <w:r w:rsidRPr="00B653AD">
        <w:rPr>
          <w:rFonts w:ascii="Times New Roman" w:hAnsi="Times New Roman"/>
          <w:sz w:val="24"/>
          <w:szCs w:val="24"/>
        </w:rPr>
        <w:t>-</w:t>
      </w:r>
      <w:r w:rsidRPr="00B653AD">
        <w:rPr>
          <w:rFonts w:ascii="Times New Roman" w:hAnsi="Times New Roman"/>
          <w:sz w:val="24"/>
          <w:szCs w:val="24"/>
        </w:rPr>
        <w:tab/>
        <w:t>ООО «Энергоспецсервисобслуживание» не работает по основному виду деятельности, оказывает услуги в сфере ЖКХ.</w:t>
      </w:r>
    </w:p>
    <w:p w:rsidR="00D41BA6" w:rsidRPr="00B653AD" w:rsidRDefault="00D41BA6" w:rsidP="00D41BA6">
      <w:pPr>
        <w:pStyle w:val="aa"/>
        <w:ind w:firstLine="709"/>
        <w:jc w:val="both"/>
        <w:rPr>
          <w:rFonts w:ascii="Times New Roman" w:hAnsi="Times New Roman"/>
          <w:sz w:val="24"/>
          <w:szCs w:val="24"/>
        </w:rPr>
      </w:pPr>
      <w:r w:rsidRPr="00B653AD">
        <w:rPr>
          <w:rFonts w:ascii="Times New Roman" w:hAnsi="Times New Roman"/>
          <w:sz w:val="24"/>
          <w:szCs w:val="24"/>
        </w:rPr>
        <w:t>В январе-июне 2014 года в разрезе отраслей ситуация складывалась следующим образом.</w:t>
      </w:r>
    </w:p>
    <w:p w:rsidR="00D41BA6" w:rsidRPr="00B653AD" w:rsidRDefault="00D41BA6" w:rsidP="00D41BA6">
      <w:pPr>
        <w:pStyle w:val="aa"/>
        <w:ind w:firstLine="709"/>
        <w:jc w:val="both"/>
        <w:rPr>
          <w:rFonts w:ascii="Times New Roman" w:hAnsi="Times New Roman"/>
          <w:sz w:val="24"/>
          <w:szCs w:val="24"/>
        </w:rPr>
      </w:pPr>
      <w:r w:rsidRPr="00B653AD">
        <w:rPr>
          <w:rFonts w:ascii="Times New Roman" w:hAnsi="Times New Roman"/>
          <w:sz w:val="24"/>
          <w:szCs w:val="24"/>
        </w:rPr>
        <w:t xml:space="preserve">В </w:t>
      </w:r>
      <w:r w:rsidRPr="00B653AD">
        <w:rPr>
          <w:rFonts w:ascii="Times New Roman" w:hAnsi="Times New Roman"/>
          <w:b/>
          <w:sz w:val="24"/>
          <w:szCs w:val="24"/>
        </w:rPr>
        <w:t>электроэнергетическом комплексе</w:t>
      </w:r>
      <w:r w:rsidRPr="00B653AD">
        <w:rPr>
          <w:rFonts w:ascii="Times New Roman" w:hAnsi="Times New Roman"/>
          <w:sz w:val="24"/>
          <w:szCs w:val="24"/>
        </w:rPr>
        <w:t xml:space="preserve"> республики по итогам </w:t>
      </w:r>
      <w:r w:rsidRPr="00B653AD">
        <w:rPr>
          <w:rFonts w:ascii="Times New Roman" w:hAnsi="Times New Roman"/>
          <w:sz w:val="24"/>
          <w:szCs w:val="24"/>
          <w:lang w:val="en-US"/>
        </w:rPr>
        <w:t>I</w:t>
      </w:r>
      <w:r w:rsidRPr="00B653AD">
        <w:rPr>
          <w:rFonts w:ascii="Times New Roman" w:hAnsi="Times New Roman"/>
          <w:sz w:val="24"/>
          <w:szCs w:val="24"/>
        </w:rPr>
        <w:t xml:space="preserve"> полугодия </w:t>
      </w:r>
      <w:r>
        <w:rPr>
          <w:rFonts w:ascii="Times New Roman" w:hAnsi="Times New Roman"/>
          <w:sz w:val="24"/>
          <w:szCs w:val="24"/>
        </w:rPr>
        <w:t xml:space="preserve">          </w:t>
      </w:r>
      <w:r w:rsidRPr="00B653AD">
        <w:rPr>
          <w:rFonts w:ascii="Times New Roman" w:hAnsi="Times New Roman"/>
          <w:sz w:val="24"/>
          <w:szCs w:val="24"/>
        </w:rPr>
        <w:t>2014 года в условиях оказания государственной поддержки ведущему предприятию отрасли ЗАО «Молдавская ГРЭС» отмечается увеличени</w:t>
      </w:r>
      <w:r>
        <w:rPr>
          <w:rFonts w:ascii="Times New Roman" w:hAnsi="Times New Roman"/>
          <w:sz w:val="24"/>
          <w:szCs w:val="24"/>
        </w:rPr>
        <w:t>е</w:t>
      </w:r>
      <w:r w:rsidRPr="00B653AD">
        <w:rPr>
          <w:rFonts w:ascii="Times New Roman" w:hAnsi="Times New Roman"/>
          <w:sz w:val="24"/>
          <w:szCs w:val="24"/>
        </w:rPr>
        <w:t xml:space="preserve"> выработки электроэнергии в натуральном выражении в целом по отрасли на 31,9% по сравнению с соответствующим периодом 2013 года, в стоимостном выражении товарный выпуск отрасли вырос на</w:t>
      </w:r>
      <w:r>
        <w:rPr>
          <w:rFonts w:ascii="Times New Roman" w:hAnsi="Times New Roman"/>
          <w:sz w:val="28"/>
          <w:szCs w:val="28"/>
        </w:rPr>
        <w:t xml:space="preserve"> </w:t>
      </w:r>
      <w:r w:rsidRPr="00B653AD">
        <w:rPr>
          <w:rFonts w:ascii="Times New Roman" w:hAnsi="Times New Roman"/>
          <w:sz w:val="24"/>
          <w:szCs w:val="24"/>
        </w:rPr>
        <w:t xml:space="preserve">23,0%. В целом объем производства на ЗАО «Молдавская ГРЭС» в течение рассматриваемого периода увеличился на 40,3%, что явилось результатом восстановления экспортных поставок электроэнергии в мае-июне 2014 года в Республику Молдова (в мае-июне </w:t>
      </w:r>
      <w:r>
        <w:rPr>
          <w:rFonts w:ascii="Times New Roman" w:hAnsi="Times New Roman"/>
          <w:sz w:val="24"/>
          <w:szCs w:val="24"/>
        </w:rPr>
        <w:t xml:space="preserve">              </w:t>
      </w:r>
      <w:r w:rsidRPr="00B653AD">
        <w:rPr>
          <w:rFonts w:ascii="Times New Roman" w:hAnsi="Times New Roman"/>
          <w:sz w:val="24"/>
          <w:szCs w:val="24"/>
        </w:rPr>
        <w:t>2013 года экспорт в Республику Молдова не осуществлялся). По остальным предприятиям отрасли, за исключением ЗАО «Молдавская ГРЭС», товарный выпуск вырос на 6,3%. Более сдержанные темпы развития остальных предприятий отрасли обусловило снижение стоимостных показателей на ООО «Тиротекс-энерго» на 7,4%, что связано со снижением производства готовой продукции на ЗАО «Тиротекс».</w:t>
      </w:r>
    </w:p>
    <w:p w:rsidR="00D41BA6" w:rsidRPr="00AC6015" w:rsidRDefault="00D41BA6" w:rsidP="00D41BA6">
      <w:pPr>
        <w:pStyle w:val="aa"/>
        <w:jc w:val="both"/>
        <w:rPr>
          <w:rFonts w:ascii="Times New Roman" w:hAnsi="Times New Roman"/>
          <w:sz w:val="10"/>
          <w:szCs w:val="10"/>
        </w:rPr>
      </w:pPr>
      <w:r>
        <w:rPr>
          <w:rFonts w:ascii="Times New Roman" w:hAnsi="Times New Roman"/>
          <w:noProof/>
          <w:sz w:val="28"/>
          <w:szCs w:val="28"/>
        </w:rPr>
        <w:lastRenderedPageBreak/>
        <w:drawing>
          <wp:inline distT="0" distB="0" distL="0" distR="0">
            <wp:extent cx="6124575" cy="2419350"/>
            <wp:effectExtent l="0" t="0" r="0" b="0"/>
            <wp:docPr id="14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41BA6" w:rsidRPr="00D41BA6" w:rsidRDefault="00D41BA6" w:rsidP="00D41BA6">
      <w:pPr>
        <w:pStyle w:val="11"/>
        <w:ind w:firstLine="709"/>
        <w:jc w:val="both"/>
        <w:rPr>
          <w:rFonts w:ascii="Times New Roman" w:hAnsi="Times New Roman"/>
          <w:sz w:val="24"/>
          <w:szCs w:val="24"/>
        </w:rPr>
      </w:pPr>
      <w:r w:rsidRPr="00D41BA6">
        <w:rPr>
          <w:rFonts w:ascii="Times New Roman" w:hAnsi="Times New Roman"/>
          <w:sz w:val="24"/>
          <w:szCs w:val="24"/>
        </w:rPr>
        <w:t xml:space="preserve">В </w:t>
      </w:r>
      <w:r w:rsidRPr="00D41BA6">
        <w:rPr>
          <w:rFonts w:ascii="Times New Roman" w:hAnsi="Times New Roman"/>
          <w:b/>
          <w:sz w:val="24"/>
          <w:szCs w:val="24"/>
        </w:rPr>
        <w:t xml:space="preserve">черной металлургии </w:t>
      </w:r>
      <w:r w:rsidRPr="00D41BA6">
        <w:rPr>
          <w:rFonts w:ascii="Times New Roman" w:hAnsi="Times New Roman"/>
          <w:sz w:val="24"/>
          <w:szCs w:val="24"/>
        </w:rPr>
        <w:t xml:space="preserve">по итогам </w:t>
      </w:r>
      <w:r w:rsidRPr="00D41BA6">
        <w:rPr>
          <w:rFonts w:ascii="Times New Roman" w:hAnsi="Times New Roman"/>
          <w:sz w:val="24"/>
          <w:szCs w:val="24"/>
          <w:lang w:val="en-US"/>
        </w:rPr>
        <w:t>I</w:t>
      </w:r>
      <w:r w:rsidRPr="00D41BA6">
        <w:rPr>
          <w:rFonts w:ascii="Times New Roman" w:hAnsi="Times New Roman"/>
          <w:sz w:val="24"/>
          <w:szCs w:val="24"/>
        </w:rPr>
        <w:t xml:space="preserve"> полугодия 2014 года в результате оказания индивидуальной государственной поддержки ОАО «Молдавский металлургический завод» отмечено увеличение производства проката черных металлов в 677 раз, в стоимостном выражении объем производства в целом по отрасли увеличился в 111 раз к уровню января – июня 2013 года и составил 1 339,2 млн. рублей. </w:t>
      </w:r>
    </w:p>
    <w:p w:rsidR="00D41BA6" w:rsidRPr="00D41BA6" w:rsidRDefault="00D41BA6" w:rsidP="00D41BA6">
      <w:pPr>
        <w:pStyle w:val="11"/>
        <w:ind w:firstLine="709"/>
        <w:jc w:val="both"/>
        <w:rPr>
          <w:rFonts w:ascii="Times New Roman" w:hAnsi="Times New Roman"/>
          <w:sz w:val="24"/>
          <w:szCs w:val="24"/>
        </w:rPr>
      </w:pPr>
      <w:r w:rsidRPr="00D41BA6">
        <w:rPr>
          <w:rFonts w:ascii="Times New Roman" w:hAnsi="Times New Roman"/>
          <w:sz w:val="24"/>
          <w:szCs w:val="24"/>
        </w:rPr>
        <w:t>Оказанная государственная поддержка ОАО «Молдавский металлургический завод» позволила обеспечить загрузку производственных мощностей в рассматриваемом периоде на 50% от возможного уровня, однако основной проблемой в деятельности предприятия по-прежнему остается обеспечение завода недорогим металлоломом.</w:t>
      </w:r>
    </w:p>
    <w:p w:rsidR="00D41BA6" w:rsidRPr="00D41BA6" w:rsidRDefault="00D41BA6" w:rsidP="00D41BA6">
      <w:pPr>
        <w:spacing w:after="0" w:line="240" w:lineRule="auto"/>
        <w:ind w:firstLine="709"/>
        <w:jc w:val="both"/>
        <w:rPr>
          <w:rFonts w:ascii="Times New Roman" w:hAnsi="Times New Roman"/>
          <w:sz w:val="24"/>
          <w:szCs w:val="24"/>
        </w:rPr>
      </w:pPr>
      <w:r w:rsidRPr="00D41BA6">
        <w:rPr>
          <w:rFonts w:ascii="Times New Roman" w:hAnsi="Times New Roman"/>
          <w:b/>
          <w:sz w:val="24"/>
          <w:szCs w:val="24"/>
        </w:rPr>
        <w:t xml:space="preserve">В химической промышленности </w:t>
      </w:r>
      <w:r w:rsidRPr="00D41BA6">
        <w:rPr>
          <w:rFonts w:ascii="Times New Roman" w:hAnsi="Times New Roman"/>
          <w:sz w:val="24"/>
          <w:szCs w:val="24"/>
        </w:rPr>
        <w:t>в январе – июне 2014 года отмечено падение уровня производства на 4,6% к соответствующему периоду 2013 года, достигнув в стоимостном выражении 104,3 млн.руб.</w:t>
      </w:r>
      <w:r w:rsidRPr="00D41BA6">
        <w:rPr>
          <w:rFonts w:ascii="Times New Roman" w:hAnsi="Times New Roman"/>
          <w:b/>
          <w:sz w:val="24"/>
          <w:szCs w:val="24"/>
        </w:rPr>
        <w:t xml:space="preserve"> </w:t>
      </w:r>
      <w:r w:rsidRPr="00D41BA6">
        <w:rPr>
          <w:rFonts w:ascii="Times New Roman" w:hAnsi="Times New Roman"/>
          <w:sz w:val="24"/>
          <w:szCs w:val="24"/>
        </w:rPr>
        <w:t>Основное негативное влияние на отрицательную динамику отрасли оказало снижение объемов производства крупнейшего предприятия отрасли ЗАО «Завод «Молдавизолит» (на 4,3%), что обусловлено девальвацией российского рубля, так как 90% экспорта предприятия поступает в Российскую Федерацию</w:t>
      </w:r>
      <w:r w:rsidRPr="00D41BA6">
        <w:rPr>
          <w:rFonts w:ascii="Times New Roman" w:hAnsi="Times New Roman"/>
          <w:bCs/>
          <w:sz w:val="24"/>
          <w:szCs w:val="24"/>
        </w:rPr>
        <w:t xml:space="preserve">. </w:t>
      </w:r>
      <w:r w:rsidRPr="00D41BA6">
        <w:rPr>
          <w:rFonts w:ascii="Times New Roman" w:hAnsi="Times New Roman"/>
          <w:sz w:val="24"/>
          <w:szCs w:val="24"/>
        </w:rPr>
        <w:t>В натуральном выражении наблюдается уменьшение производства труб и деталей трубопроводов на 36,4%, изделий из пластмасс на 21,4%, синтетических смол и пластмасс на 3,9%. пленки полимерной на 1,9%.</w:t>
      </w:r>
    </w:p>
    <w:p w:rsidR="00D41BA6" w:rsidRPr="00D41BA6" w:rsidRDefault="00D41BA6" w:rsidP="00D41BA6">
      <w:pPr>
        <w:pStyle w:val="11"/>
        <w:ind w:firstLine="709"/>
        <w:jc w:val="both"/>
        <w:rPr>
          <w:rFonts w:ascii="Times New Roman" w:hAnsi="Times New Roman"/>
          <w:sz w:val="24"/>
          <w:szCs w:val="24"/>
        </w:rPr>
      </w:pPr>
      <w:r w:rsidRPr="00D41BA6">
        <w:rPr>
          <w:rFonts w:ascii="Times New Roman" w:hAnsi="Times New Roman"/>
          <w:sz w:val="24"/>
          <w:szCs w:val="24"/>
        </w:rPr>
        <w:t xml:space="preserve">Предприятия </w:t>
      </w:r>
      <w:r w:rsidRPr="00D41BA6">
        <w:rPr>
          <w:rFonts w:ascii="Times New Roman" w:hAnsi="Times New Roman"/>
          <w:b/>
          <w:sz w:val="24"/>
          <w:szCs w:val="24"/>
        </w:rPr>
        <w:t>отрасли машиностроения и металлообработки</w:t>
      </w:r>
      <w:r w:rsidRPr="00D41BA6">
        <w:rPr>
          <w:rFonts w:ascii="Times New Roman" w:hAnsi="Times New Roman"/>
          <w:sz w:val="24"/>
          <w:szCs w:val="24"/>
        </w:rPr>
        <w:t xml:space="preserve"> в анализируемом периоде уменьшили совокупный объем производства на 12,8%. Отрицательной динамике отраслевых показателей способствовало снижение промышленного производства на            ОАО «Литмаш» (на 50,5%), в связи с ухудшением ситуации на Украине, хозяйствующие субъекты которой являются одним из основных деловых партнеров предприятия, также несущественное сокращение товарного выпуска наблюдается на предприятии Филиал «Завод «Прибор» ФГУП «ММПП «Салют» (на 5,5%), что связано с несвоевременностью поставок сырья и материалов в начале 2014 года. В то же время наблюдается увеличение спроса на продукцию ЗАО «Российское предприятие «Бендерский машиностроительный завод» (+7,6%), в целом указанные три предприятия обеспечили свыше 94,4% общеотраслевого объема производства.</w:t>
      </w:r>
    </w:p>
    <w:p w:rsidR="00D41BA6" w:rsidRPr="00D41BA6" w:rsidRDefault="00D41BA6" w:rsidP="00D41BA6">
      <w:pPr>
        <w:pStyle w:val="11"/>
        <w:ind w:firstLine="709"/>
        <w:jc w:val="both"/>
        <w:rPr>
          <w:rFonts w:ascii="Times New Roman" w:hAnsi="Times New Roman"/>
          <w:sz w:val="24"/>
          <w:szCs w:val="24"/>
        </w:rPr>
      </w:pPr>
      <w:r w:rsidRPr="00D41BA6">
        <w:rPr>
          <w:rFonts w:ascii="Times New Roman" w:hAnsi="Times New Roman"/>
          <w:sz w:val="24"/>
          <w:szCs w:val="24"/>
        </w:rPr>
        <w:t xml:space="preserve">В </w:t>
      </w:r>
      <w:r w:rsidRPr="00D41BA6">
        <w:rPr>
          <w:rFonts w:ascii="Times New Roman" w:hAnsi="Times New Roman"/>
          <w:sz w:val="24"/>
          <w:szCs w:val="24"/>
          <w:lang w:val="en-US"/>
        </w:rPr>
        <w:t>I</w:t>
      </w:r>
      <w:r w:rsidRPr="00D41BA6">
        <w:rPr>
          <w:rFonts w:ascii="Times New Roman" w:hAnsi="Times New Roman"/>
          <w:sz w:val="24"/>
          <w:szCs w:val="24"/>
        </w:rPr>
        <w:t xml:space="preserve"> полугодии 2014 года </w:t>
      </w:r>
      <w:r w:rsidRPr="00D41BA6">
        <w:rPr>
          <w:rFonts w:ascii="Times New Roman" w:hAnsi="Times New Roman"/>
          <w:b/>
          <w:sz w:val="24"/>
          <w:szCs w:val="24"/>
        </w:rPr>
        <w:t>в электротехнической промышленности</w:t>
      </w:r>
      <w:r w:rsidRPr="00D41BA6">
        <w:rPr>
          <w:rFonts w:ascii="Times New Roman" w:hAnsi="Times New Roman"/>
          <w:sz w:val="24"/>
          <w:szCs w:val="24"/>
        </w:rPr>
        <w:t xml:space="preserve"> уменьшение товарного выпуска в стоимостном выражении на ЗАО «Молдавкабель» на 30,6%, на фоне закрытия рынков Украины и сложностей доставки продукции в Российскую Федерацию, обусловило сокращение совокупного отраслевого выпуска на 22,2%.</w:t>
      </w:r>
    </w:p>
    <w:p w:rsidR="00D41BA6" w:rsidRPr="00D41BA6" w:rsidRDefault="00D41BA6" w:rsidP="00D41BA6">
      <w:pPr>
        <w:pStyle w:val="11"/>
        <w:ind w:firstLine="709"/>
        <w:jc w:val="both"/>
        <w:rPr>
          <w:rFonts w:ascii="Times New Roman" w:hAnsi="Times New Roman"/>
          <w:sz w:val="24"/>
          <w:szCs w:val="24"/>
        </w:rPr>
      </w:pPr>
      <w:r w:rsidRPr="00D41BA6">
        <w:rPr>
          <w:rFonts w:ascii="Times New Roman" w:hAnsi="Times New Roman"/>
          <w:sz w:val="24"/>
          <w:szCs w:val="24"/>
        </w:rPr>
        <w:t>Снижение товарного выпуска также было характерно для второго ведущего предприятия отрасли НП ЗАО «Электромаш» (36,4% отраслевого выпуска), но в меньших масштабах, в связи с достаточно неустойчивым платежеспособным спросом на готовую продукцию предприятия («-» 5,5% по отношению к соответствующему уровню 2013 года).</w:t>
      </w:r>
    </w:p>
    <w:p w:rsidR="00D41BA6" w:rsidRPr="00D41BA6" w:rsidRDefault="00D41BA6" w:rsidP="00D41BA6">
      <w:pPr>
        <w:spacing w:after="0" w:line="240" w:lineRule="auto"/>
        <w:ind w:firstLine="709"/>
        <w:jc w:val="both"/>
        <w:rPr>
          <w:rFonts w:ascii="Times New Roman" w:hAnsi="Times New Roman"/>
          <w:sz w:val="24"/>
          <w:szCs w:val="24"/>
        </w:rPr>
      </w:pPr>
      <w:r w:rsidRPr="00D41BA6">
        <w:rPr>
          <w:rFonts w:ascii="Times New Roman" w:hAnsi="Times New Roman"/>
          <w:sz w:val="24"/>
          <w:szCs w:val="24"/>
        </w:rPr>
        <w:lastRenderedPageBreak/>
        <w:t xml:space="preserve">Предприятия </w:t>
      </w:r>
      <w:r w:rsidRPr="00D41BA6">
        <w:rPr>
          <w:rFonts w:ascii="Times New Roman" w:hAnsi="Times New Roman"/>
          <w:b/>
          <w:sz w:val="24"/>
          <w:szCs w:val="24"/>
        </w:rPr>
        <w:t>лесной и</w:t>
      </w:r>
      <w:r w:rsidRPr="00D41BA6">
        <w:rPr>
          <w:rFonts w:ascii="Times New Roman" w:hAnsi="Times New Roman"/>
          <w:sz w:val="24"/>
          <w:szCs w:val="24"/>
        </w:rPr>
        <w:t xml:space="preserve"> </w:t>
      </w:r>
      <w:r w:rsidRPr="00D41BA6">
        <w:rPr>
          <w:rFonts w:ascii="Times New Roman" w:hAnsi="Times New Roman"/>
          <w:b/>
          <w:sz w:val="24"/>
          <w:szCs w:val="24"/>
        </w:rPr>
        <w:t>деревообрабатывающей промышленности</w:t>
      </w:r>
      <w:r w:rsidRPr="00D41BA6">
        <w:rPr>
          <w:rFonts w:ascii="Times New Roman" w:hAnsi="Times New Roman"/>
          <w:sz w:val="24"/>
          <w:szCs w:val="24"/>
        </w:rPr>
        <w:t xml:space="preserve"> второй год подряд демонстрируют рост производственной деятельности, в результате чего, объем произведенной продукции на 43,2% превысил сопоставимый уровень 2013 года, достигнув в стоимостном выражении за январь-июнь 2014 года 9,6 млн. руб. В натуральном выражении наблюдается увеличение производства мебели – на 46,6% и производства пиломатериалов - на 22,6%.</w:t>
      </w:r>
    </w:p>
    <w:p w:rsidR="00D41BA6" w:rsidRPr="00D41BA6" w:rsidRDefault="00D41BA6" w:rsidP="00D41BA6">
      <w:pPr>
        <w:pStyle w:val="11"/>
        <w:ind w:firstLine="709"/>
        <w:jc w:val="both"/>
        <w:rPr>
          <w:rFonts w:ascii="Times New Roman" w:hAnsi="Times New Roman"/>
          <w:sz w:val="24"/>
          <w:szCs w:val="24"/>
          <w:highlight w:val="yellow"/>
        </w:rPr>
      </w:pPr>
      <w:r w:rsidRPr="00D41BA6">
        <w:rPr>
          <w:rFonts w:ascii="Times New Roman" w:hAnsi="Times New Roman"/>
          <w:sz w:val="24"/>
          <w:szCs w:val="24"/>
        </w:rPr>
        <w:t xml:space="preserve">В </w:t>
      </w:r>
      <w:r w:rsidRPr="00D41BA6">
        <w:rPr>
          <w:rFonts w:ascii="Times New Roman" w:hAnsi="Times New Roman"/>
          <w:b/>
          <w:sz w:val="24"/>
          <w:szCs w:val="24"/>
        </w:rPr>
        <w:t>промышленности строительных материалов</w:t>
      </w:r>
      <w:r w:rsidRPr="00D41BA6">
        <w:rPr>
          <w:rFonts w:ascii="Times New Roman" w:hAnsi="Times New Roman"/>
          <w:sz w:val="24"/>
          <w:szCs w:val="24"/>
        </w:rPr>
        <w:t xml:space="preserve"> в январе – июне 2014 года отмечалось повышение производственных показателей как на крупнейшем предприятии отрасли (ЗАО «Рыбницкий цементный комбинат» в 2 раза до 202,5 млн. руб.), так и по отрасли в целом (на 71,2% до 274,7 млн. руб.). Столь активному наращиванию производственных показателей в данном сегменте способствует активизация строительной деятельности в республике, в том числе и за счет реализации ряда социальных проектов АНО «Евразийская интеграция», а также оказание индивидуальной государственной поддержки крупнейшему предприятию отрасли - ЗАО «Рыбницкий цементный комбинат».</w:t>
      </w:r>
    </w:p>
    <w:p w:rsidR="00D41BA6" w:rsidRPr="00D41BA6" w:rsidRDefault="00D41BA6" w:rsidP="00D41BA6">
      <w:pPr>
        <w:pStyle w:val="11"/>
        <w:ind w:firstLine="709"/>
        <w:jc w:val="both"/>
        <w:rPr>
          <w:rFonts w:ascii="Times New Roman" w:hAnsi="Times New Roman"/>
          <w:sz w:val="24"/>
          <w:szCs w:val="24"/>
          <w:highlight w:val="yellow"/>
        </w:rPr>
      </w:pPr>
      <w:r w:rsidRPr="00D41BA6">
        <w:rPr>
          <w:rFonts w:ascii="Times New Roman" w:hAnsi="Times New Roman"/>
          <w:sz w:val="24"/>
          <w:szCs w:val="24"/>
        </w:rPr>
        <w:t>В натуральном выражении отмечено увеличение производства клинкера в 2,3 раза, цемента в 2,1 раза, бетона на 82,6%, нерудных строительных материалов на 18,8%, изделий неа</w:t>
      </w:r>
      <w:r w:rsidR="00C42921">
        <w:rPr>
          <w:rFonts w:ascii="Times New Roman" w:hAnsi="Times New Roman"/>
          <w:sz w:val="24"/>
          <w:szCs w:val="24"/>
        </w:rPr>
        <w:t xml:space="preserve">рмированный бетонных на 12,4% и </w:t>
      </w:r>
      <w:r w:rsidRPr="00D41BA6">
        <w:rPr>
          <w:rFonts w:ascii="Times New Roman" w:hAnsi="Times New Roman"/>
          <w:sz w:val="24"/>
          <w:szCs w:val="24"/>
        </w:rPr>
        <w:t>т.д.</w:t>
      </w:r>
    </w:p>
    <w:p w:rsidR="00D41BA6" w:rsidRPr="00A6002C" w:rsidRDefault="00D41BA6" w:rsidP="00D41BA6">
      <w:pPr>
        <w:spacing w:after="0" w:line="240" w:lineRule="auto"/>
        <w:jc w:val="both"/>
        <w:rPr>
          <w:rFonts w:ascii="Times New Roman" w:hAnsi="Times New Roman"/>
          <w:color w:val="000000"/>
          <w:sz w:val="28"/>
          <w:szCs w:val="28"/>
          <w:highlight w:val="yellow"/>
        </w:rPr>
      </w:pPr>
      <w:r w:rsidRPr="0081153C">
        <w:rPr>
          <w:rFonts w:ascii="Times New Roman" w:hAnsi="Times New Roman"/>
          <w:noProof/>
          <w:sz w:val="28"/>
          <w:szCs w:val="28"/>
        </w:rPr>
        <w:drawing>
          <wp:inline distT="0" distB="0" distL="0" distR="0">
            <wp:extent cx="6124575" cy="2047875"/>
            <wp:effectExtent l="19050" t="0" r="0" b="0"/>
            <wp:docPr id="14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41BA6" w:rsidRPr="00D41BA6" w:rsidRDefault="00D41BA6" w:rsidP="00D41BA6">
      <w:pPr>
        <w:pStyle w:val="11"/>
        <w:ind w:firstLine="709"/>
        <w:jc w:val="both"/>
        <w:rPr>
          <w:rFonts w:ascii="Times New Roman" w:hAnsi="Times New Roman"/>
          <w:sz w:val="24"/>
          <w:szCs w:val="24"/>
          <w:highlight w:val="yellow"/>
        </w:rPr>
      </w:pPr>
      <w:r w:rsidRPr="00D41BA6">
        <w:rPr>
          <w:rFonts w:ascii="Times New Roman" w:hAnsi="Times New Roman"/>
          <w:sz w:val="24"/>
          <w:szCs w:val="24"/>
        </w:rPr>
        <w:t xml:space="preserve">В </w:t>
      </w:r>
      <w:r w:rsidRPr="00D41BA6">
        <w:rPr>
          <w:rFonts w:ascii="Times New Roman" w:hAnsi="Times New Roman"/>
          <w:sz w:val="24"/>
          <w:szCs w:val="24"/>
          <w:lang w:val="en-US"/>
        </w:rPr>
        <w:t>I</w:t>
      </w:r>
      <w:r w:rsidRPr="00D41BA6">
        <w:rPr>
          <w:rFonts w:ascii="Times New Roman" w:hAnsi="Times New Roman"/>
          <w:sz w:val="24"/>
          <w:szCs w:val="24"/>
        </w:rPr>
        <w:t xml:space="preserve"> полугодии 2014 года на предприятиях </w:t>
      </w:r>
      <w:r w:rsidRPr="00D41BA6">
        <w:rPr>
          <w:rFonts w:ascii="Times New Roman" w:hAnsi="Times New Roman"/>
          <w:b/>
          <w:sz w:val="24"/>
          <w:szCs w:val="24"/>
        </w:rPr>
        <w:t>легкой промышленности</w:t>
      </w:r>
      <w:r w:rsidRPr="00D41BA6">
        <w:rPr>
          <w:rFonts w:ascii="Times New Roman" w:hAnsi="Times New Roman"/>
          <w:sz w:val="24"/>
          <w:szCs w:val="24"/>
        </w:rPr>
        <w:t xml:space="preserve"> показатели отраслевого выпуска в текущих ценах оказались на 9,3% ниже сопоставимого уровня  2013 года, достигнув в стоимостном выражении 642,2 млн. руб. Определяющее влияние на отраслевой показатель оказывает работа крупнейшего предприятия отрасли                      ЗАО «Тиротекс» (68,8% отраслевого выпуска), сократившего свой товарный выпуск за рассматриваемый период на 13,0%. Данные негативные тенденции вызваны снижением потребительского спроса на текстильную продукцию на рынках Западной Европы и Российской Федерации, а также отсутствием какого-либо существенного спроса на Украине, в связи с создавшейся политической ситуацией. Кроме того, деятельность предприятия осложняется снижением конкурентоспособности продукции на Европейских текстильных рынках, в связи с введением импортных преференций для Пакистанского товара.</w:t>
      </w:r>
    </w:p>
    <w:p w:rsidR="00D41BA6" w:rsidRPr="00A6002C" w:rsidRDefault="00D41BA6" w:rsidP="00D41BA6">
      <w:pPr>
        <w:spacing w:after="0" w:line="240" w:lineRule="auto"/>
        <w:jc w:val="both"/>
        <w:rPr>
          <w:rFonts w:ascii="Times New Roman" w:hAnsi="Times New Roman"/>
          <w:color w:val="000000"/>
          <w:sz w:val="16"/>
          <w:szCs w:val="16"/>
          <w:highlight w:val="yellow"/>
        </w:rPr>
      </w:pPr>
      <w:r w:rsidRPr="00A6002C">
        <w:rPr>
          <w:rFonts w:ascii="Times New Roman" w:hAnsi="Times New Roman"/>
          <w:noProof/>
          <w:sz w:val="28"/>
          <w:szCs w:val="28"/>
          <w:highlight w:val="yellow"/>
        </w:rPr>
        <w:drawing>
          <wp:inline distT="0" distB="0" distL="0" distR="0">
            <wp:extent cx="6124575" cy="1781175"/>
            <wp:effectExtent l="0" t="0" r="0" b="0"/>
            <wp:docPr id="14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41BA6" w:rsidRPr="00D41BA6" w:rsidRDefault="00D41BA6" w:rsidP="00D41BA6">
      <w:pPr>
        <w:pStyle w:val="11"/>
        <w:ind w:firstLine="709"/>
        <w:jc w:val="both"/>
        <w:rPr>
          <w:rFonts w:ascii="Times New Roman" w:hAnsi="Times New Roman"/>
          <w:sz w:val="24"/>
          <w:szCs w:val="24"/>
        </w:rPr>
      </w:pPr>
      <w:r w:rsidRPr="00D41BA6">
        <w:rPr>
          <w:rFonts w:ascii="Times New Roman" w:hAnsi="Times New Roman"/>
          <w:sz w:val="24"/>
          <w:szCs w:val="24"/>
        </w:rPr>
        <w:lastRenderedPageBreak/>
        <w:t>По остальным предприятиям отрасли в действующих ценах зафиксирован минимальный прирост промышленного производства (+0,4%). В то же время следует отметить, что в более сложной ситуации находятся предприятия обувной промышленности. Объем производства обуви по республике сократился на 8,5%, что явилось следствием ухудшения ситуации на Украине, в результате чего были сорваны ряд контрактов на поставку продукции в данную страну.</w:t>
      </w:r>
    </w:p>
    <w:p w:rsidR="00D41BA6" w:rsidRPr="00D41BA6" w:rsidRDefault="00D41BA6" w:rsidP="00D41BA6">
      <w:pPr>
        <w:pStyle w:val="11"/>
        <w:ind w:firstLine="709"/>
        <w:jc w:val="both"/>
        <w:rPr>
          <w:rFonts w:ascii="Times New Roman" w:hAnsi="Times New Roman"/>
          <w:sz w:val="24"/>
          <w:szCs w:val="24"/>
        </w:rPr>
      </w:pPr>
      <w:r w:rsidRPr="00D41BA6">
        <w:rPr>
          <w:rFonts w:ascii="Times New Roman" w:hAnsi="Times New Roman"/>
          <w:sz w:val="24"/>
          <w:szCs w:val="24"/>
        </w:rPr>
        <w:t xml:space="preserve">В рассматриваемом периоде в </w:t>
      </w:r>
      <w:r w:rsidRPr="00D41BA6">
        <w:rPr>
          <w:rFonts w:ascii="Times New Roman" w:hAnsi="Times New Roman"/>
          <w:b/>
          <w:snapToGrid w:val="0"/>
          <w:sz w:val="24"/>
          <w:szCs w:val="24"/>
        </w:rPr>
        <w:t xml:space="preserve">пищевой промышленности </w:t>
      </w:r>
      <w:r w:rsidRPr="00D41BA6">
        <w:rPr>
          <w:rFonts w:ascii="Times New Roman" w:hAnsi="Times New Roman"/>
          <w:snapToGrid w:val="0"/>
          <w:sz w:val="24"/>
          <w:szCs w:val="24"/>
        </w:rPr>
        <w:t xml:space="preserve">республики наблюдалось </w:t>
      </w:r>
      <w:r w:rsidRPr="00D41BA6">
        <w:rPr>
          <w:rFonts w:ascii="Times New Roman" w:hAnsi="Times New Roman"/>
          <w:sz w:val="24"/>
          <w:szCs w:val="24"/>
        </w:rPr>
        <w:t>уменьшение товарного выпуска в текущих ценах на 10,8%, что вызвано возросшими рисками при отгрузке продукции на экспорт, а также усложнение вопросов сертификации отдельных видов приднестровских товаров.</w:t>
      </w:r>
    </w:p>
    <w:p w:rsidR="00D41BA6" w:rsidRPr="00D41BA6" w:rsidRDefault="00D41BA6" w:rsidP="00D41BA6">
      <w:pPr>
        <w:pStyle w:val="11"/>
        <w:ind w:firstLine="709"/>
        <w:jc w:val="both"/>
        <w:rPr>
          <w:rFonts w:ascii="Times New Roman" w:hAnsi="Times New Roman"/>
          <w:sz w:val="24"/>
          <w:szCs w:val="24"/>
        </w:rPr>
      </w:pPr>
      <w:r w:rsidRPr="00D41BA6">
        <w:rPr>
          <w:rFonts w:ascii="Times New Roman" w:hAnsi="Times New Roman"/>
          <w:sz w:val="24"/>
          <w:szCs w:val="24"/>
        </w:rPr>
        <w:t>Снижение объемов производства было характерно для ведущего предприятия отрасли ЗАО «Тираспольский винно-коньячный завод «KVINT»» - 25%, что обусловлено падением реализации продукции на местном рынке, на что существенно повлияла, учитывая логистическое перенаправление грузов, сложная нестабильная ситуация на Украине.</w:t>
      </w:r>
    </w:p>
    <w:p w:rsidR="00D41BA6" w:rsidRPr="00D41BA6" w:rsidRDefault="00D41BA6" w:rsidP="00D41BA6">
      <w:pPr>
        <w:pStyle w:val="11"/>
        <w:ind w:firstLine="709"/>
        <w:jc w:val="both"/>
        <w:rPr>
          <w:rFonts w:ascii="Times New Roman" w:hAnsi="Times New Roman"/>
          <w:sz w:val="24"/>
          <w:szCs w:val="24"/>
        </w:rPr>
      </w:pPr>
      <w:r w:rsidRPr="00D41BA6">
        <w:rPr>
          <w:rFonts w:ascii="Times New Roman" w:hAnsi="Times New Roman"/>
          <w:sz w:val="24"/>
          <w:szCs w:val="24"/>
        </w:rPr>
        <w:t>В целом, по итогам I полугодия 2014 года отмечено снижение производства в натуральном выражении по маслу животному – на 60,0%, пиву – на 26,9%, цельномолочной продукции – на 13,1%, коньяку – на 12,0%, водке и ликероводочным изделиям – на 10,5%, хлебу и хлебобулочным изделиям – на 3,7%, и др. При этом произошел прирост в таких направлениях как, производство минеральной воды – 43,2%, вина виноградного – на 21,6%, колбасных изделий – на 13,2%, масла растительного – на 9,6%, консервов – на 9,1%, и кондитерских изделий – на 7,0%.</w:t>
      </w:r>
    </w:p>
    <w:p w:rsidR="00D41BA6" w:rsidRPr="00D41BA6" w:rsidRDefault="00D41BA6" w:rsidP="00D41BA6">
      <w:pPr>
        <w:pStyle w:val="11"/>
        <w:ind w:firstLine="709"/>
        <w:jc w:val="both"/>
        <w:rPr>
          <w:rFonts w:ascii="Times New Roman" w:hAnsi="Times New Roman"/>
          <w:sz w:val="24"/>
          <w:szCs w:val="24"/>
          <w:highlight w:val="yellow"/>
        </w:rPr>
      </w:pPr>
      <w:r w:rsidRPr="00D41BA6">
        <w:rPr>
          <w:rFonts w:ascii="Times New Roman" w:hAnsi="Times New Roman"/>
          <w:sz w:val="24"/>
          <w:szCs w:val="24"/>
        </w:rPr>
        <w:t xml:space="preserve">В </w:t>
      </w:r>
      <w:r w:rsidRPr="00D41BA6">
        <w:rPr>
          <w:rFonts w:ascii="Times New Roman" w:hAnsi="Times New Roman"/>
          <w:b/>
          <w:sz w:val="24"/>
          <w:szCs w:val="24"/>
        </w:rPr>
        <w:t>мукомольно-крупяной и комбикормовой промышленности</w:t>
      </w:r>
      <w:r w:rsidRPr="00D41BA6">
        <w:rPr>
          <w:rFonts w:ascii="Times New Roman" w:hAnsi="Times New Roman"/>
          <w:sz w:val="24"/>
          <w:szCs w:val="24"/>
        </w:rPr>
        <w:t xml:space="preserve"> в </w:t>
      </w:r>
      <w:r w:rsidRPr="00D41BA6">
        <w:rPr>
          <w:rFonts w:ascii="Times New Roman" w:hAnsi="Times New Roman"/>
          <w:sz w:val="24"/>
          <w:szCs w:val="24"/>
          <w:lang w:val="en-US"/>
        </w:rPr>
        <w:t>I</w:t>
      </w:r>
      <w:r w:rsidRPr="00D41BA6">
        <w:rPr>
          <w:rFonts w:ascii="Times New Roman" w:hAnsi="Times New Roman"/>
          <w:sz w:val="24"/>
          <w:szCs w:val="24"/>
        </w:rPr>
        <w:t xml:space="preserve"> полугодии 2014 года на фоне снижения цен наблюдается сокращение выпуска готовой продукции в текущих ценах на 11,3%, что вызвано сокращением объемов производства на                  ЗАО «Бендерский комбинат хлебопродуктов» на 8,7%, а также падением объемов промышленного производства на ЗАО «Тираспольский комбинат хлебопродуктов» на 14,4%. При этом в сопоставимых ценах отмечается прирост отраслевого выпуска на 17,6%.</w:t>
      </w:r>
    </w:p>
    <w:p w:rsidR="00D41BA6" w:rsidRPr="00D41BA6" w:rsidRDefault="00D41BA6" w:rsidP="00D41BA6">
      <w:pPr>
        <w:pStyle w:val="11"/>
        <w:ind w:firstLine="709"/>
        <w:jc w:val="both"/>
        <w:rPr>
          <w:rFonts w:ascii="Times New Roman" w:hAnsi="Times New Roman"/>
          <w:sz w:val="24"/>
          <w:szCs w:val="24"/>
        </w:rPr>
      </w:pPr>
      <w:r w:rsidRPr="00D41BA6">
        <w:rPr>
          <w:rFonts w:ascii="Times New Roman" w:hAnsi="Times New Roman"/>
          <w:sz w:val="24"/>
          <w:szCs w:val="24"/>
        </w:rPr>
        <w:t>В натуральном выражении отмечено увеличение производства круп на 77,9%, муки на 4,8%.</w:t>
      </w:r>
    </w:p>
    <w:p w:rsidR="00D41BA6" w:rsidRPr="00B653AD" w:rsidRDefault="00D41BA6" w:rsidP="00D41BA6">
      <w:pPr>
        <w:shd w:val="clear" w:color="auto" w:fill="FFFFFF"/>
        <w:spacing w:after="0" w:line="240" w:lineRule="auto"/>
        <w:ind w:firstLine="709"/>
        <w:jc w:val="both"/>
        <w:rPr>
          <w:rFonts w:ascii="Times New Roman" w:hAnsi="Times New Roman"/>
          <w:color w:val="000000"/>
          <w:sz w:val="24"/>
          <w:szCs w:val="24"/>
          <w:highlight w:val="yellow"/>
        </w:rPr>
      </w:pPr>
      <w:r w:rsidRPr="00D41BA6">
        <w:rPr>
          <w:rFonts w:ascii="Times New Roman" w:hAnsi="Times New Roman"/>
          <w:color w:val="000000"/>
          <w:sz w:val="24"/>
          <w:szCs w:val="24"/>
        </w:rPr>
        <w:t xml:space="preserve">В январе-июне 2014 года в </w:t>
      </w:r>
      <w:r w:rsidRPr="00D41BA6">
        <w:rPr>
          <w:rFonts w:ascii="Times New Roman" w:hAnsi="Times New Roman"/>
          <w:b/>
          <w:color w:val="000000"/>
          <w:sz w:val="24"/>
          <w:szCs w:val="24"/>
        </w:rPr>
        <w:t>полиграфической промышленности</w:t>
      </w:r>
      <w:r w:rsidRPr="00D41BA6">
        <w:rPr>
          <w:rFonts w:ascii="Times New Roman" w:hAnsi="Times New Roman"/>
          <w:color w:val="000000"/>
          <w:sz w:val="24"/>
          <w:szCs w:val="24"/>
        </w:rPr>
        <w:t xml:space="preserve"> на фоне</w:t>
      </w:r>
      <w:r w:rsidRPr="00B653AD">
        <w:rPr>
          <w:rFonts w:ascii="Times New Roman" w:hAnsi="Times New Roman"/>
          <w:color w:val="000000"/>
          <w:sz w:val="24"/>
          <w:szCs w:val="24"/>
        </w:rPr>
        <w:t xml:space="preserve"> перенасыщения отечественного рынка полиграфическими товарами сопредельных государств по более привлекательным для конечного потребителя ценам, а также зависимости от импортного сырья, совокупная стоимостная величина товарного выпуска полиграфической продукции сократилась к базисному значению 2013 года на 19,6%.</w:t>
      </w:r>
    </w:p>
    <w:p w:rsidR="00D41BA6" w:rsidRPr="00B653AD" w:rsidRDefault="00D41BA6" w:rsidP="00D41BA6">
      <w:pPr>
        <w:shd w:val="clear" w:color="auto" w:fill="FFFFFF"/>
        <w:spacing w:after="0" w:line="240" w:lineRule="auto"/>
        <w:ind w:firstLine="709"/>
        <w:jc w:val="both"/>
        <w:rPr>
          <w:rFonts w:ascii="Times New Roman" w:hAnsi="Times New Roman"/>
          <w:color w:val="000000"/>
          <w:sz w:val="24"/>
          <w:szCs w:val="24"/>
          <w:highlight w:val="yellow"/>
        </w:rPr>
      </w:pPr>
      <w:r w:rsidRPr="00B653AD">
        <w:rPr>
          <w:rFonts w:ascii="Times New Roman" w:hAnsi="Times New Roman"/>
          <w:color w:val="000000"/>
          <w:sz w:val="24"/>
          <w:szCs w:val="24"/>
        </w:rPr>
        <w:t>В натуральном выражении существенное снижение объема производства отмечено по таре потребительской из картона на 83,3%, тетрадям ученическим на 75,0%, альбомам и папкам</w:t>
      </w:r>
      <w:r w:rsidRPr="00842A1A">
        <w:rPr>
          <w:rFonts w:ascii="Times New Roman" w:hAnsi="Times New Roman"/>
          <w:color w:val="000000"/>
          <w:sz w:val="28"/>
          <w:szCs w:val="28"/>
        </w:rPr>
        <w:t xml:space="preserve"> </w:t>
      </w:r>
      <w:r w:rsidRPr="00B653AD">
        <w:rPr>
          <w:rFonts w:ascii="Times New Roman" w:hAnsi="Times New Roman"/>
          <w:color w:val="000000"/>
          <w:sz w:val="24"/>
          <w:szCs w:val="24"/>
        </w:rPr>
        <w:t>для рисования на 58,3% и др.</w:t>
      </w:r>
      <w:r w:rsidRPr="00B653AD">
        <w:rPr>
          <w:rFonts w:ascii="Times New Roman" w:hAnsi="Times New Roman"/>
          <w:color w:val="000000"/>
          <w:sz w:val="24"/>
          <w:szCs w:val="24"/>
          <w:highlight w:val="yellow"/>
        </w:rPr>
        <w:t xml:space="preserve"> </w:t>
      </w:r>
    </w:p>
    <w:p w:rsidR="00D41BA6" w:rsidRPr="00B653AD" w:rsidRDefault="00D41BA6" w:rsidP="00D41BA6">
      <w:pPr>
        <w:spacing w:after="0" w:line="240" w:lineRule="auto"/>
        <w:ind w:firstLine="709"/>
        <w:jc w:val="both"/>
        <w:rPr>
          <w:rFonts w:ascii="Times New Roman" w:hAnsi="Times New Roman"/>
          <w:sz w:val="24"/>
          <w:szCs w:val="24"/>
        </w:rPr>
      </w:pPr>
      <w:r w:rsidRPr="00B653AD">
        <w:rPr>
          <w:rFonts w:ascii="Times New Roman" w:hAnsi="Times New Roman"/>
          <w:sz w:val="24"/>
          <w:szCs w:val="24"/>
        </w:rPr>
        <w:t xml:space="preserve">В целом, в </w:t>
      </w:r>
      <w:r w:rsidRPr="00B653AD">
        <w:rPr>
          <w:rFonts w:ascii="Times New Roman" w:hAnsi="Times New Roman"/>
          <w:sz w:val="24"/>
          <w:szCs w:val="24"/>
          <w:lang w:val="en-US"/>
        </w:rPr>
        <w:t>I</w:t>
      </w:r>
      <w:r w:rsidRPr="00B653AD">
        <w:rPr>
          <w:rFonts w:ascii="Times New Roman" w:hAnsi="Times New Roman"/>
          <w:sz w:val="24"/>
          <w:szCs w:val="24"/>
        </w:rPr>
        <w:t xml:space="preserve"> полугодии 2014 года, несмотря на общий положительный фон развития промышленности, для значительного числа действующих предприятий индустрии характерно ухудшение параметров деятельности, вызванное сдержанным спросом на отечественную продукцию как на внутреннем, так и внешнем рынках, а также ухудшением ситуации в Украине, хозяйствующие субъекты которой являются одними из основных деловых партнеров приднестровских предприятий. Данные факты свидетельствуют о неустойчивом характере как самой производственной деятельности предприятий, так и достигнутых ими результатов.</w:t>
      </w:r>
    </w:p>
    <w:p w:rsidR="00DE2491" w:rsidRDefault="00DE2491" w:rsidP="00B20596">
      <w:pPr>
        <w:widowControl w:val="0"/>
        <w:autoSpaceDE w:val="0"/>
        <w:autoSpaceDN w:val="0"/>
        <w:adjustRightInd w:val="0"/>
        <w:spacing w:after="0" w:line="240" w:lineRule="auto"/>
        <w:ind w:firstLine="720"/>
        <w:jc w:val="both"/>
        <w:rPr>
          <w:rFonts w:ascii="Times New Roman" w:hAnsi="Times New Roman"/>
          <w:b/>
          <w:sz w:val="24"/>
          <w:szCs w:val="24"/>
        </w:rPr>
      </w:pPr>
    </w:p>
    <w:p w:rsidR="00D41BA6" w:rsidRPr="009262EE" w:rsidRDefault="00D41BA6" w:rsidP="00D41BA6">
      <w:pPr>
        <w:widowControl w:val="0"/>
        <w:autoSpaceDE w:val="0"/>
        <w:autoSpaceDN w:val="0"/>
        <w:adjustRightInd w:val="0"/>
        <w:spacing w:after="0" w:line="240" w:lineRule="auto"/>
        <w:ind w:firstLine="720"/>
        <w:jc w:val="both"/>
        <w:rPr>
          <w:rFonts w:ascii="Times New Roman" w:hAnsi="Times New Roman"/>
          <w:b/>
          <w:sz w:val="24"/>
          <w:szCs w:val="24"/>
        </w:rPr>
      </w:pPr>
      <w:r w:rsidRPr="00381ABA">
        <w:rPr>
          <w:rFonts w:ascii="Times New Roman" w:hAnsi="Times New Roman"/>
          <w:b/>
          <w:sz w:val="24"/>
          <w:szCs w:val="24"/>
        </w:rPr>
        <w:t>Агропромышленный комплекс</w:t>
      </w:r>
    </w:p>
    <w:p w:rsidR="00D41BA6" w:rsidRPr="009262EE" w:rsidRDefault="00D41BA6" w:rsidP="00D41BA6">
      <w:pPr>
        <w:widowControl w:val="0"/>
        <w:autoSpaceDE w:val="0"/>
        <w:autoSpaceDN w:val="0"/>
        <w:adjustRightInd w:val="0"/>
        <w:spacing w:after="0" w:line="240" w:lineRule="auto"/>
        <w:ind w:firstLine="720"/>
        <w:jc w:val="both"/>
        <w:rPr>
          <w:rFonts w:ascii="Times New Roman" w:hAnsi="Times New Roman"/>
          <w:b/>
          <w:sz w:val="24"/>
          <w:szCs w:val="24"/>
        </w:rPr>
      </w:pPr>
    </w:p>
    <w:p w:rsidR="00D41BA6" w:rsidRDefault="00D41BA6" w:rsidP="00D41BA6">
      <w:pPr>
        <w:spacing w:after="0" w:line="240" w:lineRule="auto"/>
        <w:ind w:firstLine="708"/>
        <w:jc w:val="both"/>
        <w:rPr>
          <w:rFonts w:ascii="Times New Roman" w:hAnsi="Times New Roman"/>
          <w:sz w:val="24"/>
          <w:szCs w:val="24"/>
        </w:rPr>
      </w:pPr>
      <w:r w:rsidRPr="003055B8">
        <w:rPr>
          <w:rFonts w:ascii="Times New Roman" w:hAnsi="Times New Roman"/>
          <w:sz w:val="24"/>
          <w:szCs w:val="24"/>
        </w:rPr>
        <w:t xml:space="preserve">Общая ситуация в агропромышленном комплексе республики в </w:t>
      </w:r>
      <w:r w:rsidRPr="003055B8">
        <w:rPr>
          <w:rFonts w:ascii="Times New Roman" w:hAnsi="Times New Roman"/>
          <w:sz w:val="24"/>
          <w:szCs w:val="24"/>
          <w:lang w:val="en-US"/>
        </w:rPr>
        <w:t>I</w:t>
      </w:r>
      <w:r w:rsidRPr="003055B8">
        <w:rPr>
          <w:rFonts w:ascii="Times New Roman" w:hAnsi="Times New Roman"/>
          <w:sz w:val="24"/>
          <w:szCs w:val="24"/>
        </w:rPr>
        <w:t xml:space="preserve"> полугодии </w:t>
      </w:r>
      <w:r>
        <w:rPr>
          <w:rFonts w:ascii="Times New Roman" w:hAnsi="Times New Roman"/>
          <w:sz w:val="24"/>
          <w:szCs w:val="24"/>
        </w:rPr>
        <w:br/>
      </w:r>
      <w:r w:rsidRPr="003055B8">
        <w:rPr>
          <w:rFonts w:ascii="Times New Roman" w:hAnsi="Times New Roman"/>
          <w:sz w:val="24"/>
          <w:szCs w:val="24"/>
        </w:rPr>
        <w:t>2014 года характеризовалась положительн</w:t>
      </w:r>
      <w:r>
        <w:rPr>
          <w:rFonts w:ascii="Times New Roman" w:hAnsi="Times New Roman"/>
          <w:sz w:val="24"/>
          <w:szCs w:val="24"/>
        </w:rPr>
        <w:t xml:space="preserve">ой тенденцией развития растениеводческой </w:t>
      </w:r>
      <w:r>
        <w:rPr>
          <w:rFonts w:ascii="Times New Roman" w:hAnsi="Times New Roman"/>
          <w:sz w:val="24"/>
          <w:szCs w:val="24"/>
        </w:rPr>
        <w:lastRenderedPageBreak/>
        <w:t xml:space="preserve">отрасли, </w:t>
      </w:r>
      <w:r w:rsidRPr="003055B8">
        <w:rPr>
          <w:rFonts w:ascii="Times New Roman" w:hAnsi="Times New Roman"/>
          <w:sz w:val="24"/>
          <w:szCs w:val="24"/>
        </w:rPr>
        <w:t>чему способствовали благоприятные природно-климатические условия</w:t>
      </w:r>
      <w:r>
        <w:rPr>
          <w:rFonts w:ascii="Times New Roman" w:hAnsi="Times New Roman"/>
          <w:sz w:val="24"/>
          <w:szCs w:val="24"/>
        </w:rPr>
        <w:t xml:space="preserve"> текущего года</w:t>
      </w:r>
      <w:r w:rsidRPr="003055B8">
        <w:rPr>
          <w:rFonts w:ascii="Times New Roman" w:hAnsi="Times New Roman"/>
          <w:sz w:val="24"/>
          <w:szCs w:val="24"/>
        </w:rPr>
        <w:t>.</w:t>
      </w:r>
    </w:p>
    <w:p w:rsidR="00D41BA6" w:rsidRPr="00D41BA6" w:rsidRDefault="00D41BA6" w:rsidP="00D41BA6">
      <w:pPr>
        <w:pStyle w:val="20"/>
        <w:spacing w:after="0" w:line="240" w:lineRule="auto"/>
        <w:ind w:left="0" w:firstLine="709"/>
        <w:jc w:val="both"/>
        <w:rPr>
          <w:rFonts w:ascii="Times New Roman" w:hAnsi="Times New Roman"/>
          <w:sz w:val="24"/>
          <w:szCs w:val="24"/>
        </w:rPr>
      </w:pPr>
      <w:r w:rsidRPr="00D41BA6">
        <w:rPr>
          <w:rFonts w:ascii="Times New Roman" w:hAnsi="Times New Roman"/>
          <w:sz w:val="24"/>
          <w:szCs w:val="24"/>
        </w:rPr>
        <w:t>По итогам января-июня 2014 года</w:t>
      </w:r>
      <w:r w:rsidRPr="00D41BA6">
        <w:rPr>
          <w:rFonts w:ascii="Times New Roman" w:hAnsi="Times New Roman"/>
          <w:b/>
          <w:sz w:val="24"/>
          <w:szCs w:val="24"/>
        </w:rPr>
        <w:t xml:space="preserve"> объём валовой продукции сельского хозяйства, </w:t>
      </w:r>
      <w:r w:rsidRPr="00D41BA6">
        <w:rPr>
          <w:rFonts w:ascii="Times New Roman" w:hAnsi="Times New Roman"/>
          <w:sz w:val="24"/>
          <w:szCs w:val="24"/>
        </w:rPr>
        <w:t>произведенный всеми категориями хозяйств согласно оценке, сложился в размере 415,3 млн. руб. в текущих ценах, что на 6,6% больше сопоставимого значения прошлого года. Индекс физического объёма сельскохозяйственной продукции составил 118,3% к базисному уровню 2013 года.</w:t>
      </w:r>
    </w:p>
    <w:p w:rsidR="00D41BA6" w:rsidRDefault="00D41BA6" w:rsidP="00D41BA6">
      <w:pPr>
        <w:pStyle w:val="20"/>
        <w:spacing w:after="0" w:line="240" w:lineRule="auto"/>
        <w:ind w:left="0"/>
        <w:jc w:val="both"/>
        <w:rPr>
          <w:rFonts w:ascii="Times New Roman" w:hAnsi="Times New Roman"/>
        </w:rPr>
      </w:pPr>
      <w:r w:rsidRPr="00C67504">
        <w:rPr>
          <w:rFonts w:ascii="Times New Roman" w:hAnsi="Times New Roman"/>
          <w:noProof/>
        </w:rPr>
        <w:drawing>
          <wp:inline distT="0" distB="0" distL="0" distR="0">
            <wp:extent cx="6038850" cy="2276475"/>
            <wp:effectExtent l="0" t="0" r="0" b="0"/>
            <wp:docPr id="14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41BA6" w:rsidRPr="00D61B15" w:rsidRDefault="00D41BA6" w:rsidP="00D41BA6">
      <w:pPr>
        <w:pStyle w:val="20"/>
        <w:spacing w:after="0" w:line="240" w:lineRule="auto"/>
        <w:ind w:left="0"/>
        <w:jc w:val="both"/>
        <w:rPr>
          <w:rFonts w:ascii="Times New Roman" w:hAnsi="Times New Roman"/>
          <w:sz w:val="20"/>
          <w:szCs w:val="20"/>
        </w:rPr>
      </w:pPr>
      <w:r>
        <w:rPr>
          <w:rFonts w:ascii="Times New Roman" w:hAnsi="Times New Roman"/>
        </w:rPr>
        <w:t xml:space="preserve">        </w:t>
      </w:r>
      <w:r w:rsidRPr="00D61B15">
        <w:rPr>
          <w:rFonts w:ascii="Times New Roman" w:hAnsi="Times New Roman"/>
          <w:sz w:val="20"/>
          <w:szCs w:val="20"/>
        </w:rPr>
        <w:t>*темп роста (спада) приведён к уточнённым данным</w:t>
      </w:r>
      <w:r>
        <w:rPr>
          <w:rFonts w:ascii="Times New Roman" w:hAnsi="Times New Roman"/>
          <w:sz w:val="20"/>
          <w:szCs w:val="20"/>
        </w:rPr>
        <w:t xml:space="preserve"> соответствующего периода</w:t>
      </w:r>
      <w:r w:rsidRPr="00D61B15">
        <w:rPr>
          <w:rFonts w:ascii="Times New Roman" w:hAnsi="Times New Roman"/>
          <w:sz w:val="20"/>
          <w:szCs w:val="20"/>
        </w:rPr>
        <w:t>, %</w:t>
      </w:r>
    </w:p>
    <w:p w:rsidR="00C42921" w:rsidRDefault="00C42921" w:rsidP="00D41BA6">
      <w:pPr>
        <w:shd w:val="clear" w:color="auto" w:fill="FFFFFF"/>
        <w:spacing w:after="0" w:line="240" w:lineRule="auto"/>
        <w:ind w:firstLine="709"/>
        <w:jc w:val="both"/>
        <w:rPr>
          <w:rFonts w:ascii="Times New Roman" w:hAnsi="Times New Roman"/>
          <w:b/>
          <w:sz w:val="24"/>
          <w:szCs w:val="24"/>
        </w:rPr>
      </w:pPr>
    </w:p>
    <w:p w:rsidR="00D41BA6" w:rsidRPr="00385CFF" w:rsidRDefault="00D41BA6" w:rsidP="00D41BA6">
      <w:pPr>
        <w:shd w:val="clear" w:color="auto" w:fill="FFFFFF"/>
        <w:spacing w:after="0" w:line="240" w:lineRule="auto"/>
        <w:ind w:firstLine="709"/>
        <w:jc w:val="both"/>
        <w:rPr>
          <w:rFonts w:ascii="Times New Roman" w:hAnsi="Times New Roman"/>
          <w:sz w:val="24"/>
          <w:szCs w:val="24"/>
        </w:rPr>
      </w:pPr>
      <w:r w:rsidRPr="00385CFF">
        <w:rPr>
          <w:rFonts w:ascii="Times New Roman" w:hAnsi="Times New Roman"/>
          <w:b/>
          <w:sz w:val="24"/>
          <w:szCs w:val="24"/>
        </w:rPr>
        <w:t xml:space="preserve">Растениеводство. </w:t>
      </w:r>
      <w:r w:rsidRPr="00385CFF">
        <w:rPr>
          <w:rFonts w:ascii="Times New Roman" w:hAnsi="Times New Roman"/>
          <w:sz w:val="24"/>
          <w:szCs w:val="24"/>
        </w:rPr>
        <w:t xml:space="preserve">По данным статистической отчётности вся посевная площадь озимых и яровых культур под урожай 2014 года в хозяйствах всех категорий (без учёта хозяйств населения) сократилась на 3,7% по отношению к уровню 2013 года и составила 184,6 тыс. га. Площадь пашни по итогам сева озимых и яровых культур незначительно уменьшилась к аналогичному показателю 2013 года (на 0,7%) и достигла 199,7 тыс. га. </w:t>
      </w:r>
    </w:p>
    <w:p w:rsidR="00D41BA6" w:rsidRPr="000D0872" w:rsidRDefault="00D41BA6" w:rsidP="00D41BA6">
      <w:pPr>
        <w:shd w:val="clear" w:color="auto" w:fill="FFFFFF"/>
        <w:tabs>
          <w:tab w:val="left" w:pos="7797"/>
        </w:tabs>
        <w:spacing w:after="0" w:line="240" w:lineRule="auto"/>
        <w:ind w:firstLine="709"/>
        <w:jc w:val="right"/>
        <w:rPr>
          <w:rFonts w:ascii="Times New Roman" w:hAnsi="Times New Roman"/>
          <w:sz w:val="24"/>
          <w:szCs w:val="24"/>
        </w:rPr>
      </w:pPr>
      <w:r>
        <w:rPr>
          <w:rFonts w:ascii="Times New Roman" w:hAnsi="Times New Roman"/>
          <w:sz w:val="24"/>
          <w:szCs w:val="24"/>
        </w:rPr>
        <w:t>Т</w:t>
      </w:r>
      <w:r w:rsidRPr="000D0872">
        <w:rPr>
          <w:rFonts w:ascii="Times New Roman" w:hAnsi="Times New Roman"/>
          <w:sz w:val="24"/>
          <w:szCs w:val="24"/>
        </w:rPr>
        <w:t xml:space="preserve">аблица № </w:t>
      </w:r>
      <w:r w:rsidR="00C42921">
        <w:rPr>
          <w:rFonts w:ascii="Times New Roman" w:hAnsi="Times New Roman"/>
          <w:sz w:val="24"/>
          <w:szCs w:val="24"/>
        </w:rPr>
        <w:t>24</w:t>
      </w:r>
    </w:p>
    <w:p w:rsidR="00D41BA6" w:rsidRPr="00ED1A0E" w:rsidRDefault="00D41BA6" w:rsidP="00D41BA6">
      <w:pPr>
        <w:spacing w:after="0" w:line="240" w:lineRule="auto"/>
        <w:jc w:val="center"/>
        <w:rPr>
          <w:rFonts w:ascii="Times New Roman" w:hAnsi="Times New Roman"/>
          <w:b/>
          <w:sz w:val="20"/>
          <w:szCs w:val="20"/>
        </w:rPr>
      </w:pPr>
      <w:r w:rsidRPr="00ED1A0E">
        <w:rPr>
          <w:rFonts w:ascii="Times New Roman" w:hAnsi="Times New Roman"/>
          <w:b/>
          <w:sz w:val="20"/>
          <w:szCs w:val="20"/>
        </w:rPr>
        <w:t xml:space="preserve">Посевные площади озимых и яровых культур под урожай 2014 года </w:t>
      </w:r>
    </w:p>
    <w:p w:rsidR="00D41BA6" w:rsidRPr="00ED1A0E" w:rsidRDefault="00D41BA6" w:rsidP="00D41BA6">
      <w:pPr>
        <w:spacing w:after="0" w:line="240" w:lineRule="auto"/>
        <w:jc w:val="center"/>
        <w:rPr>
          <w:rFonts w:ascii="Times New Roman" w:hAnsi="Times New Roman"/>
          <w:b/>
          <w:sz w:val="20"/>
          <w:szCs w:val="20"/>
        </w:rPr>
      </w:pPr>
      <w:r w:rsidRPr="00ED1A0E">
        <w:rPr>
          <w:rFonts w:ascii="Times New Roman" w:hAnsi="Times New Roman"/>
          <w:b/>
          <w:sz w:val="20"/>
          <w:szCs w:val="20"/>
        </w:rPr>
        <w:t>в хозяйствах всех категорий (без учёта хозяйств населения)</w:t>
      </w:r>
    </w:p>
    <w:tbl>
      <w:tblPr>
        <w:tblW w:w="92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911"/>
        <w:gridCol w:w="23"/>
        <w:gridCol w:w="1323"/>
        <w:gridCol w:w="912"/>
        <w:gridCol w:w="6"/>
        <w:gridCol w:w="1346"/>
        <w:gridCol w:w="1338"/>
      </w:tblGrid>
      <w:tr w:rsidR="00D41BA6" w:rsidRPr="00ED1A0E" w:rsidTr="00DA2344">
        <w:trPr>
          <w:trHeight w:val="277"/>
        </w:trPr>
        <w:tc>
          <w:tcPr>
            <w:tcW w:w="3420" w:type="dxa"/>
            <w:vMerge w:val="restart"/>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0"/>
              <w:jc w:val="center"/>
              <w:rPr>
                <w:rFonts w:ascii="Times New Roman" w:hAnsi="Times New Roman"/>
                <w:b/>
                <w:sz w:val="20"/>
                <w:szCs w:val="20"/>
              </w:rPr>
            </w:pPr>
            <w:r w:rsidRPr="00ED1A0E">
              <w:rPr>
                <w:rFonts w:ascii="Times New Roman" w:hAnsi="Times New Roman"/>
                <w:b/>
                <w:sz w:val="20"/>
                <w:szCs w:val="20"/>
              </w:rPr>
              <w:t>Культуры</w:t>
            </w:r>
          </w:p>
        </w:tc>
        <w:tc>
          <w:tcPr>
            <w:tcW w:w="4521" w:type="dxa"/>
            <w:gridSpan w:val="6"/>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0"/>
              <w:jc w:val="center"/>
              <w:rPr>
                <w:rFonts w:ascii="Times New Roman" w:hAnsi="Times New Roman"/>
                <w:b/>
                <w:sz w:val="20"/>
                <w:szCs w:val="20"/>
              </w:rPr>
            </w:pPr>
            <w:r w:rsidRPr="00ED1A0E">
              <w:rPr>
                <w:rFonts w:ascii="Times New Roman" w:hAnsi="Times New Roman"/>
                <w:b/>
                <w:sz w:val="20"/>
                <w:szCs w:val="20"/>
              </w:rPr>
              <w:t>Посевные площади, тыс. га</w:t>
            </w:r>
          </w:p>
        </w:tc>
        <w:tc>
          <w:tcPr>
            <w:tcW w:w="1338" w:type="dxa"/>
            <w:vMerge w:val="restart"/>
            <w:tcBorders>
              <w:top w:val="single" w:sz="4" w:space="0" w:color="auto"/>
              <w:left w:val="single" w:sz="4" w:space="0" w:color="auto"/>
              <w:bottom w:val="single" w:sz="4" w:space="0" w:color="auto"/>
              <w:right w:val="single" w:sz="4" w:space="0" w:color="auto"/>
            </w:tcBorders>
            <w:vAlign w:val="center"/>
          </w:tcPr>
          <w:p w:rsidR="00D41BA6" w:rsidRDefault="00D41BA6" w:rsidP="00DA2344">
            <w:pPr>
              <w:pStyle w:val="20"/>
              <w:tabs>
                <w:tab w:val="left" w:pos="4140"/>
                <w:tab w:val="left" w:pos="6173"/>
              </w:tabs>
              <w:spacing w:after="0" w:line="240" w:lineRule="auto"/>
              <w:ind w:left="-141"/>
              <w:jc w:val="center"/>
              <w:rPr>
                <w:rFonts w:ascii="Times New Roman" w:hAnsi="Times New Roman"/>
                <w:b/>
                <w:bCs/>
                <w:sz w:val="20"/>
                <w:szCs w:val="20"/>
              </w:rPr>
            </w:pPr>
            <w:r w:rsidRPr="00ED1A0E">
              <w:rPr>
                <w:rFonts w:ascii="Times New Roman" w:hAnsi="Times New Roman"/>
                <w:b/>
                <w:bCs/>
                <w:sz w:val="20"/>
                <w:szCs w:val="20"/>
              </w:rPr>
              <w:t xml:space="preserve">Темп роста    2014 г. к </w:t>
            </w:r>
          </w:p>
          <w:p w:rsidR="00D41BA6" w:rsidRPr="00ED1A0E" w:rsidRDefault="00D41BA6" w:rsidP="00DA2344">
            <w:pPr>
              <w:pStyle w:val="20"/>
              <w:tabs>
                <w:tab w:val="left" w:pos="4140"/>
                <w:tab w:val="left" w:pos="6173"/>
              </w:tabs>
              <w:spacing w:after="0" w:line="240" w:lineRule="auto"/>
              <w:ind w:left="-141"/>
              <w:jc w:val="center"/>
              <w:rPr>
                <w:rFonts w:ascii="Times New Roman" w:hAnsi="Times New Roman"/>
                <w:b/>
                <w:sz w:val="20"/>
                <w:szCs w:val="20"/>
              </w:rPr>
            </w:pPr>
            <w:r w:rsidRPr="00ED1A0E">
              <w:rPr>
                <w:rFonts w:ascii="Times New Roman" w:hAnsi="Times New Roman"/>
                <w:b/>
                <w:bCs/>
                <w:sz w:val="20"/>
                <w:szCs w:val="20"/>
              </w:rPr>
              <w:t>2013 г., %</w:t>
            </w:r>
          </w:p>
        </w:tc>
      </w:tr>
      <w:tr w:rsidR="00D41BA6" w:rsidRPr="00ED1A0E" w:rsidTr="00DA2344">
        <w:trPr>
          <w:trHeight w:val="146"/>
        </w:trPr>
        <w:tc>
          <w:tcPr>
            <w:tcW w:w="3420" w:type="dxa"/>
            <w:vMerge/>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spacing w:after="0" w:line="240" w:lineRule="auto"/>
              <w:rPr>
                <w:rFonts w:ascii="Times New Roman" w:hAnsi="Times New Roman"/>
                <w:b/>
                <w:sz w:val="20"/>
                <w:szCs w:val="20"/>
              </w:rPr>
            </w:pPr>
          </w:p>
        </w:tc>
        <w:tc>
          <w:tcPr>
            <w:tcW w:w="911" w:type="dxa"/>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108"/>
              <w:jc w:val="center"/>
              <w:rPr>
                <w:rFonts w:ascii="Times New Roman" w:hAnsi="Times New Roman"/>
                <w:b/>
                <w:sz w:val="20"/>
                <w:szCs w:val="20"/>
              </w:rPr>
            </w:pPr>
            <w:r w:rsidRPr="00ED1A0E">
              <w:rPr>
                <w:rFonts w:ascii="Times New Roman" w:hAnsi="Times New Roman"/>
                <w:b/>
                <w:sz w:val="20"/>
                <w:szCs w:val="20"/>
              </w:rPr>
              <w:t>2013 г.</w:t>
            </w:r>
          </w:p>
        </w:tc>
        <w:tc>
          <w:tcPr>
            <w:tcW w:w="1346" w:type="dxa"/>
            <w:gridSpan w:val="2"/>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0"/>
              <w:jc w:val="center"/>
              <w:rPr>
                <w:rFonts w:ascii="Times New Roman" w:hAnsi="Times New Roman"/>
                <w:b/>
                <w:sz w:val="20"/>
                <w:szCs w:val="20"/>
              </w:rPr>
            </w:pPr>
            <w:r w:rsidRPr="00ED1A0E">
              <w:rPr>
                <w:rFonts w:ascii="Times New Roman" w:hAnsi="Times New Roman"/>
                <w:b/>
                <w:sz w:val="20"/>
                <w:szCs w:val="20"/>
              </w:rPr>
              <w:t>Удельный вес, %</w:t>
            </w:r>
          </w:p>
        </w:tc>
        <w:tc>
          <w:tcPr>
            <w:tcW w:w="918" w:type="dxa"/>
            <w:gridSpan w:val="2"/>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109"/>
              <w:jc w:val="center"/>
              <w:rPr>
                <w:rFonts w:ascii="Times New Roman" w:hAnsi="Times New Roman"/>
                <w:b/>
                <w:sz w:val="20"/>
                <w:szCs w:val="20"/>
              </w:rPr>
            </w:pPr>
            <w:r w:rsidRPr="00ED1A0E">
              <w:rPr>
                <w:rFonts w:ascii="Times New Roman" w:hAnsi="Times New Roman"/>
                <w:b/>
                <w:sz w:val="20"/>
                <w:szCs w:val="20"/>
              </w:rPr>
              <w:t>2014 г.</w:t>
            </w:r>
          </w:p>
        </w:tc>
        <w:tc>
          <w:tcPr>
            <w:tcW w:w="1346" w:type="dxa"/>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0"/>
              <w:jc w:val="center"/>
              <w:rPr>
                <w:rFonts w:ascii="Times New Roman" w:hAnsi="Times New Roman"/>
                <w:b/>
                <w:sz w:val="20"/>
                <w:szCs w:val="20"/>
              </w:rPr>
            </w:pPr>
            <w:r w:rsidRPr="00ED1A0E">
              <w:rPr>
                <w:rFonts w:ascii="Times New Roman" w:hAnsi="Times New Roman"/>
                <w:b/>
                <w:sz w:val="20"/>
                <w:szCs w:val="20"/>
              </w:rPr>
              <w:t>Удельный вес, %</w:t>
            </w:r>
          </w:p>
        </w:tc>
        <w:tc>
          <w:tcPr>
            <w:tcW w:w="1338" w:type="dxa"/>
            <w:vMerge/>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rPr>
                <w:rFonts w:ascii="Times New Roman" w:hAnsi="Times New Roman"/>
                <w:b/>
                <w:sz w:val="20"/>
                <w:szCs w:val="20"/>
              </w:rPr>
            </w:pPr>
          </w:p>
        </w:tc>
      </w:tr>
      <w:tr w:rsidR="00D41BA6" w:rsidRPr="00ED1A0E" w:rsidTr="00DA2344">
        <w:trPr>
          <w:trHeight w:val="146"/>
        </w:trPr>
        <w:tc>
          <w:tcPr>
            <w:tcW w:w="3420" w:type="dxa"/>
            <w:tcBorders>
              <w:top w:val="single" w:sz="4" w:space="0" w:color="auto"/>
              <w:left w:val="single" w:sz="4" w:space="0" w:color="auto"/>
              <w:bottom w:val="single" w:sz="4" w:space="0" w:color="auto"/>
              <w:right w:val="single" w:sz="4" w:space="0" w:color="auto"/>
            </w:tcBorders>
          </w:tcPr>
          <w:p w:rsidR="00D41BA6" w:rsidRPr="00ED1A0E" w:rsidRDefault="00D41BA6" w:rsidP="00DA2344">
            <w:pPr>
              <w:pStyle w:val="20"/>
              <w:tabs>
                <w:tab w:val="left" w:pos="4140"/>
                <w:tab w:val="left" w:pos="6173"/>
              </w:tabs>
              <w:spacing w:after="0" w:line="240" w:lineRule="auto"/>
              <w:ind w:left="0"/>
              <w:jc w:val="both"/>
              <w:rPr>
                <w:rFonts w:ascii="Times New Roman" w:hAnsi="Times New Roman"/>
                <w:sz w:val="20"/>
                <w:szCs w:val="20"/>
              </w:rPr>
            </w:pPr>
            <w:r w:rsidRPr="00ED1A0E">
              <w:rPr>
                <w:rFonts w:ascii="Times New Roman" w:hAnsi="Times New Roman"/>
                <w:sz w:val="20"/>
                <w:szCs w:val="20"/>
              </w:rPr>
              <w:t>Зерновые и зернобобовые культуры</w:t>
            </w:r>
          </w:p>
        </w:tc>
        <w:tc>
          <w:tcPr>
            <w:tcW w:w="911" w:type="dxa"/>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0"/>
              <w:jc w:val="center"/>
              <w:rPr>
                <w:rFonts w:ascii="Times New Roman" w:hAnsi="Times New Roman"/>
                <w:sz w:val="20"/>
                <w:szCs w:val="20"/>
              </w:rPr>
            </w:pPr>
            <w:r w:rsidRPr="00ED1A0E">
              <w:rPr>
                <w:rFonts w:ascii="Times New Roman" w:hAnsi="Times New Roman"/>
                <w:sz w:val="20"/>
                <w:szCs w:val="20"/>
              </w:rPr>
              <w:t>115,3</w:t>
            </w:r>
          </w:p>
        </w:tc>
        <w:tc>
          <w:tcPr>
            <w:tcW w:w="1346" w:type="dxa"/>
            <w:gridSpan w:val="2"/>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0"/>
              <w:jc w:val="center"/>
              <w:rPr>
                <w:rFonts w:ascii="Times New Roman" w:hAnsi="Times New Roman"/>
                <w:sz w:val="20"/>
                <w:szCs w:val="20"/>
              </w:rPr>
            </w:pPr>
            <w:r w:rsidRPr="00ED1A0E">
              <w:rPr>
                <w:rFonts w:ascii="Times New Roman" w:hAnsi="Times New Roman"/>
                <w:sz w:val="20"/>
                <w:szCs w:val="20"/>
              </w:rPr>
              <w:t>60,2</w:t>
            </w:r>
          </w:p>
        </w:tc>
        <w:tc>
          <w:tcPr>
            <w:tcW w:w="918" w:type="dxa"/>
            <w:gridSpan w:val="2"/>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0"/>
              <w:jc w:val="center"/>
              <w:rPr>
                <w:rFonts w:ascii="Times New Roman" w:hAnsi="Times New Roman"/>
                <w:sz w:val="20"/>
                <w:szCs w:val="20"/>
              </w:rPr>
            </w:pPr>
            <w:r w:rsidRPr="00ED1A0E">
              <w:rPr>
                <w:rFonts w:ascii="Times New Roman" w:hAnsi="Times New Roman"/>
                <w:sz w:val="20"/>
                <w:szCs w:val="20"/>
              </w:rPr>
              <w:t>111,7</w:t>
            </w:r>
          </w:p>
        </w:tc>
        <w:tc>
          <w:tcPr>
            <w:tcW w:w="1346" w:type="dxa"/>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0"/>
              <w:jc w:val="center"/>
              <w:rPr>
                <w:rFonts w:ascii="Times New Roman" w:hAnsi="Times New Roman"/>
                <w:sz w:val="20"/>
                <w:szCs w:val="20"/>
              </w:rPr>
            </w:pPr>
            <w:r w:rsidRPr="00ED1A0E">
              <w:rPr>
                <w:rFonts w:ascii="Times New Roman" w:hAnsi="Times New Roman"/>
                <w:sz w:val="20"/>
                <w:szCs w:val="20"/>
              </w:rPr>
              <w:t>60,5</w:t>
            </w:r>
          </w:p>
        </w:tc>
        <w:tc>
          <w:tcPr>
            <w:tcW w:w="1338" w:type="dxa"/>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spacing w:after="0" w:line="240" w:lineRule="auto"/>
              <w:jc w:val="center"/>
              <w:rPr>
                <w:rFonts w:ascii="Times New Roman" w:hAnsi="Times New Roman"/>
                <w:sz w:val="20"/>
                <w:szCs w:val="20"/>
              </w:rPr>
            </w:pPr>
            <w:r w:rsidRPr="00ED1A0E">
              <w:rPr>
                <w:rFonts w:ascii="Times New Roman" w:hAnsi="Times New Roman"/>
                <w:sz w:val="20"/>
                <w:szCs w:val="20"/>
              </w:rPr>
              <w:t>96,9</w:t>
            </w:r>
          </w:p>
        </w:tc>
      </w:tr>
      <w:tr w:rsidR="00D41BA6" w:rsidRPr="00ED1A0E" w:rsidTr="00DA2344">
        <w:trPr>
          <w:trHeight w:val="146"/>
        </w:trPr>
        <w:tc>
          <w:tcPr>
            <w:tcW w:w="3420" w:type="dxa"/>
            <w:tcBorders>
              <w:top w:val="single" w:sz="4" w:space="0" w:color="auto"/>
              <w:left w:val="single" w:sz="4" w:space="0" w:color="auto"/>
              <w:bottom w:val="single" w:sz="4" w:space="0" w:color="auto"/>
              <w:right w:val="single" w:sz="4" w:space="0" w:color="auto"/>
            </w:tcBorders>
          </w:tcPr>
          <w:p w:rsidR="00D41BA6" w:rsidRPr="00ED1A0E" w:rsidRDefault="00D41BA6" w:rsidP="00DA2344">
            <w:pPr>
              <w:pStyle w:val="20"/>
              <w:tabs>
                <w:tab w:val="left" w:pos="4140"/>
                <w:tab w:val="left" w:pos="6173"/>
              </w:tabs>
              <w:spacing w:after="0" w:line="240" w:lineRule="auto"/>
              <w:ind w:left="0"/>
              <w:jc w:val="both"/>
              <w:rPr>
                <w:rFonts w:ascii="Times New Roman" w:hAnsi="Times New Roman"/>
                <w:sz w:val="20"/>
                <w:szCs w:val="20"/>
              </w:rPr>
            </w:pPr>
            <w:r w:rsidRPr="00ED1A0E">
              <w:rPr>
                <w:rFonts w:ascii="Times New Roman" w:hAnsi="Times New Roman"/>
                <w:sz w:val="20"/>
                <w:szCs w:val="20"/>
              </w:rPr>
              <w:t>Технические культуры</w:t>
            </w:r>
          </w:p>
        </w:tc>
        <w:tc>
          <w:tcPr>
            <w:tcW w:w="911" w:type="dxa"/>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0"/>
              <w:jc w:val="center"/>
              <w:rPr>
                <w:rFonts w:ascii="Times New Roman" w:hAnsi="Times New Roman"/>
                <w:sz w:val="20"/>
                <w:szCs w:val="20"/>
              </w:rPr>
            </w:pPr>
            <w:r w:rsidRPr="00ED1A0E">
              <w:rPr>
                <w:rFonts w:ascii="Times New Roman" w:hAnsi="Times New Roman"/>
                <w:sz w:val="20"/>
                <w:szCs w:val="20"/>
              </w:rPr>
              <w:t>63,4</w:t>
            </w:r>
          </w:p>
        </w:tc>
        <w:tc>
          <w:tcPr>
            <w:tcW w:w="1346" w:type="dxa"/>
            <w:gridSpan w:val="2"/>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0"/>
              <w:jc w:val="center"/>
              <w:rPr>
                <w:rFonts w:ascii="Times New Roman" w:hAnsi="Times New Roman"/>
                <w:sz w:val="20"/>
                <w:szCs w:val="20"/>
              </w:rPr>
            </w:pPr>
            <w:r w:rsidRPr="00ED1A0E">
              <w:rPr>
                <w:rFonts w:ascii="Times New Roman" w:hAnsi="Times New Roman"/>
                <w:sz w:val="20"/>
                <w:szCs w:val="20"/>
              </w:rPr>
              <w:t>33,1</w:t>
            </w:r>
          </w:p>
        </w:tc>
        <w:tc>
          <w:tcPr>
            <w:tcW w:w="918" w:type="dxa"/>
            <w:gridSpan w:val="2"/>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0"/>
              <w:jc w:val="center"/>
              <w:rPr>
                <w:rFonts w:ascii="Times New Roman" w:hAnsi="Times New Roman"/>
                <w:sz w:val="20"/>
                <w:szCs w:val="20"/>
              </w:rPr>
            </w:pPr>
            <w:r w:rsidRPr="00ED1A0E">
              <w:rPr>
                <w:rFonts w:ascii="Times New Roman" w:hAnsi="Times New Roman"/>
                <w:sz w:val="20"/>
                <w:szCs w:val="20"/>
              </w:rPr>
              <w:t xml:space="preserve">  62,2</w:t>
            </w:r>
          </w:p>
        </w:tc>
        <w:tc>
          <w:tcPr>
            <w:tcW w:w="1346" w:type="dxa"/>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0"/>
              <w:jc w:val="center"/>
              <w:rPr>
                <w:rFonts w:ascii="Times New Roman" w:hAnsi="Times New Roman"/>
                <w:sz w:val="20"/>
                <w:szCs w:val="20"/>
              </w:rPr>
            </w:pPr>
            <w:r w:rsidRPr="00ED1A0E">
              <w:rPr>
                <w:rFonts w:ascii="Times New Roman" w:hAnsi="Times New Roman"/>
                <w:sz w:val="20"/>
                <w:szCs w:val="20"/>
              </w:rPr>
              <w:t>33,7</w:t>
            </w:r>
          </w:p>
        </w:tc>
        <w:tc>
          <w:tcPr>
            <w:tcW w:w="1338" w:type="dxa"/>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spacing w:after="0" w:line="240" w:lineRule="auto"/>
              <w:jc w:val="center"/>
              <w:rPr>
                <w:rFonts w:ascii="Times New Roman" w:hAnsi="Times New Roman"/>
                <w:sz w:val="20"/>
                <w:szCs w:val="20"/>
              </w:rPr>
            </w:pPr>
            <w:r w:rsidRPr="00ED1A0E">
              <w:rPr>
                <w:rFonts w:ascii="Times New Roman" w:hAnsi="Times New Roman"/>
                <w:sz w:val="20"/>
                <w:szCs w:val="20"/>
              </w:rPr>
              <w:t>98,1</w:t>
            </w:r>
          </w:p>
        </w:tc>
      </w:tr>
      <w:tr w:rsidR="00D41BA6" w:rsidRPr="00ED1A0E" w:rsidTr="00DA2344">
        <w:trPr>
          <w:trHeight w:val="146"/>
        </w:trPr>
        <w:tc>
          <w:tcPr>
            <w:tcW w:w="3420" w:type="dxa"/>
            <w:tcBorders>
              <w:top w:val="single" w:sz="4" w:space="0" w:color="auto"/>
              <w:left w:val="single" w:sz="4" w:space="0" w:color="auto"/>
              <w:bottom w:val="single" w:sz="4" w:space="0" w:color="auto"/>
              <w:right w:val="single" w:sz="4" w:space="0" w:color="auto"/>
            </w:tcBorders>
          </w:tcPr>
          <w:p w:rsidR="00D41BA6" w:rsidRPr="00ED1A0E" w:rsidRDefault="00D41BA6" w:rsidP="00DA2344">
            <w:pPr>
              <w:pStyle w:val="20"/>
              <w:tabs>
                <w:tab w:val="left" w:pos="4140"/>
                <w:tab w:val="left" w:pos="6173"/>
              </w:tabs>
              <w:spacing w:after="0" w:line="240" w:lineRule="auto"/>
              <w:ind w:left="0"/>
              <w:jc w:val="both"/>
              <w:rPr>
                <w:rFonts w:ascii="Times New Roman" w:hAnsi="Times New Roman"/>
                <w:sz w:val="20"/>
                <w:szCs w:val="20"/>
              </w:rPr>
            </w:pPr>
            <w:r w:rsidRPr="00ED1A0E">
              <w:rPr>
                <w:rFonts w:ascii="Times New Roman" w:hAnsi="Times New Roman"/>
                <w:sz w:val="20"/>
                <w:szCs w:val="20"/>
              </w:rPr>
              <w:t>Картофель, овощи и бахчевые    культуры</w:t>
            </w:r>
          </w:p>
        </w:tc>
        <w:tc>
          <w:tcPr>
            <w:tcW w:w="934" w:type="dxa"/>
            <w:gridSpan w:val="2"/>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44" w:hanging="584"/>
              <w:jc w:val="center"/>
              <w:rPr>
                <w:rFonts w:ascii="Times New Roman" w:hAnsi="Times New Roman"/>
                <w:sz w:val="20"/>
                <w:szCs w:val="20"/>
              </w:rPr>
            </w:pPr>
            <w:r w:rsidRPr="00ED1A0E">
              <w:rPr>
                <w:rFonts w:ascii="Times New Roman" w:hAnsi="Times New Roman"/>
                <w:sz w:val="20"/>
                <w:szCs w:val="20"/>
              </w:rPr>
              <w:t xml:space="preserve">           4,0</w:t>
            </w:r>
          </w:p>
        </w:tc>
        <w:tc>
          <w:tcPr>
            <w:tcW w:w="1323" w:type="dxa"/>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44" w:hanging="584"/>
              <w:jc w:val="center"/>
              <w:rPr>
                <w:rFonts w:ascii="Times New Roman" w:hAnsi="Times New Roman"/>
                <w:sz w:val="20"/>
                <w:szCs w:val="20"/>
              </w:rPr>
            </w:pPr>
            <w:r w:rsidRPr="00ED1A0E">
              <w:rPr>
                <w:rFonts w:ascii="Times New Roman" w:hAnsi="Times New Roman"/>
                <w:sz w:val="20"/>
                <w:szCs w:val="20"/>
              </w:rPr>
              <w:t xml:space="preserve">           2,1</w:t>
            </w:r>
          </w:p>
        </w:tc>
        <w:tc>
          <w:tcPr>
            <w:tcW w:w="918" w:type="dxa"/>
            <w:gridSpan w:val="2"/>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44" w:hanging="584"/>
              <w:jc w:val="center"/>
              <w:rPr>
                <w:rFonts w:ascii="Times New Roman" w:hAnsi="Times New Roman"/>
                <w:sz w:val="20"/>
                <w:szCs w:val="20"/>
              </w:rPr>
            </w:pPr>
            <w:r w:rsidRPr="00ED1A0E">
              <w:rPr>
                <w:rFonts w:ascii="Times New Roman" w:hAnsi="Times New Roman"/>
                <w:sz w:val="20"/>
                <w:szCs w:val="20"/>
              </w:rPr>
              <w:t xml:space="preserve">             3,9</w:t>
            </w:r>
          </w:p>
        </w:tc>
        <w:tc>
          <w:tcPr>
            <w:tcW w:w="1346" w:type="dxa"/>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44" w:hanging="584"/>
              <w:jc w:val="center"/>
              <w:rPr>
                <w:rFonts w:ascii="Times New Roman" w:hAnsi="Times New Roman"/>
                <w:sz w:val="20"/>
                <w:szCs w:val="20"/>
              </w:rPr>
            </w:pPr>
            <w:r w:rsidRPr="00ED1A0E">
              <w:rPr>
                <w:rFonts w:ascii="Times New Roman" w:hAnsi="Times New Roman"/>
                <w:sz w:val="20"/>
                <w:szCs w:val="20"/>
              </w:rPr>
              <w:t xml:space="preserve">            2,1 </w:t>
            </w:r>
          </w:p>
        </w:tc>
        <w:tc>
          <w:tcPr>
            <w:tcW w:w="1338" w:type="dxa"/>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spacing w:after="0" w:line="240" w:lineRule="auto"/>
              <w:jc w:val="center"/>
              <w:rPr>
                <w:rFonts w:ascii="Times New Roman" w:hAnsi="Times New Roman"/>
                <w:sz w:val="20"/>
                <w:szCs w:val="20"/>
              </w:rPr>
            </w:pPr>
            <w:r w:rsidRPr="00ED1A0E">
              <w:rPr>
                <w:rFonts w:ascii="Times New Roman" w:hAnsi="Times New Roman"/>
                <w:sz w:val="20"/>
                <w:szCs w:val="20"/>
              </w:rPr>
              <w:t>97,5</w:t>
            </w:r>
          </w:p>
        </w:tc>
      </w:tr>
      <w:tr w:rsidR="00D41BA6" w:rsidRPr="00ED1A0E" w:rsidTr="00DA2344">
        <w:trPr>
          <w:trHeight w:val="146"/>
        </w:trPr>
        <w:tc>
          <w:tcPr>
            <w:tcW w:w="3420" w:type="dxa"/>
            <w:tcBorders>
              <w:top w:val="single" w:sz="4" w:space="0" w:color="auto"/>
              <w:left w:val="single" w:sz="4" w:space="0" w:color="auto"/>
              <w:bottom w:val="single" w:sz="4" w:space="0" w:color="auto"/>
              <w:right w:val="single" w:sz="4" w:space="0" w:color="auto"/>
            </w:tcBorders>
          </w:tcPr>
          <w:p w:rsidR="00D41BA6" w:rsidRPr="00ED1A0E" w:rsidRDefault="00D41BA6" w:rsidP="00DA2344">
            <w:pPr>
              <w:pStyle w:val="20"/>
              <w:tabs>
                <w:tab w:val="left" w:pos="4140"/>
                <w:tab w:val="left" w:pos="6173"/>
              </w:tabs>
              <w:spacing w:after="0" w:line="240" w:lineRule="auto"/>
              <w:ind w:left="0"/>
              <w:jc w:val="both"/>
              <w:rPr>
                <w:rFonts w:ascii="Times New Roman" w:hAnsi="Times New Roman"/>
                <w:sz w:val="20"/>
                <w:szCs w:val="20"/>
              </w:rPr>
            </w:pPr>
            <w:r w:rsidRPr="00ED1A0E">
              <w:rPr>
                <w:rFonts w:ascii="Times New Roman" w:hAnsi="Times New Roman"/>
                <w:sz w:val="20"/>
                <w:szCs w:val="20"/>
              </w:rPr>
              <w:t>Кормовые культуры</w:t>
            </w:r>
          </w:p>
        </w:tc>
        <w:tc>
          <w:tcPr>
            <w:tcW w:w="934" w:type="dxa"/>
            <w:gridSpan w:val="2"/>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0"/>
              <w:jc w:val="center"/>
              <w:rPr>
                <w:rFonts w:ascii="Times New Roman" w:hAnsi="Times New Roman"/>
                <w:sz w:val="20"/>
                <w:szCs w:val="20"/>
              </w:rPr>
            </w:pPr>
            <w:r w:rsidRPr="00ED1A0E">
              <w:rPr>
                <w:rFonts w:ascii="Times New Roman" w:hAnsi="Times New Roman"/>
                <w:sz w:val="20"/>
                <w:szCs w:val="20"/>
              </w:rPr>
              <w:t>8,9</w:t>
            </w:r>
          </w:p>
        </w:tc>
        <w:tc>
          <w:tcPr>
            <w:tcW w:w="1323" w:type="dxa"/>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0"/>
              <w:jc w:val="center"/>
              <w:rPr>
                <w:rFonts w:ascii="Times New Roman" w:hAnsi="Times New Roman"/>
                <w:sz w:val="20"/>
                <w:szCs w:val="20"/>
              </w:rPr>
            </w:pPr>
            <w:r w:rsidRPr="00ED1A0E">
              <w:rPr>
                <w:rFonts w:ascii="Times New Roman" w:hAnsi="Times New Roman"/>
                <w:sz w:val="20"/>
                <w:szCs w:val="20"/>
              </w:rPr>
              <w:t>4,6</w:t>
            </w:r>
          </w:p>
        </w:tc>
        <w:tc>
          <w:tcPr>
            <w:tcW w:w="912" w:type="dxa"/>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0"/>
              <w:jc w:val="center"/>
              <w:rPr>
                <w:rFonts w:ascii="Times New Roman" w:hAnsi="Times New Roman"/>
                <w:sz w:val="20"/>
                <w:szCs w:val="20"/>
              </w:rPr>
            </w:pPr>
            <w:r w:rsidRPr="00ED1A0E">
              <w:rPr>
                <w:rFonts w:ascii="Times New Roman" w:hAnsi="Times New Roman"/>
                <w:sz w:val="20"/>
                <w:szCs w:val="20"/>
              </w:rPr>
              <w:t>6,8</w:t>
            </w: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0"/>
              <w:jc w:val="center"/>
              <w:rPr>
                <w:rFonts w:ascii="Times New Roman" w:hAnsi="Times New Roman"/>
                <w:sz w:val="20"/>
                <w:szCs w:val="20"/>
              </w:rPr>
            </w:pPr>
            <w:r w:rsidRPr="00ED1A0E">
              <w:rPr>
                <w:rFonts w:ascii="Times New Roman" w:hAnsi="Times New Roman"/>
                <w:sz w:val="20"/>
                <w:szCs w:val="20"/>
              </w:rPr>
              <w:t>3,7</w:t>
            </w:r>
          </w:p>
        </w:tc>
        <w:tc>
          <w:tcPr>
            <w:tcW w:w="1338" w:type="dxa"/>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spacing w:after="0" w:line="240" w:lineRule="auto"/>
              <w:jc w:val="center"/>
              <w:rPr>
                <w:rFonts w:ascii="Times New Roman" w:hAnsi="Times New Roman"/>
                <w:sz w:val="20"/>
                <w:szCs w:val="20"/>
              </w:rPr>
            </w:pPr>
            <w:r w:rsidRPr="00ED1A0E">
              <w:rPr>
                <w:rFonts w:ascii="Times New Roman" w:hAnsi="Times New Roman"/>
                <w:sz w:val="20"/>
                <w:szCs w:val="20"/>
              </w:rPr>
              <w:t>76,4</w:t>
            </w:r>
          </w:p>
        </w:tc>
      </w:tr>
      <w:tr w:rsidR="00D41BA6" w:rsidRPr="00ED1A0E" w:rsidTr="00DA2344">
        <w:trPr>
          <w:trHeight w:val="146"/>
        </w:trPr>
        <w:tc>
          <w:tcPr>
            <w:tcW w:w="3420" w:type="dxa"/>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spacing w:after="0" w:line="240" w:lineRule="auto"/>
              <w:rPr>
                <w:rFonts w:ascii="Times New Roman" w:hAnsi="Times New Roman"/>
                <w:b/>
                <w:sz w:val="20"/>
                <w:szCs w:val="20"/>
              </w:rPr>
            </w:pPr>
            <w:r w:rsidRPr="00ED1A0E">
              <w:rPr>
                <w:rFonts w:ascii="Times New Roman" w:hAnsi="Times New Roman"/>
                <w:b/>
                <w:sz w:val="20"/>
                <w:szCs w:val="20"/>
              </w:rPr>
              <w:t>Вся посевная площадь</w:t>
            </w:r>
          </w:p>
        </w:tc>
        <w:tc>
          <w:tcPr>
            <w:tcW w:w="911" w:type="dxa"/>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0"/>
              <w:jc w:val="center"/>
              <w:rPr>
                <w:rFonts w:ascii="Times New Roman" w:hAnsi="Times New Roman"/>
                <w:b/>
                <w:sz w:val="20"/>
                <w:szCs w:val="20"/>
              </w:rPr>
            </w:pPr>
            <w:r w:rsidRPr="00ED1A0E">
              <w:rPr>
                <w:rFonts w:ascii="Times New Roman" w:hAnsi="Times New Roman"/>
                <w:b/>
                <w:sz w:val="20"/>
                <w:szCs w:val="20"/>
              </w:rPr>
              <w:t>191,6</w:t>
            </w:r>
          </w:p>
        </w:tc>
        <w:tc>
          <w:tcPr>
            <w:tcW w:w="1346" w:type="dxa"/>
            <w:gridSpan w:val="2"/>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0"/>
              <w:jc w:val="center"/>
              <w:rPr>
                <w:rFonts w:ascii="Times New Roman" w:hAnsi="Times New Roman"/>
                <w:b/>
                <w:sz w:val="20"/>
                <w:szCs w:val="20"/>
              </w:rPr>
            </w:pPr>
            <w:r w:rsidRPr="00ED1A0E">
              <w:rPr>
                <w:rFonts w:ascii="Times New Roman" w:hAnsi="Times New Roman"/>
                <w:b/>
                <w:sz w:val="20"/>
                <w:szCs w:val="20"/>
              </w:rPr>
              <w:t>100,0</w:t>
            </w:r>
          </w:p>
        </w:tc>
        <w:tc>
          <w:tcPr>
            <w:tcW w:w="912" w:type="dxa"/>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0"/>
              <w:jc w:val="center"/>
              <w:rPr>
                <w:rFonts w:ascii="Times New Roman" w:hAnsi="Times New Roman"/>
                <w:b/>
                <w:sz w:val="20"/>
                <w:szCs w:val="20"/>
              </w:rPr>
            </w:pPr>
            <w:r w:rsidRPr="00ED1A0E">
              <w:rPr>
                <w:rFonts w:ascii="Times New Roman" w:hAnsi="Times New Roman"/>
                <w:b/>
                <w:sz w:val="20"/>
                <w:szCs w:val="20"/>
              </w:rPr>
              <w:t>184,6</w:t>
            </w: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0"/>
              <w:jc w:val="center"/>
              <w:rPr>
                <w:rFonts w:ascii="Times New Roman" w:hAnsi="Times New Roman"/>
                <w:b/>
                <w:sz w:val="20"/>
                <w:szCs w:val="20"/>
              </w:rPr>
            </w:pPr>
            <w:r w:rsidRPr="00ED1A0E">
              <w:rPr>
                <w:rFonts w:ascii="Times New Roman" w:hAnsi="Times New Roman"/>
                <w:b/>
                <w:sz w:val="20"/>
                <w:szCs w:val="20"/>
              </w:rPr>
              <w:t>100,0</w:t>
            </w:r>
          </w:p>
        </w:tc>
        <w:tc>
          <w:tcPr>
            <w:tcW w:w="1338" w:type="dxa"/>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spacing w:after="0" w:line="240" w:lineRule="auto"/>
              <w:jc w:val="center"/>
              <w:rPr>
                <w:rFonts w:ascii="Times New Roman" w:hAnsi="Times New Roman"/>
                <w:b/>
                <w:sz w:val="20"/>
                <w:szCs w:val="20"/>
              </w:rPr>
            </w:pPr>
            <w:r w:rsidRPr="00ED1A0E">
              <w:rPr>
                <w:rFonts w:ascii="Times New Roman" w:hAnsi="Times New Roman"/>
                <w:b/>
                <w:sz w:val="20"/>
                <w:szCs w:val="20"/>
              </w:rPr>
              <w:t>96,3</w:t>
            </w:r>
          </w:p>
        </w:tc>
      </w:tr>
      <w:tr w:rsidR="00D41BA6" w:rsidRPr="00ED1A0E" w:rsidTr="00DA2344">
        <w:trPr>
          <w:trHeight w:val="146"/>
        </w:trPr>
        <w:tc>
          <w:tcPr>
            <w:tcW w:w="3420" w:type="dxa"/>
            <w:tcBorders>
              <w:top w:val="single" w:sz="4" w:space="0" w:color="auto"/>
              <w:left w:val="single" w:sz="4" w:space="0" w:color="auto"/>
              <w:bottom w:val="single" w:sz="4" w:space="0" w:color="auto"/>
              <w:right w:val="single" w:sz="4" w:space="0" w:color="auto"/>
            </w:tcBorders>
          </w:tcPr>
          <w:p w:rsidR="00D41BA6" w:rsidRPr="00ED1A0E" w:rsidRDefault="00D41BA6" w:rsidP="00DA2344">
            <w:pPr>
              <w:pStyle w:val="20"/>
              <w:tabs>
                <w:tab w:val="left" w:pos="4140"/>
                <w:tab w:val="left" w:pos="6173"/>
              </w:tabs>
              <w:spacing w:after="0" w:line="240" w:lineRule="auto"/>
              <w:ind w:left="0"/>
              <w:rPr>
                <w:rFonts w:ascii="Times New Roman" w:hAnsi="Times New Roman"/>
                <w:b/>
                <w:sz w:val="20"/>
                <w:szCs w:val="20"/>
              </w:rPr>
            </w:pPr>
            <w:r w:rsidRPr="00ED1A0E">
              <w:rPr>
                <w:rFonts w:ascii="Times New Roman" w:hAnsi="Times New Roman"/>
                <w:b/>
                <w:sz w:val="20"/>
                <w:szCs w:val="20"/>
              </w:rPr>
              <w:t>Площадь пашни</w:t>
            </w:r>
          </w:p>
        </w:tc>
        <w:tc>
          <w:tcPr>
            <w:tcW w:w="934" w:type="dxa"/>
            <w:gridSpan w:val="2"/>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0"/>
              <w:jc w:val="center"/>
              <w:rPr>
                <w:rFonts w:ascii="Times New Roman" w:hAnsi="Times New Roman"/>
                <w:b/>
                <w:sz w:val="20"/>
                <w:szCs w:val="20"/>
              </w:rPr>
            </w:pPr>
            <w:r w:rsidRPr="00ED1A0E">
              <w:rPr>
                <w:rFonts w:ascii="Times New Roman" w:hAnsi="Times New Roman"/>
                <w:b/>
                <w:sz w:val="20"/>
                <w:szCs w:val="20"/>
              </w:rPr>
              <w:t>201,1</w:t>
            </w:r>
          </w:p>
        </w:tc>
        <w:tc>
          <w:tcPr>
            <w:tcW w:w="1323" w:type="dxa"/>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0"/>
              <w:jc w:val="center"/>
              <w:rPr>
                <w:rFonts w:ascii="Times New Roman" w:hAnsi="Times New Roman"/>
                <w:b/>
                <w:sz w:val="20"/>
                <w:szCs w:val="20"/>
              </w:rPr>
            </w:pPr>
            <w:r w:rsidRPr="00ED1A0E">
              <w:rPr>
                <w:rFonts w:ascii="Times New Roman" w:hAnsi="Times New Roman"/>
                <w:b/>
                <w:sz w:val="20"/>
                <w:szCs w:val="20"/>
              </w:rPr>
              <w:t>-</w:t>
            </w:r>
          </w:p>
        </w:tc>
        <w:tc>
          <w:tcPr>
            <w:tcW w:w="918" w:type="dxa"/>
            <w:gridSpan w:val="2"/>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0"/>
              <w:jc w:val="center"/>
              <w:rPr>
                <w:rFonts w:ascii="Times New Roman" w:hAnsi="Times New Roman"/>
                <w:b/>
                <w:sz w:val="20"/>
                <w:szCs w:val="20"/>
              </w:rPr>
            </w:pPr>
            <w:r w:rsidRPr="00ED1A0E">
              <w:rPr>
                <w:rFonts w:ascii="Times New Roman" w:hAnsi="Times New Roman"/>
                <w:b/>
                <w:sz w:val="20"/>
                <w:szCs w:val="20"/>
              </w:rPr>
              <w:t>199,7</w:t>
            </w:r>
          </w:p>
        </w:tc>
        <w:tc>
          <w:tcPr>
            <w:tcW w:w="1346" w:type="dxa"/>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pStyle w:val="20"/>
              <w:tabs>
                <w:tab w:val="left" w:pos="4140"/>
                <w:tab w:val="left" w:pos="6173"/>
              </w:tabs>
              <w:spacing w:after="0" w:line="240" w:lineRule="auto"/>
              <w:ind w:left="0"/>
              <w:jc w:val="center"/>
              <w:rPr>
                <w:rFonts w:ascii="Times New Roman" w:hAnsi="Times New Roman"/>
                <w:b/>
                <w:sz w:val="20"/>
                <w:szCs w:val="20"/>
              </w:rPr>
            </w:pPr>
            <w:r w:rsidRPr="00ED1A0E">
              <w:rPr>
                <w:rFonts w:ascii="Times New Roman" w:hAnsi="Times New Roman"/>
                <w:b/>
                <w:sz w:val="20"/>
                <w:szCs w:val="20"/>
              </w:rPr>
              <w:t>-</w:t>
            </w:r>
          </w:p>
        </w:tc>
        <w:tc>
          <w:tcPr>
            <w:tcW w:w="1338" w:type="dxa"/>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spacing w:after="0" w:line="240" w:lineRule="auto"/>
              <w:jc w:val="center"/>
              <w:rPr>
                <w:rFonts w:ascii="Times New Roman" w:hAnsi="Times New Roman"/>
                <w:b/>
                <w:sz w:val="20"/>
                <w:szCs w:val="20"/>
              </w:rPr>
            </w:pPr>
            <w:r w:rsidRPr="00ED1A0E">
              <w:rPr>
                <w:rFonts w:ascii="Times New Roman" w:hAnsi="Times New Roman"/>
                <w:b/>
                <w:sz w:val="20"/>
                <w:szCs w:val="20"/>
              </w:rPr>
              <w:t>99,3</w:t>
            </w:r>
          </w:p>
        </w:tc>
      </w:tr>
    </w:tbl>
    <w:p w:rsidR="00D41BA6" w:rsidRDefault="00D41BA6" w:rsidP="00D41BA6">
      <w:pPr>
        <w:spacing w:after="0" w:line="240" w:lineRule="auto"/>
        <w:ind w:firstLine="709"/>
        <w:jc w:val="both"/>
        <w:rPr>
          <w:rFonts w:ascii="Times New Roman" w:hAnsi="Times New Roman"/>
          <w:sz w:val="24"/>
          <w:szCs w:val="24"/>
        </w:rPr>
      </w:pPr>
    </w:p>
    <w:p w:rsidR="00D41BA6" w:rsidRPr="004D41ED" w:rsidRDefault="00D41BA6" w:rsidP="00D41BA6">
      <w:pPr>
        <w:spacing w:after="0" w:line="240" w:lineRule="auto"/>
        <w:ind w:firstLine="709"/>
        <w:jc w:val="both"/>
        <w:rPr>
          <w:rFonts w:ascii="Times New Roman" w:hAnsi="Times New Roman"/>
          <w:sz w:val="24"/>
          <w:szCs w:val="24"/>
        </w:rPr>
      </w:pPr>
      <w:r w:rsidRPr="004D41ED">
        <w:rPr>
          <w:rFonts w:ascii="Times New Roman" w:hAnsi="Times New Roman"/>
          <w:sz w:val="24"/>
          <w:szCs w:val="24"/>
        </w:rPr>
        <w:t xml:space="preserve">Анализ использования пашни в сельскохозяйственном производстве показал, что в 2014 году из-за недостатка оборотных средств на приобретение </w:t>
      </w:r>
      <w:r>
        <w:rPr>
          <w:rFonts w:ascii="Times New Roman" w:hAnsi="Times New Roman"/>
          <w:sz w:val="24"/>
          <w:szCs w:val="24"/>
        </w:rPr>
        <w:t xml:space="preserve">посадочного материала, </w:t>
      </w:r>
      <w:r w:rsidRPr="004D41ED">
        <w:rPr>
          <w:rFonts w:ascii="Times New Roman" w:hAnsi="Times New Roman"/>
          <w:sz w:val="24"/>
          <w:szCs w:val="24"/>
        </w:rPr>
        <w:t>горюче-смазочных материалов в хозяйствах всех категорий (без учёта хозяйств населения) остались незасеянными 15,2 тыс. га площади пашни (из них 5,3 тыс. га – чистые пары) или 7,6% от общей площади пашни против 9,7 тыс. га к уровню 2013 года, в том числе:</w:t>
      </w:r>
    </w:p>
    <w:p w:rsidR="00D41BA6" w:rsidRPr="004D41ED" w:rsidRDefault="00D41BA6" w:rsidP="00D41BA6">
      <w:pPr>
        <w:spacing w:after="0" w:line="240" w:lineRule="auto"/>
        <w:ind w:firstLine="709"/>
        <w:jc w:val="both"/>
        <w:rPr>
          <w:rFonts w:ascii="Times New Roman" w:hAnsi="Times New Roman"/>
          <w:sz w:val="24"/>
          <w:szCs w:val="24"/>
        </w:rPr>
      </w:pPr>
      <w:r w:rsidRPr="004D41ED">
        <w:rPr>
          <w:rFonts w:ascii="Times New Roman" w:hAnsi="Times New Roman"/>
          <w:sz w:val="24"/>
          <w:szCs w:val="24"/>
        </w:rPr>
        <w:t>-в сельскохозяйственных организациях – 13,4 тыс. га (или 7,8%) против 7,5 тыс. га к уровню 2013 года;</w:t>
      </w:r>
    </w:p>
    <w:p w:rsidR="00D41BA6" w:rsidRPr="004D41ED" w:rsidRDefault="00D41BA6" w:rsidP="00D41BA6">
      <w:pPr>
        <w:spacing w:after="0" w:line="240" w:lineRule="auto"/>
        <w:ind w:firstLine="709"/>
        <w:jc w:val="both"/>
        <w:rPr>
          <w:rFonts w:ascii="Times New Roman" w:hAnsi="Times New Roman"/>
          <w:sz w:val="24"/>
          <w:szCs w:val="24"/>
        </w:rPr>
      </w:pPr>
      <w:r w:rsidRPr="004D41ED">
        <w:rPr>
          <w:rFonts w:ascii="Times New Roman" w:hAnsi="Times New Roman"/>
          <w:sz w:val="24"/>
          <w:szCs w:val="24"/>
        </w:rPr>
        <w:t>-в крестьянских (фермерских) хозяйствах и арендаторах – 1,5 тыс. га (или 5,6%) против 1,8 тыс. га к уровню 2013 года;</w:t>
      </w:r>
    </w:p>
    <w:p w:rsidR="00D41BA6" w:rsidRPr="004D41ED" w:rsidRDefault="00D41BA6" w:rsidP="00D41BA6">
      <w:pPr>
        <w:spacing w:after="0" w:line="240" w:lineRule="auto"/>
        <w:ind w:firstLine="709"/>
        <w:jc w:val="both"/>
        <w:rPr>
          <w:rFonts w:ascii="Times New Roman" w:hAnsi="Times New Roman"/>
          <w:sz w:val="24"/>
          <w:szCs w:val="24"/>
        </w:rPr>
      </w:pPr>
      <w:r w:rsidRPr="004D41ED">
        <w:rPr>
          <w:rFonts w:ascii="Times New Roman" w:hAnsi="Times New Roman"/>
          <w:sz w:val="24"/>
          <w:szCs w:val="24"/>
        </w:rPr>
        <w:t>-в подсобных хозяйствах – 0,3 тыс. га (или 25,9%) против 0,4</w:t>
      </w:r>
      <w:r>
        <w:rPr>
          <w:rFonts w:ascii="Times New Roman" w:hAnsi="Times New Roman"/>
          <w:sz w:val="24"/>
          <w:szCs w:val="24"/>
        </w:rPr>
        <w:t xml:space="preserve"> тыс. га к уровню  2</w:t>
      </w:r>
      <w:r w:rsidRPr="004D41ED">
        <w:rPr>
          <w:rFonts w:ascii="Times New Roman" w:hAnsi="Times New Roman"/>
          <w:sz w:val="24"/>
          <w:szCs w:val="24"/>
        </w:rPr>
        <w:t>013 года.</w:t>
      </w:r>
    </w:p>
    <w:p w:rsidR="00D41BA6" w:rsidRPr="003055B8" w:rsidRDefault="00D41BA6" w:rsidP="00D41BA6">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В аграр</w:t>
      </w:r>
      <w:r w:rsidRPr="003055B8">
        <w:rPr>
          <w:rFonts w:ascii="Times New Roman" w:hAnsi="Times New Roman"/>
          <w:sz w:val="24"/>
          <w:szCs w:val="24"/>
        </w:rPr>
        <w:t xml:space="preserve">ном секторе республики в </w:t>
      </w:r>
      <w:r w:rsidRPr="003055B8">
        <w:rPr>
          <w:rFonts w:ascii="Times New Roman" w:hAnsi="Times New Roman"/>
          <w:sz w:val="24"/>
          <w:szCs w:val="24"/>
          <w:lang w:val="en-US"/>
        </w:rPr>
        <w:t>I</w:t>
      </w:r>
      <w:r w:rsidRPr="003055B8">
        <w:rPr>
          <w:rFonts w:ascii="Times New Roman" w:hAnsi="Times New Roman"/>
          <w:sz w:val="24"/>
          <w:szCs w:val="24"/>
        </w:rPr>
        <w:t xml:space="preserve"> полугодии 2014 года основная работа сельскохозяйственных производителей была направлена на проведение весенне-полевых работ и на уборку зерновых и зернобобовых культур первой группы.</w:t>
      </w:r>
    </w:p>
    <w:p w:rsidR="00D41BA6" w:rsidRPr="002E0E3D" w:rsidRDefault="00D41BA6" w:rsidP="00D41BA6">
      <w:pPr>
        <w:spacing w:after="0" w:line="240" w:lineRule="auto"/>
        <w:ind w:firstLine="709"/>
        <w:jc w:val="both"/>
        <w:rPr>
          <w:rFonts w:ascii="Times New Roman" w:hAnsi="Times New Roman"/>
          <w:sz w:val="24"/>
          <w:szCs w:val="24"/>
        </w:rPr>
      </w:pPr>
      <w:r w:rsidRPr="002E0E3D">
        <w:rPr>
          <w:rFonts w:ascii="Times New Roman" w:hAnsi="Times New Roman"/>
          <w:sz w:val="24"/>
          <w:szCs w:val="24"/>
        </w:rPr>
        <w:t>По оперативным данным Министерства сельского хозяйства и природных ресурсов Приднестровской Молдавской Республики, валовой сбор зерновых и зернобобовых культур первой группы по состоянию на 14 августа 2014</w:t>
      </w:r>
      <w:r>
        <w:rPr>
          <w:rFonts w:ascii="Times New Roman" w:hAnsi="Times New Roman"/>
          <w:sz w:val="24"/>
          <w:szCs w:val="24"/>
        </w:rPr>
        <w:t xml:space="preserve"> года </w:t>
      </w:r>
      <w:r w:rsidRPr="002E0E3D">
        <w:rPr>
          <w:rFonts w:ascii="Times New Roman" w:hAnsi="Times New Roman"/>
          <w:sz w:val="24"/>
          <w:szCs w:val="24"/>
        </w:rPr>
        <w:t>достиг 33</w:t>
      </w:r>
      <w:r>
        <w:rPr>
          <w:rFonts w:ascii="Times New Roman" w:hAnsi="Times New Roman"/>
          <w:sz w:val="24"/>
          <w:szCs w:val="24"/>
        </w:rPr>
        <w:t>9,2</w:t>
      </w:r>
      <w:r w:rsidRPr="002E0E3D">
        <w:rPr>
          <w:rFonts w:ascii="Times New Roman" w:hAnsi="Times New Roman"/>
          <w:sz w:val="24"/>
          <w:szCs w:val="24"/>
        </w:rPr>
        <w:t xml:space="preserve"> тыс. тонн, в том числе озимой пшеницы – 2</w:t>
      </w:r>
      <w:r>
        <w:rPr>
          <w:rFonts w:ascii="Times New Roman" w:hAnsi="Times New Roman"/>
          <w:sz w:val="24"/>
          <w:szCs w:val="24"/>
        </w:rPr>
        <w:t>64,5</w:t>
      </w:r>
      <w:r w:rsidRPr="002E0E3D">
        <w:rPr>
          <w:rFonts w:ascii="Times New Roman" w:hAnsi="Times New Roman"/>
          <w:sz w:val="24"/>
          <w:szCs w:val="24"/>
        </w:rPr>
        <w:t xml:space="preserve"> тыс. тонн, что составляет 10</w:t>
      </w:r>
      <w:r>
        <w:rPr>
          <w:rFonts w:ascii="Times New Roman" w:hAnsi="Times New Roman"/>
          <w:sz w:val="24"/>
          <w:szCs w:val="24"/>
        </w:rPr>
        <w:t>2,6</w:t>
      </w:r>
      <w:r w:rsidRPr="002E0E3D">
        <w:rPr>
          <w:rFonts w:ascii="Times New Roman" w:hAnsi="Times New Roman"/>
          <w:sz w:val="24"/>
          <w:szCs w:val="24"/>
        </w:rPr>
        <w:t xml:space="preserve">% и </w:t>
      </w:r>
      <w:r>
        <w:rPr>
          <w:rFonts w:ascii="Times New Roman" w:hAnsi="Times New Roman"/>
          <w:sz w:val="24"/>
          <w:szCs w:val="24"/>
        </w:rPr>
        <w:t>100,7</w:t>
      </w:r>
      <w:r w:rsidRPr="002E0E3D">
        <w:rPr>
          <w:rFonts w:ascii="Times New Roman" w:hAnsi="Times New Roman"/>
          <w:sz w:val="24"/>
          <w:szCs w:val="24"/>
        </w:rPr>
        <w:t>% к аналогичной дате 2013 года. Средняя урожайность зерновых и зернобобовых культур</w:t>
      </w:r>
      <w:r>
        <w:rPr>
          <w:rFonts w:ascii="Times New Roman" w:hAnsi="Times New Roman"/>
          <w:sz w:val="24"/>
          <w:szCs w:val="24"/>
        </w:rPr>
        <w:t xml:space="preserve"> первой группы</w:t>
      </w:r>
      <w:r w:rsidRPr="002E0E3D">
        <w:rPr>
          <w:rFonts w:ascii="Times New Roman" w:hAnsi="Times New Roman"/>
          <w:sz w:val="24"/>
          <w:szCs w:val="24"/>
        </w:rPr>
        <w:t xml:space="preserve"> составила 3</w:t>
      </w:r>
      <w:r>
        <w:rPr>
          <w:rFonts w:ascii="Times New Roman" w:hAnsi="Times New Roman"/>
          <w:sz w:val="24"/>
          <w:szCs w:val="24"/>
        </w:rPr>
        <w:t>7,5</w:t>
      </w:r>
      <w:r w:rsidRPr="002E0E3D">
        <w:rPr>
          <w:rFonts w:ascii="Times New Roman" w:hAnsi="Times New Roman"/>
          <w:sz w:val="24"/>
          <w:szCs w:val="24"/>
        </w:rPr>
        <w:t xml:space="preserve"> ц/га, озимой пшеницы –</w:t>
      </w:r>
      <w:r>
        <w:rPr>
          <w:rFonts w:ascii="Times New Roman" w:hAnsi="Times New Roman"/>
          <w:sz w:val="24"/>
          <w:szCs w:val="24"/>
        </w:rPr>
        <w:t xml:space="preserve"> </w:t>
      </w:r>
      <w:r w:rsidRPr="002E0E3D">
        <w:rPr>
          <w:rFonts w:ascii="Times New Roman" w:hAnsi="Times New Roman"/>
          <w:sz w:val="24"/>
          <w:szCs w:val="24"/>
        </w:rPr>
        <w:t>4</w:t>
      </w:r>
      <w:r>
        <w:rPr>
          <w:rFonts w:ascii="Times New Roman" w:hAnsi="Times New Roman"/>
          <w:sz w:val="24"/>
          <w:szCs w:val="24"/>
        </w:rPr>
        <w:t>0,6</w:t>
      </w:r>
      <w:r w:rsidRPr="002E0E3D">
        <w:rPr>
          <w:rFonts w:ascii="Times New Roman" w:hAnsi="Times New Roman"/>
          <w:sz w:val="24"/>
          <w:szCs w:val="24"/>
        </w:rPr>
        <w:t xml:space="preserve"> ц/га против 36,</w:t>
      </w:r>
      <w:r>
        <w:rPr>
          <w:rFonts w:ascii="Times New Roman" w:hAnsi="Times New Roman"/>
          <w:sz w:val="24"/>
          <w:szCs w:val="24"/>
        </w:rPr>
        <w:t xml:space="preserve">0 ц/га и </w:t>
      </w:r>
      <w:r>
        <w:rPr>
          <w:rFonts w:ascii="Times New Roman" w:hAnsi="Times New Roman"/>
          <w:sz w:val="24"/>
          <w:szCs w:val="24"/>
        </w:rPr>
        <w:br/>
        <w:t>39,7</w:t>
      </w:r>
      <w:r w:rsidRPr="002E0E3D">
        <w:rPr>
          <w:rFonts w:ascii="Times New Roman" w:hAnsi="Times New Roman"/>
          <w:sz w:val="24"/>
          <w:szCs w:val="24"/>
        </w:rPr>
        <w:t xml:space="preserve"> </w:t>
      </w:r>
      <w:r>
        <w:rPr>
          <w:rFonts w:ascii="Times New Roman" w:hAnsi="Times New Roman"/>
          <w:sz w:val="24"/>
          <w:szCs w:val="24"/>
        </w:rPr>
        <w:t>ц/г</w:t>
      </w:r>
      <w:r w:rsidRPr="002E0E3D">
        <w:rPr>
          <w:rFonts w:ascii="Times New Roman" w:hAnsi="Times New Roman"/>
          <w:sz w:val="24"/>
          <w:szCs w:val="24"/>
        </w:rPr>
        <w:t>а в 2013 году соответственно.</w:t>
      </w:r>
    </w:p>
    <w:p w:rsidR="00D41BA6" w:rsidRPr="00A165EF" w:rsidRDefault="00D41BA6" w:rsidP="00D41BA6">
      <w:pPr>
        <w:spacing w:after="0" w:line="240" w:lineRule="auto"/>
        <w:ind w:firstLine="709"/>
        <w:jc w:val="right"/>
        <w:rPr>
          <w:rFonts w:ascii="Times New Roman" w:hAnsi="Times New Roman"/>
          <w:sz w:val="24"/>
          <w:szCs w:val="24"/>
        </w:rPr>
      </w:pPr>
      <w:r w:rsidRPr="00A165EF">
        <w:rPr>
          <w:rFonts w:ascii="Times New Roman" w:hAnsi="Times New Roman"/>
          <w:sz w:val="24"/>
          <w:szCs w:val="24"/>
        </w:rPr>
        <w:t>Таблица №</w:t>
      </w:r>
      <w:r w:rsidR="00C42921">
        <w:rPr>
          <w:rFonts w:ascii="Times New Roman" w:hAnsi="Times New Roman"/>
          <w:sz w:val="24"/>
          <w:szCs w:val="24"/>
        </w:rPr>
        <w:t>2</w:t>
      </w:r>
      <w:r w:rsidR="00381ABA">
        <w:rPr>
          <w:rFonts w:ascii="Times New Roman" w:hAnsi="Times New Roman"/>
          <w:sz w:val="24"/>
          <w:szCs w:val="24"/>
        </w:rPr>
        <w:t>5</w:t>
      </w:r>
    </w:p>
    <w:p w:rsidR="00D41BA6" w:rsidRPr="00ED1A0E" w:rsidRDefault="00D41BA6" w:rsidP="00D41BA6">
      <w:pPr>
        <w:suppressAutoHyphens/>
        <w:spacing w:after="0" w:line="240" w:lineRule="auto"/>
        <w:jc w:val="center"/>
        <w:rPr>
          <w:rFonts w:ascii="Times New Roman" w:hAnsi="Times New Roman"/>
          <w:b/>
          <w:sz w:val="20"/>
          <w:szCs w:val="20"/>
        </w:rPr>
      </w:pPr>
      <w:r w:rsidRPr="00ED1A0E">
        <w:rPr>
          <w:rFonts w:ascii="Times New Roman" w:hAnsi="Times New Roman"/>
          <w:b/>
          <w:sz w:val="20"/>
          <w:szCs w:val="20"/>
        </w:rPr>
        <w:t>Оперативная информация о валовом сборе зерновых и зернобобовых культур</w:t>
      </w:r>
    </w:p>
    <w:p w:rsidR="00D41BA6" w:rsidRPr="00ED1A0E" w:rsidRDefault="00D41BA6" w:rsidP="00D41BA6">
      <w:pPr>
        <w:suppressAutoHyphens/>
        <w:spacing w:after="0" w:line="240" w:lineRule="auto"/>
        <w:jc w:val="center"/>
        <w:rPr>
          <w:rFonts w:ascii="Times New Roman" w:hAnsi="Times New Roman"/>
          <w:b/>
          <w:sz w:val="20"/>
          <w:szCs w:val="20"/>
        </w:rPr>
      </w:pPr>
      <w:r w:rsidRPr="00ED1A0E">
        <w:rPr>
          <w:rFonts w:ascii="Times New Roman" w:hAnsi="Times New Roman"/>
          <w:b/>
          <w:sz w:val="20"/>
          <w:szCs w:val="20"/>
        </w:rPr>
        <w:t xml:space="preserve"> первой гру</w:t>
      </w:r>
      <w:r w:rsidR="00776745">
        <w:rPr>
          <w:rFonts w:ascii="Times New Roman" w:hAnsi="Times New Roman"/>
          <w:b/>
          <w:sz w:val="20"/>
          <w:szCs w:val="20"/>
        </w:rPr>
        <w:t xml:space="preserve">ппы всеми категориями хозяйств </w:t>
      </w:r>
      <w:r w:rsidRPr="00ED1A0E">
        <w:rPr>
          <w:rFonts w:ascii="Times New Roman" w:hAnsi="Times New Roman"/>
          <w:b/>
          <w:sz w:val="20"/>
          <w:szCs w:val="20"/>
        </w:rPr>
        <w:t xml:space="preserve">ПМР </w:t>
      </w:r>
    </w:p>
    <w:p w:rsidR="00D41BA6" w:rsidRPr="00ED1A0E" w:rsidRDefault="00D41BA6" w:rsidP="00D41BA6">
      <w:pPr>
        <w:suppressAutoHyphens/>
        <w:spacing w:after="0" w:line="240" w:lineRule="auto"/>
        <w:jc w:val="center"/>
        <w:rPr>
          <w:rFonts w:ascii="Times New Roman" w:hAnsi="Times New Roman"/>
          <w:b/>
          <w:sz w:val="20"/>
          <w:szCs w:val="20"/>
        </w:rPr>
      </w:pPr>
      <w:r w:rsidRPr="00ED1A0E">
        <w:rPr>
          <w:rFonts w:ascii="Times New Roman" w:hAnsi="Times New Roman"/>
          <w:b/>
          <w:sz w:val="20"/>
          <w:szCs w:val="20"/>
        </w:rPr>
        <w:t>по состоянию на 14 августа 2014 года</w:t>
      </w:r>
    </w:p>
    <w:tbl>
      <w:tblPr>
        <w:tblW w:w="9214" w:type="dxa"/>
        <w:tblInd w:w="250" w:type="dxa"/>
        <w:tblLayout w:type="fixed"/>
        <w:tblLook w:val="0000"/>
      </w:tblPr>
      <w:tblGrid>
        <w:gridCol w:w="2753"/>
        <w:gridCol w:w="1080"/>
        <w:gridCol w:w="885"/>
        <w:gridCol w:w="1236"/>
        <w:gridCol w:w="841"/>
        <w:gridCol w:w="1143"/>
        <w:gridCol w:w="1276"/>
      </w:tblGrid>
      <w:tr w:rsidR="00D41BA6" w:rsidRPr="00ED1A0E" w:rsidTr="00DA2344">
        <w:trPr>
          <w:trHeight w:val="285"/>
        </w:trPr>
        <w:tc>
          <w:tcPr>
            <w:tcW w:w="275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41BA6" w:rsidRPr="00ED1A0E" w:rsidRDefault="00D41BA6" w:rsidP="00DA2344">
            <w:pPr>
              <w:spacing w:after="0" w:line="240" w:lineRule="auto"/>
              <w:jc w:val="center"/>
              <w:rPr>
                <w:rFonts w:ascii="Times New Roman" w:hAnsi="Times New Roman"/>
                <w:b/>
                <w:bCs/>
                <w:sz w:val="20"/>
                <w:szCs w:val="20"/>
              </w:rPr>
            </w:pPr>
            <w:r w:rsidRPr="00ED1A0E">
              <w:rPr>
                <w:rFonts w:ascii="Times New Roman" w:hAnsi="Times New Roman"/>
                <w:b/>
                <w:bCs/>
                <w:sz w:val="20"/>
                <w:szCs w:val="20"/>
              </w:rPr>
              <w:t>Культуры</w:t>
            </w:r>
          </w:p>
        </w:tc>
        <w:tc>
          <w:tcPr>
            <w:tcW w:w="3201" w:type="dxa"/>
            <w:gridSpan w:val="3"/>
            <w:tcBorders>
              <w:top w:val="single" w:sz="4" w:space="0" w:color="auto"/>
              <w:left w:val="nil"/>
              <w:bottom w:val="single" w:sz="4" w:space="0" w:color="auto"/>
              <w:right w:val="single" w:sz="4" w:space="0" w:color="auto"/>
            </w:tcBorders>
            <w:shd w:val="clear" w:color="auto" w:fill="auto"/>
            <w:vAlign w:val="center"/>
          </w:tcPr>
          <w:p w:rsidR="00D41BA6" w:rsidRPr="00ED1A0E" w:rsidRDefault="00D41BA6" w:rsidP="00DA2344">
            <w:pPr>
              <w:spacing w:after="0" w:line="240" w:lineRule="auto"/>
              <w:jc w:val="center"/>
              <w:rPr>
                <w:rFonts w:ascii="Times New Roman" w:hAnsi="Times New Roman"/>
                <w:b/>
                <w:bCs/>
                <w:sz w:val="20"/>
                <w:szCs w:val="20"/>
              </w:rPr>
            </w:pPr>
            <w:r w:rsidRPr="00ED1A0E">
              <w:rPr>
                <w:rFonts w:ascii="Times New Roman" w:hAnsi="Times New Roman"/>
                <w:b/>
                <w:bCs/>
                <w:sz w:val="20"/>
                <w:szCs w:val="20"/>
              </w:rPr>
              <w:t>Валовой сбор, тыс. тонн</w:t>
            </w:r>
          </w:p>
        </w:tc>
        <w:tc>
          <w:tcPr>
            <w:tcW w:w="3260" w:type="dxa"/>
            <w:gridSpan w:val="3"/>
            <w:tcBorders>
              <w:top w:val="single" w:sz="4" w:space="0" w:color="auto"/>
              <w:left w:val="nil"/>
              <w:bottom w:val="single" w:sz="4" w:space="0" w:color="auto"/>
              <w:right w:val="single" w:sz="4" w:space="0" w:color="auto"/>
            </w:tcBorders>
            <w:shd w:val="clear" w:color="auto" w:fill="auto"/>
            <w:vAlign w:val="bottom"/>
          </w:tcPr>
          <w:p w:rsidR="00D41BA6" w:rsidRPr="00ED1A0E" w:rsidRDefault="00D41BA6" w:rsidP="00DA2344">
            <w:pPr>
              <w:spacing w:after="0" w:line="240" w:lineRule="auto"/>
              <w:ind w:left="-288"/>
              <w:jc w:val="center"/>
              <w:rPr>
                <w:rFonts w:ascii="Times New Roman" w:hAnsi="Times New Roman"/>
                <w:b/>
                <w:bCs/>
                <w:sz w:val="20"/>
                <w:szCs w:val="20"/>
              </w:rPr>
            </w:pPr>
            <w:r w:rsidRPr="00ED1A0E">
              <w:rPr>
                <w:rFonts w:ascii="Times New Roman" w:hAnsi="Times New Roman"/>
                <w:b/>
                <w:bCs/>
                <w:sz w:val="20"/>
                <w:szCs w:val="20"/>
              </w:rPr>
              <w:t>Средняя урожайность, ц/га</w:t>
            </w:r>
          </w:p>
        </w:tc>
      </w:tr>
      <w:tr w:rsidR="00D41BA6" w:rsidRPr="00ED1A0E" w:rsidTr="00DA2344">
        <w:trPr>
          <w:trHeight w:val="840"/>
        </w:trPr>
        <w:tc>
          <w:tcPr>
            <w:tcW w:w="2753" w:type="dxa"/>
            <w:vMerge/>
            <w:tcBorders>
              <w:top w:val="single" w:sz="4" w:space="0" w:color="auto"/>
              <w:left w:val="single" w:sz="4" w:space="0" w:color="auto"/>
              <w:bottom w:val="single" w:sz="4" w:space="0" w:color="auto"/>
              <w:right w:val="single" w:sz="4" w:space="0" w:color="auto"/>
            </w:tcBorders>
            <w:vAlign w:val="center"/>
          </w:tcPr>
          <w:p w:rsidR="00D41BA6" w:rsidRPr="00ED1A0E" w:rsidRDefault="00D41BA6" w:rsidP="00DA2344">
            <w:pPr>
              <w:spacing w:after="0" w:line="240" w:lineRule="auto"/>
              <w:rPr>
                <w:rFonts w:ascii="Times New Roman" w:hAnsi="Times New Roman"/>
                <w:b/>
                <w:bCs/>
                <w:sz w:val="20"/>
                <w:szCs w:val="20"/>
              </w:rPr>
            </w:pPr>
          </w:p>
        </w:tc>
        <w:tc>
          <w:tcPr>
            <w:tcW w:w="1080" w:type="dxa"/>
            <w:tcBorders>
              <w:top w:val="nil"/>
              <w:left w:val="nil"/>
              <w:bottom w:val="single" w:sz="4" w:space="0" w:color="auto"/>
              <w:right w:val="single" w:sz="4" w:space="0" w:color="auto"/>
            </w:tcBorders>
            <w:shd w:val="clear" w:color="auto" w:fill="auto"/>
            <w:vAlign w:val="center"/>
          </w:tcPr>
          <w:p w:rsidR="00D41BA6" w:rsidRPr="00ED1A0E" w:rsidRDefault="00D41BA6" w:rsidP="00DA2344">
            <w:pPr>
              <w:spacing w:after="0" w:line="240" w:lineRule="auto"/>
              <w:jc w:val="center"/>
              <w:rPr>
                <w:rFonts w:ascii="Times New Roman" w:hAnsi="Times New Roman"/>
                <w:b/>
                <w:bCs/>
                <w:sz w:val="20"/>
                <w:szCs w:val="20"/>
              </w:rPr>
            </w:pPr>
            <w:r w:rsidRPr="00ED1A0E">
              <w:rPr>
                <w:rFonts w:ascii="Times New Roman" w:hAnsi="Times New Roman"/>
                <w:b/>
                <w:bCs/>
                <w:sz w:val="20"/>
                <w:szCs w:val="20"/>
              </w:rPr>
              <w:t xml:space="preserve">2013 </w:t>
            </w:r>
          </w:p>
          <w:p w:rsidR="00D41BA6" w:rsidRPr="00ED1A0E" w:rsidRDefault="00D41BA6" w:rsidP="00DA2344">
            <w:pPr>
              <w:spacing w:after="0" w:line="240" w:lineRule="auto"/>
              <w:jc w:val="center"/>
              <w:rPr>
                <w:rFonts w:ascii="Times New Roman" w:hAnsi="Times New Roman"/>
                <w:b/>
                <w:bCs/>
                <w:sz w:val="20"/>
                <w:szCs w:val="20"/>
              </w:rPr>
            </w:pPr>
            <w:r w:rsidRPr="00ED1A0E">
              <w:rPr>
                <w:rFonts w:ascii="Times New Roman" w:hAnsi="Times New Roman"/>
                <w:b/>
                <w:bCs/>
                <w:sz w:val="20"/>
                <w:szCs w:val="20"/>
              </w:rPr>
              <w:t xml:space="preserve">год </w:t>
            </w:r>
          </w:p>
        </w:tc>
        <w:tc>
          <w:tcPr>
            <w:tcW w:w="885" w:type="dxa"/>
            <w:tcBorders>
              <w:top w:val="nil"/>
              <w:left w:val="nil"/>
              <w:bottom w:val="single" w:sz="4" w:space="0" w:color="auto"/>
              <w:right w:val="single" w:sz="4" w:space="0" w:color="auto"/>
            </w:tcBorders>
            <w:shd w:val="clear" w:color="auto" w:fill="auto"/>
            <w:vAlign w:val="center"/>
          </w:tcPr>
          <w:p w:rsidR="00D41BA6" w:rsidRPr="00ED1A0E" w:rsidRDefault="00D41BA6" w:rsidP="00DA2344">
            <w:pPr>
              <w:spacing w:after="0" w:line="240" w:lineRule="auto"/>
              <w:ind w:left="-288"/>
              <w:jc w:val="center"/>
              <w:rPr>
                <w:rFonts w:ascii="Times New Roman" w:hAnsi="Times New Roman"/>
                <w:b/>
                <w:bCs/>
                <w:sz w:val="20"/>
                <w:szCs w:val="20"/>
              </w:rPr>
            </w:pPr>
            <w:r w:rsidRPr="00ED1A0E">
              <w:rPr>
                <w:rFonts w:ascii="Times New Roman" w:hAnsi="Times New Roman"/>
                <w:b/>
                <w:bCs/>
                <w:sz w:val="20"/>
                <w:szCs w:val="20"/>
              </w:rPr>
              <w:t xml:space="preserve">2014  </w:t>
            </w:r>
          </w:p>
          <w:p w:rsidR="00D41BA6" w:rsidRPr="00ED1A0E" w:rsidRDefault="00D41BA6" w:rsidP="00DA2344">
            <w:pPr>
              <w:spacing w:after="0" w:line="240" w:lineRule="auto"/>
              <w:ind w:left="-288"/>
              <w:jc w:val="center"/>
              <w:rPr>
                <w:rFonts w:ascii="Times New Roman" w:hAnsi="Times New Roman"/>
                <w:b/>
                <w:bCs/>
                <w:sz w:val="20"/>
                <w:szCs w:val="20"/>
              </w:rPr>
            </w:pPr>
            <w:r w:rsidRPr="00ED1A0E">
              <w:rPr>
                <w:rFonts w:ascii="Times New Roman" w:hAnsi="Times New Roman"/>
                <w:b/>
                <w:bCs/>
                <w:sz w:val="20"/>
                <w:szCs w:val="20"/>
              </w:rPr>
              <w:t>год</w:t>
            </w:r>
          </w:p>
        </w:tc>
        <w:tc>
          <w:tcPr>
            <w:tcW w:w="1236" w:type="dxa"/>
            <w:tcBorders>
              <w:top w:val="nil"/>
              <w:left w:val="nil"/>
              <w:bottom w:val="single" w:sz="4" w:space="0" w:color="auto"/>
              <w:right w:val="single" w:sz="4" w:space="0" w:color="auto"/>
            </w:tcBorders>
            <w:shd w:val="clear" w:color="auto" w:fill="auto"/>
            <w:vAlign w:val="center"/>
          </w:tcPr>
          <w:p w:rsidR="00D41BA6" w:rsidRPr="00ED1A0E" w:rsidRDefault="00D41BA6" w:rsidP="00DA2344">
            <w:pPr>
              <w:spacing w:after="0" w:line="240" w:lineRule="auto"/>
              <w:ind w:left="-108"/>
              <w:jc w:val="center"/>
              <w:rPr>
                <w:rFonts w:ascii="Times New Roman" w:hAnsi="Times New Roman"/>
                <w:b/>
                <w:bCs/>
                <w:sz w:val="20"/>
                <w:szCs w:val="20"/>
              </w:rPr>
            </w:pPr>
            <w:r w:rsidRPr="00ED1A0E">
              <w:rPr>
                <w:rFonts w:ascii="Times New Roman" w:hAnsi="Times New Roman"/>
                <w:b/>
                <w:bCs/>
                <w:sz w:val="20"/>
                <w:szCs w:val="20"/>
              </w:rPr>
              <w:t xml:space="preserve">Темп роста </w:t>
            </w:r>
          </w:p>
          <w:p w:rsidR="00D41BA6" w:rsidRPr="00ED1A0E" w:rsidRDefault="00D41BA6" w:rsidP="00DA2344">
            <w:pPr>
              <w:spacing w:after="0" w:line="240" w:lineRule="auto"/>
              <w:ind w:left="-108"/>
              <w:jc w:val="center"/>
              <w:rPr>
                <w:rFonts w:ascii="Times New Roman" w:hAnsi="Times New Roman"/>
                <w:b/>
                <w:bCs/>
                <w:sz w:val="20"/>
                <w:szCs w:val="20"/>
              </w:rPr>
            </w:pPr>
            <w:r w:rsidRPr="00ED1A0E">
              <w:rPr>
                <w:rFonts w:ascii="Times New Roman" w:hAnsi="Times New Roman"/>
                <w:b/>
                <w:bCs/>
                <w:sz w:val="20"/>
                <w:szCs w:val="20"/>
              </w:rPr>
              <w:t xml:space="preserve">в % к </w:t>
            </w:r>
          </w:p>
          <w:p w:rsidR="00D41BA6" w:rsidRPr="00ED1A0E" w:rsidRDefault="00D41BA6" w:rsidP="00DA2344">
            <w:pPr>
              <w:spacing w:after="0" w:line="240" w:lineRule="auto"/>
              <w:jc w:val="center"/>
              <w:rPr>
                <w:rFonts w:ascii="Times New Roman" w:hAnsi="Times New Roman"/>
                <w:b/>
                <w:bCs/>
                <w:sz w:val="20"/>
                <w:szCs w:val="20"/>
              </w:rPr>
            </w:pPr>
            <w:r w:rsidRPr="00ED1A0E">
              <w:rPr>
                <w:rFonts w:ascii="Times New Roman" w:hAnsi="Times New Roman"/>
                <w:b/>
                <w:bCs/>
                <w:sz w:val="20"/>
                <w:szCs w:val="20"/>
              </w:rPr>
              <w:t>2013 г.*</w:t>
            </w:r>
          </w:p>
        </w:tc>
        <w:tc>
          <w:tcPr>
            <w:tcW w:w="841" w:type="dxa"/>
            <w:tcBorders>
              <w:top w:val="nil"/>
              <w:left w:val="nil"/>
              <w:bottom w:val="single" w:sz="4" w:space="0" w:color="auto"/>
              <w:right w:val="single" w:sz="4" w:space="0" w:color="auto"/>
            </w:tcBorders>
            <w:shd w:val="clear" w:color="auto" w:fill="auto"/>
            <w:vAlign w:val="center"/>
          </w:tcPr>
          <w:p w:rsidR="00D41BA6" w:rsidRPr="00ED1A0E" w:rsidRDefault="00D41BA6" w:rsidP="00DA2344">
            <w:pPr>
              <w:spacing w:after="0" w:line="240" w:lineRule="auto"/>
              <w:jc w:val="center"/>
              <w:rPr>
                <w:rFonts w:ascii="Times New Roman" w:hAnsi="Times New Roman"/>
                <w:b/>
                <w:bCs/>
                <w:sz w:val="20"/>
                <w:szCs w:val="20"/>
              </w:rPr>
            </w:pPr>
            <w:r w:rsidRPr="00ED1A0E">
              <w:rPr>
                <w:rFonts w:ascii="Times New Roman" w:hAnsi="Times New Roman"/>
                <w:b/>
                <w:bCs/>
                <w:sz w:val="20"/>
                <w:szCs w:val="20"/>
              </w:rPr>
              <w:t xml:space="preserve">2013 </w:t>
            </w:r>
          </w:p>
          <w:p w:rsidR="00D41BA6" w:rsidRPr="00ED1A0E" w:rsidRDefault="00D41BA6" w:rsidP="00DA2344">
            <w:pPr>
              <w:spacing w:after="0" w:line="240" w:lineRule="auto"/>
              <w:jc w:val="center"/>
              <w:rPr>
                <w:rFonts w:ascii="Times New Roman" w:hAnsi="Times New Roman"/>
                <w:b/>
                <w:bCs/>
                <w:sz w:val="20"/>
                <w:szCs w:val="20"/>
              </w:rPr>
            </w:pPr>
            <w:r w:rsidRPr="00ED1A0E">
              <w:rPr>
                <w:rFonts w:ascii="Times New Roman" w:hAnsi="Times New Roman"/>
                <w:b/>
                <w:bCs/>
                <w:sz w:val="20"/>
                <w:szCs w:val="20"/>
              </w:rPr>
              <w:t>год</w:t>
            </w:r>
          </w:p>
        </w:tc>
        <w:tc>
          <w:tcPr>
            <w:tcW w:w="1143" w:type="dxa"/>
            <w:tcBorders>
              <w:top w:val="nil"/>
              <w:left w:val="nil"/>
              <w:bottom w:val="single" w:sz="4" w:space="0" w:color="auto"/>
              <w:right w:val="single" w:sz="4" w:space="0" w:color="auto"/>
            </w:tcBorders>
            <w:shd w:val="clear" w:color="auto" w:fill="auto"/>
            <w:vAlign w:val="center"/>
          </w:tcPr>
          <w:p w:rsidR="00D41BA6" w:rsidRPr="00ED1A0E" w:rsidRDefault="00D41BA6" w:rsidP="00DA2344">
            <w:pPr>
              <w:spacing w:after="0" w:line="240" w:lineRule="auto"/>
              <w:ind w:right="224"/>
              <w:jc w:val="center"/>
              <w:rPr>
                <w:rFonts w:ascii="Times New Roman" w:hAnsi="Times New Roman"/>
                <w:b/>
                <w:bCs/>
                <w:sz w:val="20"/>
                <w:szCs w:val="20"/>
              </w:rPr>
            </w:pPr>
            <w:r w:rsidRPr="00ED1A0E">
              <w:rPr>
                <w:rFonts w:ascii="Times New Roman" w:hAnsi="Times New Roman"/>
                <w:b/>
                <w:bCs/>
                <w:sz w:val="20"/>
                <w:szCs w:val="20"/>
              </w:rPr>
              <w:t xml:space="preserve">2014 год </w:t>
            </w:r>
          </w:p>
        </w:tc>
        <w:tc>
          <w:tcPr>
            <w:tcW w:w="1276" w:type="dxa"/>
            <w:tcBorders>
              <w:top w:val="nil"/>
              <w:left w:val="nil"/>
              <w:bottom w:val="single" w:sz="4" w:space="0" w:color="auto"/>
              <w:right w:val="single" w:sz="4" w:space="0" w:color="auto"/>
            </w:tcBorders>
            <w:shd w:val="clear" w:color="auto" w:fill="auto"/>
            <w:vAlign w:val="center"/>
          </w:tcPr>
          <w:p w:rsidR="00D41BA6" w:rsidRPr="00ED1A0E" w:rsidRDefault="00D41BA6" w:rsidP="00DA2344">
            <w:pPr>
              <w:spacing w:after="0" w:line="240" w:lineRule="auto"/>
              <w:ind w:left="-141"/>
              <w:jc w:val="center"/>
              <w:rPr>
                <w:rFonts w:ascii="Times New Roman" w:hAnsi="Times New Roman"/>
                <w:b/>
                <w:bCs/>
                <w:sz w:val="20"/>
                <w:szCs w:val="20"/>
              </w:rPr>
            </w:pPr>
            <w:r w:rsidRPr="00ED1A0E">
              <w:rPr>
                <w:rFonts w:ascii="Times New Roman" w:hAnsi="Times New Roman"/>
                <w:b/>
                <w:bCs/>
                <w:sz w:val="20"/>
                <w:szCs w:val="20"/>
              </w:rPr>
              <w:t>Темп роста</w:t>
            </w:r>
          </w:p>
          <w:p w:rsidR="00D41BA6" w:rsidRPr="00ED1A0E" w:rsidRDefault="00D41BA6" w:rsidP="00DA2344">
            <w:pPr>
              <w:spacing w:after="0" w:line="240" w:lineRule="auto"/>
              <w:ind w:left="-141"/>
              <w:jc w:val="center"/>
              <w:rPr>
                <w:rFonts w:ascii="Times New Roman" w:hAnsi="Times New Roman"/>
                <w:b/>
                <w:bCs/>
                <w:sz w:val="20"/>
                <w:szCs w:val="20"/>
              </w:rPr>
            </w:pPr>
            <w:r w:rsidRPr="00ED1A0E">
              <w:rPr>
                <w:rFonts w:ascii="Times New Roman" w:hAnsi="Times New Roman"/>
                <w:b/>
                <w:bCs/>
                <w:sz w:val="20"/>
                <w:szCs w:val="20"/>
              </w:rPr>
              <w:t xml:space="preserve">в % к </w:t>
            </w:r>
          </w:p>
          <w:p w:rsidR="00D41BA6" w:rsidRPr="00ED1A0E" w:rsidRDefault="00D41BA6" w:rsidP="00DA2344">
            <w:pPr>
              <w:spacing w:after="0" w:line="240" w:lineRule="auto"/>
              <w:ind w:left="-141"/>
              <w:jc w:val="center"/>
              <w:rPr>
                <w:rFonts w:ascii="Times New Roman" w:hAnsi="Times New Roman"/>
                <w:b/>
                <w:bCs/>
                <w:sz w:val="20"/>
                <w:szCs w:val="20"/>
              </w:rPr>
            </w:pPr>
            <w:r w:rsidRPr="00ED1A0E">
              <w:rPr>
                <w:rFonts w:ascii="Times New Roman" w:hAnsi="Times New Roman"/>
                <w:b/>
                <w:bCs/>
                <w:sz w:val="20"/>
                <w:szCs w:val="20"/>
              </w:rPr>
              <w:t>2013 г.*</w:t>
            </w:r>
          </w:p>
        </w:tc>
      </w:tr>
      <w:tr w:rsidR="00D41BA6" w:rsidRPr="00ED1A0E" w:rsidTr="00DA2344">
        <w:trPr>
          <w:trHeight w:val="305"/>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tcPr>
          <w:p w:rsidR="00D41BA6" w:rsidRPr="00ED1A0E" w:rsidRDefault="00D41BA6" w:rsidP="00DA2344">
            <w:pPr>
              <w:spacing w:after="0" w:line="240" w:lineRule="auto"/>
              <w:rPr>
                <w:rFonts w:ascii="Times New Roman" w:hAnsi="Times New Roman"/>
                <w:bCs/>
                <w:sz w:val="20"/>
                <w:szCs w:val="20"/>
              </w:rPr>
            </w:pPr>
            <w:r w:rsidRPr="00ED1A0E">
              <w:rPr>
                <w:rFonts w:ascii="Times New Roman" w:hAnsi="Times New Roman"/>
                <w:bCs/>
                <w:sz w:val="20"/>
                <w:szCs w:val="20"/>
              </w:rPr>
              <w:t>Зерновые и зернобобовые культуры- всего</w:t>
            </w:r>
          </w:p>
        </w:tc>
        <w:tc>
          <w:tcPr>
            <w:tcW w:w="1080" w:type="dxa"/>
            <w:tcBorders>
              <w:top w:val="single" w:sz="4" w:space="0" w:color="auto"/>
              <w:left w:val="nil"/>
              <w:bottom w:val="single" w:sz="4" w:space="0" w:color="auto"/>
              <w:right w:val="single" w:sz="4" w:space="0" w:color="auto"/>
            </w:tcBorders>
            <w:shd w:val="clear" w:color="auto" w:fill="auto"/>
            <w:vAlign w:val="bottom"/>
          </w:tcPr>
          <w:p w:rsidR="00D41BA6" w:rsidRPr="00ED1A0E" w:rsidRDefault="00D41BA6" w:rsidP="00DA2344">
            <w:pPr>
              <w:spacing w:after="0" w:line="240" w:lineRule="auto"/>
              <w:jc w:val="right"/>
              <w:rPr>
                <w:rFonts w:ascii="Times New Roman" w:hAnsi="Times New Roman"/>
                <w:sz w:val="20"/>
                <w:szCs w:val="20"/>
              </w:rPr>
            </w:pPr>
            <w:r w:rsidRPr="00ED1A0E">
              <w:rPr>
                <w:rFonts w:ascii="Times New Roman" w:hAnsi="Times New Roman"/>
                <w:sz w:val="20"/>
                <w:szCs w:val="20"/>
              </w:rPr>
              <w:t>330,6</w:t>
            </w:r>
          </w:p>
        </w:tc>
        <w:tc>
          <w:tcPr>
            <w:tcW w:w="885" w:type="dxa"/>
            <w:tcBorders>
              <w:top w:val="single" w:sz="4" w:space="0" w:color="auto"/>
              <w:left w:val="nil"/>
              <w:bottom w:val="single" w:sz="4" w:space="0" w:color="auto"/>
              <w:right w:val="single" w:sz="4" w:space="0" w:color="auto"/>
            </w:tcBorders>
            <w:shd w:val="clear" w:color="auto" w:fill="auto"/>
            <w:vAlign w:val="bottom"/>
          </w:tcPr>
          <w:p w:rsidR="00D41BA6" w:rsidRPr="00ED1A0E" w:rsidRDefault="00D41BA6" w:rsidP="00DA2344">
            <w:pPr>
              <w:spacing w:after="0" w:line="240" w:lineRule="auto"/>
              <w:jc w:val="right"/>
              <w:rPr>
                <w:rFonts w:ascii="Times New Roman" w:hAnsi="Times New Roman"/>
                <w:sz w:val="20"/>
                <w:szCs w:val="20"/>
              </w:rPr>
            </w:pPr>
            <w:r w:rsidRPr="00ED1A0E">
              <w:rPr>
                <w:rFonts w:ascii="Times New Roman" w:hAnsi="Times New Roman"/>
                <w:sz w:val="20"/>
                <w:szCs w:val="20"/>
              </w:rPr>
              <w:t>339,2</w:t>
            </w:r>
          </w:p>
        </w:tc>
        <w:tc>
          <w:tcPr>
            <w:tcW w:w="1236" w:type="dxa"/>
            <w:tcBorders>
              <w:top w:val="single" w:sz="4" w:space="0" w:color="auto"/>
              <w:left w:val="nil"/>
              <w:bottom w:val="single" w:sz="4" w:space="0" w:color="auto"/>
              <w:right w:val="single" w:sz="4" w:space="0" w:color="auto"/>
            </w:tcBorders>
            <w:shd w:val="clear" w:color="auto" w:fill="auto"/>
            <w:vAlign w:val="bottom"/>
          </w:tcPr>
          <w:p w:rsidR="00D41BA6" w:rsidRPr="00ED1A0E" w:rsidRDefault="00D41BA6" w:rsidP="00DA2344">
            <w:pPr>
              <w:spacing w:after="0" w:line="240" w:lineRule="auto"/>
              <w:jc w:val="right"/>
              <w:rPr>
                <w:rFonts w:ascii="Times New Roman" w:hAnsi="Times New Roman"/>
                <w:sz w:val="20"/>
                <w:szCs w:val="20"/>
              </w:rPr>
            </w:pPr>
            <w:r w:rsidRPr="00ED1A0E">
              <w:rPr>
                <w:rFonts w:ascii="Times New Roman" w:hAnsi="Times New Roman"/>
                <w:sz w:val="20"/>
                <w:szCs w:val="20"/>
              </w:rPr>
              <w:t>102,6</w:t>
            </w:r>
          </w:p>
        </w:tc>
        <w:tc>
          <w:tcPr>
            <w:tcW w:w="841" w:type="dxa"/>
            <w:tcBorders>
              <w:top w:val="single" w:sz="4" w:space="0" w:color="auto"/>
              <w:left w:val="nil"/>
              <w:bottom w:val="single" w:sz="4" w:space="0" w:color="auto"/>
              <w:right w:val="single" w:sz="4" w:space="0" w:color="auto"/>
            </w:tcBorders>
            <w:shd w:val="clear" w:color="auto" w:fill="auto"/>
            <w:vAlign w:val="bottom"/>
          </w:tcPr>
          <w:p w:rsidR="00D41BA6" w:rsidRPr="00ED1A0E" w:rsidRDefault="00D41BA6" w:rsidP="00DA2344">
            <w:pPr>
              <w:spacing w:after="0" w:line="240" w:lineRule="auto"/>
              <w:jc w:val="right"/>
              <w:rPr>
                <w:rFonts w:ascii="Times New Roman" w:hAnsi="Times New Roman"/>
                <w:sz w:val="20"/>
                <w:szCs w:val="20"/>
              </w:rPr>
            </w:pPr>
            <w:r w:rsidRPr="00ED1A0E">
              <w:rPr>
                <w:rFonts w:ascii="Times New Roman" w:hAnsi="Times New Roman"/>
                <w:sz w:val="20"/>
                <w:szCs w:val="20"/>
              </w:rPr>
              <w:t>36,0</w:t>
            </w:r>
          </w:p>
        </w:tc>
        <w:tc>
          <w:tcPr>
            <w:tcW w:w="1143" w:type="dxa"/>
            <w:tcBorders>
              <w:top w:val="single" w:sz="4" w:space="0" w:color="auto"/>
              <w:left w:val="nil"/>
              <w:bottom w:val="single" w:sz="4" w:space="0" w:color="auto"/>
              <w:right w:val="single" w:sz="4" w:space="0" w:color="auto"/>
            </w:tcBorders>
            <w:shd w:val="clear" w:color="auto" w:fill="auto"/>
            <w:vAlign w:val="bottom"/>
          </w:tcPr>
          <w:p w:rsidR="00D41BA6" w:rsidRPr="00ED1A0E" w:rsidRDefault="00D41BA6" w:rsidP="00DA2344">
            <w:pPr>
              <w:spacing w:after="0" w:line="240" w:lineRule="auto"/>
              <w:jc w:val="right"/>
              <w:rPr>
                <w:rFonts w:ascii="Times New Roman" w:hAnsi="Times New Roman"/>
                <w:sz w:val="20"/>
                <w:szCs w:val="20"/>
              </w:rPr>
            </w:pPr>
            <w:r w:rsidRPr="00ED1A0E">
              <w:rPr>
                <w:rFonts w:ascii="Times New Roman" w:hAnsi="Times New Roman"/>
                <w:sz w:val="20"/>
                <w:szCs w:val="20"/>
              </w:rPr>
              <w:t>37,5</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D41BA6" w:rsidRPr="00ED1A0E" w:rsidRDefault="00D41BA6" w:rsidP="00DA2344">
            <w:pPr>
              <w:spacing w:after="0" w:line="240" w:lineRule="auto"/>
              <w:jc w:val="right"/>
              <w:rPr>
                <w:rFonts w:ascii="Times New Roman" w:hAnsi="Times New Roman"/>
                <w:sz w:val="20"/>
                <w:szCs w:val="20"/>
              </w:rPr>
            </w:pPr>
            <w:r w:rsidRPr="00ED1A0E">
              <w:rPr>
                <w:rFonts w:ascii="Times New Roman" w:hAnsi="Times New Roman"/>
                <w:sz w:val="20"/>
                <w:szCs w:val="20"/>
              </w:rPr>
              <w:t>104,2</w:t>
            </w:r>
          </w:p>
        </w:tc>
      </w:tr>
      <w:tr w:rsidR="00D41BA6" w:rsidRPr="00ED1A0E" w:rsidTr="00DA2344">
        <w:trPr>
          <w:trHeight w:val="213"/>
        </w:trPr>
        <w:tc>
          <w:tcPr>
            <w:tcW w:w="2753" w:type="dxa"/>
            <w:tcBorders>
              <w:top w:val="single" w:sz="4" w:space="0" w:color="auto"/>
              <w:left w:val="single" w:sz="4" w:space="0" w:color="auto"/>
              <w:bottom w:val="single" w:sz="4" w:space="0" w:color="auto"/>
              <w:right w:val="single" w:sz="4" w:space="0" w:color="auto"/>
            </w:tcBorders>
            <w:shd w:val="clear" w:color="auto" w:fill="auto"/>
          </w:tcPr>
          <w:p w:rsidR="00D41BA6" w:rsidRPr="00ED1A0E" w:rsidRDefault="00D41BA6" w:rsidP="00DA2344">
            <w:pPr>
              <w:spacing w:after="0" w:line="240" w:lineRule="auto"/>
              <w:rPr>
                <w:rFonts w:ascii="Times New Roman" w:hAnsi="Times New Roman"/>
                <w:bCs/>
                <w:sz w:val="20"/>
                <w:szCs w:val="20"/>
              </w:rPr>
            </w:pPr>
            <w:r w:rsidRPr="00ED1A0E">
              <w:rPr>
                <w:rFonts w:ascii="Times New Roman" w:hAnsi="Times New Roman"/>
                <w:bCs/>
                <w:sz w:val="20"/>
                <w:szCs w:val="20"/>
              </w:rPr>
              <w:t>из них: озимая пшеница</w:t>
            </w:r>
          </w:p>
        </w:tc>
        <w:tc>
          <w:tcPr>
            <w:tcW w:w="1080" w:type="dxa"/>
            <w:tcBorders>
              <w:top w:val="single" w:sz="4" w:space="0" w:color="auto"/>
              <w:left w:val="nil"/>
              <w:bottom w:val="single" w:sz="4" w:space="0" w:color="auto"/>
              <w:right w:val="single" w:sz="4" w:space="0" w:color="auto"/>
            </w:tcBorders>
            <w:shd w:val="clear" w:color="auto" w:fill="auto"/>
            <w:vAlign w:val="bottom"/>
          </w:tcPr>
          <w:p w:rsidR="00D41BA6" w:rsidRPr="00ED1A0E" w:rsidRDefault="00D41BA6" w:rsidP="00DA2344">
            <w:pPr>
              <w:spacing w:after="0" w:line="240" w:lineRule="auto"/>
              <w:jc w:val="right"/>
              <w:rPr>
                <w:rFonts w:ascii="Times New Roman" w:hAnsi="Times New Roman"/>
                <w:sz w:val="20"/>
                <w:szCs w:val="20"/>
              </w:rPr>
            </w:pPr>
            <w:r w:rsidRPr="00ED1A0E">
              <w:rPr>
                <w:rFonts w:ascii="Times New Roman" w:hAnsi="Times New Roman"/>
                <w:sz w:val="20"/>
                <w:szCs w:val="20"/>
              </w:rPr>
              <w:t>262,6</w:t>
            </w:r>
          </w:p>
        </w:tc>
        <w:tc>
          <w:tcPr>
            <w:tcW w:w="885" w:type="dxa"/>
            <w:tcBorders>
              <w:top w:val="single" w:sz="4" w:space="0" w:color="auto"/>
              <w:left w:val="nil"/>
              <w:bottom w:val="single" w:sz="4" w:space="0" w:color="auto"/>
              <w:right w:val="single" w:sz="4" w:space="0" w:color="auto"/>
            </w:tcBorders>
            <w:shd w:val="clear" w:color="auto" w:fill="auto"/>
            <w:vAlign w:val="bottom"/>
          </w:tcPr>
          <w:p w:rsidR="00D41BA6" w:rsidRPr="00ED1A0E" w:rsidRDefault="00D41BA6" w:rsidP="00DA2344">
            <w:pPr>
              <w:spacing w:after="0" w:line="240" w:lineRule="auto"/>
              <w:jc w:val="right"/>
              <w:rPr>
                <w:rFonts w:ascii="Times New Roman" w:hAnsi="Times New Roman"/>
                <w:sz w:val="20"/>
                <w:szCs w:val="20"/>
              </w:rPr>
            </w:pPr>
            <w:r w:rsidRPr="00ED1A0E">
              <w:rPr>
                <w:rFonts w:ascii="Times New Roman" w:hAnsi="Times New Roman"/>
                <w:sz w:val="20"/>
                <w:szCs w:val="20"/>
              </w:rPr>
              <w:t>264,5</w:t>
            </w:r>
          </w:p>
        </w:tc>
        <w:tc>
          <w:tcPr>
            <w:tcW w:w="1236" w:type="dxa"/>
            <w:tcBorders>
              <w:top w:val="single" w:sz="4" w:space="0" w:color="auto"/>
              <w:left w:val="nil"/>
              <w:bottom w:val="single" w:sz="4" w:space="0" w:color="auto"/>
              <w:right w:val="single" w:sz="4" w:space="0" w:color="auto"/>
            </w:tcBorders>
            <w:shd w:val="clear" w:color="auto" w:fill="auto"/>
            <w:vAlign w:val="bottom"/>
          </w:tcPr>
          <w:p w:rsidR="00D41BA6" w:rsidRPr="00ED1A0E" w:rsidRDefault="00D41BA6" w:rsidP="00DA2344">
            <w:pPr>
              <w:spacing w:after="0" w:line="240" w:lineRule="auto"/>
              <w:jc w:val="right"/>
              <w:rPr>
                <w:rFonts w:ascii="Times New Roman" w:hAnsi="Times New Roman"/>
                <w:sz w:val="20"/>
                <w:szCs w:val="20"/>
              </w:rPr>
            </w:pPr>
            <w:r w:rsidRPr="00ED1A0E">
              <w:rPr>
                <w:rFonts w:ascii="Times New Roman" w:hAnsi="Times New Roman"/>
                <w:sz w:val="20"/>
                <w:szCs w:val="20"/>
              </w:rPr>
              <w:t>100,7</w:t>
            </w:r>
          </w:p>
        </w:tc>
        <w:tc>
          <w:tcPr>
            <w:tcW w:w="841" w:type="dxa"/>
            <w:tcBorders>
              <w:top w:val="single" w:sz="4" w:space="0" w:color="auto"/>
              <w:left w:val="nil"/>
              <w:bottom w:val="single" w:sz="4" w:space="0" w:color="auto"/>
              <w:right w:val="single" w:sz="4" w:space="0" w:color="auto"/>
            </w:tcBorders>
            <w:shd w:val="clear" w:color="auto" w:fill="auto"/>
            <w:vAlign w:val="bottom"/>
          </w:tcPr>
          <w:p w:rsidR="00D41BA6" w:rsidRPr="00ED1A0E" w:rsidRDefault="00D41BA6" w:rsidP="00DA2344">
            <w:pPr>
              <w:spacing w:after="0" w:line="240" w:lineRule="auto"/>
              <w:jc w:val="right"/>
              <w:rPr>
                <w:rFonts w:ascii="Times New Roman" w:hAnsi="Times New Roman"/>
                <w:sz w:val="20"/>
                <w:szCs w:val="20"/>
              </w:rPr>
            </w:pPr>
            <w:r w:rsidRPr="00ED1A0E">
              <w:rPr>
                <w:rFonts w:ascii="Times New Roman" w:hAnsi="Times New Roman"/>
                <w:sz w:val="20"/>
                <w:szCs w:val="20"/>
              </w:rPr>
              <w:t>39,7</w:t>
            </w:r>
          </w:p>
        </w:tc>
        <w:tc>
          <w:tcPr>
            <w:tcW w:w="1143" w:type="dxa"/>
            <w:tcBorders>
              <w:top w:val="single" w:sz="4" w:space="0" w:color="auto"/>
              <w:left w:val="nil"/>
              <w:bottom w:val="single" w:sz="4" w:space="0" w:color="auto"/>
              <w:right w:val="single" w:sz="4" w:space="0" w:color="auto"/>
            </w:tcBorders>
            <w:shd w:val="clear" w:color="auto" w:fill="auto"/>
            <w:vAlign w:val="bottom"/>
          </w:tcPr>
          <w:p w:rsidR="00D41BA6" w:rsidRPr="00ED1A0E" w:rsidRDefault="00D41BA6" w:rsidP="00DA2344">
            <w:pPr>
              <w:spacing w:after="0" w:line="240" w:lineRule="auto"/>
              <w:jc w:val="right"/>
              <w:rPr>
                <w:rFonts w:ascii="Times New Roman" w:hAnsi="Times New Roman"/>
                <w:sz w:val="20"/>
                <w:szCs w:val="20"/>
              </w:rPr>
            </w:pPr>
            <w:r w:rsidRPr="00ED1A0E">
              <w:rPr>
                <w:rFonts w:ascii="Times New Roman" w:hAnsi="Times New Roman"/>
                <w:sz w:val="20"/>
                <w:szCs w:val="20"/>
              </w:rPr>
              <w:t>40,6</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D41BA6" w:rsidRPr="00ED1A0E" w:rsidRDefault="00D41BA6" w:rsidP="00DA2344">
            <w:pPr>
              <w:spacing w:after="0" w:line="240" w:lineRule="auto"/>
              <w:jc w:val="right"/>
              <w:rPr>
                <w:rFonts w:ascii="Times New Roman" w:hAnsi="Times New Roman"/>
                <w:sz w:val="20"/>
                <w:szCs w:val="20"/>
              </w:rPr>
            </w:pPr>
            <w:r w:rsidRPr="00ED1A0E">
              <w:rPr>
                <w:rFonts w:ascii="Times New Roman" w:hAnsi="Times New Roman"/>
                <w:sz w:val="20"/>
                <w:szCs w:val="20"/>
              </w:rPr>
              <w:t>102,3</w:t>
            </w:r>
          </w:p>
        </w:tc>
      </w:tr>
      <w:tr w:rsidR="00D41BA6" w:rsidRPr="00ED1A0E" w:rsidTr="00DA2344">
        <w:trPr>
          <w:trHeight w:val="213"/>
        </w:trPr>
        <w:tc>
          <w:tcPr>
            <w:tcW w:w="2753" w:type="dxa"/>
            <w:tcBorders>
              <w:top w:val="single" w:sz="4" w:space="0" w:color="auto"/>
              <w:left w:val="single" w:sz="4" w:space="0" w:color="auto"/>
              <w:bottom w:val="single" w:sz="4" w:space="0" w:color="auto"/>
              <w:right w:val="single" w:sz="4" w:space="0" w:color="auto"/>
            </w:tcBorders>
            <w:shd w:val="clear" w:color="auto" w:fill="auto"/>
          </w:tcPr>
          <w:p w:rsidR="00D41BA6" w:rsidRPr="00ED1A0E" w:rsidRDefault="00D41BA6" w:rsidP="00DA2344">
            <w:pPr>
              <w:spacing w:after="0" w:line="240" w:lineRule="auto"/>
              <w:rPr>
                <w:rFonts w:ascii="Times New Roman" w:hAnsi="Times New Roman"/>
                <w:bCs/>
                <w:sz w:val="20"/>
                <w:szCs w:val="20"/>
              </w:rPr>
            </w:pPr>
            <w:r w:rsidRPr="00ED1A0E">
              <w:rPr>
                <w:rFonts w:ascii="Times New Roman" w:hAnsi="Times New Roman"/>
                <w:bCs/>
                <w:sz w:val="20"/>
                <w:szCs w:val="20"/>
              </w:rPr>
              <w:t>озимый ячмень</w:t>
            </w:r>
          </w:p>
        </w:tc>
        <w:tc>
          <w:tcPr>
            <w:tcW w:w="1080" w:type="dxa"/>
            <w:tcBorders>
              <w:top w:val="single" w:sz="4" w:space="0" w:color="auto"/>
              <w:left w:val="nil"/>
              <w:bottom w:val="single" w:sz="4" w:space="0" w:color="auto"/>
              <w:right w:val="single" w:sz="4" w:space="0" w:color="auto"/>
            </w:tcBorders>
            <w:shd w:val="clear" w:color="auto" w:fill="auto"/>
            <w:vAlign w:val="bottom"/>
          </w:tcPr>
          <w:p w:rsidR="00D41BA6" w:rsidRPr="00ED1A0E" w:rsidRDefault="00D41BA6" w:rsidP="00DA2344">
            <w:pPr>
              <w:spacing w:after="0" w:line="240" w:lineRule="auto"/>
              <w:jc w:val="right"/>
              <w:rPr>
                <w:rFonts w:ascii="Times New Roman" w:hAnsi="Times New Roman"/>
                <w:sz w:val="20"/>
                <w:szCs w:val="20"/>
              </w:rPr>
            </w:pPr>
            <w:r w:rsidRPr="00ED1A0E">
              <w:rPr>
                <w:rFonts w:ascii="Times New Roman" w:hAnsi="Times New Roman"/>
                <w:sz w:val="20"/>
                <w:szCs w:val="20"/>
              </w:rPr>
              <w:t>37,7</w:t>
            </w:r>
          </w:p>
        </w:tc>
        <w:tc>
          <w:tcPr>
            <w:tcW w:w="885" w:type="dxa"/>
            <w:tcBorders>
              <w:top w:val="single" w:sz="4" w:space="0" w:color="auto"/>
              <w:left w:val="nil"/>
              <w:bottom w:val="single" w:sz="4" w:space="0" w:color="auto"/>
              <w:right w:val="single" w:sz="4" w:space="0" w:color="auto"/>
            </w:tcBorders>
            <w:shd w:val="clear" w:color="auto" w:fill="auto"/>
            <w:vAlign w:val="bottom"/>
          </w:tcPr>
          <w:p w:rsidR="00D41BA6" w:rsidRPr="00ED1A0E" w:rsidRDefault="00D41BA6" w:rsidP="00DA2344">
            <w:pPr>
              <w:spacing w:after="0" w:line="240" w:lineRule="auto"/>
              <w:jc w:val="right"/>
              <w:rPr>
                <w:rFonts w:ascii="Times New Roman" w:hAnsi="Times New Roman"/>
                <w:sz w:val="20"/>
                <w:szCs w:val="20"/>
              </w:rPr>
            </w:pPr>
            <w:r w:rsidRPr="00ED1A0E">
              <w:rPr>
                <w:rFonts w:ascii="Times New Roman" w:hAnsi="Times New Roman"/>
                <w:sz w:val="20"/>
                <w:szCs w:val="20"/>
              </w:rPr>
              <w:t>48,6</w:t>
            </w:r>
          </w:p>
        </w:tc>
        <w:tc>
          <w:tcPr>
            <w:tcW w:w="1236" w:type="dxa"/>
            <w:tcBorders>
              <w:top w:val="single" w:sz="4" w:space="0" w:color="auto"/>
              <w:left w:val="nil"/>
              <w:bottom w:val="single" w:sz="4" w:space="0" w:color="auto"/>
              <w:right w:val="single" w:sz="4" w:space="0" w:color="auto"/>
            </w:tcBorders>
            <w:shd w:val="clear" w:color="auto" w:fill="auto"/>
            <w:vAlign w:val="bottom"/>
          </w:tcPr>
          <w:p w:rsidR="00D41BA6" w:rsidRPr="00ED1A0E" w:rsidRDefault="00D41BA6" w:rsidP="00DA2344">
            <w:pPr>
              <w:spacing w:after="0" w:line="240" w:lineRule="auto"/>
              <w:jc w:val="right"/>
              <w:rPr>
                <w:rFonts w:ascii="Times New Roman" w:hAnsi="Times New Roman"/>
                <w:sz w:val="20"/>
                <w:szCs w:val="20"/>
              </w:rPr>
            </w:pPr>
            <w:r w:rsidRPr="00ED1A0E">
              <w:rPr>
                <w:rFonts w:ascii="Times New Roman" w:hAnsi="Times New Roman"/>
                <w:sz w:val="20"/>
                <w:szCs w:val="20"/>
              </w:rPr>
              <w:t>128,9</w:t>
            </w:r>
          </w:p>
        </w:tc>
        <w:tc>
          <w:tcPr>
            <w:tcW w:w="841" w:type="dxa"/>
            <w:tcBorders>
              <w:top w:val="single" w:sz="4" w:space="0" w:color="auto"/>
              <w:left w:val="nil"/>
              <w:bottom w:val="single" w:sz="4" w:space="0" w:color="auto"/>
              <w:right w:val="single" w:sz="4" w:space="0" w:color="auto"/>
            </w:tcBorders>
            <w:shd w:val="clear" w:color="auto" w:fill="auto"/>
            <w:vAlign w:val="bottom"/>
          </w:tcPr>
          <w:p w:rsidR="00D41BA6" w:rsidRPr="00ED1A0E" w:rsidRDefault="00D41BA6" w:rsidP="00DA2344">
            <w:pPr>
              <w:spacing w:after="0" w:line="240" w:lineRule="auto"/>
              <w:jc w:val="right"/>
              <w:rPr>
                <w:rFonts w:ascii="Times New Roman" w:hAnsi="Times New Roman"/>
                <w:sz w:val="20"/>
                <w:szCs w:val="20"/>
              </w:rPr>
            </w:pPr>
            <w:r w:rsidRPr="00ED1A0E">
              <w:rPr>
                <w:rFonts w:ascii="Times New Roman" w:hAnsi="Times New Roman"/>
                <w:sz w:val="20"/>
                <w:szCs w:val="20"/>
              </w:rPr>
              <w:t>30,9</w:t>
            </w:r>
          </w:p>
        </w:tc>
        <w:tc>
          <w:tcPr>
            <w:tcW w:w="1143" w:type="dxa"/>
            <w:tcBorders>
              <w:top w:val="single" w:sz="4" w:space="0" w:color="auto"/>
              <w:left w:val="nil"/>
              <w:bottom w:val="single" w:sz="4" w:space="0" w:color="auto"/>
              <w:right w:val="single" w:sz="4" w:space="0" w:color="auto"/>
            </w:tcBorders>
            <w:shd w:val="clear" w:color="auto" w:fill="auto"/>
            <w:vAlign w:val="bottom"/>
          </w:tcPr>
          <w:p w:rsidR="00D41BA6" w:rsidRPr="00ED1A0E" w:rsidRDefault="00D41BA6" w:rsidP="00DA2344">
            <w:pPr>
              <w:spacing w:after="0" w:line="240" w:lineRule="auto"/>
              <w:jc w:val="right"/>
              <w:rPr>
                <w:rFonts w:ascii="Times New Roman" w:hAnsi="Times New Roman"/>
                <w:sz w:val="20"/>
                <w:szCs w:val="20"/>
              </w:rPr>
            </w:pPr>
            <w:r w:rsidRPr="00ED1A0E">
              <w:rPr>
                <w:rFonts w:ascii="Times New Roman" w:hAnsi="Times New Roman"/>
                <w:sz w:val="20"/>
                <w:szCs w:val="20"/>
              </w:rPr>
              <w:t>32,9</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D41BA6" w:rsidRPr="00ED1A0E" w:rsidRDefault="00D41BA6" w:rsidP="00DA2344">
            <w:pPr>
              <w:spacing w:after="0" w:line="240" w:lineRule="auto"/>
              <w:jc w:val="right"/>
              <w:rPr>
                <w:rFonts w:ascii="Times New Roman" w:hAnsi="Times New Roman"/>
                <w:sz w:val="20"/>
                <w:szCs w:val="20"/>
              </w:rPr>
            </w:pPr>
            <w:r w:rsidRPr="00ED1A0E">
              <w:rPr>
                <w:rFonts w:ascii="Times New Roman" w:hAnsi="Times New Roman"/>
                <w:sz w:val="20"/>
                <w:szCs w:val="20"/>
              </w:rPr>
              <w:t>106,5</w:t>
            </w:r>
          </w:p>
        </w:tc>
      </w:tr>
      <w:tr w:rsidR="00D41BA6" w:rsidRPr="00ED1A0E" w:rsidTr="00DA2344">
        <w:trPr>
          <w:trHeight w:val="213"/>
        </w:trPr>
        <w:tc>
          <w:tcPr>
            <w:tcW w:w="2753" w:type="dxa"/>
            <w:tcBorders>
              <w:top w:val="single" w:sz="4" w:space="0" w:color="auto"/>
              <w:left w:val="single" w:sz="4" w:space="0" w:color="auto"/>
              <w:bottom w:val="single" w:sz="4" w:space="0" w:color="auto"/>
              <w:right w:val="single" w:sz="4" w:space="0" w:color="auto"/>
            </w:tcBorders>
            <w:shd w:val="clear" w:color="auto" w:fill="auto"/>
          </w:tcPr>
          <w:p w:rsidR="00D41BA6" w:rsidRPr="00ED1A0E" w:rsidRDefault="00D41BA6" w:rsidP="00DA2344">
            <w:pPr>
              <w:spacing w:after="0" w:line="240" w:lineRule="auto"/>
              <w:rPr>
                <w:rFonts w:ascii="Times New Roman" w:hAnsi="Times New Roman"/>
                <w:bCs/>
                <w:sz w:val="20"/>
                <w:szCs w:val="20"/>
              </w:rPr>
            </w:pPr>
            <w:r w:rsidRPr="00ED1A0E">
              <w:rPr>
                <w:rFonts w:ascii="Times New Roman" w:hAnsi="Times New Roman"/>
                <w:bCs/>
                <w:sz w:val="20"/>
                <w:szCs w:val="20"/>
              </w:rPr>
              <w:t>яровой ячмень</w:t>
            </w:r>
          </w:p>
        </w:tc>
        <w:tc>
          <w:tcPr>
            <w:tcW w:w="1080" w:type="dxa"/>
            <w:tcBorders>
              <w:top w:val="single" w:sz="4" w:space="0" w:color="auto"/>
              <w:left w:val="nil"/>
              <w:bottom w:val="single" w:sz="4" w:space="0" w:color="auto"/>
              <w:right w:val="single" w:sz="4" w:space="0" w:color="auto"/>
            </w:tcBorders>
            <w:shd w:val="clear" w:color="auto" w:fill="auto"/>
            <w:vAlign w:val="bottom"/>
          </w:tcPr>
          <w:p w:rsidR="00D41BA6" w:rsidRPr="00ED1A0E" w:rsidRDefault="00D41BA6" w:rsidP="00DA2344">
            <w:pPr>
              <w:spacing w:after="0" w:line="240" w:lineRule="auto"/>
              <w:jc w:val="right"/>
              <w:rPr>
                <w:rFonts w:ascii="Times New Roman" w:hAnsi="Times New Roman"/>
                <w:sz w:val="20"/>
                <w:szCs w:val="20"/>
              </w:rPr>
            </w:pPr>
            <w:r w:rsidRPr="00ED1A0E">
              <w:rPr>
                <w:rFonts w:ascii="Times New Roman" w:hAnsi="Times New Roman"/>
                <w:sz w:val="20"/>
                <w:szCs w:val="20"/>
              </w:rPr>
              <w:t>20,5</w:t>
            </w:r>
          </w:p>
        </w:tc>
        <w:tc>
          <w:tcPr>
            <w:tcW w:w="885" w:type="dxa"/>
            <w:tcBorders>
              <w:top w:val="single" w:sz="4" w:space="0" w:color="auto"/>
              <w:left w:val="nil"/>
              <w:bottom w:val="single" w:sz="4" w:space="0" w:color="auto"/>
              <w:right w:val="single" w:sz="4" w:space="0" w:color="auto"/>
            </w:tcBorders>
            <w:shd w:val="clear" w:color="auto" w:fill="auto"/>
            <w:vAlign w:val="bottom"/>
          </w:tcPr>
          <w:p w:rsidR="00D41BA6" w:rsidRPr="00ED1A0E" w:rsidRDefault="00D41BA6" w:rsidP="00DA2344">
            <w:pPr>
              <w:spacing w:after="0" w:line="240" w:lineRule="auto"/>
              <w:jc w:val="right"/>
              <w:rPr>
                <w:rFonts w:ascii="Times New Roman" w:hAnsi="Times New Roman"/>
                <w:sz w:val="20"/>
                <w:szCs w:val="20"/>
              </w:rPr>
            </w:pPr>
            <w:r w:rsidRPr="00ED1A0E">
              <w:rPr>
                <w:rFonts w:ascii="Times New Roman" w:hAnsi="Times New Roman"/>
                <w:sz w:val="20"/>
                <w:szCs w:val="20"/>
              </w:rPr>
              <w:t>21,9</w:t>
            </w:r>
          </w:p>
        </w:tc>
        <w:tc>
          <w:tcPr>
            <w:tcW w:w="1236" w:type="dxa"/>
            <w:tcBorders>
              <w:top w:val="single" w:sz="4" w:space="0" w:color="auto"/>
              <w:left w:val="nil"/>
              <w:bottom w:val="single" w:sz="4" w:space="0" w:color="auto"/>
              <w:right w:val="single" w:sz="4" w:space="0" w:color="auto"/>
            </w:tcBorders>
            <w:shd w:val="clear" w:color="auto" w:fill="auto"/>
            <w:vAlign w:val="bottom"/>
          </w:tcPr>
          <w:p w:rsidR="00D41BA6" w:rsidRPr="00ED1A0E" w:rsidRDefault="00D41BA6" w:rsidP="00DA2344">
            <w:pPr>
              <w:spacing w:after="0" w:line="240" w:lineRule="auto"/>
              <w:jc w:val="right"/>
              <w:rPr>
                <w:rFonts w:ascii="Times New Roman" w:hAnsi="Times New Roman"/>
                <w:sz w:val="20"/>
                <w:szCs w:val="20"/>
              </w:rPr>
            </w:pPr>
            <w:r w:rsidRPr="00ED1A0E">
              <w:rPr>
                <w:rFonts w:ascii="Times New Roman" w:hAnsi="Times New Roman"/>
                <w:sz w:val="20"/>
                <w:szCs w:val="20"/>
              </w:rPr>
              <w:t>106,8</w:t>
            </w:r>
          </w:p>
        </w:tc>
        <w:tc>
          <w:tcPr>
            <w:tcW w:w="841" w:type="dxa"/>
            <w:tcBorders>
              <w:top w:val="single" w:sz="4" w:space="0" w:color="auto"/>
              <w:left w:val="nil"/>
              <w:bottom w:val="single" w:sz="4" w:space="0" w:color="auto"/>
              <w:right w:val="single" w:sz="4" w:space="0" w:color="auto"/>
            </w:tcBorders>
            <w:shd w:val="clear" w:color="auto" w:fill="auto"/>
            <w:vAlign w:val="bottom"/>
          </w:tcPr>
          <w:p w:rsidR="00D41BA6" w:rsidRPr="00ED1A0E" w:rsidRDefault="00D41BA6" w:rsidP="00DA2344">
            <w:pPr>
              <w:spacing w:after="0" w:line="240" w:lineRule="auto"/>
              <w:jc w:val="right"/>
              <w:rPr>
                <w:rFonts w:ascii="Times New Roman" w:hAnsi="Times New Roman"/>
                <w:sz w:val="20"/>
                <w:szCs w:val="20"/>
              </w:rPr>
            </w:pPr>
            <w:r w:rsidRPr="00ED1A0E">
              <w:rPr>
                <w:rFonts w:ascii="Times New Roman" w:hAnsi="Times New Roman"/>
                <w:sz w:val="20"/>
                <w:szCs w:val="20"/>
              </w:rPr>
              <w:t>21,7</w:t>
            </w:r>
          </w:p>
        </w:tc>
        <w:tc>
          <w:tcPr>
            <w:tcW w:w="1143" w:type="dxa"/>
            <w:tcBorders>
              <w:top w:val="single" w:sz="4" w:space="0" w:color="auto"/>
              <w:left w:val="nil"/>
              <w:bottom w:val="single" w:sz="4" w:space="0" w:color="auto"/>
              <w:right w:val="single" w:sz="4" w:space="0" w:color="auto"/>
            </w:tcBorders>
            <w:shd w:val="clear" w:color="auto" w:fill="auto"/>
            <w:vAlign w:val="bottom"/>
          </w:tcPr>
          <w:p w:rsidR="00D41BA6" w:rsidRPr="00ED1A0E" w:rsidRDefault="00D41BA6" w:rsidP="00DA2344">
            <w:pPr>
              <w:spacing w:after="0" w:line="240" w:lineRule="auto"/>
              <w:jc w:val="right"/>
              <w:rPr>
                <w:rFonts w:ascii="Times New Roman" w:hAnsi="Times New Roman"/>
                <w:sz w:val="20"/>
                <w:szCs w:val="20"/>
              </w:rPr>
            </w:pPr>
            <w:r w:rsidRPr="00ED1A0E">
              <w:rPr>
                <w:rFonts w:ascii="Times New Roman" w:hAnsi="Times New Roman"/>
                <w:sz w:val="20"/>
                <w:szCs w:val="20"/>
              </w:rPr>
              <w:t>24,5</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D41BA6" w:rsidRPr="00ED1A0E" w:rsidRDefault="00D41BA6" w:rsidP="00DA2344">
            <w:pPr>
              <w:spacing w:after="0" w:line="240" w:lineRule="auto"/>
              <w:jc w:val="right"/>
              <w:rPr>
                <w:rFonts w:ascii="Times New Roman" w:hAnsi="Times New Roman"/>
                <w:sz w:val="20"/>
                <w:szCs w:val="20"/>
              </w:rPr>
            </w:pPr>
            <w:r w:rsidRPr="00ED1A0E">
              <w:rPr>
                <w:rFonts w:ascii="Times New Roman" w:hAnsi="Times New Roman"/>
                <w:sz w:val="20"/>
                <w:szCs w:val="20"/>
              </w:rPr>
              <w:t>112,9</w:t>
            </w:r>
          </w:p>
        </w:tc>
      </w:tr>
    </w:tbl>
    <w:p w:rsidR="00D41BA6" w:rsidRPr="00987C72" w:rsidRDefault="00D41BA6" w:rsidP="00D41BA6">
      <w:pPr>
        <w:tabs>
          <w:tab w:val="left" w:pos="7020"/>
          <w:tab w:val="left" w:pos="8460"/>
        </w:tabs>
        <w:spacing w:after="0" w:line="240" w:lineRule="auto"/>
        <w:rPr>
          <w:rFonts w:ascii="Times New Roman" w:hAnsi="Times New Roman"/>
          <w:sz w:val="20"/>
          <w:szCs w:val="20"/>
        </w:rPr>
      </w:pPr>
      <w:r>
        <w:rPr>
          <w:rFonts w:ascii="Times New Roman" w:hAnsi="Times New Roman"/>
          <w:sz w:val="20"/>
          <w:szCs w:val="20"/>
        </w:rPr>
        <w:t xml:space="preserve">     </w:t>
      </w:r>
      <w:r w:rsidRPr="00987C72">
        <w:rPr>
          <w:rFonts w:ascii="Times New Roman" w:hAnsi="Times New Roman"/>
          <w:sz w:val="20"/>
          <w:szCs w:val="20"/>
        </w:rPr>
        <w:t xml:space="preserve">*- </w:t>
      </w:r>
      <w:r>
        <w:rPr>
          <w:rFonts w:ascii="Times New Roman" w:hAnsi="Times New Roman"/>
          <w:sz w:val="20"/>
          <w:szCs w:val="20"/>
        </w:rPr>
        <w:t>темп роста  (спада) к соответствующей дате 2013 года, %</w:t>
      </w:r>
    </w:p>
    <w:p w:rsidR="00D41BA6" w:rsidRDefault="00D41BA6" w:rsidP="00D41BA6">
      <w:pPr>
        <w:spacing w:after="0" w:line="240" w:lineRule="auto"/>
        <w:jc w:val="both"/>
        <w:rPr>
          <w:rFonts w:ascii="Times New Roman" w:hAnsi="Times New Roman"/>
          <w:sz w:val="28"/>
          <w:szCs w:val="28"/>
        </w:rPr>
      </w:pPr>
      <w:r w:rsidRPr="007804A0">
        <w:rPr>
          <w:rFonts w:ascii="Times New Roman" w:hAnsi="Times New Roman"/>
          <w:noProof/>
          <w:sz w:val="28"/>
          <w:szCs w:val="28"/>
        </w:rPr>
        <w:drawing>
          <wp:inline distT="0" distB="0" distL="0" distR="0">
            <wp:extent cx="6000750" cy="2762250"/>
            <wp:effectExtent l="0" t="0" r="0" b="0"/>
            <wp:docPr id="14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41BA6" w:rsidRPr="00987C72" w:rsidRDefault="00D41BA6" w:rsidP="00D41BA6">
      <w:pPr>
        <w:tabs>
          <w:tab w:val="left" w:pos="7020"/>
          <w:tab w:val="left" w:pos="8460"/>
        </w:tabs>
        <w:spacing w:after="0" w:line="240" w:lineRule="auto"/>
        <w:ind w:left="284"/>
        <w:rPr>
          <w:rFonts w:ascii="Times New Roman" w:hAnsi="Times New Roman"/>
          <w:sz w:val="20"/>
          <w:szCs w:val="20"/>
        </w:rPr>
      </w:pPr>
      <w:r w:rsidRPr="00987C72">
        <w:rPr>
          <w:rFonts w:ascii="Times New Roman" w:hAnsi="Times New Roman"/>
          <w:sz w:val="20"/>
          <w:szCs w:val="20"/>
        </w:rPr>
        <w:t xml:space="preserve">*- </w:t>
      </w:r>
      <w:r>
        <w:rPr>
          <w:rFonts w:ascii="Times New Roman" w:hAnsi="Times New Roman"/>
          <w:sz w:val="20"/>
          <w:szCs w:val="20"/>
        </w:rPr>
        <w:t>темп роста (спада) к соответствующей дате 2013 года, %</w:t>
      </w:r>
    </w:p>
    <w:p w:rsidR="00C42921" w:rsidRDefault="00C42921" w:rsidP="00D41BA6">
      <w:pPr>
        <w:spacing w:after="0" w:line="240" w:lineRule="auto"/>
        <w:ind w:firstLine="708"/>
        <w:jc w:val="both"/>
        <w:rPr>
          <w:rFonts w:ascii="Times New Roman" w:hAnsi="Times New Roman"/>
          <w:b/>
          <w:sz w:val="24"/>
          <w:szCs w:val="24"/>
        </w:rPr>
      </w:pPr>
    </w:p>
    <w:p w:rsidR="00D41BA6" w:rsidRDefault="00D41BA6" w:rsidP="00D41BA6">
      <w:pPr>
        <w:spacing w:after="0" w:line="240" w:lineRule="auto"/>
        <w:ind w:firstLine="708"/>
        <w:jc w:val="both"/>
        <w:rPr>
          <w:rFonts w:ascii="Times New Roman" w:hAnsi="Times New Roman"/>
          <w:sz w:val="24"/>
          <w:szCs w:val="24"/>
        </w:rPr>
      </w:pPr>
      <w:r w:rsidRPr="00205A7D">
        <w:rPr>
          <w:rFonts w:ascii="Times New Roman" w:hAnsi="Times New Roman"/>
          <w:b/>
          <w:sz w:val="24"/>
          <w:szCs w:val="24"/>
        </w:rPr>
        <w:t>Мелиорация.</w:t>
      </w:r>
      <w:r>
        <w:rPr>
          <w:rFonts w:ascii="Times New Roman" w:hAnsi="Times New Roman"/>
          <w:b/>
          <w:sz w:val="24"/>
          <w:szCs w:val="24"/>
        </w:rPr>
        <w:t xml:space="preserve"> </w:t>
      </w:r>
      <w:r w:rsidRPr="00205A7D">
        <w:rPr>
          <w:rFonts w:ascii="Times New Roman" w:hAnsi="Times New Roman"/>
          <w:sz w:val="24"/>
          <w:szCs w:val="24"/>
        </w:rPr>
        <w:t>Государством принимаются меры по увеличению площадей полива сельскохозяйственных культур</w:t>
      </w:r>
      <w:r>
        <w:rPr>
          <w:rFonts w:ascii="Times New Roman" w:hAnsi="Times New Roman"/>
          <w:sz w:val="24"/>
          <w:szCs w:val="24"/>
        </w:rPr>
        <w:t>.</w:t>
      </w:r>
    </w:p>
    <w:p w:rsidR="00D41BA6" w:rsidRPr="00205A7D" w:rsidRDefault="00D41BA6" w:rsidP="00D41BA6">
      <w:pPr>
        <w:spacing w:after="0" w:line="240" w:lineRule="auto"/>
        <w:ind w:firstLine="708"/>
        <w:jc w:val="both"/>
        <w:rPr>
          <w:rFonts w:ascii="Times New Roman" w:hAnsi="Times New Roman"/>
          <w:sz w:val="24"/>
          <w:szCs w:val="24"/>
        </w:rPr>
      </w:pPr>
      <w:r>
        <w:rPr>
          <w:rFonts w:ascii="Times New Roman" w:hAnsi="Times New Roman"/>
          <w:sz w:val="24"/>
          <w:szCs w:val="24"/>
        </w:rPr>
        <w:t xml:space="preserve">В </w:t>
      </w:r>
      <w:r>
        <w:rPr>
          <w:rFonts w:ascii="Times New Roman" w:hAnsi="Times New Roman"/>
          <w:sz w:val="24"/>
          <w:szCs w:val="24"/>
          <w:lang w:val="en-US"/>
        </w:rPr>
        <w:t>I</w:t>
      </w:r>
      <w:r w:rsidRPr="004515E2">
        <w:rPr>
          <w:rFonts w:ascii="Times New Roman" w:hAnsi="Times New Roman"/>
          <w:sz w:val="24"/>
          <w:szCs w:val="24"/>
        </w:rPr>
        <w:t xml:space="preserve"> </w:t>
      </w:r>
      <w:r w:rsidRPr="00205A7D">
        <w:rPr>
          <w:rFonts w:ascii="Times New Roman" w:hAnsi="Times New Roman"/>
          <w:sz w:val="24"/>
          <w:szCs w:val="24"/>
        </w:rPr>
        <w:t>полугоди</w:t>
      </w:r>
      <w:r>
        <w:rPr>
          <w:rFonts w:ascii="Times New Roman" w:hAnsi="Times New Roman"/>
          <w:sz w:val="24"/>
          <w:szCs w:val="24"/>
        </w:rPr>
        <w:t>и</w:t>
      </w:r>
      <w:r w:rsidRPr="00205A7D">
        <w:rPr>
          <w:rFonts w:ascii="Times New Roman" w:hAnsi="Times New Roman"/>
          <w:sz w:val="24"/>
          <w:szCs w:val="24"/>
        </w:rPr>
        <w:t xml:space="preserve"> 2014 года оказаны услуги по подаче воды на полив </w:t>
      </w:r>
      <w:r>
        <w:rPr>
          <w:rFonts w:ascii="Times New Roman" w:hAnsi="Times New Roman"/>
          <w:sz w:val="24"/>
          <w:szCs w:val="24"/>
        </w:rPr>
        <w:br/>
      </w:r>
      <w:r w:rsidRPr="00205A7D">
        <w:rPr>
          <w:rFonts w:ascii="Times New Roman" w:hAnsi="Times New Roman"/>
          <w:sz w:val="24"/>
          <w:szCs w:val="24"/>
        </w:rPr>
        <w:t>66 землепользователям против 54 за аналогичный период 2013 года</w:t>
      </w:r>
      <w:r>
        <w:rPr>
          <w:rFonts w:ascii="Times New Roman" w:hAnsi="Times New Roman"/>
          <w:sz w:val="24"/>
          <w:szCs w:val="24"/>
        </w:rPr>
        <w:t xml:space="preserve">. </w:t>
      </w:r>
      <w:r w:rsidRPr="00205A7D">
        <w:rPr>
          <w:rFonts w:ascii="Times New Roman" w:hAnsi="Times New Roman"/>
          <w:sz w:val="24"/>
          <w:szCs w:val="24"/>
        </w:rPr>
        <w:t xml:space="preserve">За </w:t>
      </w:r>
      <w:r>
        <w:rPr>
          <w:rFonts w:ascii="Times New Roman" w:hAnsi="Times New Roman"/>
          <w:sz w:val="24"/>
          <w:szCs w:val="24"/>
        </w:rPr>
        <w:t xml:space="preserve">данный </w:t>
      </w:r>
      <w:r w:rsidRPr="00205A7D">
        <w:rPr>
          <w:rFonts w:ascii="Times New Roman" w:hAnsi="Times New Roman"/>
          <w:sz w:val="24"/>
          <w:szCs w:val="24"/>
        </w:rPr>
        <w:t xml:space="preserve">период было подано </w:t>
      </w:r>
      <w:smartTag w:uri="urn:schemas-microsoft-com:office:smarttags" w:element="metricconverter">
        <w:smartTagPr>
          <w:attr w:name="ProductID" w:val="9,8 м3"/>
        </w:smartTagPr>
        <w:r w:rsidRPr="00205A7D">
          <w:rPr>
            <w:rFonts w:ascii="Times New Roman" w:hAnsi="Times New Roman"/>
            <w:sz w:val="24"/>
            <w:szCs w:val="24"/>
          </w:rPr>
          <w:t>9,8 м</w:t>
        </w:r>
        <w:r w:rsidRPr="00205A7D">
          <w:rPr>
            <w:rFonts w:ascii="Times New Roman" w:hAnsi="Times New Roman"/>
            <w:sz w:val="24"/>
            <w:szCs w:val="24"/>
            <w:vertAlign w:val="superscript"/>
          </w:rPr>
          <w:t>3</w:t>
        </w:r>
      </w:smartTag>
      <w:r w:rsidRPr="00205A7D">
        <w:rPr>
          <w:rFonts w:ascii="Times New Roman" w:hAnsi="Times New Roman"/>
          <w:sz w:val="24"/>
          <w:szCs w:val="24"/>
          <w:vertAlign w:val="superscript"/>
        </w:rPr>
        <w:t xml:space="preserve"> </w:t>
      </w:r>
      <w:r w:rsidRPr="00205A7D">
        <w:rPr>
          <w:rFonts w:ascii="Times New Roman" w:hAnsi="Times New Roman"/>
          <w:sz w:val="24"/>
          <w:szCs w:val="24"/>
        </w:rPr>
        <w:t>млн. воды на полив, что на 2,0 млн. м</w:t>
      </w:r>
      <w:r w:rsidRPr="00205A7D">
        <w:rPr>
          <w:rFonts w:ascii="Times New Roman" w:hAnsi="Times New Roman"/>
          <w:sz w:val="24"/>
          <w:szCs w:val="24"/>
          <w:vertAlign w:val="superscript"/>
        </w:rPr>
        <w:t>3</w:t>
      </w:r>
      <w:r w:rsidRPr="00205A7D">
        <w:rPr>
          <w:rFonts w:ascii="Times New Roman" w:hAnsi="Times New Roman"/>
          <w:sz w:val="24"/>
          <w:szCs w:val="24"/>
        </w:rPr>
        <w:t xml:space="preserve"> больше прошлогодних показателей, полито 8</w:t>
      </w:r>
      <w:r>
        <w:rPr>
          <w:rFonts w:ascii="Times New Roman" w:hAnsi="Times New Roman"/>
          <w:sz w:val="24"/>
          <w:szCs w:val="24"/>
        </w:rPr>
        <w:t xml:space="preserve"> </w:t>
      </w:r>
      <w:r w:rsidRPr="00205A7D">
        <w:rPr>
          <w:rFonts w:ascii="Times New Roman" w:hAnsi="Times New Roman"/>
          <w:sz w:val="24"/>
          <w:szCs w:val="24"/>
        </w:rPr>
        <w:t>590 га физических площадей, что на 2</w:t>
      </w:r>
      <w:r>
        <w:rPr>
          <w:rFonts w:ascii="Times New Roman" w:hAnsi="Times New Roman"/>
          <w:sz w:val="24"/>
          <w:szCs w:val="24"/>
        </w:rPr>
        <w:t xml:space="preserve"> </w:t>
      </w:r>
      <w:r w:rsidRPr="00205A7D">
        <w:rPr>
          <w:rFonts w:ascii="Times New Roman" w:hAnsi="Times New Roman"/>
          <w:sz w:val="24"/>
          <w:szCs w:val="24"/>
        </w:rPr>
        <w:t>270 га больше, чем за соответствующий период 2013 года.</w:t>
      </w:r>
    </w:p>
    <w:p w:rsidR="00D41BA6" w:rsidRPr="00205A7D" w:rsidRDefault="00D41BA6" w:rsidP="00D41BA6">
      <w:pPr>
        <w:spacing w:after="0" w:line="240" w:lineRule="auto"/>
        <w:ind w:firstLine="708"/>
        <w:jc w:val="both"/>
        <w:rPr>
          <w:rFonts w:ascii="Times New Roman" w:hAnsi="Times New Roman"/>
          <w:sz w:val="24"/>
          <w:szCs w:val="24"/>
        </w:rPr>
      </w:pPr>
      <w:r w:rsidRPr="00205A7D">
        <w:rPr>
          <w:rFonts w:ascii="Times New Roman" w:hAnsi="Times New Roman"/>
          <w:sz w:val="24"/>
          <w:szCs w:val="24"/>
        </w:rPr>
        <w:t xml:space="preserve">Одновременно с расширением орошаемых площадей постоянно совершенствуются применяемые технологии и качество полива за счет внедрения капельного орошения и полива с применением новых образцов широкозахватной дождевальной техники. </w:t>
      </w:r>
    </w:p>
    <w:p w:rsidR="00D41BA6" w:rsidRDefault="00D41BA6" w:rsidP="00D41BA6">
      <w:pPr>
        <w:spacing w:after="0" w:line="240" w:lineRule="auto"/>
        <w:ind w:firstLine="708"/>
        <w:jc w:val="both"/>
        <w:rPr>
          <w:rFonts w:ascii="Times New Roman" w:hAnsi="Times New Roman"/>
          <w:sz w:val="24"/>
          <w:szCs w:val="24"/>
        </w:rPr>
      </w:pPr>
      <w:r w:rsidRPr="00205A7D">
        <w:rPr>
          <w:rFonts w:ascii="Times New Roman" w:hAnsi="Times New Roman"/>
          <w:sz w:val="24"/>
          <w:szCs w:val="24"/>
        </w:rPr>
        <w:t xml:space="preserve">По результатам работы за </w:t>
      </w:r>
      <w:r>
        <w:rPr>
          <w:rFonts w:ascii="Times New Roman" w:hAnsi="Times New Roman"/>
          <w:sz w:val="24"/>
          <w:szCs w:val="24"/>
          <w:lang w:val="en-US"/>
        </w:rPr>
        <w:t>I</w:t>
      </w:r>
      <w:r w:rsidRPr="004515E2">
        <w:rPr>
          <w:rFonts w:ascii="Times New Roman" w:hAnsi="Times New Roman"/>
          <w:sz w:val="24"/>
          <w:szCs w:val="24"/>
        </w:rPr>
        <w:t xml:space="preserve"> </w:t>
      </w:r>
      <w:r w:rsidRPr="00205A7D">
        <w:rPr>
          <w:rFonts w:ascii="Times New Roman" w:hAnsi="Times New Roman"/>
          <w:sz w:val="24"/>
          <w:szCs w:val="24"/>
        </w:rPr>
        <w:t>полугоди</w:t>
      </w:r>
      <w:r>
        <w:rPr>
          <w:rFonts w:ascii="Times New Roman" w:hAnsi="Times New Roman"/>
          <w:sz w:val="24"/>
          <w:szCs w:val="24"/>
        </w:rPr>
        <w:t>е</w:t>
      </w:r>
      <w:r w:rsidRPr="00205A7D">
        <w:rPr>
          <w:rFonts w:ascii="Times New Roman" w:hAnsi="Times New Roman"/>
          <w:sz w:val="24"/>
          <w:szCs w:val="24"/>
        </w:rPr>
        <w:t xml:space="preserve"> 2014 года самые значительные объемы полива были отмечены на полях таких землепользователей как ЗАО «Тираспольский </w:t>
      </w:r>
      <w:r w:rsidRPr="00205A7D">
        <w:rPr>
          <w:rFonts w:ascii="Times New Roman" w:hAnsi="Times New Roman"/>
          <w:sz w:val="24"/>
          <w:szCs w:val="24"/>
        </w:rPr>
        <w:lastRenderedPageBreak/>
        <w:t>КХП», ОО</w:t>
      </w:r>
      <w:r>
        <w:rPr>
          <w:rFonts w:ascii="Times New Roman" w:hAnsi="Times New Roman"/>
          <w:sz w:val="24"/>
          <w:szCs w:val="24"/>
        </w:rPr>
        <w:t>О</w:t>
      </w:r>
      <w:r w:rsidRPr="00205A7D">
        <w:rPr>
          <w:rFonts w:ascii="Times New Roman" w:hAnsi="Times New Roman"/>
          <w:sz w:val="24"/>
          <w:szCs w:val="24"/>
        </w:rPr>
        <w:t xml:space="preserve"> «Рустас», ООО «Экспедеция-Агро», ООО «Агростар», ООО «Агростиль», ООО «Григориопольский КХП», ООО «Плантатор», </w:t>
      </w:r>
      <w:r>
        <w:rPr>
          <w:rFonts w:ascii="Times New Roman" w:hAnsi="Times New Roman"/>
          <w:sz w:val="24"/>
          <w:szCs w:val="24"/>
        </w:rPr>
        <w:t xml:space="preserve">ООО «Агрикол ППК», </w:t>
      </w:r>
      <w:r w:rsidRPr="00205A7D">
        <w:rPr>
          <w:rFonts w:ascii="Times New Roman" w:hAnsi="Times New Roman"/>
          <w:sz w:val="24"/>
          <w:szCs w:val="24"/>
        </w:rPr>
        <w:t>ООО</w:t>
      </w:r>
      <w:r>
        <w:rPr>
          <w:rFonts w:ascii="Times New Roman" w:hAnsi="Times New Roman"/>
          <w:sz w:val="24"/>
          <w:szCs w:val="24"/>
        </w:rPr>
        <w:t> </w:t>
      </w:r>
      <w:r w:rsidRPr="00205A7D">
        <w:rPr>
          <w:rFonts w:ascii="Times New Roman" w:hAnsi="Times New Roman"/>
          <w:sz w:val="24"/>
          <w:szCs w:val="24"/>
        </w:rPr>
        <w:t>«Минерул», ООО «Агроидея», ООО «Полюс-Агро»</w:t>
      </w:r>
      <w:r>
        <w:rPr>
          <w:rFonts w:ascii="Times New Roman" w:hAnsi="Times New Roman"/>
          <w:sz w:val="24"/>
          <w:szCs w:val="24"/>
        </w:rPr>
        <w:t>.</w:t>
      </w:r>
    </w:p>
    <w:p w:rsidR="00D41BA6" w:rsidRPr="00987C72" w:rsidRDefault="00D41BA6" w:rsidP="00D41BA6">
      <w:pPr>
        <w:spacing w:after="0" w:line="240" w:lineRule="auto"/>
        <w:ind w:firstLine="708"/>
        <w:jc w:val="both"/>
        <w:rPr>
          <w:rFonts w:ascii="Times New Roman" w:hAnsi="Times New Roman"/>
          <w:sz w:val="24"/>
          <w:szCs w:val="24"/>
        </w:rPr>
      </w:pPr>
      <w:r w:rsidRPr="004547BD">
        <w:rPr>
          <w:rFonts w:ascii="Times New Roman" w:hAnsi="Times New Roman"/>
          <w:b/>
          <w:sz w:val="24"/>
          <w:szCs w:val="24"/>
        </w:rPr>
        <w:t>Фитосанитарное обслуживание.</w:t>
      </w:r>
      <w:r>
        <w:rPr>
          <w:rFonts w:ascii="Times New Roman" w:hAnsi="Times New Roman"/>
          <w:sz w:val="24"/>
          <w:szCs w:val="24"/>
        </w:rPr>
        <w:t xml:space="preserve"> </w:t>
      </w:r>
      <w:r w:rsidRPr="00987C72">
        <w:rPr>
          <w:rFonts w:ascii="Times New Roman" w:hAnsi="Times New Roman"/>
          <w:sz w:val="24"/>
          <w:szCs w:val="24"/>
        </w:rPr>
        <w:t xml:space="preserve">В </w:t>
      </w:r>
      <w:r>
        <w:rPr>
          <w:rFonts w:ascii="Times New Roman" w:hAnsi="Times New Roman"/>
          <w:sz w:val="24"/>
          <w:szCs w:val="24"/>
        </w:rPr>
        <w:t xml:space="preserve">январе-июне 2014 года </w:t>
      </w:r>
      <w:r w:rsidRPr="00987C72">
        <w:rPr>
          <w:rFonts w:ascii="Times New Roman" w:hAnsi="Times New Roman"/>
          <w:sz w:val="24"/>
          <w:szCs w:val="24"/>
        </w:rPr>
        <w:t>в растениеводческой отрасли проводились мероприятия по выявлению очагов карантинных сорняков, вредителей и возбудителей болезней растений, было обследовано 1</w:t>
      </w:r>
      <w:r w:rsidRPr="005808A8">
        <w:rPr>
          <w:rFonts w:ascii="Times New Roman" w:hAnsi="Times New Roman"/>
          <w:sz w:val="24"/>
          <w:szCs w:val="24"/>
        </w:rPr>
        <w:t>11</w:t>
      </w:r>
      <w:r>
        <w:rPr>
          <w:rFonts w:ascii="Times New Roman" w:hAnsi="Times New Roman"/>
          <w:sz w:val="24"/>
          <w:szCs w:val="24"/>
        </w:rPr>
        <w:t>,</w:t>
      </w:r>
      <w:r w:rsidRPr="005808A8">
        <w:rPr>
          <w:rFonts w:ascii="Times New Roman" w:hAnsi="Times New Roman"/>
          <w:sz w:val="24"/>
          <w:szCs w:val="24"/>
        </w:rPr>
        <w:t>7</w:t>
      </w:r>
      <w:r w:rsidRPr="00987C72">
        <w:rPr>
          <w:rFonts w:ascii="Times New Roman" w:hAnsi="Times New Roman"/>
          <w:sz w:val="24"/>
          <w:szCs w:val="24"/>
        </w:rPr>
        <w:t xml:space="preserve"> тыс. га (в </w:t>
      </w:r>
      <w:r>
        <w:rPr>
          <w:rFonts w:ascii="Times New Roman" w:hAnsi="Times New Roman"/>
          <w:sz w:val="24"/>
          <w:szCs w:val="24"/>
        </w:rPr>
        <w:t>январе-июне 2013 года –</w:t>
      </w:r>
      <w:r w:rsidRPr="00987C72">
        <w:rPr>
          <w:rFonts w:ascii="Times New Roman" w:hAnsi="Times New Roman"/>
          <w:sz w:val="24"/>
          <w:szCs w:val="24"/>
        </w:rPr>
        <w:t xml:space="preserve"> </w:t>
      </w:r>
      <w:r>
        <w:rPr>
          <w:rFonts w:ascii="Times New Roman" w:hAnsi="Times New Roman"/>
          <w:sz w:val="24"/>
          <w:szCs w:val="24"/>
        </w:rPr>
        <w:t>85,4</w:t>
      </w:r>
      <w:r w:rsidRPr="00987C72">
        <w:rPr>
          <w:rFonts w:ascii="Times New Roman" w:hAnsi="Times New Roman"/>
          <w:sz w:val="24"/>
          <w:szCs w:val="24"/>
        </w:rPr>
        <w:t xml:space="preserve"> тыс. га) земель сельскохозяйственного назначения, карантинные</w:t>
      </w:r>
      <w:r>
        <w:rPr>
          <w:rFonts w:ascii="Times New Roman" w:hAnsi="Times New Roman"/>
          <w:sz w:val="24"/>
          <w:szCs w:val="24"/>
        </w:rPr>
        <w:t xml:space="preserve"> </w:t>
      </w:r>
      <w:r w:rsidRPr="00987C72">
        <w:rPr>
          <w:rFonts w:ascii="Times New Roman" w:hAnsi="Times New Roman"/>
          <w:sz w:val="24"/>
          <w:szCs w:val="24"/>
        </w:rPr>
        <w:t>объекты выявлены на площади</w:t>
      </w:r>
      <w:r>
        <w:rPr>
          <w:rFonts w:ascii="Times New Roman" w:hAnsi="Times New Roman"/>
          <w:sz w:val="24"/>
          <w:szCs w:val="24"/>
        </w:rPr>
        <w:t xml:space="preserve"> 21,2</w:t>
      </w:r>
      <w:r w:rsidRPr="00987C72">
        <w:rPr>
          <w:rFonts w:ascii="Times New Roman" w:hAnsi="Times New Roman"/>
          <w:sz w:val="24"/>
          <w:szCs w:val="24"/>
        </w:rPr>
        <w:t xml:space="preserve"> тыс. га (в</w:t>
      </w:r>
      <w:r>
        <w:rPr>
          <w:rFonts w:ascii="Times New Roman" w:hAnsi="Times New Roman"/>
          <w:sz w:val="24"/>
          <w:szCs w:val="24"/>
        </w:rPr>
        <w:t xml:space="preserve"> январе-июне 2013 года – 15,6 тыс. га) </w:t>
      </w:r>
      <w:r w:rsidRPr="00987C72">
        <w:rPr>
          <w:rFonts w:ascii="Times New Roman" w:hAnsi="Times New Roman"/>
          <w:sz w:val="24"/>
          <w:szCs w:val="24"/>
        </w:rPr>
        <w:t>земельных угодий.</w:t>
      </w:r>
      <w:r>
        <w:rPr>
          <w:rFonts w:ascii="Times New Roman" w:hAnsi="Times New Roman"/>
          <w:sz w:val="24"/>
          <w:szCs w:val="24"/>
        </w:rPr>
        <w:t xml:space="preserve"> </w:t>
      </w:r>
      <w:r w:rsidRPr="00987C72">
        <w:rPr>
          <w:rFonts w:ascii="Times New Roman" w:hAnsi="Times New Roman"/>
          <w:sz w:val="24"/>
          <w:szCs w:val="24"/>
        </w:rPr>
        <w:t xml:space="preserve">Локализация и ликвидация очагов вредных организмов была успешно проведена на площади </w:t>
      </w:r>
      <w:r>
        <w:rPr>
          <w:rFonts w:ascii="Times New Roman" w:hAnsi="Times New Roman"/>
          <w:sz w:val="24"/>
          <w:szCs w:val="24"/>
        </w:rPr>
        <w:t>20,3</w:t>
      </w:r>
      <w:r w:rsidRPr="00987C72">
        <w:rPr>
          <w:rFonts w:ascii="Times New Roman" w:hAnsi="Times New Roman"/>
          <w:sz w:val="24"/>
          <w:szCs w:val="24"/>
        </w:rPr>
        <w:t xml:space="preserve"> тыс. га (в </w:t>
      </w:r>
      <w:r>
        <w:rPr>
          <w:rFonts w:ascii="Times New Roman" w:hAnsi="Times New Roman"/>
          <w:sz w:val="24"/>
          <w:szCs w:val="24"/>
        </w:rPr>
        <w:t xml:space="preserve">январе-июне 2013 года </w:t>
      </w:r>
      <w:r w:rsidRPr="00987C72">
        <w:rPr>
          <w:rFonts w:ascii="Times New Roman" w:hAnsi="Times New Roman"/>
          <w:sz w:val="24"/>
          <w:szCs w:val="24"/>
        </w:rPr>
        <w:t xml:space="preserve">– </w:t>
      </w:r>
      <w:r>
        <w:rPr>
          <w:rFonts w:ascii="Times New Roman" w:hAnsi="Times New Roman"/>
          <w:sz w:val="24"/>
          <w:szCs w:val="24"/>
        </w:rPr>
        <w:t>11,8</w:t>
      </w:r>
      <w:r w:rsidRPr="00987C72">
        <w:rPr>
          <w:rFonts w:ascii="Times New Roman" w:hAnsi="Times New Roman"/>
          <w:sz w:val="24"/>
          <w:szCs w:val="24"/>
        </w:rPr>
        <w:t xml:space="preserve"> тыс. га). </w:t>
      </w:r>
      <w:r>
        <w:rPr>
          <w:rFonts w:ascii="Times New Roman" w:hAnsi="Times New Roman"/>
          <w:sz w:val="24"/>
          <w:szCs w:val="24"/>
        </w:rPr>
        <w:t xml:space="preserve">Выдано </w:t>
      </w:r>
      <w:r>
        <w:rPr>
          <w:rFonts w:ascii="Times New Roman" w:hAnsi="Times New Roman"/>
          <w:sz w:val="24"/>
          <w:szCs w:val="24"/>
        </w:rPr>
        <w:br/>
        <w:t xml:space="preserve">4 </w:t>
      </w:r>
      <w:r w:rsidRPr="005808A8">
        <w:rPr>
          <w:rFonts w:ascii="Times New Roman" w:hAnsi="Times New Roman"/>
          <w:sz w:val="24"/>
          <w:szCs w:val="24"/>
        </w:rPr>
        <w:t>767 разрешительных документов для ввоза, вывоза и перемещения подконтрольных грузов на территории ПМР (в январе-июне 2013 года – 7  478 разрешительных документов)</w:t>
      </w:r>
      <w:r>
        <w:rPr>
          <w:rFonts w:ascii="Times New Roman" w:hAnsi="Times New Roman"/>
          <w:sz w:val="24"/>
          <w:szCs w:val="24"/>
        </w:rPr>
        <w:t xml:space="preserve">. </w:t>
      </w:r>
      <w:r w:rsidRPr="00987C72">
        <w:rPr>
          <w:rFonts w:ascii="Times New Roman" w:hAnsi="Times New Roman"/>
          <w:sz w:val="24"/>
          <w:szCs w:val="24"/>
        </w:rPr>
        <w:t xml:space="preserve">Проведено </w:t>
      </w:r>
      <w:r>
        <w:rPr>
          <w:rFonts w:ascii="Times New Roman" w:hAnsi="Times New Roman"/>
          <w:sz w:val="24"/>
          <w:szCs w:val="24"/>
        </w:rPr>
        <w:t>3 222</w:t>
      </w:r>
      <w:r w:rsidRPr="00987C72">
        <w:rPr>
          <w:rFonts w:ascii="Times New Roman" w:hAnsi="Times New Roman"/>
          <w:sz w:val="24"/>
          <w:szCs w:val="24"/>
        </w:rPr>
        <w:t xml:space="preserve"> досмотров (в </w:t>
      </w:r>
      <w:r>
        <w:rPr>
          <w:rFonts w:ascii="Times New Roman" w:hAnsi="Times New Roman"/>
          <w:sz w:val="24"/>
          <w:szCs w:val="24"/>
        </w:rPr>
        <w:t>январе-июне 2013 года</w:t>
      </w:r>
      <w:r w:rsidRPr="00987C72">
        <w:rPr>
          <w:rFonts w:ascii="Times New Roman" w:hAnsi="Times New Roman"/>
          <w:sz w:val="24"/>
          <w:szCs w:val="24"/>
        </w:rPr>
        <w:t xml:space="preserve"> </w:t>
      </w:r>
      <w:r>
        <w:rPr>
          <w:rFonts w:ascii="Times New Roman" w:hAnsi="Times New Roman"/>
          <w:sz w:val="24"/>
          <w:szCs w:val="24"/>
        </w:rPr>
        <w:t>–</w:t>
      </w:r>
      <w:r w:rsidRPr="00987C72">
        <w:rPr>
          <w:rFonts w:ascii="Times New Roman" w:hAnsi="Times New Roman"/>
          <w:sz w:val="24"/>
          <w:szCs w:val="24"/>
        </w:rPr>
        <w:t xml:space="preserve"> </w:t>
      </w:r>
      <w:r>
        <w:rPr>
          <w:rFonts w:ascii="Times New Roman" w:hAnsi="Times New Roman"/>
          <w:sz w:val="24"/>
          <w:szCs w:val="24"/>
        </w:rPr>
        <w:t>4 487</w:t>
      </w:r>
      <w:r w:rsidRPr="00987C72">
        <w:rPr>
          <w:rFonts w:ascii="Times New Roman" w:hAnsi="Times New Roman"/>
          <w:sz w:val="24"/>
          <w:szCs w:val="24"/>
        </w:rPr>
        <w:t xml:space="preserve"> досмотров) импортн</w:t>
      </w:r>
      <w:r>
        <w:rPr>
          <w:rFonts w:ascii="Times New Roman" w:hAnsi="Times New Roman"/>
          <w:sz w:val="24"/>
          <w:szCs w:val="24"/>
        </w:rPr>
        <w:t>о-экспортных грузов общим весом</w:t>
      </w:r>
      <w:r w:rsidRPr="00987C72">
        <w:rPr>
          <w:rFonts w:ascii="Times New Roman" w:hAnsi="Times New Roman"/>
          <w:sz w:val="24"/>
          <w:szCs w:val="24"/>
        </w:rPr>
        <w:t xml:space="preserve"> 1</w:t>
      </w:r>
      <w:r>
        <w:rPr>
          <w:rFonts w:ascii="Times New Roman" w:hAnsi="Times New Roman"/>
          <w:sz w:val="24"/>
          <w:szCs w:val="24"/>
        </w:rPr>
        <w:t>68,2</w:t>
      </w:r>
      <w:r w:rsidRPr="00987C72">
        <w:rPr>
          <w:rFonts w:ascii="Times New Roman" w:hAnsi="Times New Roman"/>
          <w:sz w:val="24"/>
          <w:szCs w:val="24"/>
        </w:rPr>
        <w:t xml:space="preserve"> тыс. тонн (в </w:t>
      </w:r>
      <w:r>
        <w:rPr>
          <w:rFonts w:ascii="Times New Roman" w:hAnsi="Times New Roman"/>
          <w:sz w:val="24"/>
          <w:szCs w:val="24"/>
        </w:rPr>
        <w:t>январе-июне 2013 года</w:t>
      </w:r>
      <w:r w:rsidRPr="00987C72">
        <w:rPr>
          <w:rFonts w:ascii="Times New Roman" w:hAnsi="Times New Roman"/>
          <w:sz w:val="24"/>
          <w:szCs w:val="24"/>
        </w:rPr>
        <w:t xml:space="preserve"> </w:t>
      </w:r>
      <w:r>
        <w:rPr>
          <w:rFonts w:ascii="Times New Roman" w:hAnsi="Times New Roman"/>
          <w:sz w:val="24"/>
          <w:szCs w:val="24"/>
        </w:rPr>
        <w:t>-   76,8</w:t>
      </w:r>
      <w:r w:rsidRPr="00987C72">
        <w:rPr>
          <w:rFonts w:ascii="Times New Roman" w:hAnsi="Times New Roman"/>
          <w:sz w:val="24"/>
          <w:szCs w:val="24"/>
        </w:rPr>
        <w:t xml:space="preserve"> тыс. тонн), отобрано и направлено на исследование </w:t>
      </w:r>
      <w:r>
        <w:rPr>
          <w:rFonts w:ascii="Times New Roman" w:hAnsi="Times New Roman"/>
          <w:sz w:val="24"/>
          <w:szCs w:val="24"/>
        </w:rPr>
        <w:t>1 330</w:t>
      </w:r>
      <w:r w:rsidRPr="00987C72">
        <w:rPr>
          <w:rFonts w:ascii="Times New Roman" w:hAnsi="Times New Roman"/>
          <w:sz w:val="24"/>
          <w:szCs w:val="24"/>
        </w:rPr>
        <w:t xml:space="preserve"> проб </w:t>
      </w:r>
      <w:r w:rsidR="00C42921">
        <w:rPr>
          <w:rFonts w:ascii="Times New Roman" w:hAnsi="Times New Roman"/>
          <w:sz w:val="24"/>
          <w:szCs w:val="24"/>
        </w:rPr>
        <w:t xml:space="preserve">                                         </w:t>
      </w:r>
      <w:r w:rsidRPr="00987C72">
        <w:rPr>
          <w:rFonts w:ascii="Times New Roman" w:hAnsi="Times New Roman"/>
          <w:sz w:val="24"/>
          <w:szCs w:val="24"/>
        </w:rPr>
        <w:t xml:space="preserve">(в </w:t>
      </w:r>
      <w:r>
        <w:rPr>
          <w:rFonts w:ascii="Times New Roman" w:hAnsi="Times New Roman"/>
          <w:sz w:val="24"/>
          <w:szCs w:val="24"/>
        </w:rPr>
        <w:t>январе-июне 2013 года</w:t>
      </w:r>
      <w:r w:rsidRPr="00987C72">
        <w:rPr>
          <w:rFonts w:ascii="Times New Roman" w:hAnsi="Times New Roman"/>
          <w:sz w:val="24"/>
          <w:szCs w:val="24"/>
        </w:rPr>
        <w:t xml:space="preserve"> –</w:t>
      </w:r>
      <w:r>
        <w:rPr>
          <w:rFonts w:ascii="Times New Roman" w:hAnsi="Times New Roman"/>
          <w:sz w:val="24"/>
          <w:szCs w:val="24"/>
        </w:rPr>
        <w:t>2 679</w:t>
      </w:r>
      <w:r w:rsidRPr="00987C72">
        <w:rPr>
          <w:rFonts w:ascii="Times New Roman" w:hAnsi="Times New Roman"/>
          <w:sz w:val="24"/>
          <w:szCs w:val="24"/>
        </w:rPr>
        <w:t xml:space="preserve"> проб), выдано </w:t>
      </w:r>
      <w:r>
        <w:rPr>
          <w:rFonts w:ascii="Times New Roman" w:hAnsi="Times New Roman"/>
          <w:sz w:val="24"/>
          <w:szCs w:val="24"/>
        </w:rPr>
        <w:t>1 309</w:t>
      </w:r>
      <w:r w:rsidRPr="00987C72">
        <w:rPr>
          <w:rFonts w:ascii="Times New Roman" w:hAnsi="Times New Roman"/>
          <w:sz w:val="24"/>
          <w:szCs w:val="24"/>
        </w:rPr>
        <w:t xml:space="preserve"> свидетельств </w:t>
      </w:r>
      <w:r>
        <w:rPr>
          <w:rFonts w:ascii="Times New Roman" w:hAnsi="Times New Roman"/>
          <w:sz w:val="24"/>
          <w:szCs w:val="24"/>
        </w:rPr>
        <w:t>карантинной экспертизы (в январе-июне 2013 года - 2 569</w:t>
      </w:r>
      <w:r w:rsidRPr="00987C72">
        <w:rPr>
          <w:rFonts w:ascii="Times New Roman" w:hAnsi="Times New Roman"/>
          <w:sz w:val="24"/>
          <w:szCs w:val="24"/>
        </w:rPr>
        <w:t xml:space="preserve"> свидетельство). Общая сумма платежей по оказанным услугам за </w:t>
      </w:r>
      <w:r>
        <w:rPr>
          <w:rFonts w:ascii="Times New Roman" w:hAnsi="Times New Roman"/>
          <w:sz w:val="24"/>
          <w:szCs w:val="24"/>
        </w:rPr>
        <w:t>январь-июнь 2014 года составила 835,9</w:t>
      </w:r>
      <w:r w:rsidRPr="00987C72">
        <w:rPr>
          <w:rFonts w:ascii="Times New Roman" w:hAnsi="Times New Roman"/>
          <w:sz w:val="24"/>
          <w:szCs w:val="24"/>
        </w:rPr>
        <w:t xml:space="preserve"> тыс. руб. ПМР, что на </w:t>
      </w:r>
      <w:r>
        <w:rPr>
          <w:rFonts w:ascii="Times New Roman" w:hAnsi="Times New Roman"/>
          <w:sz w:val="24"/>
          <w:szCs w:val="24"/>
        </w:rPr>
        <w:t xml:space="preserve">27,9% больше по отношению к соответствующему периоду </w:t>
      </w:r>
      <w:r w:rsidRPr="00987C72">
        <w:rPr>
          <w:rFonts w:ascii="Times New Roman" w:hAnsi="Times New Roman"/>
          <w:sz w:val="24"/>
          <w:szCs w:val="24"/>
        </w:rPr>
        <w:t>201</w:t>
      </w:r>
      <w:r>
        <w:rPr>
          <w:rFonts w:ascii="Times New Roman" w:hAnsi="Times New Roman"/>
          <w:sz w:val="24"/>
          <w:szCs w:val="24"/>
        </w:rPr>
        <w:t>3</w:t>
      </w:r>
      <w:r w:rsidRPr="00987C72">
        <w:rPr>
          <w:rFonts w:ascii="Times New Roman" w:hAnsi="Times New Roman"/>
          <w:sz w:val="24"/>
          <w:szCs w:val="24"/>
        </w:rPr>
        <w:t xml:space="preserve"> года. </w:t>
      </w:r>
    </w:p>
    <w:p w:rsidR="00D41BA6" w:rsidRPr="00987C72" w:rsidRDefault="00D41BA6" w:rsidP="00D41BA6">
      <w:pPr>
        <w:spacing w:after="0" w:line="240" w:lineRule="auto"/>
        <w:ind w:firstLine="709"/>
        <w:jc w:val="both"/>
        <w:rPr>
          <w:rFonts w:ascii="Times New Roman" w:hAnsi="Times New Roman"/>
          <w:sz w:val="24"/>
          <w:szCs w:val="24"/>
        </w:rPr>
      </w:pPr>
      <w:r w:rsidRPr="003E274B">
        <w:rPr>
          <w:rFonts w:ascii="Times New Roman" w:hAnsi="Times New Roman"/>
          <w:b/>
          <w:sz w:val="24"/>
          <w:szCs w:val="24"/>
        </w:rPr>
        <w:t>Животноводство.</w:t>
      </w:r>
      <w:r>
        <w:rPr>
          <w:rFonts w:ascii="Times New Roman" w:hAnsi="Times New Roman"/>
          <w:b/>
          <w:sz w:val="24"/>
          <w:szCs w:val="24"/>
        </w:rPr>
        <w:t xml:space="preserve"> </w:t>
      </w:r>
      <w:r w:rsidRPr="00074884">
        <w:rPr>
          <w:rFonts w:ascii="Times New Roman" w:hAnsi="Times New Roman"/>
          <w:sz w:val="24"/>
          <w:szCs w:val="24"/>
        </w:rPr>
        <w:t>Животноводческ</w:t>
      </w:r>
      <w:r>
        <w:rPr>
          <w:rFonts w:ascii="Times New Roman" w:hAnsi="Times New Roman"/>
          <w:sz w:val="24"/>
          <w:szCs w:val="24"/>
        </w:rPr>
        <w:t xml:space="preserve">ая отрасль республики остаётся в сложной ситуации. Дороговизна кормов, </w:t>
      </w:r>
      <w:r w:rsidRPr="00987C72">
        <w:rPr>
          <w:rFonts w:ascii="Times New Roman" w:hAnsi="Times New Roman"/>
          <w:sz w:val="24"/>
          <w:szCs w:val="24"/>
        </w:rPr>
        <w:t xml:space="preserve">отсутствие рынков сбыта и инвестиций в развитие отдельных подотраслей животноводства обусловили в </w:t>
      </w:r>
      <w:r>
        <w:rPr>
          <w:rFonts w:ascii="Times New Roman" w:hAnsi="Times New Roman"/>
          <w:sz w:val="24"/>
          <w:szCs w:val="24"/>
        </w:rPr>
        <w:t xml:space="preserve">январе-июне 2014 года </w:t>
      </w:r>
      <w:r w:rsidRPr="00987C72">
        <w:rPr>
          <w:rFonts w:ascii="Times New Roman" w:hAnsi="Times New Roman"/>
          <w:sz w:val="24"/>
          <w:szCs w:val="24"/>
        </w:rPr>
        <w:t xml:space="preserve"> отрицательную динамику</w:t>
      </w:r>
      <w:r>
        <w:rPr>
          <w:rFonts w:ascii="Times New Roman" w:hAnsi="Times New Roman"/>
          <w:sz w:val="24"/>
          <w:szCs w:val="24"/>
        </w:rPr>
        <w:t xml:space="preserve"> поголовья основных видов скота</w:t>
      </w:r>
      <w:r w:rsidRPr="00987C72">
        <w:rPr>
          <w:rFonts w:ascii="Times New Roman" w:hAnsi="Times New Roman"/>
          <w:sz w:val="24"/>
          <w:szCs w:val="24"/>
        </w:rPr>
        <w:t>.</w:t>
      </w:r>
    </w:p>
    <w:p w:rsidR="00D41BA6" w:rsidRDefault="00D41BA6" w:rsidP="00D41BA6">
      <w:pPr>
        <w:spacing w:after="0" w:line="240" w:lineRule="auto"/>
        <w:ind w:firstLine="709"/>
        <w:jc w:val="both"/>
        <w:rPr>
          <w:rFonts w:ascii="Times New Roman" w:hAnsi="Times New Roman"/>
          <w:sz w:val="24"/>
          <w:szCs w:val="24"/>
        </w:rPr>
      </w:pPr>
      <w:r w:rsidRPr="00987C72">
        <w:rPr>
          <w:rFonts w:ascii="Times New Roman" w:hAnsi="Times New Roman"/>
          <w:sz w:val="24"/>
          <w:szCs w:val="24"/>
        </w:rPr>
        <w:t xml:space="preserve">По состоянию на 1 </w:t>
      </w:r>
      <w:r>
        <w:rPr>
          <w:rFonts w:ascii="Times New Roman" w:hAnsi="Times New Roman"/>
          <w:sz w:val="24"/>
          <w:szCs w:val="24"/>
        </w:rPr>
        <w:t xml:space="preserve">июля </w:t>
      </w:r>
      <w:r w:rsidRPr="00987C72">
        <w:rPr>
          <w:rFonts w:ascii="Times New Roman" w:hAnsi="Times New Roman"/>
          <w:sz w:val="24"/>
          <w:szCs w:val="24"/>
        </w:rPr>
        <w:t>2014 года к аналогичной дате 2013 года в</w:t>
      </w:r>
      <w:r>
        <w:rPr>
          <w:rFonts w:ascii="Times New Roman" w:hAnsi="Times New Roman"/>
          <w:sz w:val="24"/>
          <w:szCs w:val="24"/>
        </w:rPr>
        <w:t xml:space="preserve"> организациях, осуществляющих сельскохозяйственное производство, </w:t>
      </w:r>
      <w:r w:rsidRPr="00987C72">
        <w:rPr>
          <w:rFonts w:ascii="Times New Roman" w:hAnsi="Times New Roman"/>
          <w:sz w:val="24"/>
          <w:szCs w:val="24"/>
        </w:rPr>
        <w:t>поголовье крупного рогатого скота</w:t>
      </w:r>
      <w:r>
        <w:rPr>
          <w:rFonts w:ascii="Times New Roman" w:hAnsi="Times New Roman"/>
          <w:sz w:val="24"/>
          <w:szCs w:val="24"/>
        </w:rPr>
        <w:t xml:space="preserve"> сократилось на 4,6%, свиней – </w:t>
      </w:r>
      <w:r w:rsidRPr="00987C72">
        <w:rPr>
          <w:rFonts w:ascii="Times New Roman" w:hAnsi="Times New Roman"/>
          <w:sz w:val="24"/>
          <w:szCs w:val="24"/>
        </w:rPr>
        <w:t xml:space="preserve">на </w:t>
      </w:r>
      <w:r>
        <w:rPr>
          <w:rFonts w:ascii="Times New Roman" w:hAnsi="Times New Roman"/>
          <w:sz w:val="24"/>
          <w:szCs w:val="24"/>
        </w:rPr>
        <w:t>5,1</w:t>
      </w:r>
      <w:r w:rsidRPr="00987C72">
        <w:rPr>
          <w:rFonts w:ascii="Times New Roman" w:hAnsi="Times New Roman"/>
          <w:sz w:val="24"/>
          <w:szCs w:val="24"/>
        </w:rPr>
        <w:t>%, овец и ко</w:t>
      </w:r>
      <w:r>
        <w:rPr>
          <w:rFonts w:ascii="Times New Roman" w:hAnsi="Times New Roman"/>
          <w:sz w:val="24"/>
          <w:szCs w:val="24"/>
        </w:rPr>
        <w:t>з – на 12,8%. В то же время птицы всех возрастов увеличилось на 11,3%.</w:t>
      </w:r>
    </w:p>
    <w:p w:rsidR="00D41BA6" w:rsidRPr="00295B08" w:rsidRDefault="00D41BA6" w:rsidP="00D41BA6">
      <w:pPr>
        <w:spacing w:after="0" w:line="240" w:lineRule="auto"/>
        <w:jc w:val="both"/>
        <w:rPr>
          <w:rFonts w:ascii="Times New Roman" w:hAnsi="Times New Roman"/>
          <w:sz w:val="24"/>
          <w:szCs w:val="24"/>
        </w:rPr>
      </w:pPr>
      <w:r w:rsidRPr="0077125C">
        <w:rPr>
          <w:rFonts w:ascii="Times New Roman" w:hAnsi="Times New Roman"/>
          <w:noProof/>
          <w:sz w:val="24"/>
          <w:szCs w:val="24"/>
        </w:rPr>
        <w:drawing>
          <wp:inline distT="0" distB="0" distL="0" distR="0">
            <wp:extent cx="5743575" cy="2924175"/>
            <wp:effectExtent l="0" t="0" r="0" b="0"/>
            <wp:docPr id="14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42921" w:rsidRDefault="00C42921" w:rsidP="00D41BA6">
      <w:pPr>
        <w:spacing w:after="0" w:line="240" w:lineRule="auto"/>
        <w:ind w:firstLine="708"/>
        <w:jc w:val="both"/>
        <w:rPr>
          <w:rFonts w:ascii="Times New Roman" w:hAnsi="Times New Roman"/>
          <w:sz w:val="24"/>
          <w:szCs w:val="24"/>
        </w:rPr>
      </w:pPr>
    </w:p>
    <w:p w:rsidR="00D41BA6" w:rsidRDefault="00D41BA6" w:rsidP="00D41BA6">
      <w:pPr>
        <w:spacing w:after="0" w:line="240" w:lineRule="auto"/>
        <w:ind w:firstLine="708"/>
        <w:jc w:val="both"/>
        <w:rPr>
          <w:rFonts w:ascii="Times New Roman" w:hAnsi="Times New Roman"/>
          <w:sz w:val="24"/>
          <w:szCs w:val="24"/>
        </w:rPr>
      </w:pPr>
      <w:r w:rsidRPr="00987C72">
        <w:rPr>
          <w:rFonts w:ascii="Times New Roman" w:hAnsi="Times New Roman"/>
          <w:sz w:val="24"/>
          <w:szCs w:val="24"/>
        </w:rPr>
        <w:t xml:space="preserve">В </w:t>
      </w:r>
      <w:r>
        <w:rPr>
          <w:rFonts w:ascii="Times New Roman" w:hAnsi="Times New Roman"/>
          <w:sz w:val="24"/>
          <w:szCs w:val="24"/>
        </w:rPr>
        <w:t xml:space="preserve">январе-июне </w:t>
      </w:r>
      <w:r w:rsidRPr="00987C72">
        <w:rPr>
          <w:rFonts w:ascii="Times New Roman" w:hAnsi="Times New Roman"/>
          <w:sz w:val="24"/>
          <w:szCs w:val="24"/>
        </w:rPr>
        <w:t>201</w:t>
      </w:r>
      <w:r>
        <w:rPr>
          <w:rFonts w:ascii="Times New Roman" w:hAnsi="Times New Roman"/>
          <w:sz w:val="24"/>
          <w:szCs w:val="24"/>
        </w:rPr>
        <w:t>4</w:t>
      </w:r>
      <w:r w:rsidRPr="00987C72">
        <w:rPr>
          <w:rFonts w:ascii="Times New Roman" w:hAnsi="Times New Roman"/>
          <w:sz w:val="24"/>
          <w:szCs w:val="24"/>
        </w:rPr>
        <w:t xml:space="preserve"> год</w:t>
      </w:r>
      <w:r>
        <w:rPr>
          <w:rFonts w:ascii="Times New Roman" w:hAnsi="Times New Roman"/>
          <w:sz w:val="24"/>
          <w:szCs w:val="24"/>
        </w:rPr>
        <w:t>а</w:t>
      </w:r>
      <w:r w:rsidRPr="00987C72">
        <w:rPr>
          <w:rFonts w:ascii="Times New Roman" w:hAnsi="Times New Roman"/>
          <w:sz w:val="24"/>
          <w:szCs w:val="24"/>
        </w:rPr>
        <w:t xml:space="preserve"> в сравнении с </w:t>
      </w:r>
      <w:r>
        <w:rPr>
          <w:rFonts w:ascii="Times New Roman" w:hAnsi="Times New Roman"/>
          <w:sz w:val="24"/>
          <w:szCs w:val="24"/>
        </w:rPr>
        <w:t xml:space="preserve">соответствующим периодом </w:t>
      </w:r>
      <w:r w:rsidRPr="00987C72">
        <w:rPr>
          <w:rFonts w:ascii="Times New Roman" w:hAnsi="Times New Roman"/>
          <w:sz w:val="24"/>
          <w:szCs w:val="24"/>
        </w:rPr>
        <w:t>201</w:t>
      </w:r>
      <w:r>
        <w:rPr>
          <w:rFonts w:ascii="Times New Roman" w:hAnsi="Times New Roman"/>
          <w:sz w:val="24"/>
          <w:szCs w:val="24"/>
        </w:rPr>
        <w:t>3</w:t>
      </w:r>
      <w:r w:rsidRPr="00987C72">
        <w:rPr>
          <w:rFonts w:ascii="Times New Roman" w:hAnsi="Times New Roman"/>
          <w:sz w:val="24"/>
          <w:szCs w:val="24"/>
        </w:rPr>
        <w:t xml:space="preserve"> года в </w:t>
      </w:r>
      <w:r>
        <w:rPr>
          <w:rFonts w:ascii="Times New Roman" w:hAnsi="Times New Roman"/>
          <w:sz w:val="24"/>
          <w:szCs w:val="24"/>
        </w:rPr>
        <w:t>организациях, осуществляющих сельскохозяйственное производство, увеличилось производство молока коровьего и яиц куриных на 15,0% и на 39,8% соответственно, а производство мяса снизилось на 15,9%.</w:t>
      </w:r>
    </w:p>
    <w:p w:rsidR="00D41BA6" w:rsidRDefault="00D41BA6" w:rsidP="00D41BA6">
      <w:pPr>
        <w:jc w:val="center"/>
      </w:pPr>
      <w:r w:rsidRPr="00565175">
        <w:rPr>
          <w:noProof/>
        </w:rPr>
        <w:lastRenderedPageBreak/>
        <w:drawing>
          <wp:inline distT="0" distB="0" distL="0" distR="0">
            <wp:extent cx="6162675" cy="3181350"/>
            <wp:effectExtent l="0" t="0" r="0" b="0"/>
            <wp:docPr id="14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41BA6" w:rsidRPr="002359EE" w:rsidRDefault="00D41BA6" w:rsidP="00D41BA6">
      <w:pPr>
        <w:ind w:left="435"/>
        <w:rPr>
          <w:rFonts w:ascii="Times New Roman" w:hAnsi="Times New Roman"/>
          <w:b/>
          <w:sz w:val="20"/>
          <w:szCs w:val="20"/>
        </w:rPr>
      </w:pPr>
      <w:r w:rsidRPr="002359EE">
        <w:rPr>
          <w:rFonts w:ascii="Times New Roman" w:hAnsi="Times New Roman"/>
          <w:b/>
          <w:sz w:val="20"/>
          <w:szCs w:val="20"/>
        </w:rPr>
        <w:t xml:space="preserve">*- темп роста (спада) к предыдущему </w:t>
      </w:r>
      <w:r>
        <w:rPr>
          <w:rFonts w:ascii="Times New Roman" w:hAnsi="Times New Roman"/>
          <w:b/>
          <w:sz w:val="20"/>
          <w:szCs w:val="20"/>
        </w:rPr>
        <w:t>периоду</w:t>
      </w:r>
      <w:r w:rsidRPr="002359EE">
        <w:rPr>
          <w:rFonts w:ascii="Times New Roman" w:hAnsi="Times New Roman"/>
          <w:b/>
          <w:sz w:val="20"/>
          <w:szCs w:val="20"/>
        </w:rPr>
        <w:t xml:space="preserve">, % </w:t>
      </w:r>
    </w:p>
    <w:p w:rsidR="00D41BA6" w:rsidRDefault="00D41BA6" w:rsidP="00D41BA6">
      <w:pPr>
        <w:spacing w:after="0" w:line="240" w:lineRule="auto"/>
        <w:ind w:firstLine="435"/>
        <w:jc w:val="both"/>
        <w:rPr>
          <w:rFonts w:ascii="Times New Roman" w:hAnsi="Times New Roman"/>
          <w:sz w:val="24"/>
          <w:szCs w:val="24"/>
        </w:rPr>
      </w:pPr>
      <w:r w:rsidRPr="00987C72">
        <w:rPr>
          <w:rFonts w:ascii="Times New Roman" w:hAnsi="Times New Roman"/>
          <w:sz w:val="24"/>
          <w:szCs w:val="24"/>
        </w:rPr>
        <w:t xml:space="preserve">Продуктивность скота </w:t>
      </w:r>
      <w:r>
        <w:rPr>
          <w:rFonts w:ascii="Times New Roman" w:hAnsi="Times New Roman"/>
          <w:sz w:val="24"/>
          <w:szCs w:val="24"/>
        </w:rPr>
        <w:t>выросла на 9,3% (</w:t>
      </w:r>
      <w:r w:rsidRPr="00987C72">
        <w:rPr>
          <w:rFonts w:ascii="Times New Roman" w:hAnsi="Times New Roman"/>
          <w:sz w:val="24"/>
          <w:szCs w:val="24"/>
        </w:rPr>
        <w:t xml:space="preserve">составив </w:t>
      </w:r>
      <w:r>
        <w:rPr>
          <w:rFonts w:ascii="Times New Roman" w:hAnsi="Times New Roman"/>
          <w:sz w:val="24"/>
          <w:szCs w:val="24"/>
        </w:rPr>
        <w:t>1 749</w:t>
      </w:r>
      <w:r w:rsidRPr="00987C72">
        <w:rPr>
          <w:rFonts w:ascii="Times New Roman" w:hAnsi="Times New Roman"/>
          <w:sz w:val="24"/>
          <w:szCs w:val="24"/>
        </w:rPr>
        <w:t xml:space="preserve"> кг) за счёт </w:t>
      </w:r>
      <w:r>
        <w:rPr>
          <w:rFonts w:ascii="Times New Roman" w:hAnsi="Times New Roman"/>
          <w:sz w:val="24"/>
          <w:szCs w:val="24"/>
        </w:rPr>
        <w:t>увеличения</w:t>
      </w:r>
      <w:r w:rsidRPr="00987C72">
        <w:rPr>
          <w:rFonts w:ascii="Times New Roman" w:hAnsi="Times New Roman"/>
          <w:sz w:val="24"/>
          <w:szCs w:val="24"/>
        </w:rPr>
        <w:t xml:space="preserve"> поголовья коров молочного стада, а продуктивность птицы </w:t>
      </w:r>
      <w:r>
        <w:rPr>
          <w:rFonts w:ascii="Times New Roman" w:hAnsi="Times New Roman"/>
          <w:sz w:val="24"/>
          <w:szCs w:val="24"/>
        </w:rPr>
        <w:t xml:space="preserve">снизилась </w:t>
      </w:r>
      <w:r w:rsidRPr="00987C72">
        <w:rPr>
          <w:rFonts w:ascii="Times New Roman" w:hAnsi="Times New Roman"/>
          <w:sz w:val="24"/>
          <w:szCs w:val="24"/>
        </w:rPr>
        <w:t xml:space="preserve">на </w:t>
      </w:r>
      <w:r>
        <w:rPr>
          <w:rFonts w:ascii="Times New Roman" w:hAnsi="Times New Roman"/>
          <w:sz w:val="24"/>
          <w:szCs w:val="24"/>
        </w:rPr>
        <w:t>20,0%</w:t>
      </w:r>
      <w:r>
        <w:rPr>
          <w:rFonts w:ascii="Times New Roman" w:hAnsi="Times New Roman"/>
          <w:sz w:val="24"/>
          <w:szCs w:val="24"/>
        </w:rPr>
        <w:br/>
      </w:r>
      <w:r w:rsidRPr="00987C72">
        <w:rPr>
          <w:rFonts w:ascii="Times New Roman" w:hAnsi="Times New Roman"/>
          <w:sz w:val="24"/>
          <w:szCs w:val="24"/>
        </w:rPr>
        <w:t>(</w:t>
      </w:r>
      <w:r>
        <w:rPr>
          <w:rFonts w:ascii="Times New Roman" w:hAnsi="Times New Roman"/>
          <w:sz w:val="24"/>
          <w:szCs w:val="24"/>
        </w:rPr>
        <w:t>123</w:t>
      </w:r>
      <w:r w:rsidRPr="00987C72">
        <w:rPr>
          <w:rFonts w:ascii="Times New Roman" w:hAnsi="Times New Roman"/>
          <w:sz w:val="24"/>
          <w:szCs w:val="24"/>
        </w:rPr>
        <w:t xml:space="preserve"> штуки яиц) к </w:t>
      </w:r>
      <w:r>
        <w:rPr>
          <w:rFonts w:ascii="Times New Roman" w:hAnsi="Times New Roman"/>
          <w:sz w:val="24"/>
          <w:szCs w:val="24"/>
        </w:rPr>
        <w:t xml:space="preserve">аналогичному периоду </w:t>
      </w:r>
      <w:r w:rsidRPr="00987C72">
        <w:rPr>
          <w:rFonts w:ascii="Times New Roman" w:hAnsi="Times New Roman"/>
          <w:sz w:val="24"/>
          <w:szCs w:val="24"/>
        </w:rPr>
        <w:t>201</w:t>
      </w:r>
      <w:r>
        <w:rPr>
          <w:rFonts w:ascii="Times New Roman" w:hAnsi="Times New Roman"/>
          <w:sz w:val="24"/>
          <w:szCs w:val="24"/>
        </w:rPr>
        <w:t>3</w:t>
      </w:r>
      <w:r w:rsidRPr="00987C72">
        <w:rPr>
          <w:rFonts w:ascii="Times New Roman" w:hAnsi="Times New Roman"/>
          <w:sz w:val="24"/>
          <w:szCs w:val="24"/>
        </w:rPr>
        <w:t xml:space="preserve"> года, что обусловлено </w:t>
      </w:r>
      <w:r>
        <w:rPr>
          <w:rFonts w:ascii="Times New Roman" w:hAnsi="Times New Roman"/>
          <w:sz w:val="24"/>
          <w:szCs w:val="24"/>
        </w:rPr>
        <w:t>цикличностью производства.</w:t>
      </w:r>
    </w:p>
    <w:p w:rsidR="00D41BA6" w:rsidRDefault="00D41BA6" w:rsidP="00D41BA6">
      <w:pPr>
        <w:jc w:val="center"/>
      </w:pPr>
      <w:r w:rsidRPr="0040194D">
        <w:rPr>
          <w:noProof/>
          <w:color w:val="DAEEF3" w:themeColor="accent5" w:themeTint="33"/>
        </w:rPr>
        <w:drawing>
          <wp:inline distT="0" distB="0" distL="0" distR="0">
            <wp:extent cx="5619750" cy="2638425"/>
            <wp:effectExtent l="0" t="0" r="0" b="0"/>
            <wp:docPr id="14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41BA6" w:rsidRPr="00FB484C" w:rsidRDefault="00D41BA6" w:rsidP="00D41BA6">
      <w:pPr>
        <w:pStyle w:val="af8"/>
        <w:suppressAutoHyphens/>
        <w:spacing w:after="0" w:line="240" w:lineRule="auto"/>
        <w:ind w:left="0" w:firstLine="708"/>
        <w:jc w:val="both"/>
        <w:rPr>
          <w:rFonts w:ascii="Times New Roman" w:hAnsi="Times New Roman"/>
          <w:sz w:val="24"/>
          <w:szCs w:val="24"/>
        </w:rPr>
      </w:pPr>
      <w:r w:rsidRPr="00FB484C">
        <w:rPr>
          <w:rFonts w:ascii="Times New Roman" w:hAnsi="Times New Roman"/>
          <w:sz w:val="24"/>
          <w:szCs w:val="24"/>
        </w:rPr>
        <w:t xml:space="preserve">В </w:t>
      </w:r>
      <w:r>
        <w:rPr>
          <w:rFonts w:ascii="Times New Roman" w:hAnsi="Times New Roman"/>
          <w:sz w:val="24"/>
          <w:szCs w:val="24"/>
        </w:rPr>
        <w:t xml:space="preserve">январе-июне </w:t>
      </w:r>
      <w:r w:rsidRPr="00FB484C">
        <w:rPr>
          <w:rFonts w:ascii="Times New Roman" w:hAnsi="Times New Roman"/>
          <w:sz w:val="24"/>
          <w:szCs w:val="24"/>
        </w:rPr>
        <w:t>2014 год</w:t>
      </w:r>
      <w:r>
        <w:rPr>
          <w:rFonts w:ascii="Times New Roman" w:hAnsi="Times New Roman"/>
          <w:sz w:val="24"/>
          <w:szCs w:val="24"/>
        </w:rPr>
        <w:t>а</w:t>
      </w:r>
      <w:r w:rsidRPr="00FB484C">
        <w:rPr>
          <w:rFonts w:ascii="Times New Roman" w:hAnsi="Times New Roman"/>
          <w:sz w:val="24"/>
          <w:szCs w:val="24"/>
        </w:rPr>
        <w:t xml:space="preserve"> Министерством сельского хозяйства и природных ресурсов ПМР совместно </w:t>
      </w:r>
      <w:r>
        <w:rPr>
          <w:rFonts w:ascii="Times New Roman" w:hAnsi="Times New Roman"/>
          <w:sz w:val="24"/>
          <w:szCs w:val="24"/>
        </w:rPr>
        <w:t xml:space="preserve">с </w:t>
      </w:r>
      <w:r w:rsidRPr="00FB484C">
        <w:rPr>
          <w:rFonts w:ascii="Times New Roman" w:hAnsi="Times New Roman"/>
          <w:sz w:val="24"/>
          <w:szCs w:val="24"/>
        </w:rPr>
        <w:t>ГУ «Республиканское управление ветеринарной медицины» провод</w:t>
      </w:r>
      <w:r>
        <w:rPr>
          <w:rFonts w:ascii="Times New Roman" w:hAnsi="Times New Roman"/>
          <w:sz w:val="24"/>
          <w:szCs w:val="24"/>
        </w:rPr>
        <w:t>ились</w:t>
      </w:r>
      <w:r w:rsidRPr="00FB484C">
        <w:rPr>
          <w:rFonts w:ascii="Times New Roman" w:hAnsi="Times New Roman"/>
          <w:sz w:val="24"/>
          <w:szCs w:val="24"/>
        </w:rPr>
        <w:t xml:space="preserve"> мероприятия по разработке и внедрению учета крупного рогатого скота в республике методом биркования. </w:t>
      </w:r>
    </w:p>
    <w:p w:rsidR="00D41BA6" w:rsidRPr="00FB484C" w:rsidRDefault="00D41BA6" w:rsidP="00D41BA6">
      <w:pPr>
        <w:spacing w:after="0" w:line="240" w:lineRule="auto"/>
        <w:ind w:firstLine="708"/>
        <w:jc w:val="both"/>
        <w:rPr>
          <w:rFonts w:ascii="Times New Roman" w:hAnsi="Times New Roman"/>
          <w:sz w:val="24"/>
          <w:szCs w:val="24"/>
        </w:rPr>
      </w:pPr>
      <w:r>
        <w:rPr>
          <w:rFonts w:ascii="Times New Roman" w:hAnsi="Times New Roman"/>
          <w:sz w:val="24"/>
          <w:szCs w:val="24"/>
        </w:rPr>
        <w:t xml:space="preserve">По состоянию на 1 июля 2014 года </w:t>
      </w:r>
      <w:r w:rsidRPr="00FB484C">
        <w:rPr>
          <w:rFonts w:ascii="Times New Roman" w:hAnsi="Times New Roman"/>
          <w:sz w:val="24"/>
          <w:szCs w:val="24"/>
        </w:rPr>
        <w:t>пробирковано 8</w:t>
      </w:r>
      <w:r>
        <w:rPr>
          <w:rFonts w:ascii="Times New Roman" w:hAnsi="Times New Roman"/>
          <w:sz w:val="24"/>
          <w:szCs w:val="24"/>
        </w:rPr>
        <w:t xml:space="preserve"> </w:t>
      </w:r>
      <w:r w:rsidRPr="00FB484C">
        <w:rPr>
          <w:rFonts w:ascii="Times New Roman" w:hAnsi="Times New Roman"/>
          <w:sz w:val="24"/>
          <w:szCs w:val="24"/>
        </w:rPr>
        <w:t>930 голов</w:t>
      </w:r>
      <w:r>
        <w:rPr>
          <w:rFonts w:ascii="Times New Roman" w:hAnsi="Times New Roman"/>
          <w:sz w:val="24"/>
          <w:szCs w:val="24"/>
        </w:rPr>
        <w:t xml:space="preserve"> крупного рогатого скота, </w:t>
      </w:r>
      <w:r w:rsidRPr="00FB484C">
        <w:rPr>
          <w:rFonts w:ascii="Times New Roman" w:hAnsi="Times New Roman"/>
          <w:sz w:val="24"/>
          <w:szCs w:val="24"/>
        </w:rPr>
        <w:t xml:space="preserve">всем животным выданы ветеринарные паспорта. Закуплена дополнительная партия бирок </w:t>
      </w:r>
      <w:r>
        <w:rPr>
          <w:rFonts w:ascii="Times New Roman" w:hAnsi="Times New Roman"/>
          <w:sz w:val="24"/>
          <w:szCs w:val="24"/>
        </w:rPr>
        <w:t>(</w:t>
      </w:r>
      <w:r w:rsidRPr="00FB484C">
        <w:rPr>
          <w:rFonts w:ascii="Times New Roman" w:hAnsi="Times New Roman"/>
          <w:sz w:val="24"/>
          <w:szCs w:val="24"/>
        </w:rPr>
        <w:t>12 тысяч</w:t>
      </w:r>
      <w:r>
        <w:rPr>
          <w:rFonts w:ascii="Times New Roman" w:hAnsi="Times New Roman"/>
          <w:sz w:val="24"/>
          <w:szCs w:val="24"/>
        </w:rPr>
        <w:t>)</w:t>
      </w:r>
      <w:r w:rsidRPr="00FB484C">
        <w:rPr>
          <w:rFonts w:ascii="Times New Roman" w:hAnsi="Times New Roman"/>
          <w:sz w:val="24"/>
          <w:szCs w:val="24"/>
        </w:rPr>
        <w:t xml:space="preserve">. В результате </w:t>
      </w:r>
      <w:r>
        <w:rPr>
          <w:rFonts w:ascii="Times New Roman" w:hAnsi="Times New Roman"/>
          <w:sz w:val="24"/>
          <w:szCs w:val="24"/>
        </w:rPr>
        <w:t xml:space="preserve">предварительной </w:t>
      </w:r>
      <w:r w:rsidRPr="00FB484C">
        <w:rPr>
          <w:rFonts w:ascii="Times New Roman" w:hAnsi="Times New Roman"/>
          <w:sz w:val="24"/>
          <w:szCs w:val="24"/>
        </w:rPr>
        <w:t>инвентаризации, выявлено около 15% неучтенного поголовья КРС.</w:t>
      </w:r>
    </w:p>
    <w:p w:rsidR="00D41BA6" w:rsidRPr="00FB484C" w:rsidRDefault="00D41BA6" w:rsidP="00D41BA6">
      <w:pPr>
        <w:spacing w:after="0" w:line="240" w:lineRule="auto"/>
        <w:ind w:firstLine="708"/>
        <w:jc w:val="both"/>
        <w:rPr>
          <w:rFonts w:ascii="Times New Roman" w:hAnsi="Times New Roman"/>
          <w:sz w:val="24"/>
          <w:szCs w:val="24"/>
        </w:rPr>
      </w:pPr>
      <w:r>
        <w:rPr>
          <w:rFonts w:ascii="Times New Roman" w:hAnsi="Times New Roman"/>
          <w:sz w:val="24"/>
          <w:szCs w:val="24"/>
        </w:rPr>
        <w:t xml:space="preserve">За </w:t>
      </w:r>
      <w:r w:rsidRPr="00FB484C">
        <w:rPr>
          <w:rFonts w:ascii="Times New Roman" w:hAnsi="Times New Roman"/>
          <w:sz w:val="24"/>
          <w:szCs w:val="24"/>
          <w:lang w:val="en-US"/>
        </w:rPr>
        <w:t>I</w:t>
      </w:r>
      <w:r w:rsidRPr="00FB484C">
        <w:rPr>
          <w:rFonts w:ascii="Times New Roman" w:hAnsi="Times New Roman"/>
          <w:sz w:val="24"/>
          <w:szCs w:val="24"/>
        </w:rPr>
        <w:t xml:space="preserve"> полугоди</w:t>
      </w:r>
      <w:r>
        <w:rPr>
          <w:rFonts w:ascii="Times New Roman" w:hAnsi="Times New Roman"/>
          <w:sz w:val="24"/>
          <w:szCs w:val="24"/>
        </w:rPr>
        <w:t>е</w:t>
      </w:r>
      <w:r w:rsidRPr="00FB484C">
        <w:rPr>
          <w:rFonts w:ascii="Times New Roman" w:hAnsi="Times New Roman"/>
          <w:sz w:val="24"/>
          <w:szCs w:val="24"/>
        </w:rPr>
        <w:t xml:space="preserve"> 2014 года ГУ «Республиканское управление ветеринарной медицины» исследова</w:t>
      </w:r>
      <w:r>
        <w:rPr>
          <w:rFonts w:ascii="Times New Roman" w:hAnsi="Times New Roman"/>
          <w:sz w:val="24"/>
          <w:szCs w:val="24"/>
        </w:rPr>
        <w:t>л</w:t>
      </w:r>
      <w:r w:rsidRPr="00FB484C">
        <w:rPr>
          <w:rFonts w:ascii="Times New Roman" w:hAnsi="Times New Roman"/>
          <w:sz w:val="24"/>
          <w:szCs w:val="24"/>
        </w:rPr>
        <w:t>о (% к плану):</w:t>
      </w:r>
    </w:p>
    <w:p w:rsidR="00D41BA6" w:rsidRPr="00FB484C" w:rsidRDefault="00D41BA6" w:rsidP="00D41BA6">
      <w:pPr>
        <w:spacing w:after="0" w:line="240" w:lineRule="auto"/>
        <w:ind w:firstLine="708"/>
        <w:jc w:val="both"/>
        <w:rPr>
          <w:rFonts w:ascii="Times New Roman" w:hAnsi="Times New Roman"/>
          <w:sz w:val="24"/>
          <w:szCs w:val="24"/>
        </w:rPr>
      </w:pPr>
      <w:r w:rsidRPr="00FB484C">
        <w:rPr>
          <w:rFonts w:ascii="Times New Roman" w:hAnsi="Times New Roman"/>
          <w:sz w:val="24"/>
          <w:szCs w:val="24"/>
        </w:rPr>
        <w:t xml:space="preserve">- КРС на туберкулез </w:t>
      </w:r>
      <w:r>
        <w:rPr>
          <w:rFonts w:ascii="Times New Roman" w:hAnsi="Times New Roman"/>
          <w:sz w:val="24"/>
          <w:szCs w:val="24"/>
        </w:rPr>
        <w:t xml:space="preserve">- </w:t>
      </w:r>
      <w:r w:rsidRPr="00FB484C">
        <w:rPr>
          <w:rFonts w:ascii="Times New Roman" w:hAnsi="Times New Roman"/>
          <w:sz w:val="24"/>
          <w:szCs w:val="24"/>
        </w:rPr>
        <w:t>12</w:t>
      </w:r>
      <w:r>
        <w:rPr>
          <w:rFonts w:ascii="Times New Roman" w:hAnsi="Times New Roman"/>
          <w:sz w:val="24"/>
          <w:szCs w:val="24"/>
        </w:rPr>
        <w:t xml:space="preserve"> </w:t>
      </w:r>
      <w:r w:rsidRPr="00FB484C">
        <w:rPr>
          <w:rFonts w:ascii="Times New Roman" w:hAnsi="Times New Roman"/>
          <w:sz w:val="24"/>
          <w:szCs w:val="24"/>
        </w:rPr>
        <w:t>738 гол. (95%);</w:t>
      </w:r>
    </w:p>
    <w:p w:rsidR="00D41BA6" w:rsidRPr="00FB484C" w:rsidRDefault="00D41BA6" w:rsidP="00D41BA6">
      <w:pPr>
        <w:spacing w:after="0" w:line="240" w:lineRule="auto"/>
        <w:ind w:firstLine="708"/>
        <w:jc w:val="both"/>
        <w:rPr>
          <w:rFonts w:ascii="Times New Roman" w:hAnsi="Times New Roman"/>
          <w:sz w:val="24"/>
          <w:szCs w:val="24"/>
        </w:rPr>
      </w:pPr>
      <w:r w:rsidRPr="00FB484C">
        <w:rPr>
          <w:rFonts w:ascii="Times New Roman" w:hAnsi="Times New Roman"/>
          <w:sz w:val="24"/>
          <w:szCs w:val="24"/>
        </w:rPr>
        <w:t xml:space="preserve">- КРС на лейкоз РИД </w:t>
      </w:r>
      <w:r>
        <w:rPr>
          <w:rFonts w:ascii="Times New Roman" w:hAnsi="Times New Roman"/>
          <w:sz w:val="24"/>
          <w:szCs w:val="24"/>
        </w:rPr>
        <w:t xml:space="preserve">– </w:t>
      </w:r>
      <w:r w:rsidRPr="00FB484C">
        <w:rPr>
          <w:rFonts w:ascii="Times New Roman" w:hAnsi="Times New Roman"/>
          <w:sz w:val="24"/>
          <w:szCs w:val="24"/>
        </w:rPr>
        <w:t>12</w:t>
      </w:r>
      <w:r>
        <w:rPr>
          <w:rFonts w:ascii="Times New Roman" w:hAnsi="Times New Roman"/>
          <w:sz w:val="24"/>
          <w:szCs w:val="24"/>
        </w:rPr>
        <w:t xml:space="preserve"> </w:t>
      </w:r>
      <w:r w:rsidRPr="00FB484C">
        <w:rPr>
          <w:rFonts w:ascii="Times New Roman" w:hAnsi="Times New Roman"/>
          <w:sz w:val="24"/>
          <w:szCs w:val="24"/>
        </w:rPr>
        <w:t>522 гол. (95%).</w:t>
      </w:r>
    </w:p>
    <w:p w:rsidR="00D41BA6" w:rsidRPr="00FB484C" w:rsidRDefault="00D41BA6" w:rsidP="00D41BA6">
      <w:pPr>
        <w:spacing w:after="0" w:line="240" w:lineRule="auto"/>
        <w:ind w:firstLine="708"/>
        <w:jc w:val="both"/>
        <w:rPr>
          <w:rFonts w:ascii="Times New Roman" w:hAnsi="Times New Roman"/>
          <w:sz w:val="24"/>
          <w:szCs w:val="24"/>
        </w:rPr>
      </w:pPr>
      <w:r w:rsidRPr="00FB484C">
        <w:rPr>
          <w:rFonts w:ascii="Times New Roman" w:hAnsi="Times New Roman"/>
          <w:sz w:val="24"/>
          <w:szCs w:val="24"/>
        </w:rPr>
        <w:lastRenderedPageBreak/>
        <w:t>Ветеринарными работниками проведены вакцинации:</w:t>
      </w:r>
    </w:p>
    <w:p w:rsidR="00D41BA6" w:rsidRPr="00FB484C" w:rsidRDefault="00D41BA6" w:rsidP="00D41BA6">
      <w:pPr>
        <w:spacing w:after="0" w:line="240" w:lineRule="auto"/>
        <w:ind w:firstLine="708"/>
        <w:jc w:val="both"/>
        <w:rPr>
          <w:rFonts w:ascii="Times New Roman" w:hAnsi="Times New Roman"/>
          <w:sz w:val="24"/>
          <w:szCs w:val="24"/>
        </w:rPr>
      </w:pPr>
      <w:r w:rsidRPr="00FB484C">
        <w:rPr>
          <w:rFonts w:ascii="Times New Roman" w:hAnsi="Times New Roman"/>
          <w:sz w:val="24"/>
          <w:szCs w:val="24"/>
        </w:rPr>
        <w:t xml:space="preserve">- КРС против сибирской язвы </w:t>
      </w:r>
      <w:r>
        <w:rPr>
          <w:rFonts w:ascii="Times New Roman" w:hAnsi="Times New Roman"/>
          <w:sz w:val="24"/>
          <w:szCs w:val="24"/>
        </w:rPr>
        <w:t>–</w:t>
      </w:r>
      <w:r w:rsidRPr="00FB484C">
        <w:rPr>
          <w:rFonts w:ascii="Times New Roman" w:hAnsi="Times New Roman"/>
          <w:sz w:val="24"/>
          <w:szCs w:val="24"/>
        </w:rPr>
        <w:t xml:space="preserve"> 17</w:t>
      </w:r>
      <w:r>
        <w:rPr>
          <w:rFonts w:ascii="Times New Roman" w:hAnsi="Times New Roman"/>
          <w:sz w:val="24"/>
          <w:szCs w:val="24"/>
        </w:rPr>
        <w:t xml:space="preserve"> </w:t>
      </w:r>
      <w:r w:rsidRPr="00FB484C">
        <w:rPr>
          <w:rFonts w:ascii="Times New Roman" w:hAnsi="Times New Roman"/>
          <w:sz w:val="24"/>
          <w:szCs w:val="24"/>
        </w:rPr>
        <w:t>689 гол. (99%);</w:t>
      </w:r>
    </w:p>
    <w:p w:rsidR="00D41BA6" w:rsidRPr="00FB484C" w:rsidRDefault="00D41BA6" w:rsidP="00D41BA6">
      <w:pPr>
        <w:spacing w:after="0" w:line="240" w:lineRule="auto"/>
        <w:ind w:firstLine="708"/>
        <w:jc w:val="both"/>
        <w:rPr>
          <w:rFonts w:ascii="Times New Roman" w:hAnsi="Times New Roman"/>
          <w:sz w:val="24"/>
          <w:szCs w:val="24"/>
        </w:rPr>
      </w:pPr>
      <w:r w:rsidRPr="00FB484C">
        <w:rPr>
          <w:rFonts w:ascii="Times New Roman" w:hAnsi="Times New Roman"/>
          <w:sz w:val="24"/>
          <w:szCs w:val="24"/>
        </w:rPr>
        <w:t xml:space="preserve">- свиней против классической чумы </w:t>
      </w:r>
      <w:r>
        <w:rPr>
          <w:rFonts w:ascii="Times New Roman" w:hAnsi="Times New Roman"/>
          <w:sz w:val="24"/>
          <w:szCs w:val="24"/>
        </w:rPr>
        <w:t>–</w:t>
      </w:r>
      <w:r w:rsidRPr="00FB484C">
        <w:rPr>
          <w:rFonts w:ascii="Times New Roman" w:hAnsi="Times New Roman"/>
          <w:sz w:val="24"/>
          <w:szCs w:val="24"/>
        </w:rPr>
        <w:t xml:space="preserve"> 15</w:t>
      </w:r>
      <w:r>
        <w:rPr>
          <w:rFonts w:ascii="Times New Roman" w:hAnsi="Times New Roman"/>
          <w:sz w:val="24"/>
          <w:szCs w:val="24"/>
        </w:rPr>
        <w:t xml:space="preserve"> </w:t>
      </w:r>
      <w:r w:rsidRPr="00FB484C">
        <w:rPr>
          <w:rFonts w:ascii="Times New Roman" w:hAnsi="Times New Roman"/>
          <w:sz w:val="24"/>
          <w:szCs w:val="24"/>
        </w:rPr>
        <w:t>763 гол. (113%);</w:t>
      </w:r>
    </w:p>
    <w:p w:rsidR="00D41BA6" w:rsidRPr="00FB484C" w:rsidRDefault="00D41BA6" w:rsidP="00D41BA6">
      <w:pPr>
        <w:spacing w:after="0" w:line="240" w:lineRule="auto"/>
        <w:ind w:firstLine="708"/>
        <w:jc w:val="both"/>
        <w:rPr>
          <w:rFonts w:ascii="Times New Roman" w:hAnsi="Times New Roman"/>
          <w:sz w:val="24"/>
          <w:szCs w:val="24"/>
        </w:rPr>
      </w:pPr>
      <w:r w:rsidRPr="00FB484C">
        <w:rPr>
          <w:rFonts w:ascii="Times New Roman" w:hAnsi="Times New Roman"/>
          <w:sz w:val="24"/>
          <w:szCs w:val="24"/>
        </w:rPr>
        <w:t xml:space="preserve">- свиней против рожи </w:t>
      </w:r>
      <w:r>
        <w:rPr>
          <w:rFonts w:ascii="Times New Roman" w:hAnsi="Times New Roman"/>
          <w:sz w:val="24"/>
          <w:szCs w:val="24"/>
        </w:rPr>
        <w:t>–</w:t>
      </w:r>
      <w:r w:rsidRPr="00FB484C">
        <w:rPr>
          <w:rFonts w:ascii="Times New Roman" w:hAnsi="Times New Roman"/>
          <w:sz w:val="24"/>
          <w:szCs w:val="24"/>
        </w:rPr>
        <w:t xml:space="preserve"> 11</w:t>
      </w:r>
      <w:r>
        <w:rPr>
          <w:rFonts w:ascii="Times New Roman" w:hAnsi="Times New Roman"/>
          <w:sz w:val="24"/>
          <w:szCs w:val="24"/>
        </w:rPr>
        <w:t xml:space="preserve"> </w:t>
      </w:r>
      <w:r w:rsidRPr="00FB484C">
        <w:rPr>
          <w:rFonts w:ascii="Times New Roman" w:hAnsi="Times New Roman"/>
          <w:sz w:val="24"/>
          <w:szCs w:val="24"/>
        </w:rPr>
        <w:t>775 гол. (105%);</w:t>
      </w:r>
    </w:p>
    <w:p w:rsidR="00D41BA6" w:rsidRPr="00FB484C" w:rsidRDefault="00D41BA6" w:rsidP="00D41BA6">
      <w:pPr>
        <w:spacing w:after="0" w:line="240" w:lineRule="auto"/>
        <w:ind w:firstLine="708"/>
        <w:jc w:val="both"/>
        <w:rPr>
          <w:rFonts w:ascii="Times New Roman" w:hAnsi="Times New Roman"/>
          <w:sz w:val="24"/>
          <w:szCs w:val="24"/>
        </w:rPr>
      </w:pPr>
      <w:r w:rsidRPr="00FB484C">
        <w:rPr>
          <w:rFonts w:ascii="Times New Roman" w:hAnsi="Times New Roman"/>
          <w:sz w:val="24"/>
          <w:szCs w:val="24"/>
        </w:rPr>
        <w:t xml:space="preserve">- птицы против псевдочумы </w:t>
      </w:r>
      <w:r>
        <w:rPr>
          <w:rFonts w:ascii="Times New Roman" w:hAnsi="Times New Roman"/>
          <w:sz w:val="24"/>
          <w:szCs w:val="24"/>
        </w:rPr>
        <w:t>–</w:t>
      </w:r>
      <w:r w:rsidRPr="00FB484C">
        <w:rPr>
          <w:rFonts w:ascii="Times New Roman" w:hAnsi="Times New Roman"/>
          <w:sz w:val="24"/>
          <w:szCs w:val="24"/>
        </w:rPr>
        <w:t xml:space="preserve"> 72</w:t>
      </w:r>
      <w:r>
        <w:rPr>
          <w:rFonts w:ascii="Times New Roman" w:hAnsi="Times New Roman"/>
          <w:sz w:val="24"/>
          <w:szCs w:val="24"/>
        </w:rPr>
        <w:t xml:space="preserve"> </w:t>
      </w:r>
      <w:r w:rsidRPr="00FB484C">
        <w:rPr>
          <w:rFonts w:ascii="Times New Roman" w:hAnsi="Times New Roman"/>
          <w:sz w:val="24"/>
          <w:szCs w:val="24"/>
        </w:rPr>
        <w:t>2373 гол. (130%).</w:t>
      </w:r>
    </w:p>
    <w:p w:rsidR="00D41BA6" w:rsidRDefault="00D41BA6" w:rsidP="00D41BA6">
      <w:pPr>
        <w:spacing w:after="0" w:line="240" w:lineRule="auto"/>
        <w:ind w:firstLine="708"/>
        <w:jc w:val="both"/>
        <w:rPr>
          <w:rFonts w:ascii="Times New Roman" w:hAnsi="Times New Roman"/>
          <w:sz w:val="24"/>
          <w:szCs w:val="24"/>
        </w:rPr>
      </w:pPr>
      <w:r>
        <w:rPr>
          <w:rFonts w:ascii="Times New Roman" w:hAnsi="Times New Roman"/>
          <w:sz w:val="24"/>
          <w:szCs w:val="24"/>
        </w:rPr>
        <w:t xml:space="preserve">В январе-июне </w:t>
      </w:r>
      <w:r w:rsidRPr="00FB484C">
        <w:rPr>
          <w:rFonts w:ascii="Times New Roman" w:hAnsi="Times New Roman"/>
          <w:sz w:val="24"/>
          <w:szCs w:val="24"/>
        </w:rPr>
        <w:t>2014 года импортно-экспортные операции осуществля</w:t>
      </w:r>
      <w:r>
        <w:rPr>
          <w:rFonts w:ascii="Times New Roman" w:hAnsi="Times New Roman"/>
          <w:sz w:val="24"/>
          <w:szCs w:val="24"/>
        </w:rPr>
        <w:t>ли</w:t>
      </w:r>
      <w:r w:rsidRPr="00FB484C">
        <w:rPr>
          <w:rFonts w:ascii="Times New Roman" w:hAnsi="Times New Roman"/>
          <w:sz w:val="24"/>
          <w:szCs w:val="24"/>
        </w:rPr>
        <w:t xml:space="preserve"> </w:t>
      </w:r>
      <w:r>
        <w:rPr>
          <w:rFonts w:ascii="Times New Roman" w:hAnsi="Times New Roman"/>
          <w:sz w:val="24"/>
          <w:szCs w:val="24"/>
        </w:rPr>
        <w:br/>
      </w:r>
      <w:r w:rsidRPr="00FB484C">
        <w:rPr>
          <w:rFonts w:ascii="Times New Roman" w:hAnsi="Times New Roman"/>
          <w:sz w:val="24"/>
          <w:szCs w:val="24"/>
        </w:rPr>
        <w:t>707 экономических агентов</w:t>
      </w:r>
      <w:r>
        <w:rPr>
          <w:rFonts w:ascii="Times New Roman" w:hAnsi="Times New Roman"/>
          <w:sz w:val="24"/>
          <w:szCs w:val="24"/>
        </w:rPr>
        <w:t xml:space="preserve"> (в январе-июне 2013 года – 735 экономических агентов)</w:t>
      </w:r>
      <w:r w:rsidRPr="00FB484C">
        <w:rPr>
          <w:rFonts w:ascii="Times New Roman" w:hAnsi="Times New Roman"/>
          <w:sz w:val="24"/>
          <w:szCs w:val="24"/>
        </w:rPr>
        <w:t>. Экономическим агентам, осуществляющим экспортно-импортные операции, было выдано 4</w:t>
      </w:r>
      <w:r>
        <w:rPr>
          <w:rFonts w:ascii="Times New Roman" w:hAnsi="Times New Roman"/>
          <w:sz w:val="24"/>
          <w:szCs w:val="24"/>
        </w:rPr>
        <w:t xml:space="preserve"> </w:t>
      </w:r>
      <w:r w:rsidRPr="00FB484C">
        <w:rPr>
          <w:rFonts w:ascii="Times New Roman" w:hAnsi="Times New Roman"/>
          <w:sz w:val="24"/>
          <w:szCs w:val="24"/>
        </w:rPr>
        <w:t>032 ветеринарно-санитарных разрешений (ВСР)</w:t>
      </w:r>
      <w:r>
        <w:rPr>
          <w:rFonts w:ascii="Times New Roman" w:hAnsi="Times New Roman"/>
          <w:sz w:val="24"/>
          <w:szCs w:val="24"/>
        </w:rPr>
        <w:t xml:space="preserve"> (в январе-июне 2013 года- 4 543 (ВСР))</w:t>
      </w:r>
      <w:r w:rsidRPr="00FB484C">
        <w:rPr>
          <w:rFonts w:ascii="Times New Roman" w:hAnsi="Times New Roman"/>
          <w:sz w:val="24"/>
          <w:szCs w:val="24"/>
        </w:rPr>
        <w:t>, в том числе на вывоз (экспорт) с территории республики -</w:t>
      </w:r>
      <w:r>
        <w:rPr>
          <w:rFonts w:ascii="Times New Roman" w:hAnsi="Times New Roman"/>
          <w:sz w:val="24"/>
          <w:szCs w:val="24"/>
        </w:rPr>
        <w:t xml:space="preserve"> </w:t>
      </w:r>
      <w:r w:rsidRPr="00FB484C">
        <w:rPr>
          <w:rFonts w:ascii="Times New Roman" w:hAnsi="Times New Roman"/>
          <w:sz w:val="24"/>
          <w:szCs w:val="24"/>
        </w:rPr>
        <w:t>573</w:t>
      </w:r>
      <w:r>
        <w:rPr>
          <w:rFonts w:ascii="Times New Roman" w:hAnsi="Times New Roman"/>
          <w:sz w:val="24"/>
          <w:szCs w:val="24"/>
        </w:rPr>
        <w:t xml:space="preserve"> (в январе-июне 2013 года – 797 (ВСР))</w:t>
      </w:r>
      <w:r w:rsidRPr="00FB484C">
        <w:rPr>
          <w:rFonts w:ascii="Times New Roman" w:hAnsi="Times New Roman"/>
          <w:sz w:val="24"/>
          <w:szCs w:val="24"/>
        </w:rPr>
        <w:t>, на ввоз (импорт) – 3</w:t>
      </w:r>
      <w:r>
        <w:rPr>
          <w:rFonts w:ascii="Times New Roman" w:hAnsi="Times New Roman"/>
          <w:sz w:val="24"/>
          <w:szCs w:val="24"/>
        </w:rPr>
        <w:t xml:space="preserve"> </w:t>
      </w:r>
      <w:r w:rsidRPr="00FB484C">
        <w:rPr>
          <w:rFonts w:ascii="Times New Roman" w:hAnsi="Times New Roman"/>
          <w:sz w:val="24"/>
          <w:szCs w:val="24"/>
        </w:rPr>
        <w:t>459</w:t>
      </w:r>
      <w:r>
        <w:rPr>
          <w:rFonts w:ascii="Times New Roman" w:hAnsi="Times New Roman"/>
          <w:sz w:val="24"/>
          <w:szCs w:val="24"/>
        </w:rPr>
        <w:t xml:space="preserve"> (ВСР) (в январе-июне 2013 года – 3 746 (ВСР)).</w:t>
      </w:r>
      <w:r w:rsidRPr="00FB484C">
        <w:rPr>
          <w:rFonts w:ascii="Times New Roman" w:hAnsi="Times New Roman"/>
          <w:sz w:val="24"/>
          <w:szCs w:val="24"/>
        </w:rPr>
        <w:t xml:space="preserve"> Согласно выданным ветеринарно-санитарным разрешениям на территорию Приднестровской Молдавской Республики поступило </w:t>
      </w:r>
      <w:r>
        <w:rPr>
          <w:rFonts w:ascii="Times New Roman" w:hAnsi="Times New Roman"/>
          <w:sz w:val="24"/>
          <w:szCs w:val="24"/>
        </w:rPr>
        <w:t>40,1 тыс.</w:t>
      </w:r>
      <w:r w:rsidRPr="00FB484C">
        <w:rPr>
          <w:rFonts w:ascii="Times New Roman" w:hAnsi="Times New Roman"/>
          <w:sz w:val="24"/>
          <w:szCs w:val="24"/>
        </w:rPr>
        <w:t xml:space="preserve"> тонн груза (товара) животного происхождения, подконтрольной ветеринарно-санитарному контролю</w:t>
      </w:r>
      <w:r>
        <w:rPr>
          <w:rFonts w:ascii="Times New Roman" w:hAnsi="Times New Roman"/>
          <w:sz w:val="24"/>
          <w:szCs w:val="24"/>
        </w:rPr>
        <w:t xml:space="preserve"> (в январе-июне 2013 года – 56,6 тыс. тонн груза (товара))</w:t>
      </w:r>
      <w:r w:rsidRPr="00FB484C">
        <w:rPr>
          <w:rFonts w:ascii="Times New Roman" w:hAnsi="Times New Roman"/>
          <w:sz w:val="24"/>
          <w:szCs w:val="24"/>
        </w:rPr>
        <w:t xml:space="preserve">, а также вывезено </w:t>
      </w:r>
      <w:r>
        <w:rPr>
          <w:rFonts w:ascii="Times New Roman" w:hAnsi="Times New Roman"/>
          <w:sz w:val="24"/>
          <w:szCs w:val="24"/>
        </w:rPr>
        <w:t>1,8 тыс. то</w:t>
      </w:r>
      <w:r w:rsidRPr="00FB484C">
        <w:rPr>
          <w:rFonts w:ascii="Times New Roman" w:hAnsi="Times New Roman"/>
          <w:sz w:val="24"/>
          <w:szCs w:val="24"/>
        </w:rPr>
        <w:t>нны подконтрольной продукции</w:t>
      </w:r>
      <w:r>
        <w:rPr>
          <w:rFonts w:ascii="Times New Roman" w:hAnsi="Times New Roman"/>
          <w:sz w:val="24"/>
          <w:szCs w:val="24"/>
        </w:rPr>
        <w:t xml:space="preserve"> (в январе-июне 2013 года – 3,8 тыс. тонны)</w:t>
      </w:r>
      <w:r w:rsidRPr="00FB484C">
        <w:rPr>
          <w:rFonts w:ascii="Times New Roman" w:hAnsi="Times New Roman"/>
          <w:sz w:val="24"/>
          <w:szCs w:val="24"/>
        </w:rPr>
        <w:t>. На эти грузы выдано 4</w:t>
      </w:r>
      <w:r>
        <w:rPr>
          <w:rFonts w:ascii="Times New Roman" w:hAnsi="Times New Roman"/>
          <w:sz w:val="24"/>
          <w:szCs w:val="24"/>
        </w:rPr>
        <w:t xml:space="preserve"> </w:t>
      </w:r>
      <w:r w:rsidRPr="00FB484C">
        <w:rPr>
          <w:rFonts w:ascii="Times New Roman" w:hAnsi="Times New Roman"/>
          <w:sz w:val="24"/>
          <w:szCs w:val="24"/>
        </w:rPr>
        <w:t>431 ветеринарно-сопроводительных документов</w:t>
      </w:r>
      <w:r>
        <w:rPr>
          <w:rFonts w:ascii="Times New Roman" w:hAnsi="Times New Roman"/>
          <w:sz w:val="24"/>
          <w:szCs w:val="24"/>
        </w:rPr>
        <w:t xml:space="preserve"> (в январе-июне 2013 года – 5 183 ветеринарно-сопроводительных документов)</w:t>
      </w:r>
      <w:r w:rsidRPr="00FB484C">
        <w:rPr>
          <w:rFonts w:ascii="Times New Roman" w:hAnsi="Times New Roman"/>
          <w:sz w:val="24"/>
          <w:szCs w:val="24"/>
        </w:rPr>
        <w:t>, в том числе по импорту – 3</w:t>
      </w:r>
      <w:r>
        <w:rPr>
          <w:rFonts w:ascii="Times New Roman" w:hAnsi="Times New Roman"/>
          <w:sz w:val="24"/>
          <w:szCs w:val="24"/>
        </w:rPr>
        <w:t xml:space="preserve"> </w:t>
      </w:r>
      <w:r w:rsidRPr="00FB484C">
        <w:rPr>
          <w:rFonts w:ascii="Times New Roman" w:hAnsi="Times New Roman"/>
          <w:sz w:val="24"/>
          <w:szCs w:val="24"/>
        </w:rPr>
        <w:t>819</w:t>
      </w:r>
      <w:r>
        <w:rPr>
          <w:rFonts w:ascii="Times New Roman" w:hAnsi="Times New Roman"/>
          <w:sz w:val="24"/>
          <w:szCs w:val="24"/>
        </w:rPr>
        <w:t xml:space="preserve"> (в январе-июне 2013 года – 4 439)</w:t>
      </w:r>
      <w:r w:rsidRPr="00FB484C">
        <w:rPr>
          <w:rFonts w:ascii="Times New Roman" w:hAnsi="Times New Roman"/>
          <w:sz w:val="24"/>
          <w:szCs w:val="24"/>
        </w:rPr>
        <w:t xml:space="preserve"> и по экспорту – 533</w:t>
      </w:r>
      <w:r>
        <w:rPr>
          <w:rFonts w:ascii="Times New Roman" w:hAnsi="Times New Roman"/>
          <w:sz w:val="24"/>
          <w:szCs w:val="24"/>
        </w:rPr>
        <w:t xml:space="preserve"> (в январе-июне 2013 года – 744).</w:t>
      </w:r>
      <w:r w:rsidRPr="00FB484C">
        <w:rPr>
          <w:rFonts w:ascii="Times New Roman" w:hAnsi="Times New Roman"/>
          <w:sz w:val="24"/>
          <w:szCs w:val="24"/>
        </w:rPr>
        <w:t xml:space="preserve"> Всего инспекторами досмотрено 19</w:t>
      </w:r>
      <w:r>
        <w:rPr>
          <w:rFonts w:ascii="Times New Roman" w:hAnsi="Times New Roman"/>
          <w:sz w:val="24"/>
          <w:szCs w:val="24"/>
        </w:rPr>
        <w:t xml:space="preserve">,3 тыс. </w:t>
      </w:r>
      <w:r w:rsidRPr="00FB484C">
        <w:rPr>
          <w:rFonts w:ascii="Times New Roman" w:hAnsi="Times New Roman"/>
          <w:sz w:val="24"/>
          <w:szCs w:val="24"/>
        </w:rPr>
        <w:t>тонн подконтрольного груза</w:t>
      </w:r>
      <w:r>
        <w:rPr>
          <w:rFonts w:ascii="Times New Roman" w:hAnsi="Times New Roman"/>
          <w:sz w:val="24"/>
          <w:szCs w:val="24"/>
        </w:rPr>
        <w:t xml:space="preserve"> (в январе-июне 2013 года – 25,8 тыс. тонны)</w:t>
      </w:r>
      <w:r w:rsidRPr="00FB484C">
        <w:rPr>
          <w:rFonts w:ascii="Times New Roman" w:hAnsi="Times New Roman"/>
          <w:sz w:val="24"/>
          <w:szCs w:val="24"/>
        </w:rPr>
        <w:t>, при этом составлено 2</w:t>
      </w:r>
      <w:r>
        <w:rPr>
          <w:rFonts w:ascii="Times New Roman" w:hAnsi="Times New Roman"/>
          <w:sz w:val="24"/>
          <w:szCs w:val="24"/>
        </w:rPr>
        <w:t xml:space="preserve"> </w:t>
      </w:r>
      <w:r w:rsidRPr="00FB484C">
        <w:rPr>
          <w:rFonts w:ascii="Times New Roman" w:hAnsi="Times New Roman"/>
          <w:sz w:val="24"/>
          <w:szCs w:val="24"/>
        </w:rPr>
        <w:t>143 акта досмотра подконтрольного груза</w:t>
      </w:r>
      <w:r>
        <w:rPr>
          <w:rFonts w:ascii="Times New Roman" w:hAnsi="Times New Roman"/>
          <w:sz w:val="24"/>
          <w:szCs w:val="24"/>
        </w:rPr>
        <w:t xml:space="preserve"> (в январе-июне 2013 года – 2 548 актов)</w:t>
      </w:r>
      <w:r w:rsidRPr="00FB484C">
        <w:rPr>
          <w:rFonts w:ascii="Times New Roman" w:hAnsi="Times New Roman"/>
          <w:sz w:val="24"/>
          <w:szCs w:val="24"/>
        </w:rPr>
        <w:t>.</w:t>
      </w:r>
      <w:r>
        <w:rPr>
          <w:rFonts w:ascii="Times New Roman" w:hAnsi="Times New Roman"/>
          <w:sz w:val="24"/>
          <w:szCs w:val="24"/>
        </w:rPr>
        <w:t xml:space="preserve"> Общая сумма</w:t>
      </w:r>
      <w:r w:rsidRPr="00FB484C">
        <w:rPr>
          <w:rFonts w:ascii="Times New Roman" w:hAnsi="Times New Roman"/>
          <w:sz w:val="24"/>
          <w:szCs w:val="24"/>
        </w:rPr>
        <w:t xml:space="preserve"> платежей по оказанным услугам за</w:t>
      </w:r>
      <w:r w:rsidRPr="00DB6A1C">
        <w:rPr>
          <w:rFonts w:ascii="Times New Roman" w:hAnsi="Times New Roman"/>
          <w:sz w:val="24"/>
          <w:szCs w:val="24"/>
        </w:rPr>
        <w:t xml:space="preserve"> </w:t>
      </w:r>
      <w:r>
        <w:rPr>
          <w:rFonts w:ascii="Times New Roman" w:hAnsi="Times New Roman"/>
          <w:sz w:val="24"/>
          <w:szCs w:val="24"/>
        </w:rPr>
        <w:t xml:space="preserve">     </w:t>
      </w:r>
      <w:r w:rsidRPr="00FB484C">
        <w:rPr>
          <w:rFonts w:ascii="Times New Roman" w:hAnsi="Times New Roman"/>
          <w:sz w:val="24"/>
          <w:szCs w:val="24"/>
          <w:lang w:val="en-US"/>
        </w:rPr>
        <w:t>I</w:t>
      </w:r>
      <w:r w:rsidRPr="00FB484C">
        <w:rPr>
          <w:rFonts w:ascii="Times New Roman" w:hAnsi="Times New Roman"/>
          <w:sz w:val="24"/>
          <w:szCs w:val="24"/>
        </w:rPr>
        <w:t xml:space="preserve"> полугоди</w:t>
      </w:r>
      <w:r>
        <w:rPr>
          <w:rFonts w:ascii="Times New Roman" w:hAnsi="Times New Roman"/>
          <w:sz w:val="24"/>
          <w:szCs w:val="24"/>
        </w:rPr>
        <w:t>е</w:t>
      </w:r>
      <w:r w:rsidRPr="00FB484C">
        <w:rPr>
          <w:rFonts w:ascii="Times New Roman" w:hAnsi="Times New Roman"/>
          <w:sz w:val="24"/>
          <w:szCs w:val="24"/>
        </w:rPr>
        <w:t xml:space="preserve"> 2014 года </w:t>
      </w:r>
      <w:r>
        <w:rPr>
          <w:rFonts w:ascii="Times New Roman" w:hAnsi="Times New Roman"/>
          <w:sz w:val="24"/>
          <w:szCs w:val="24"/>
        </w:rPr>
        <w:t xml:space="preserve">снизила аналогичный показатель 2013 года на 8,8% и достигла </w:t>
      </w:r>
      <w:r w:rsidRPr="00FB484C">
        <w:rPr>
          <w:rFonts w:ascii="Times New Roman" w:hAnsi="Times New Roman"/>
          <w:sz w:val="24"/>
          <w:szCs w:val="24"/>
        </w:rPr>
        <w:t>335</w:t>
      </w:r>
      <w:r>
        <w:rPr>
          <w:rFonts w:ascii="Times New Roman" w:hAnsi="Times New Roman"/>
          <w:sz w:val="24"/>
          <w:szCs w:val="24"/>
        </w:rPr>
        <w:t>,6 тыс. руб.</w:t>
      </w:r>
      <w:r w:rsidRPr="00FB484C">
        <w:rPr>
          <w:rFonts w:ascii="Times New Roman" w:hAnsi="Times New Roman"/>
          <w:sz w:val="24"/>
          <w:szCs w:val="24"/>
        </w:rPr>
        <w:t xml:space="preserve"> ПМР.</w:t>
      </w:r>
    </w:p>
    <w:p w:rsidR="00D41BA6" w:rsidRDefault="00D41BA6" w:rsidP="00D41BA6">
      <w:pPr>
        <w:spacing w:after="0" w:line="240" w:lineRule="auto"/>
        <w:ind w:firstLine="708"/>
        <w:jc w:val="both"/>
        <w:rPr>
          <w:rFonts w:ascii="Times New Roman" w:hAnsi="Times New Roman"/>
          <w:b/>
          <w:sz w:val="24"/>
          <w:szCs w:val="24"/>
        </w:rPr>
      </w:pPr>
      <w:r w:rsidRPr="00CB7779">
        <w:rPr>
          <w:rFonts w:ascii="Times New Roman" w:hAnsi="Times New Roman"/>
          <w:b/>
          <w:sz w:val="24"/>
          <w:szCs w:val="24"/>
        </w:rPr>
        <w:t>Госу</w:t>
      </w:r>
      <w:r w:rsidRPr="00FB484C">
        <w:rPr>
          <w:rFonts w:ascii="Times New Roman" w:hAnsi="Times New Roman"/>
          <w:b/>
          <w:sz w:val="24"/>
          <w:szCs w:val="24"/>
        </w:rPr>
        <w:t>дарственная поддержка хозяйствующим субъектам АПК</w:t>
      </w:r>
    </w:p>
    <w:p w:rsidR="00D41BA6" w:rsidRDefault="00D41BA6" w:rsidP="00D41BA6">
      <w:pPr>
        <w:spacing w:after="0" w:line="240" w:lineRule="auto"/>
        <w:ind w:firstLine="708"/>
        <w:jc w:val="both"/>
        <w:rPr>
          <w:rFonts w:ascii="Times New Roman" w:hAnsi="Times New Roman"/>
          <w:sz w:val="24"/>
          <w:szCs w:val="24"/>
        </w:rPr>
      </w:pPr>
      <w:r w:rsidRPr="00CB7779">
        <w:rPr>
          <w:rFonts w:ascii="Times New Roman" w:hAnsi="Times New Roman"/>
          <w:sz w:val="24"/>
          <w:szCs w:val="24"/>
        </w:rPr>
        <w:t>В</w:t>
      </w:r>
      <w:r>
        <w:rPr>
          <w:rFonts w:ascii="Times New Roman" w:hAnsi="Times New Roman"/>
          <w:sz w:val="24"/>
          <w:szCs w:val="24"/>
        </w:rPr>
        <w:t xml:space="preserve"> </w:t>
      </w:r>
      <w:r w:rsidRPr="00FB484C">
        <w:rPr>
          <w:rFonts w:ascii="Times New Roman" w:hAnsi="Times New Roman"/>
          <w:sz w:val="24"/>
          <w:szCs w:val="24"/>
          <w:lang w:val="en-US"/>
        </w:rPr>
        <w:t>I</w:t>
      </w:r>
      <w:r w:rsidRPr="00FB484C">
        <w:rPr>
          <w:rFonts w:ascii="Times New Roman" w:hAnsi="Times New Roman"/>
          <w:sz w:val="24"/>
          <w:szCs w:val="24"/>
        </w:rPr>
        <w:t xml:space="preserve"> полугоди</w:t>
      </w:r>
      <w:r>
        <w:rPr>
          <w:rFonts w:ascii="Times New Roman" w:hAnsi="Times New Roman"/>
          <w:sz w:val="24"/>
          <w:szCs w:val="24"/>
        </w:rPr>
        <w:t>и</w:t>
      </w:r>
      <w:r w:rsidRPr="00FB484C">
        <w:rPr>
          <w:rFonts w:ascii="Times New Roman" w:hAnsi="Times New Roman"/>
          <w:sz w:val="24"/>
          <w:szCs w:val="24"/>
        </w:rPr>
        <w:t xml:space="preserve"> 2014 года наблюдательным советом Фонда государственного резерва </w:t>
      </w:r>
      <w:r>
        <w:rPr>
          <w:rFonts w:ascii="Times New Roman" w:hAnsi="Times New Roman"/>
          <w:sz w:val="24"/>
          <w:szCs w:val="24"/>
        </w:rPr>
        <w:t xml:space="preserve">ПМР </w:t>
      </w:r>
      <w:r w:rsidRPr="00FB484C">
        <w:rPr>
          <w:rFonts w:ascii="Times New Roman" w:hAnsi="Times New Roman"/>
          <w:sz w:val="24"/>
          <w:szCs w:val="24"/>
        </w:rPr>
        <w:t>было принято решение о выделении хозяйствующим субъектам агропромышленного комплекса республики из средств помощи, полученной от Российской Федерации в 2008 и 2011 годах, кредитными организациями и Фондом государственного резерва ПМР беспроцентных займов (кредитов) в сумме 38,06 млн. руб. РФ.</w:t>
      </w:r>
    </w:p>
    <w:p w:rsidR="00D41BA6" w:rsidRDefault="00D41BA6" w:rsidP="00D41BA6">
      <w:pPr>
        <w:spacing w:after="0" w:line="240" w:lineRule="auto"/>
        <w:ind w:firstLine="708"/>
        <w:jc w:val="both"/>
        <w:rPr>
          <w:rFonts w:ascii="Times New Roman" w:hAnsi="Times New Roman"/>
          <w:sz w:val="24"/>
          <w:szCs w:val="24"/>
        </w:rPr>
      </w:pPr>
      <w:r>
        <w:rPr>
          <w:rFonts w:ascii="Times New Roman" w:hAnsi="Times New Roman"/>
          <w:sz w:val="24"/>
          <w:szCs w:val="24"/>
        </w:rPr>
        <w:t>Н</w:t>
      </w:r>
      <w:r w:rsidRPr="00FB484C">
        <w:rPr>
          <w:rFonts w:ascii="Times New Roman" w:hAnsi="Times New Roman"/>
          <w:sz w:val="24"/>
          <w:szCs w:val="24"/>
        </w:rPr>
        <w:t xml:space="preserve">а приобретение сельскохозяйственной техники ООО «Птичий двор» </w:t>
      </w:r>
      <w:r>
        <w:rPr>
          <w:rFonts w:ascii="Times New Roman" w:hAnsi="Times New Roman"/>
          <w:sz w:val="24"/>
          <w:szCs w:val="24"/>
        </w:rPr>
        <w:t xml:space="preserve">было </w:t>
      </w:r>
      <w:r w:rsidRPr="00FB484C">
        <w:rPr>
          <w:rFonts w:ascii="Times New Roman" w:hAnsi="Times New Roman"/>
          <w:sz w:val="24"/>
          <w:szCs w:val="24"/>
        </w:rPr>
        <w:t xml:space="preserve">выделено 15 млн. руб. РФ, ООО «Биоланд» - 12 250 тыс. руб. РФ, на оборудование для капельного орошения ЗАО «Каменский консервный завод» - 10 328 тыс. руб. РФ и на сеялку точного высева для данного предприятия – 484 033 тыс. руб. РФ. Кроме того, на развитие личного подсобного хозяйства физическим лицам </w:t>
      </w:r>
      <w:r>
        <w:rPr>
          <w:rFonts w:ascii="Times New Roman" w:hAnsi="Times New Roman"/>
          <w:sz w:val="24"/>
          <w:szCs w:val="24"/>
        </w:rPr>
        <w:t xml:space="preserve">было </w:t>
      </w:r>
      <w:r w:rsidRPr="00FB484C">
        <w:rPr>
          <w:rFonts w:ascii="Times New Roman" w:hAnsi="Times New Roman"/>
          <w:sz w:val="24"/>
          <w:szCs w:val="24"/>
        </w:rPr>
        <w:t>выделено 2 940 тыс. руб. ПМР.</w:t>
      </w:r>
    </w:p>
    <w:p w:rsidR="00D41BA6" w:rsidRDefault="00D41BA6" w:rsidP="00D41BA6">
      <w:pPr>
        <w:spacing w:after="0" w:line="240" w:lineRule="auto"/>
        <w:ind w:firstLine="708"/>
        <w:jc w:val="both"/>
        <w:rPr>
          <w:rFonts w:ascii="Times New Roman" w:hAnsi="Times New Roman"/>
          <w:sz w:val="24"/>
          <w:szCs w:val="24"/>
        </w:rPr>
      </w:pPr>
      <w:r>
        <w:rPr>
          <w:rFonts w:ascii="Times New Roman" w:hAnsi="Times New Roman"/>
          <w:sz w:val="24"/>
          <w:szCs w:val="24"/>
        </w:rPr>
        <w:t xml:space="preserve">В рамках республиканского бюджета на 2014 год предусмотрено выделение  бюджетных средств на поддержку агропромышленного комплекса в </w:t>
      </w:r>
      <w:r w:rsidRPr="00FB484C">
        <w:rPr>
          <w:rFonts w:ascii="Times New Roman" w:hAnsi="Times New Roman"/>
          <w:sz w:val="24"/>
          <w:szCs w:val="24"/>
        </w:rPr>
        <w:t>сумм</w:t>
      </w:r>
      <w:r>
        <w:rPr>
          <w:rFonts w:ascii="Times New Roman" w:hAnsi="Times New Roman"/>
          <w:sz w:val="24"/>
          <w:szCs w:val="24"/>
        </w:rPr>
        <w:t xml:space="preserve">е </w:t>
      </w:r>
      <w:r w:rsidRPr="00FB484C">
        <w:rPr>
          <w:rFonts w:ascii="Times New Roman" w:hAnsi="Times New Roman"/>
          <w:sz w:val="24"/>
          <w:szCs w:val="24"/>
        </w:rPr>
        <w:t>5</w:t>
      </w:r>
      <w:r>
        <w:rPr>
          <w:rFonts w:ascii="Times New Roman" w:hAnsi="Times New Roman"/>
          <w:sz w:val="24"/>
          <w:szCs w:val="24"/>
        </w:rPr>
        <w:t xml:space="preserve"> 000 000 </w:t>
      </w:r>
      <w:r w:rsidRPr="00FB484C">
        <w:rPr>
          <w:rFonts w:ascii="Times New Roman" w:hAnsi="Times New Roman"/>
          <w:sz w:val="24"/>
          <w:szCs w:val="24"/>
        </w:rPr>
        <w:t xml:space="preserve"> руб., в том числе:</w:t>
      </w:r>
    </w:p>
    <w:p w:rsidR="00D41BA6" w:rsidRDefault="00D41BA6" w:rsidP="00D41BA6">
      <w:pPr>
        <w:spacing w:after="0" w:line="240" w:lineRule="auto"/>
        <w:ind w:firstLine="708"/>
        <w:jc w:val="both"/>
        <w:rPr>
          <w:rFonts w:ascii="Times New Roman" w:hAnsi="Times New Roman"/>
          <w:sz w:val="24"/>
          <w:szCs w:val="24"/>
        </w:rPr>
      </w:pPr>
      <w:r>
        <w:rPr>
          <w:rFonts w:ascii="Times New Roman" w:hAnsi="Times New Roman"/>
          <w:sz w:val="24"/>
          <w:szCs w:val="24"/>
        </w:rPr>
        <w:t>-</w:t>
      </w:r>
      <w:r w:rsidRPr="00FB484C">
        <w:rPr>
          <w:rFonts w:ascii="Times New Roman" w:hAnsi="Times New Roman"/>
          <w:sz w:val="24"/>
          <w:szCs w:val="24"/>
        </w:rPr>
        <w:t>на оказание государственной поддержки мелиоративному комплексу</w:t>
      </w:r>
      <w:r>
        <w:rPr>
          <w:rFonts w:ascii="Times New Roman" w:hAnsi="Times New Roman"/>
          <w:sz w:val="24"/>
          <w:szCs w:val="24"/>
        </w:rPr>
        <w:t xml:space="preserve"> -</w:t>
      </w:r>
      <w:r w:rsidRPr="00FB484C">
        <w:rPr>
          <w:rFonts w:ascii="Times New Roman" w:hAnsi="Times New Roman"/>
          <w:sz w:val="24"/>
          <w:szCs w:val="24"/>
        </w:rPr>
        <w:t xml:space="preserve"> </w:t>
      </w:r>
      <w:r w:rsidR="00EE6B2D">
        <w:rPr>
          <w:rFonts w:ascii="Times New Roman" w:hAnsi="Times New Roman"/>
          <w:sz w:val="24"/>
          <w:szCs w:val="24"/>
        </w:rPr>
        <w:t xml:space="preserve">                            </w:t>
      </w:r>
      <w:r w:rsidRPr="00FB484C">
        <w:rPr>
          <w:rFonts w:ascii="Times New Roman" w:hAnsi="Times New Roman"/>
          <w:sz w:val="24"/>
          <w:szCs w:val="24"/>
        </w:rPr>
        <w:t>3 666 557 руб.</w:t>
      </w:r>
      <w:r>
        <w:rPr>
          <w:rFonts w:ascii="Times New Roman" w:hAnsi="Times New Roman"/>
          <w:sz w:val="24"/>
          <w:szCs w:val="24"/>
        </w:rPr>
        <w:t>;</w:t>
      </w:r>
    </w:p>
    <w:p w:rsidR="00D41BA6" w:rsidRDefault="00D41BA6" w:rsidP="00D41BA6">
      <w:pPr>
        <w:spacing w:after="0" w:line="240" w:lineRule="auto"/>
        <w:ind w:firstLine="708"/>
        <w:jc w:val="both"/>
        <w:rPr>
          <w:rFonts w:ascii="Times New Roman" w:hAnsi="Times New Roman"/>
          <w:sz w:val="24"/>
          <w:szCs w:val="24"/>
        </w:rPr>
      </w:pPr>
      <w:r>
        <w:rPr>
          <w:rFonts w:ascii="Times New Roman" w:hAnsi="Times New Roman"/>
          <w:sz w:val="24"/>
          <w:szCs w:val="24"/>
        </w:rPr>
        <w:t>-</w:t>
      </w:r>
      <w:r w:rsidRPr="00FB484C">
        <w:rPr>
          <w:rFonts w:ascii="Times New Roman" w:hAnsi="Times New Roman"/>
          <w:sz w:val="24"/>
          <w:szCs w:val="24"/>
        </w:rPr>
        <w:t xml:space="preserve">на проведение противоэпизоотических мероприятий </w:t>
      </w:r>
      <w:r>
        <w:rPr>
          <w:rFonts w:ascii="Times New Roman" w:hAnsi="Times New Roman"/>
          <w:sz w:val="24"/>
          <w:szCs w:val="24"/>
        </w:rPr>
        <w:t xml:space="preserve">- </w:t>
      </w:r>
      <w:r w:rsidRPr="00FB484C">
        <w:rPr>
          <w:rFonts w:ascii="Times New Roman" w:hAnsi="Times New Roman"/>
          <w:sz w:val="24"/>
          <w:szCs w:val="24"/>
        </w:rPr>
        <w:t>455 404 руб.</w:t>
      </w:r>
      <w:r>
        <w:rPr>
          <w:rFonts w:ascii="Times New Roman" w:hAnsi="Times New Roman"/>
          <w:sz w:val="24"/>
          <w:szCs w:val="24"/>
        </w:rPr>
        <w:t>;</w:t>
      </w:r>
    </w:p>
    <w:p w:rsidR="00D41BA6" w:rsidRDefault="00D41BA6" w:rsidP="00D41BA6">
      <w:pPr>
        <w:spacing w:after="0" w:line="240" w:lineRule="auto"/>
        <w:ind w:firstLine="708"/>
        <w:jc w:val="both"/>
        <w:rPr>
          <w:rFonts w:ascii="Times New Roman" w:hAnsi="Times New Roman"/>
          <w:sz w:val="24"/>
          <w:szCs w:val="24"/>
        </w:rPr>
      </w:pPr>
      <w:r>
        <w:rPr>
          <w:rFonts w:ascii="Times New Roman" w:hAnsi="Times New Roman"/>
          <w:sz w:val="24"/>
          <w:szCs w:val="24"/>
        </w:rPr>
        <w:t>-</w:t>
      </w:r>
      <w:r w:rsidRPr="00FB484C">
        <w:rPr>
          <w:rFonts w:ascii="Times New Roman" w:hAnsi="Times New Roman"/>
          <w:sz w:val="24"/>
          <w:szCs w:val="24"/>
        </w:rPr>
        <w:t xml:space="preserve">на оказание поддержки ГУП «Агро-Гиска» </w:t>
      </w:r>
      <w:r>
        <w:rPr>
          <w:rFonts w:ascii="Times New Roman" w:hAnsi="Times New Roman"/>
          <w:sz w:val="24"/>
          <w:szCs w:val="24"/>
        </w:rPr>
        <w:t xml:space="preserve">- </w:t>
      </w:r>
      <w:r w:rsidRPr="00FB484C">
        <w:rPr>
          <w:rFonts w:ascii="Times New Roman" w:hAnsi="Times New Roman"/>
          <w:sz w:val="24"/>
          <w:szCs w:val="24"/>
        </w:rPr>
        <w:t>878 039 руб.</w:t>
      </w:r>
    </w:p>
    <w:p w:rsidR="00D41BA6" w:rsidRPr="00363E80" w:rsidRDefault="00D41BA6" w:rsidP="00D41BA6">
      <w:pPr>
        <w:spacing w:after="0" w:line="240" w:lineRule="auto"/>
        <w:ind w:firstLine="708"/>
        <w:jc w:val="both"/>
        <w:rPr>
          <w:rFonts w:ascii="Times New Roman" w:hAnsi="Times New Roman"/>
          <w:sz w:val="24"/>
          <w:szCs w:val="24"/>
        </w:rPr>
      </w:pPr>
      <w:r>
        <w:rPr>
          <w:rFonts w:ascii="Times New Roman" w:hAnsi="Times New Roman"/>
          <w:sz w:val="24"/>
          <w:szCs w:val="24"/>
        </w:rPr>
        <w:t>О</w:t>
      </w:r>
      <w:r w:rsidRPr="00363E80">
        <w:rPr>
          <w:rFonts w:ascii="Times New Roman" w:hAnsi="Times New Roman"/>
          <w:sz w:val="24"/>
          <w:szCs w:val="24"/>
        </w:rPr>
        <w:t xml:space="preserve">днако в </w:t>
      </w:r>
      <w:r w:rsidRPr="00FB484C">
        <w:rPr>
          <w:rFonts w:ascii="Times New Roman" w:hAnsi="Times New Roman"/>
          <w:sz w:val="24"/>
          <w:szCs w:val="24"/>
          <w:lang w:val="en-US"/>
        </w:rPr>
        <w:t>I</w:t>
      </w:r>
      <w:r w:rsidRPr="00FB484C">
        <w:rPr>
          <w:rFonts w:ascii="Times New Roman" w:hAnsi="Times New Roman"/>
          <w:sz w:val="24"/>
          <w:szCs w:val="24"/>
        </w:rPr>
        <w:t xml:space="preserve"> полугоди</w:t>
      </w:r>
      <w:r>
        <w:rPr>
          <w:rFonts w:ascii="Times New Roman" w:hAnsi="Times New Roman"/>
          <w:sz w:val="24"/>
          <w:szCs w:val="24"/>
        </w:rPr>
        <w:t>и</w:t>
      </w:r>
      <w:r w:rsidRPr="00FB484C">
        <w:rPr>
          <w:rFonts w:ascii="Times New Roman" w:hAnsi="Times New Roman"/>
          <w:sz w:val="24"/>
          <w:szCs w:val="24"/>
        </w:rPr>
        <w:t xml:space="preserve"> 2014 года </w:t>
      </w:r>
      <w:r w:rsidRPr="00363E80">
        <w:rPr>
          <w:rFonts w:ascii="Times New Roman" w:hAnsi="Times New Roman"/>
          <w:sz w:val="24"/>
          <w:szCs w:val="24"/>
        </w:rPr>
        <w:t>в условиях острого дефицита бюджетных средств финансирование не осуществлялось.</w:t>
      </w:r>
    </w:p>
    <w:p w:rsidR="00D41BA6" w:rsidRPr="00987C72" w:rsidRDefault="00D41BA6" w:rsidP="00D41BA6">
      <w:pPr>
        <w:spacing w:after="0" w:line="240" w:lineRule="auto"/>
        <w:ind w:firstLine="708"/>
        <w:jc w:val="both"/>
        <w:rPr>
          <w:sz w:val="24"/>
          <w:szCs w:val="24"/>
        </w:rPr>
      </w:pPr>
      <w:r>
        <w:rPr>
          <w:rFonts w:ascii="Times New Roman" w:hAnsi="Times New Roman"/>
          <w:sz w:val="24"/>
          <w:szCs w:val="24"/>
        </w:rPr>
        <w:t xml:space="preserve">В </w:t>
      </w:r>
      <w:r w:rsidRPr="00987C72">
        <w:rPr>
          <w:rFonts w:ascii="Times New Roman" w:hAnsi="Times New Roman"/>
          <w:sz w:val="24"/>
          <w:szCs w:val="24"/>
        </w:rPr>
        <w:t xml:space="preserve">целом, в </w:t>
      </w:r>
      <w:r w:rsidRPr="00FB484C">
        <w:rPr>
          <w:rFonts w:ascii="Times New Roman" w:hAnsi="Times New Roman"/>
          <w:sz w:val="24"/>
          <w:szCs w:val="24"/>
          <w:lang w:val="en-US"/>
        </w:rPr>
        <w:t>I</w:t>
      </w:r>
      <w:r w:rsidRPr="00FB484C">
        <w:rPr>
          <w:rFonts w:ascii="Times New Roman" w:hAnsi="Times New Roman"/>
          <w:sz w:val="24"/>
          <w:szCs w:val="24"/>
        </w:rPr>
        <w:t xml:space="preserve"> полугоди</w:t>
      </w:r>
      <w:r>
        <w:rPr>
          <w:rFonts w:ascii="Times New Roman" w:hAnsi="Times New Roman"/>
          <w:sz w:val="24"/>
          <w:szCs w:val="24"/>
        </w:rPr>
        <w:t>и</w:t>
      </w:r>
      <w:r w:rsidRPr="00FB484C">
        <w:rPr>
          <w:rFonts w:ascii="Times New Roman" w:hAnsi="Times New Roman"/>
          <w:sz w:val="24"/>
          <w:szCs w:val="24"/>
        </w:rPr>
        <w:t xml:space="preserve"> 2014 года </w:t>
      </w:r>
      <w:r w:rsidRPr="00987C72">
        <w:rPr>
          <w:rFonts w:ascii="Times New Roman" w:hAnsi="Times New Roman"/>
          <w:sz w:val="24"/>
          <w:szCs w:val="24"/>
        </w:rPr>
        <w:t xml:space="preserve">в агропромышленном комплексе республики </w:t>
      </w:r>
      <w:r>
        <w:rPr>
          <w:rFonts w:ascii="Times New Roman" w:hAnsi="Times New Roman"/>
          <w:sz w:val="24"/>
          <w:szCs w:val="24"/>
        </w:rPr>
        <w:t xml:space="preserve">сохраняются </w:t>
      </w:r>
      <w:r w:rsidRPr="00987C72">
        <w:rPr>
          <w:rFonts w:ascii="Times New Roman" w:hAnsi="Times New Roman"/>
          <w:sz w:val="24"/>
          <w:szCs w:val="24"/>
        </w:rPr>
        <w:t>положительные тенденции в развитии растениеводческой отрасли, связанные с расширением площад</w:t>
      </w:r>
      <w:r>
        <w:rPr>
          <w:rFonts w:ascii="Times New Roman" w:hAnsi="Times New Roman"/>
          <w:sz w:val="24"/>
          <w:szCs w:val="24"/>
        </w:rPr>
        <w:t>ей</w:t>
      </w:r>
      <w:r w:rsidRPr="00987C72">
        <w:rPr>
          <w:rFonts w:ascii="Times New Roman" w:hAnsi="Times New Roman"/>
          <w:sz w:val="24"/>
          <w:szCs w:val="24"/>
        </w:rPr>
        <w:t xml:space="preserve"> орошаемых земель, внедрением </w:t>
      </w:r>
      <w:r>
        <w:rPr>
          <w:rFonts w:ascii="Times New Roman" w:hAnsi="Times New Roman"/>
          <w:sz w:val="24"/>
          <w:szCs w:val="24"/>
        </w:rPr>
        <w:t xml:space="preserve">современных методов обработки почвы, энерго- и ресурсосберегающих технологий, восстановлением систем орошения, применением качественного семенного материала, новой техники, </w:t>
      </w:r>
      <w:r w:rsidRPr="00987C72">
        <w:rPr>
          <w:rFonts w:ascii="Times New Roman" w:hAnsi="Times New Roman"/>
          <w:sz w:val="24"/>
          <w:szCs w:val="24"/>
        </w:rPr>
        <w:t>эффективных средств защиты растений</w:t>
      </w:r>
      <w:r>
        <w:rPr>
          <w:rFonts w:ascii="Times New Roman" w:hAnsi="Times New Roman"/>
          <w:sz w:val="24"/>
          <w:szCs w:val="24"/>
        </w:rPr>
        <w:t xml:space="preserve">. Вместе с тем, </w:t>
      </w:r>
      <w:r w:rsidRPr="00987C72">
        <w:rPr>
          <w:rFonts w:ascii="Times New Roman" w:hAnsi="Times New Roman"/>
          <w:sz w:val="24"/>
          <w:szCs w:val="24"/>
        </w:rPr>
        <w:t xml:space="preserve">в животноводческой отрасли модернизация материально-технической базы, внедрение передовых технологий в </w:t>
      </w:r>
      <w:r w:rsidRPr="00987C72">
        <w:rPr>
          <w:rFonts w:ascii="Times New Roman" w:hAnsi="Times New Roman"/>
          <w:sz w:val="24"/>
          <w:szCs w:val="24"/>
        </w:rPr>
        <w:lastRenderedPageBreak/>
        <w:t xml:space="preserve">производство происходит медленными темпами, что не позволяет в целом достичь высокой результативности в сельскохозяйственной отрасли. </w:t>
      </w:r>
    </w:p>
    <w:p w:rsidR="00DE2491" w:rsidRPr="00182792" w:rsidRDefault="00DE2491" w:rsidP="00332793">
      <w:pPr>
        <w:widowControl w:val="0"/>
        <w:autoSpaceDE w:val="0"/>
        <w:autoSpaceDN w:val="0"/>
        <w:adjustRightInd w:val="0"/>
        <w:spacing w:after="0" w:line="240" w:lineRule="auto"/>
        <w:ind w:firstLine="709"/>
        <w:jc w:val="both"/>
        <w:rPr>
          <w:rFonts w:ascii="Times New Roman" w:hAnsi="Times New Roman"/>
          <w:b/>
          <w:sz w:val="24"/>
          <w:szCs w:val="24"/>
        </w:rPr>
      </w:pPr>
    </w:p>
    <w:p w:rsidR="00DA2344" w:rsidRPr="0025309F" w:rsidRDefault="00DA2344" w:rsidP="00DA2344">
      <w:pPr>
        <w:widowControl w:val="0"/>
        <w:autoSpaceDE w:val="0"/>
        <w:autoSpaceDN w:val="0"/>
        <w:adjustRightInd w:val="0"/>
        <w:spacing w:after="0" w:line="240" w:lineRule="auto"/>
        <w:ind w:firstLine="709"/>
        <w:jc w:val="both"/>
        <w:rPr>
          <w:rFonts w:ascii="Times New Roman" w:hAnsi="Times New Roman"/>
          <w:b/>
          <w:sz w:val="24"/>
          <w:szCs w:val="24"/>
        </w:rPr>
      </w:pPr>
      <w:r w:rsidRPr="00EE6B2D">
        <w:rPr>
          <w:rFonts w:ascii="Times New Roman" w:hAnsi="Times New Roman"/>
          <w:b/>
          <w:sz w:val="24"/>
          <w:szCs w:val="24"/>
        </w:rPr>
        <w:t>Инвестиционная деятельность</w:t>
      </w:r>
    </w:p>
    <w:p w:rsidR="00DA2344" w:rsidRPr="0025309F" w:rsidRDefault="00DA2344" w:rsidP="00DA2344">
      <w:pPr>
        <w:widowControl w:val="0"/>
        <w:shd w:val="clear" w:color="auto" w:fill="FFFFFF"/>
        <w:spacing w:after="0" w:line="240" w:lineRule="auto"/>
        <w:ind w:firstLine="709"/>
        <w:jc w:val="both"/>
        <w:rPr>
          <w:rFonts w:ascii="Times New Roman" w:hAnsi="Times New Roman"/>
          <w:sz w:val="24"/>
          <w:szCs w:val="24"/>
        </w:rPr>
      </w:pPr>
    </w:p>
    <w:p w:rsidR="00DA2344" w:rsidRPr="0025309F" w:rsidRDefault="00DA2344" w:rsidP="00DA2344">
      <w:pPr>
        <w:widowControl w:val="0"/>
        <w:shd w:val="clear" w:color="auto" w:fill="FFFFFF"/>
        <w:spacing w:after="0" w:line="240" w:lineRule="auto"/>
        <w:ind w:firstLine="709"/>
        <w:jc w:val="both"/>
        <w:rPr>
          <w:rFonts w:ascii="Times New Roman" w:hAnsi="Times New Roman"/>
          <w:sz w:val="24"/>
          <w:szCs w:val="24"/>
        </w:rPr>
      </w:pPr>
      <w:r w:rsidRPr="0025309F">
        <w:rPr>
          <w:rFonts w:ascii="Times New Roman" w:hAnsi="Times New Roman"/>
          <w:sz w:val="24"/>
          <w:szCs w:val="24"/>
        </w:rPr>
        <w:t xml:space="preserve">Инвестиционная политика государства направлена на развитие и стимулирование деловой активности приднестровской экономики, а также на создание благоприятного климата для </w:t>
      </w:r>
      <w:r>
        <w:rPr>
          <w:rFonts w:ascii="Times New Roman" w:hAnsi="Times New Roman"/>
          <w:sz w:val="24"/>
          <w:szCs w:val="24"/>
        </w:rPr>
        <w:t xml:space="preserve">внутренних и внешних </w:t>
      </w:r>
      <w:r w:rsidRPr="0025309F">
        <w:rPr>
          <w:rFonts w:ascii="Times New Roman" w:hAnsi="Times New Roman"/>
          <w:sz w:val="24"/>
          <w:szCs w:val="24"/>
        </w:rPr>
        <w:t>инвесторов.</w:t>
      </w:r>
    </w:p>
    <w:p w:rsidR="00DA2344" w:rsidRDefault="00DA2344" w:rsidP="00DA2344">
      <w:pPr>
        <w:spacing w:after="0" w:line="240" w:lineRule="auto"/>
        <w:ind w:firstLine="709"/>
        <w:jc w:val="both"/>
        <w:rPr>
          <w:rFonts w:ascii="Times New Roman" w:hAnsi="Times New Roman"/>
          <w:spacing w:val="4"/>
          <w:sz w:val="24"/>
          <w:szCs w:val="24"/>
        </w:rPr>
      </w:pPr>
      <w:r w:rsidRPr="0025309F">
        <w:rPr>
          <w:rFonts w:ascii="Times New Roman" w:hAnsi="Times New Roman"/>
          <w:sz w:val="24"/>
          <w:szCs w:val="24"/>
        </w:rPr>
        <w:t xml:space="preserve">По итогам </w:t>
      </w:r>
      <w:r>
        <w:rPr>
          <w:rFonts w:ascii="Times New Roman" w:hAnsi="Times New Roman"/>
          <w:sz w:val="24"/>
          <w:szCs w:val="24"/>
        </w:rPr>
        <w:t xml:space="preserve">января-июня </w:t>
      </w:r>
      <w:r w:rsidRPr="0025309F">
        <w:rPr>
          <w:rFonts w:ascii="Times New Roman" w:hAnsi="Times New Roman"/>
          <w:sz w:val="24"/>
          <w:szCs w:val="24"/>
        </w:rPr>
        <w:t>201</w:t>
      </w:r>
      <w:r>
        <w:rPr>
          <w:rFonts w:ascii="Times New Roman" w:hAnsi="Times New Roman"/>
          <w:sz w:val="24"/>
          <w:szCs w:val="24"/>
        </w:rPr>
        <w:t>4</w:t>
      </w:r>
      <w:r w:rsidRPr="0025309F">
        <w:rPr>
          <w:rFonts w:ascii="Times New Roman" w:hAnsi="Times New Roman"/>
          <w:sz w:val="24"/>
          <w:szCs w:val="24"/>
        </w:rPr>
        <w:t xml:space="preserve"> года объем инвестиций в </w:t>
      </w:r>
      <w:r w:rsidRPr="0025309F">
        <w:rPr>
          <w:rFonts w:ascii="Times New Roman" w:hAnsi="Times New Roman"/>
          <w:spacing w:val="-1"/>
          <w:sz w:val="24"/>
          <w:szCs w:val="24"/>
        </w:rPr>
        <w:t xml:space="preserve">основной капитал (с учетом </w:t>
      </w:r>
      <w:r w:rsidRPr="0025309F">
        <w:rPr>
          <w:rFonts w:ascii="Times New Roman" w:hAnsi="Times New Roman"/>
          <w:spacing w:val="3"/>
          <w:sz w:val="24"/>
          <w:szCs w:val="24"/>
        </w:rPr>
        <w:t xml:space="preserve">субъектов малого предпринимательства и </w:t>
      </w:r>
      <w:r w:rsidRPr="0025309F">
        <w:rPr>
          <w:rFonts w:ascii="Times New Roman" w:hAnsi="Times New Roman"/>
          <w:spacing w:val="1"/>
          <w:sz w:val="24"/>
          <w:szCs w:val="24"/>
        </w:rPr>
        <w:t>инд</w:t>
      </w:r>
      <w:r>
        <w:rPr>
          <w:rFonts w:ascii="Times New Roman" w:hAnsi="Times New Roman"/>
          <w:spacing w:val="1"/>
          <w:sz w:val="24"/>
          <w:szCs w:val="24"/>
        </w:rPr>
        <w:t>ивидуальных застройщиков) достиг</w:t>
      </w:r>
      <w:r w:rsidR="00EE6B2D">
        <w:rPr>
          <w:rFonts w:ascii="Times New Roman" w:hAnsi="Times New Roman"/>
          <w:spacing w:val="1"/>
          <w:sz w:val="24"/>
          <w:szCs w:val="24"/>
        </w:rPr>
        <w:t xml:space="preserve">              </w:t>
      </w:r>
      <w:r>
        <w:rPr>
          <w:rFonts w:ascii="Times New Roman" w:hAnsi="Times New Roman"/>
          <w:spacing w:val="1"/>
          <w:sz w:val="24"/>
          <w:szCs w:val="24"/>
        </w:rPr>
        <w:t>717,7</w:t>
      </w:r>
      <w:r w:rsidRPr="0025309F">
        <w:rPr>
          <w:rFonts w:ascii="Times New Roman" w:hAnsi="Times New Roman"/>
          <w:spacing w:val="1"/>
          <w:sz w:val="24"/>
          <w:szCs w:val="24"/>
        </w:rPr>
        <w:t xml:space="preserve"> </w:t>
      </w:r>
      <w:r w:rsidRPr="0025309F">
        <w:rPr>
          <w:rFonts w:ascii="Times New Roman" w:hAnsi="Times New Roman"/>
          <w:spacing w:val="4"/>
          <w:sz w:val="24"/>
          <w:szCs w:val="24"/>
        </w:rPr>
        <w:t xml:space="preserve">млн. руб. или </w:t>
      </w:r>
      <w:r>
        <w:rPr>
          <w:rFonts w:ascii="Times New Roman" w:hAnsi="Times New Roman"/>
          <w:spacing w:val="4"/>
          <w:sz w:val="24"/>
          <w:szCs w:val="24"/>
        </w:rPr>
        <w:t>82,6</w:t>
      </w:r>
      <w:r w:rsidRPr="0025309F">
        <w:rPr>
          <w:rFonts w:ascii="Times New Roman" w:hAnsi="Times New Roman"/>
          <w:spacing w:val="4"/>
          <w:sz w:val="24"/>
          <w:szCs w:val="24"/>
        </w:rPr>
        <w:t xml:space="preserve">% к уровню </w:t>
      </w:r>
      <w:r>
        <w:rPr>
          <w:rFonts w:ascii="Times New Roman" w:hAnsi="Times New Roman"/>
          <w:spacing w:val="4"/>
          <w:sz w:val="24"/>
          <w:szCs w:val="24"/>
        </w:rPr>
        <w:t xml:space="preserve">января-июня </w:t>
      </w:r>
      <w:r w:rsidRPr="0025309F">
        <w:rPr>
          <w:rFonts w:ascii="Times New Roman" w:hAnsi="Times New Roman"/>
          <w:spacing w:val="4"/>
          <w:sz w:val="24"/>
          <w:szCs w:val="24"/>
        </w:rPr>
        <w:t>201</w:t>
      </w:r>
      <w:r>
        <w:rPr>
          <w:rFonts w:ascii="Times New Roman" w:hAnsi="Times New Roman"/>
          <w:spacing w:val="4"/>
          <w:sz w:val="24"/>
          <w:szCs w:val="24"/>
        </w:rPr>
        <w:t>3</w:t>
      </w:r>
      <w:r w:rsidRPr="0025309F">
        <w:rPr>
          <w:rFonts w:ascii="Times New Roman" w:hAnsi="Times New Roman"/>
          <w:spacing w:val="4"/>
          <w:sz w:val="24"/>
          <w:szCs w:val="24"/>
        </w:rPr>
        <w:t xml:space="preserve"> года. </w:t>
      </w:r>
    </w:p>
    <w:p w:rsidR="00DA2344" w:rsidRPr="0025309F" w:rsidRDefault="00DA2344" w:rsidP="00DA2344">
      <w:pPr>
        <w:spacing w:after="0" w:line="240" w:lineRule="auto"/>
        <w:ind w:firstLine="709"/>
        <w:jc w:val="both"/>
        <w:rPr>
          <w:rFonts w:ascii="Times New Roman" w:hAnsi="Times New Roman"/>
          <w:spacing w:val="6"/>
          <w:sz w:val="24"/>
          <w:szCs w:val="24"/>
        </w:rPr>
      </w:pPr>
      <w:r w:rsidRPr="0025309F">
        <w:rPr>
          <w:rFonts w:ascii="Times New Roman" w:hAnsi="Times New Roman"/>
          <w:spacing w:val="1"/>
          <w:sz w:val="24"/>
          <w:szCs w:val="24"/>
        </w:rPr>
        <w:t xml:space="preserve">По организациям всех форм собственности </w:t>
      </w:r>
      <w:r w:rsidRPr="0025309F">
        <w:rPr>
          <w:rFonts w:ascii="Times New Roman" w:hAnsi="Times New Roman"/>
          <w:spacing w:val="4"/>
          <w:sz w:val="24"/>
          <w:szCs w:val="24"/>
        </w:rPr>
        <w:t>(кроме субъектов малого предпринимательства)</w:t>
      </w:r>
      <w:r w:rsidRPr="0025309F">
        <w:rPr>
          <w:rFonts w:ascii="Times New Roman" w:hAnsi="Times New Roman"/>
          <w:spacing w:val="20"/>
          <w:sz w:val="24"/>
          <w:szCs w:val="24"/>
        </w:rPr>
        <w:t xml:space="preserve"> величина инвестиций в основной капитал превысила </w:t>
      </w:r>
      <w:r>
        <w:rPr>
          <w:rFonts w:ascii="Times New Roman" w:hAnsi="Times New Roman"/>
          <w:spacing w:val="20"/>
          <w:sz w:val="24"/>
          <w:szCs w:val="24"/>
        </w:rPr>
        <w:t xml:space="preserve">соответствующий </w:t>
      </w:r>
      <w:r w:rsidRPr="0025309F">
        <w:rPr>
          <w:rFonts w:ascii="Times New Roman" w:hAnsi="Times New Roman"/>
          <w:spacing w:val="20"/>
          <w:sz w:val="24"/>
          <w:szCs w:val="24"/>
        </w:rPr>
        <w:t xml:space="preserve">показатель прошлого года на </w:t>
      </w:r>
      <w:r>
        <w:rPr>
          <w:rFonts w:ascii="Times New Roman" w:hAnsi="Times New Roman"/>
          <w:spacing w:val="20"/>
          <w:sz w:val="24"/>
          <w:szCs w:val="24"/>
        </w:rPr>
        <w:t>1,4</w:t>
      </w:r>
      <w:r w:rsidRPr="0025309F">
        <w:rPr>
          <w:rFonts w:ascii="Times New Roman" w:hAnsi="Times New Roman"/>
          <w:spacing w:val="20"/>
          <w:sz w:val="24"/>
          <w:szCs w:val="24"/>
        </w:rPr>
        <w:t xml:space="preserve">% и </w:t>
      </w:r>
      <w:r w:rsidRPr="0025309F">
        <w:rPr>
          <w:rFonts w:ascii="Times New Roman" w:hAnsi="Times New Roman"/>
          <w:spacing w:val="1"/>
          <w:sz w:val="24"/>
          <w:szCs w:val="24"/>
        </w:rPr>
        <w:t xml:space="preserve">сложилась в размере </w:t>
      </w:r>
      <w:r>
        <w:rPr>
          <w:rFonts w:ascii="Times New Roman" w:hAnsi="Times New Roman"/>
          <w:spacing w:val="1"/>
          <w:sz w:val="24"/>
          <w:szCs w:val="24"/>
        </w:rPr>
        <w:t>629,7</w:t>
      </w:r>
      <w:r w:rsidRPr="0025309F">
        <w:rPr>
          <w:rFonts w:ascii="Times New Roman" w:hAnsi="Times New Roman"/>
          <w:spacing w:val="4"/>
          <w:sz w:val="24"/>
          <w:szCs w:val="24"/>
        </w:rPr>
        <w:t xml:space="preserve"> </w:t>
      </w:r>
      <w:r w:rsidRPr="0025309F">
        <w:rPr>
          <w:rFonts w:ascii="Times New Roman" w:hAnsi="Times New Roman"/>
          <w:spacing w:val="6"/>
          <w:sz w:val="24"/>
          <w:szCs w:val="24"/>
        </w:rPr>
        <w:t>млн. руб. (в текущих ценах).</w:t>
      </w:r>
    </w:p>
    <w:p w:rsidR="00DA2344" w:rsidRDefault="00DA2344" w:rsidP="00DA2344">
      <w:pPr>
        <w:tabs>
          <w:tab w:val="left" w:pos="9639"/>
        </w:tabs>
        <w:spacing w:after="0" w:line="240" w:lineRule="auto"/>
        <w:ind w:firstLine="709"/>
        <w:jc w:val="both"/>
        <w:rPr>
          <w:rFonts w:ascii="Times New Roman" w:hAnsi="Times New Roman"/>
          <w:spacing w:val="6"/>
          <w:sz w:val="24"/>
          <w:szCs w:val="24"/>
        </w:rPr>
      </w:pPr>
      <w:r w:rsidRPr="0025309F">
        <w:rPr>
          <w:rFonts w:ascii="Times New Roman" w:hAnsi="Times New Roman"/>
          <w:spacing w:val="6"/>
          <w:sz w:val="24"/>
          <w:szCs w:val="24"/>
        </w:rPr>
        <w:t xml:space="preserve">В технологической структуре в </w:t>
      </w:r>
      <w:r>
        <w:rPr>
          <w:rFonts w:ascii="Times New Roman" w:hAnsi="Times New Roman"/>
          <w:spacing w:val="6"/>
          <w:sz w:val="24"/>
          <w:szCs w:val="24"/>
        </w:rPr>
        <w:t>январе-июне 2014 года</w:t>
      </w:r>
      <w:r w:rsidRPr="0025309F">
        <w:rPr>
          <w:rFonts w:ascii="Times New Roman" w:hAnsi="Times New Roman"/>
          <w:spacing w:val="6"/>
          <w:sz w:val="24"/>
          <w:szCs w:val="24"/>
        </w:rPr>
        <w:t xml:space="preserve"> отмеча</w:t>
      </w:r>
      <w:r>
        <w:rPr>
          <w:rFonts w:ascii="Times New Roman" w:hAnsi="Times New Roman"/>
          <w:spacing w:val="6"/>
          <w:sz w:val="24"/>
          <w:szCs w:val="24"/>
        </w:rPr>
        <w:t>лось</w:t>
      </w:r>
      <w:r w:rsidRPr="0025309F">
        <w:rPr>
          <w:rFonts w:ascii="Times New Roman" w:hAnsi="Times New Roman"/>
          <w:spacing w:val="6"/>
          <w:sz w:val="24"/>
          <w:szCs w:val="24"/>
        </w:rPr>
        <w:t xml:space="preserve"> увеличение инвестиционных вложений в строительно-монтажные работы (+</w:t>
      </w:r>
      <w:r>
        <w:rPr>
          <w:rFonts w:ascii="Times New Roman" w:hAnsi="Times New Roman"/>
          <w:spacing w:val="6"/>
          <w:sz w:val="24"/>
          <w:szCs w:val="24"/>
        </w:rPr>
        <w:t>42,2</w:t>
      </w:r>
      <w:r w:rsidRPr="0025309F">
        <w:rPr>
          <w:rFonts w:ascii="Times New Roman" w:hAnsi="Times New Roman"/>
          <w:spacing w:val="6"/>
          <w:sz w:val="24"/>
          <w:szCs w:val="24"/>
        </w:rPr>
        <w:t>%)</w:t>
      </w:r>
      <w:r>
        <w:rPr>
          <w:rFonts w:ascii="Times New Roman" w:hAnsi="Times New Roman"/>
          <w:spacing w:val="6"/>
          <w:sz w:val="24"/>
          <w:szCs w:val="24"/>
        </w:rPr>
        <w:t xml:space="preserve"> и сокращение в </w:t>
      </w:r>
      <w:r w:rsidRPr="0025309F">
        <w:rPr>
          <w:rFonts w:ascii="Times New Roman" w:hAnsi="Times New Roman"/>
          <w:spacing w:val="6"/>
          <w:sz w:val="24"/>
          <w:szCs w:val="24"/>
        </w:rPr>
        <w:t xml:space="preserve">обновление машин, оборудования, транспортных средств, инструмента, инвентаря </w:t>
      </w:r>
      <w:r>
        <w:rPr>
          <w:rFonts w:ascii="Times New Roman" w:hAnsi="Times New Roman"/>
          <w:spacing w:val="6"/>
          <w:sz w:val="24"/>
          <w:szCs w:val="24"/>
        </w:rPr>
        <w:t xml:space="preserve">снижение </w:t>
      </w:r>
      <w:r w:rsidRPr="0025309F">
        <w:rPr>
          <w:rFonts w:ascii="Times New Roman" w:hAnsi="Times New Roman"/>
          <w:spacing w:val="6"/>
          <w:sz w:val="24"/>
          <w:szCs w:val="24"/>
        </w:rPr>
        <w:t>(</w:t>
      </w:r>
      <w:r>
        <w:rPr>
          <w:rFonts w:ascii="Times New Roman" w:hAnsi="Times New Roman"/>
          <w:spacing w:val="6"/>
          <w:sz w:val="24"/>
          <w:szCs w:val="24"/>
        </w:rPr>
        <w:t>-13,2%</w:t>
      </w:r>
      <w:r w:rsidRPr="0025309F">
        <w:rPr>
          <w:rFonts w:ascii="Times New Roman" w:hAnsi="Times New Roman"/>
          <w:spacing w:val="6"/>
          <w:sz w:val="24"/>
          <w:szCs w:val="24"/>
        </w:rPr>
        <w:t xml:space="preserve">), при </w:t>
      </w:r>
      <w:r>
        <w:rPr>
          <w:rFonts w:ascii="Times New Roman" w:hAnsi="Times New Roman"/>
          <w:spacing w:val="6"/>
          <w:sz w:val="24"/>
          <w:szCs w:val="24"/>
        </w:rPr>
        <w:t>соответствующем расширении долевого участия в общем объёме инвестиций на 11,8</w:t>
      </w:r>
      <w:r w:rsidRPr="0025309F">
        <w:rPr>
          <w:rFonts w:ascii="Times New Roman" w:hAnsi="Times New Roman"/>
          <w:spacing w:val="6"/>
          <w:sz w:val="24"/>
          <w:szCs w:val="24"/>
        </w:rPr>
        <w:t xml:space="preserve"> </w:t>
      </w:r>
      <w:r>
        <w:rPr>
          <w:rFonts w:ascii="Times New Roman" w:hAnsi="Times New Roman"/>
          <w:spacing w:val="6"/>
          <w:sz w:val="24"/>
          <w:szCs w:val="24"/>
        </w:rPr>
        <w:t xml:space="preserve">процентных пункта </w:t>
      </w:r>
      <w:r w:rsidRPr="0025309F">
        <w:rPr>
          <w:rFonts w:ascii="Times New Roman" w:hAnsi="Times New Roman"/>
          <w:spacing w:val="6"/>
          <w:sz w:val="24"/>
          <w:szCs w:val="24"/>
        </w:rPr>
        <w:t xml:space="preserve">и </w:t>
      </w:r>
      <w:r>
        <w:rPr>
          <w:rFonts w:ascii="Times New Roman" w:hAnsi="Times New Roman"/>
          <w:spacing w:val="6"/>
          <w:sz w:val="24"/>
          <w:szCs w:val="24"/>
        </w:rPr>
        <w:t>сужения на 8,0</w:t>
      </w:r>
      <w:r w:rsidRPr="0025309F">
        <w:rPr>
          <w:rFonts w:ascii="Times New Roman" w:hAnsi="Times New Roman"/>
          <w:spacing w:val="6"/>
          <w:sz w:val="24"/>
          <w:szCs w:val="24"/>
        </w:rPr>
        <w:t xml:space="preserve"> процентных пункта к </w:t>
      </w:r>
      <w:r>
        <w:rPr>
          <w:rFonts w:ascii="Times New Roman" w:hAnsi="Times New Roman"/>
          <w:spacing w:val="6"/>
          <w:sz w:val="24"/>
          <w:szCs w:val="24"/>
        </w:rPr>
        <w:t>аналогичному периоду 2013</w:t>
      </w:r>
      <w:r w:rsidRPr="0025309F">
        <w:rPr>
          <w:rFonts w:ascii="Times New Roman" w:hAnsi="Times New Roman"/>
          <w:spacing w:val="6"/>
          <w:sz w:val="24"/>
          <w:szCs w:val="24"/>
        </w:rPr>
        <w:t xml:space="preserve"> года.</w:t>
      </w:r>
    </w:p>
    <w:p w:rsidR="00DA2344" w:rsidRDefault="00DA2344" w:rsidP="00DA2344">
      <w:pPr>
        <w:spacing w:after="0" w:line="240" w:lineRule="auto"/>
        <w:ind w:hanging="993"/>
        <w:jc w:val="both"/>
        <w:rPr>
          <w:rFonts w:ascii="Times New Roman" w:hAnsi="Times New Roman"/>
          <w:b/>
          <w:sz w:val="20"/>
          <w:szCs w:val="20"/>
        </w:rPr>
      </w:pPr>
    </w:p>
    <w:p w:rsidR="00DA2344" w:rsidRPr="00A90FE1" w:rsidRDefault="00DA2344" w:rsidP="00DA2344">
      <w:pPr>
        <w:spacing w:after="0" w:line="240" w:lineRule="auto"/>
        <w:ind w:hanging="993"/>
        <w:jc w:val="both"/>
        <w:rPr>
          <w:rFonts w:ascii="Times New Roman" w:hAnsi="Times New Roman"/>
          <w:b/>
          <w:sz w:val="20"/>
          <w:szCs w:val="20"/>
        </w:rPr>
      </w:pPr>
      <w:r>
        <w:rPr>
          <w:rFonts w:ascii="Times New Roman" w:hAnsi="Times New Roman"/>
          <w:b/>
          <w:sz w:val="20"/>
          <w:szCs w:val="20"/>
        </w:rPr>
        <w:t xml:space="preserve">         </w:t>
      </w:r>
      <w:r w:rsidRPr="00A90FE1">
        <w:rPr>
          <w:rFonts w:ascii="Times New Roman" w:hAnsi="Times New Roman"/>
          <w:b/>
          <w:sz w:val="20"/>
          <w:szCs w:val="20"/>
        </w:rPr>
        <w:t>Инвестиции в основной капитал, млн. руб.</w:t>
      </w:r>
    </w:p>
    <w:p w:rsidR="00DA2344" w:rsidRDefault="00DA2344" w:rsidP="00DA2344">
      <w:pPr>
        <w:pStyle w:val="31"/>
        <w:tabs>
          <w:tab w:val="right" w:pos="9354"/>
        </w:tabs>
        <w:spacing w:after="0"/>
        <w:ind w:left="0" w:hanging="567"/>
        <w:jc w:val="both"/>
        <w:rPr>
          <w:rFonts w:ascii="Times New Roman" w:hAnsi="Times New Roman"/>
          <w:sz w:val="24"/>
          <w:szCs w:val="24"/>
        </w:rPr>
      </w:pPr>
      <w:r w:rsidRPr="00A90FE1">
        <w:rPr>
          <w:rFonts w:ascii="Times New Roman" w:hAnsi="Times New Roman"/>
          <w:sz w:val="20"/>
          <w:szCs w:val="20"/>
        </w:rPr>
        <w:t>(без субъектов малого предпринимательства</w:t>
      </w:r>
      <w:r w:rsidRPr="00332793">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ab/>
      </w:r>
    </w:p>
    <w:tbl>
      <w:tblPr>
        <w:tblpPr w:leftFromText="180" w:rightFromText="180" w:vertAnchor="text" w:tblpX="-885" w:tblpY="1"/>
        <w:tblOverlap w:val="never"/>
        <w:tblW w:w="5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6"/>
        <w:gridCol w:w="851"/>
        <w:gridCol w:w="850"/>
        <w:gridCol w:w="851"/>
        <w:gridCol w:w="851"/>
      </w:tblGrid>
      <w:tr w:rsidR="00DA2344" w:rsidRPr="00322506" w:rsidTr="00DA2344">
        <w:tc>
          <w:tcPr>
            <w:tcW w:w="1986" w:type="dxa"/>
            <w:vMerge w:val="restart"/>
            <w:vAlign w:val="center"/>
          </w:tcPr>
          <w:p w:rsidR="00DA2344" w:rsidRPr="00322506" w:rsidRDefault="00DA2344" w:rsidP="00DA2344">
            <w:pPr>
              <w:spacing w:after="0" w:line="240" w:lineRule="auto"/>
              <w:ind w:left="-534" w:firstLine="392"/>
              <w:jc w:val="center"/>
              <w:rPr>
                <w:rFonts w:ascii="Times New Roman" w:hAnsi="Times New Roman"/>
                <w:b/>
                <w:sz w:val="18"/>
                <w:szCs w:val="18"/>
              </w:rPr>
            </w:pPr>
            <w:r>
              <w:rPr>
                <w:rFonts w:ascii="Times New Roman" w:hAnsi="Times New Roman"/>
                <w:b/>
                <w:spacing w:val="2"/>
                <w:sz w:val="18"/>
                <w:szCs w:val="18"/>
              </w:rPr>
              <w:t>Показатели</w:t>
            </w:r>
          </w:p>
        </w:tc>
        <w:tc>
          <w:tcPr>
            <w:tcW w:w="851" w:type="dxa"/>
            <w:vMerge w:val="restart"/>
            <w:vAlign w:val="center"/>
          </w:tcPr>
          <w:p w:rsidR="00DA2344" w:rsidRDefault="00DA2344" w:rsidP="00DA2344">
            <w:pPr>
              <w:spacing w:after="0" w:line="240" w:lineRule="auto"/>
              <w:ind w:left="-108"/>
              <w:jc w:val="center"/>
              <w:rPr>
                <w:rFonts w:ascii="Times New Roman" w:hAnsi="Times New Roman"/>
                <w:b/>
                <w:sz w:val="18"/>
                <w:szCs w:val="18"/>
              </w:rPr>
            </w:pPr>
          </w:p>
          <w:p w:rsidR="00DA2344" w:rsidRPr="00322506" w:rsidRDefault="00DA2344" w:rsidP="00DA2344">
            <w:pPr>
              <w:spacing w:after="0" w:line="240" w:lineRule="auto"/>
              <w:ind w:left="-108"/>
              <w:jc w:val="center"/>
              <w:rPr>
                <w:rFonts w:ascii="Times New Roman" w:hAnsi="Times New Roman"/>
                <w:b/>
                <w:sz w:val="18"/>
                <w:szCs w:val="18"/>
              </w:rPr>
            </w:pPr>
            <w:r>
              <w:rPr>
                <w:rFonts w:ascii="Times New Roman" w:hAnsi="Times New Roman"/>
                <w:b/>
                <w:sz w:val="18"/>
                <w:szCs w:val="18"/>
              </w:rPr>
              <w:t xml:space="preserve">январь- июнь </w:t>
            </w:r>
            <w:r w:rsidRPr="00322506">
              <w:rPr>
                <w:rFonts w:ascii="Times New Roman" w:hAnsi="Times New Roman"/>
                <w:b/>
                <w:sz w:val="18"/>
                <w:szCs w:val="18"/>
              </w:rPr>
              <w:t>201</w:t>
            </w:r>
            <w:r>
              <w:rPr>
                <w:rFonts w:ascii="Times New Roman" w:hAnsi="Times New Roman"/>
                <w:b/>
                <w:sz w:val="18"/>
                <w:szCs w:val="18"/>
              </w:rPr>
              <w:t>3</w:t>
            </w:r>
            <w:r w:rsidRPr="00322506">
              <w:rPr>
                <w:rFonts w:ascii="Times New Roman" w:hAnsi="Times New Roman"/>
                <w:b/>
                <w:sz w:val="18"/>
                <w:szCs w:val="18"/>
              </w:rPr>
              <w:t xml:space="preserve"> </w:t>
            </w:r>
            <w:r>
              <w:rPr>
                <w:rFonts w:ascii="Times New Roman" w:hAnsi="Times New Roman"/>
                <w:b/>
                <w:sz w:val="18"/>
                <w:szCs w:val="18"/>
              </w:rPr>
              <w:t>г.</w:t>
            </w:r>
          </w:p>
          <w:p w:rsidR="00DA2344" w:rsidRPr="00322506" w:rsidRDefault="00DA2344" w:rsidP="00DA2344">
            <w:pPr>
              <w:spacing w:after="0" w:line="240" w:lineRule="auto"/>
              <w:jc w:val="center"/>
              <w:rPr>
                <w:rFonts w:ascii="Times New Roman" w:hAnsi="Times New Roman"/>
                <w:b/>
                <w:sz w:val="18"/>
                <w:szCs w:val="18"/>
              </w:rPr>
            </w:pPr>
          </w:p>
        </w:tc>
        <w:tc>
          <w:tcPr>
            <w:tcW w:w="850" w:type="dxa"/>
            <w:vMerge w:val="restart"/>
            <w:vAlign w:val="center"/>
          </w:tcPr>
          <w:p w:rsidR="00DA2344" w:rsidRPr="00322506" w:rsidRDefault="00DA2344" w:rsidP="00DA2344">
            <w:pPr>
              <w:spacing w:after="0" w:line="240" w:lineRule="auto"/>
              <w:jc w:val="center"/>
              <w:rPr>
                <w:rFonts w:ascii="Times New Roman" w:hAnsi="Times New Roman"/>
                <w:b/>
                <w:sz w:val="18"/>
                <w:szCs w:val="18"/>
              </w:rPr>
            </w:pPr>
            <w:r>
              <w:rPr>
                <w:rFonts w:ascii="Times New Roman" w:hAnsi="Times New Roman"/>
                <w:b/>
                <w:sz w:val="18"/>
                <w:szCs w:val="18"/>
              </w:rPr>
              <w:t>январь-июнь 2014 г.</w:t>
            </w:r>
          </w:p>
        </w:tc>
        <w:tc>
          <w:tcPr>
            <w:tcW w:w="1702" w:type="dxa"/>
            <w:gridSpan w:val="2"/>
            <w:vAlign w:val="center"/>
          </w:tcPr>
          <w:p w:rsidR="00DA2344" w:rsidRPr="00322506" w:rsidRDefault="00DA2344" w:rsidP="00DA2344">
            <w:pPr>
              <w:tabs>
                <w:tab w:val="left" w:pos="33"/>
              </w:tabs>
              <w:spacing w:after="0" w:line="240" w:lineRule="auto"/>
              <w:ind w:left="-420" w:firstLine="420"/>
              <w:jc w:val="center"/>
              <w:rPr>
                <w:rFonts w:ascii="Times New Roman" w:hAnsi="Times New Roman"/>
                <w:b/>
                <w:bCs/>
                <w:sz w:val="18"/>
                <w:szCs w:val="18"/>
              </w:rPr>
            </w:pPr>
            <w:r w:rsidRPr="00322506">
              <w:rPr>
                <w:rFonts w:ascii="Times New Roman" w:hAnsi="Times New Roman"/>
                <w:b/>
                <w:bCs/>
                <w:sz w:val="18"/>
                <w:szCs w:val="18"/>
              </w:rPr>
              <w:t>Темп роста</w:t>
            </w:r>
          </w:p>
          <w:p w:rsidR="00DA2344" w:rsidRPr="00322506" w:rsidRDefault="00DA2344" w:rsidP="00DA2344">
            <w:pPr>
              <w:spacing w:after="0" w:line="240" w:lineRule="auto"/>
              <w:ind w:left="-420" w:firstLine="420"/>
              <w:jc w:val="center"/>
              <w:rPr>
                <w:rFonts w:ascii="Times New Roman" w:hAnsi="Times New Roman"/>
                <w:b/>
                <w:sz w:val="18"/>
                <w:szCs w:val="18"/>
              </w:rPr>
            </w:pPr>
            <w:r w:rsidRPr="00322506">
              <w:rPr>
                <w:rFonts w:ascii="Times New Roman" w:hAnsi="Times New Roman"/>
                <w:b/>
                <w:bCs/>
                <w:sz w:val="18"/>
                <w:szCs w:val="18"/>
              </w:rPr>
              <w:t xml:space="preserve">к </w:t>
            </w:r>
            <w:r>
              <w:rPr>
                <w:rFonts w:ascii="Times New Roman" w:hAnsi="Times New Roman"/>
                <w:b/>
                <w:bCs/>
                <w:sz w:val="18"/>
                <w:szCs w:val="18"/>
              </w:rPr>
              <w:t xml:space="preserve">январю-июню     </w:t>
            </w:r>
            <w:r w:rsidRPr="00322506">
              <w:rPr>
                <w:rFonts w:ascii="Times New Roman" w:hAnsi="Times New Roman"/>
                <w:b/>
                <w:bCs/>
                <w:sz w:val="18"/>
                <w:szCs w:val="18"/>
              </w:rPr>
              <w:t>201</w:t>
            </w:r>
            <w:r>
              <w:rPr>
                <w:rFonts w:ascii="Times New Roman" w:hAnsi="Times New Roman"/>
                <w:b/>
                <w:bCs/>
                <w:sz w:val="18"/>
                <w:szCs w:val="18"/>
              </w:rPr>
              <w:t>3</w:t>
            </w:r>
            <w:r w:rsidRPr="00322506">
              <w:rPr>
                <w:rFonts w:ascii="Times New Roman" w:hAnsi="Times New Roman"/>
                <w:b/>
                <w:bCs/>
                <w:sz w:val="18"/>
                <w:szCs w:val="18"/>
              </w:rPr>
              <w:t xml:space="preserve"> г.</w:t>
            </w:r>
            <w:r>
              <w:rPr>
                <w:rFonts w:ascii="Times New Roman" w:hAnsi="Times New Roman"/>
                <w:b/>
                <w:bCs/>
                <w:sz w:val="18"/>
                <w:szCs w:val="18"/>
              </w:rPr>
              <w:t>, %*</w:t>
            </w:r>
          </w:p>
        </w:tc>
      </w:tr>
      <w:tr w:rsidR="00DA2344" w:rsidRPr="00322506" w:rsidTr="00DA2344">
        <w:trPr>
          <w:trHeight w:val="517"/>
        </w:trPr>
        <w:tc>
          <w:tcPr>
            <w:tcW w:w="1986" w:type="dxa"/>
            <w:vMerge/>
            <w:vAlign w:val="center"/>
          </w:tcPr>
          <w:p w:rsidR="00DA2344" w:rsidRPr="00322506" w:rsidRDefault="00DA2344" w:rsidP="00DA2344">
            <w:pPr>
              <w:spacing w:after="0" w:line="240" w:lineRule="auto"/>
              <w:rPr>
                <w:rFonts w:ascii="Times New Roman" w:hAnsi="Times New Roman"/>
                <w:b/>
                <w:sz w:val="18"/>
                <w:szCs w:val="18"/>
              </w:rPr>
            </w:pPr>
          </w:p>
        </w:tc>
        <w:tc>
          <w:tcPr>
            <w:tcW w:w="851" w:type="dxa"/>
            <w:vMerge/>
            <w:vAlign w:val="center"/>
          </w:tcPr>
          <w:p w:rsidR="00DA2344" w:rsidRPr="00322506" w:rsidRDefault="00DA2344" w:rsidP="00DA2344">
            <w:pPr>
              <w:spacing w:after="0" w:line="240" w:lineRule="auto"/>
              <w:ind w:left="-464"/>
              <w:jc w:val="center"/>
              <w:rPr>
                <w:rFonts w:ascii="Times New Roman" w:hAnsi="Times New Roman"/>
                <w:b/>
                <w:sz w:val="18"/>
                <w:szCs w:val="18"/>
              </w:rPr>
            </w:pPr>
          </w:p>
        </w:tc>
        <w:tc>
          <w:tcPr>
            <w:tcW w:w="850" w:type="dxa"/>
            <w:vMerge/>
            <w:vAlign w:val="center"/>
          </w:tcPr>
          <w:p w:rsidR="00DA2344" w:rsidRPr="00322506" w:rsidRDefault="00DA2344" w:rsidP="00DA2344">
            <w:pPr>
              <w:spacing w:after="0" w:line="240" w:lineRule="auto"/>
              <w:rPr>
                <w:rFonts w:ascii="Times New Roman" w:hAnsi="Times New Roman"/>
                <w:b/>
                <w:sz w:val="18"/>
                <w:szCs w:val="18"/>
              </w:rPr>
            </w:pPr>
          </w:p>
        </w:tc>
        <w:tc>
          <w:tcPr>
            <w:tcW w:w="851" w:type="dxa"/>
            <w:vAlign w:val="center"/>
          </w:tcPr>
          <w:p w:rsidR="00DA2344" w:rsidRPr="00322506" w:rsidRDefault="00DA2344" w:rsidP="00DA2344">
            <w:pPr>
              <w:spacing w:after="0" w:line="240" w:lineRule="auto"/>
              <w:ind w:right="-108"/>
              <w:jc w:val="center"/>
              <w:rPr>
                <w:rFonts w:ascii="Times New Roman" w:hAnsi="Times New Roman"/>
                <w:b/>
                <w:bCs/>
                <w:sz w:val="18"/>
                <w:szCs w:val="18"/>
              </w:rPr>
            </w:pPr>
            <w:r w:rsidRPr="00322506">
              <w:rPr>
                <w:rFonts w:ascii="Times New Roman" w:hAnsi="Times New Roman"/>
                <w:b/>
                <w:bCs/>
                <w:sz w:val="18"/>
                <w:szCs w:val="18"/>
              </w:rPr>
              <w:t>в теку</w:t>
            </w:r>
          </w:p>
          <w:p w:rsidR="00DA2344" w:rsidRPr="00322506" w:rsidRDefault="00DA2344" w:rsidP="00DA2344">
            <w:pPr>
              <w:spacing w:after="0" w:line="240" w:lineRule="auto"/>
              <w:ind w:right="-108"/>
              <w:jc w:val="center"/>
              <w:rPr>
                <w:rFonts w:ascii="Times New Roman" w:hAnsi="Times New Roman"/>
                <w:b/>
                <w:bCs/>
                <w:sz w:val="18"/>
                <w:szCs w:val="18"/>
              </w:rPr>
            </w:pPr>
            <w:r w:rsidRPr="00322506">
              <w:rPr>
                <w:rFonts w:ascii="Times New Roman" w:hAnsi="Times New Roman"/>
                <w:b/>
                <w:bCs/>
                <w:sz w:val="18"/>
                <w:szCs w:val="18"/>
              </w:rPr>
              <w:t>щих</w:t>
            </w:r>
          </w:p>
          <w:p w:rsidR="00DA2344" w:rsidRPr="00322506" w:rsidRDefault="00DA2344" w:rsidP="00DA2344">
            <w:pPr>
              <w:spacing w:line="240" w:lineRule="auto"/>
              <w:jc w:val="center"/>
              <w:rPr>
                <w:rFonts w:ascii="Times New Roman" w:hAnsi="Times New Roman"/>
                <w:b/>
                <w:sz w:val="18"/>
                <w:szCs w:val="18"/>
              </w:rPr>
            </w:pPr>
            <w:r w:rsidRPr="00322506">
              <w:rPr>
                <w:rFonts w:ascii="Times New Roman" w:hAnsi="Times New Roman"/>
                <w:b/>
                <w:bCs/>
                <w:sz w:val="18"/>
                <w:szCs w:val="18"/>
              </w:rPr>
              <w:t>ценах</w:t>
            </w:r>
          </w:p>
        </w:tc>
        <w:tc>
          <w:tcPr>
            <w:tcW w:w="851" w:type="dxa"/>
            <w:vAlign w:val="center"/>
          </w:tcPr>
          <w:p w:rsidR="00DA2344" w:rsidRPr="00322506" w:rsidRDefault="00DA2344" w:rsidP="00DA2344">
            <w:pPr>
              <w:spacing w:after="0" w:line="240" w:lineRule="auto"/>
              <w:jc w:val="center"/>
              <w:rPr>
                <w:rFonts w:ascii="Times New Roman" w:hAnsi="Times New Roman"/>
                <w:b/>
                <w:sz w:val="18"/>
                <w:szCs w:val="18"/>
              </w:rPr>
            </w:pPr>
            <w:r w:rsidRPr="00322506">
              <w:rPr>
                <w:rFonts w:ascii="Times New Roman" w:hAnsi="Times New Roman"/>
                <w:b/>
                <w:bCs/>
                <w:sz w:val="18"/>
                <w:szCs w:val="18"/>
              </w:rPr>
              <w:t>в сопоставимой оценке</w:t>
            </w:r>
          </w:p>
        </w:tc>
      </w:tr>
      <w:tr w:rsidR="00DA2344" w:rsidRPr="00322506" w:rsidTr="00DA2344">
        <w:tc>
          <w:tcPr>
            <w:tcW w:w="1986" w:type="dxa"/>
            <w:vAlign w:val="center"/>
          </w:tcPr>
          <w:p w:rsidR="00DA2344" w:rsidRPr="00322506" w:rsidRDefault="00DA2344" w:rsidP="00DA2344">
            <w:pPr>
              <w:spacing w:after="0" w:line="240" w:lineRule="auto"/>
              <w:rPr>
                <w:rFonts w:ascii="Times New Roman" w:hAnsi="Times New Roman"/>
                <w:sz w:val="18"/>
                <w:szCs w:val="18"/>
              </w:rPr>
            </w:pPr>
            <w:r w:rsidRPr="00322506">
              <w:rPr>
                <w:rFonts w:ascii="Times New Roman" w:hAnsi="Times New Roman"/>
                <w:b/>
                <w:sz w:val="18"/>
                <w:szCs w:val="18"/>
              </w:rPr>
              <w:t>Инвестиции в основной капитал</w:t>
            </w:r>
            <w:r w:rsidRPr="00322506">
              <w:rPr>
                <w:rFonts w:ascii="Times New Roman" w:hAnsi="Times New Roman"/>
                <w:sz w:val="18"/>
                <w:szCs w:val="18"/>
              </w:rPr>
              <w:t xml:space="preserve"> (в части новых и приобретенных по импорту основных средств) – всего</w:t>
            </w:r>
          </w:p>
        </w:tc>
        <w:tc>
          <w:tcPr>
            <w:tcW w:w="851" w:type="dxa"/>
            <w:vAlign w:val="center"/>
          </w:tcPr>
          <w:p w:rsidR="00DA2344" w:rsidRPr="00322506" w:rsidRDefault="00DA2344" w:rsidP="00DA2344">
            <w:pPr>
              <w:spacing w:after="0" w:line="240" w:lineRule="auto"/>
              <w:jc w:val="center"/>
              <w:rPr>
                <w:rFonts w:ascii="Times New Roman" w:hAnsi="Times New Roman"/>
                <w:b/>
                <w:sz w:val="18"/>
                <w:szCs w:val="18"/>
              </w:rPr>
            </w:pPr>
            <w:r>
              <w:rPr>
                <w:rFonts w:ascii="Times New Roman" w:hAnsi="Times New Roman"/>
                <w:b/>
                <w:sz w:val="18"/>
                <w:szCs w:val="18"/>
              </w:rPr>
              <w:t>565,3</w:t>
            </w:r>
          </w:p>
        </w:tc>
        <w:tc>
          <w:tcPr>
            <w:tcW w:w="850" w:type="dxa"/>
            <w:vAlign w:val="center"/>
          </w:tcPr>
          <w:p w:rsidR="00DA2344" w:rsidRPr="00322506" w:rsidRDefault="00DA2344" w:rsidP="00DA2344">
            <w:pPr>
              <w:spacing w:after="0" w:line="240" w:lineRule="auto"/>
              <w:jc w:val="center"/>
              <w:rPr>
                <w:rFonts w:ascii="Times New Roman" w:hAnsi="Times New Roman"/>
                <w:b/>
                <w:sz w:val="18"/>
                <w:szCs w:val="18"/>
              </w:rPr>
            </w:pPr>
            <w:r>
              <w:rPr>
                <w:rFonts w:ascii="Times New Roman" w:hAnsi="Times New Roman"/>
                <w:b/>
                <w:sz w:val="18"/>
                <w:szCs w:val="18"/>
              </w:rPr>
              <w:t>629,7</w:t>
            </w:r>
          </w:p>
        </w:tc>
        <w:tc>
          <w:tcPr>
            <w:tcW w:w="851" w:type="dxa"/>
            <w:vAlign w:val="center"/>
          </w:tcPr>
          <w:p w:rsidR="00DA2344" w:rsidRPr="00322506" w:rsidRDefault="00DA2344" w:rsidP="00DA2344">
            <w:pPr>
              <w:spacing w:after="0" w:line="240" w:lineRule="auto"/>
              <w:jc w:val="center"/>
              <w:rPr>
                <w:rFonts w:ascii="Times New Roman" w:hAnsi="Times New Roman"/>
                <w:b/>
                <w:sz w:val="18"/>
                <w:szCs w:val="18"/>
              </w:rPr>
            </w:pPr>
            <w:r w:rsidRPr="00322506">
              <w:rPr>
                <w:rFonts w:ascii="Times New Roman" w:hAnsi="Times New Roman"/>
                <w:b/>
                <w:sz w:val="18"/>
                <w:szCs w:val="18"/>
              </w:rPr>
              <w:t>1</w:t>
            </w:r>
            <w:r>
              <w:rPr>
                <w:rFonts w:ascii="Times New Roman" w:hAnsi="Times New Roman"/>
                <w:b/>
                <w:sz w:val="18"/>
                <w:szCs w:val="18"/>
              </w:rPr>
              <w:t>01,4</w:t>
            </w:r>
          </w:p>
        </w:tc>
        <w:tc>
          <w:tcPr>
            <w:tcW w:w="851" w:type="dxa"/>
            <w:vAlign w:val="center"/>
          </w:tcPr>
          <w:p w:rsidR="00DA2344" w:rsidRPr="00322506" w:rsidRDefault="00DA2344" w:rsidP="00DA2344">
            <w:pPr>
              <w:spacing w:after="0" w:line="240" w:lineRule="auto"/>
              <w:jc w:val="center"/>
              <w:rPr>
                <w:rFonts w:ascii="Times New Roman" w:hAnsi="Times New Roman"/>
                <w:b/>
                <w:sz w:val="18"/>
                <w:szCs w:val="18"/>
              </w:rPr>
            </w:pPr>
            <w:r w:rsidRPr="00322506">
              <w:rPr>
                <w:rFonts w:ascii="Times New Roman" w:hAnsi="Times New Roman"/>
                <w:b/>
                <w:sz w:val="18"/>
                <w:szCs w:val="18"/>
              </w:rPr>
              <w:t>1</w:t>
            </w:r>
            <w:r>
              <w:rPr>
                <w:rFonts w:ascii="Times New Roman" w:hAnsi="Times New Roman"/>
                <w:b/>
                <w:sz w:val="18"/>
                <w:szCs w:val="18"/>
              </w:rPr>
              <w:t>05,0</w:t>
            </w:r>
          </w:p>
        </w:tc>
      </w:tr>
      <w:tr w:rsidR="00DA2344" w:rsidRPr="00322506" w:rsidTr="00DA2344">
        <w:tc>
          <w:tcPr>
            <w:tcW w:w="1986" w:type="dxa"/>
            <w:vAlign w:val="center"/>
          </w:tcPr>
          <w:p w:rsidR="00DA2344" w:rsidRPr="00322506" w:rsidRDefault="00DA2344" w:rsidP="00DA2344">
            <w:pPr>
              <w:pStyle w:val="31"/>
              <w:spacing w:after="0"/>
              <w:ind w:left="0"/>
              <w:rPr>
                <w:rFonts w:ascii="Times New Roman" w:hAnsi="Times New Roman"/>
                <w:sz w:val="18"/>
                <w:szCs w:val="18"/>
              </w:rPr>
            </w:pPr>
            <w:r w:rsidRPr="00322506">
              <w:rPr>
                <w:rFonts w:ascii="Times New Roman" w:hAnsi="Times New Roman"/>
                <w:sz w:val="18"/>
                <w:szCs w:val="18"/>
              </w:rPr>
              <w:t>из них:</w:t>
            </w:r>
          </w:p>
          <w:p w:rsidR="00DA2344" w:rsidRPr="00322506" w:rsidRDefault="00DA2344" w:rsidP="00DA2344">
            <w:pPr>
              <w:spacing w:after="0" w:line="240" w:lineRule="auto"/>
              <w:rPr>
                <w:rFonts w:ascii="Times New Roman" w:hAnsi="Times New Roman"/>
                <w:sz w:val="18"/>
                <w:szCs w:val="18"/>
              </w:rPr>
            </w:pPr>
            <w:r w:rsidRPr="00322506">
              <w:rPr>
                <w:rFonts w:ascii="Times New Roman" w:hAnsi="Times New Roman"/>
                <w:sz w:val="18"/>
                <w:szCs w:val="18"/>
              </w:rPr>
              <w:t>строительно-монтажные работы</w:t>
            </w:r>
          </w:p>
        </w:tc>
        <w:tc>
          <w:tcPr>
            <w:tcW w:w="851" w:type="dxa"/>
            <w:vAlign w:val="center"/>
          </w:tcPr>
          <w:p w:rsidR="00DA2344" w:rsidRPr="00322506" w:rsidRDefault="00DA2344" w:rsidP="00DA2344">
            <w:pPr>
              <w:spacing w:after="0" w:line="240" w:lineRule="auto"/>
              <w:jc w:val="center"/>
              <w:rPr>
                <w:rFonts w:ascii="Times New Roman" w:hAnsi="Times New Roman"/>
                <w:sz w:val="18"/>
                <w:szCs w:val="18"/>
              </w:rPr>
            </w:pPr>
            <w:r>
              <w:rPr>
                <w:rFonts w:ascii="Times New Roman" w:hAnsi="Times New Roman"/>
                <w:sz w:val="18"/>
                <w:szCs w:val="18"/>
              </w:rPr>
              <w:t>148,8</w:t>
            </w:r>
          </w:p>
        </w:tc>
        <w:tc>
          <w:tcPr>
            <w:tcW w:w="850" w:type="dxa"/>
            <w:vAlign w:val="center"/>
          </w:tcPr>
          <w:p w:rsidR="00DA2344" w:rsidRPr="00322506" w:rsidRDefault="00DA2344" w:rsidP="00DA2344">
            <w:pPr>
              <w:spacing w:after="0" w:line="240" w:lineRule="auto"/>
              <w:jc w:val="center"/>
              <w:rPr>
                <w:rFonts w:ascii="Times New Roman" w:hAnsi="Times New Roman"/>
                <w:sz w:val="18"/>
                <w:szCs w:val="18"/>
              </w:rPr>
            </w:pPr>
            <w:r>
              <w:rPr>
                <w:rFonts w:ascii="Times New Roman" w:hAnsi="Times New Roman"/>
                <w:sz w:val="18"/>
                <w:szCs w:val="18"/>
              </w:rPr>
              <w:t>240,2</w:t>
            </w:r>
          </w:p>
        </w:tc>
        <w:tc>
          <w:tcPr>
            <w:tcW w:w="851" w:type="dxa"/>
            <w:vAlign w:val="center"/>
          </w:tcPr>
          <w:p w:rsidR="00DA2344" w:rsidRPr="00322506" w:rsidRDefault="00DA2344" w:rsidP="00DA2344">
            <w:pPr>
              <w:spacing w:after="0" w:line="240" w:lineRule="auto"/>
              <w:jc w:val="center"/>
              <w:rPr>
                <w:rFonts w:ascii="Times New Roman" w:hAnsi="Times New Roman"/>
                <w:sz w:val="18"/>
                <w:szCs w:val="18"/>
              </w:rPr>
            </w:pPr>
            <w:r w:rsidRPr="00322506">
              <w:rPr>
                <w:rFonts w:ascii="Times New Roman" w:hAnsi="Times New Roman"/>
                <w:sz w:val="18"/>
                <w:szCs w:val="18"/>
              </w:rPr>
              <w:t>1</w:t>
            </w:r>
            <w:r>
              <w:rPr>
                <w:rFonts w:ascii="Times New Roman" w:hAnsi="Times New Roman"/>
                <w:sz w:val="18"/>
                <w:szCs w:val="18"/>
              </w:rPr>
              <w:t>42,2</w:t>
            </w:r>
          </w:p>
        </w:tc>
        <w:tc>
          <w:tcPr>
            <w:tcW w:w="851" w:type="dxa"/>
            <w:vAlign w:val="center"/>
          </w:tcPr>
          <w:p w:rsidR="00DA2344" w:rsidRPr="00322506" w:rsidRDefault="00DA2344" w:rsidP="00DA2344">
            <w:pPr>
              <w:spacing w:after="0" w:line="240" w:lineRule="auto"/>
              <w:jc w:val="center"/>
              <w:rPr>
                <w:rFonts w:ascii="Times New Roman" w:hAnsi="Times New Roman"/>
                <w:sz w:val="18"/>
                <w:szCs w:val="18"/>
              </w:rPr>
            </w:pPr>
            <w:r w:rsidRPr="00322506">
              <w:rPr>
                <w:rFonts w:ascii="Times New Roman" w:hAnsi="Times New Roman"/>
                <w:sz w:val="18"/>
                <w:szCs w:val="18"/>
              </w:rPr>
              <w:t>1</w:t>
            </w:r>
            <w:r>
              <w:rPr>
                <w:rFonts w:ascii="Times New Roman" w:hAnsi="Times New Roman"/>
                <w:sz w:val="18"/>
                <w:szCs w:val="18"/>
              </w:rPr>
              <w:t>61,4</w:t>
            </w:r>
          </w:p>
        </w:tc>
      </w:tr>
      <w:tr w:rsidR="00DA2344" w:rsidRPr="00322506" w:rsidTr="00DA2344">
        <w:tc>
          <w:tcPr>
            <w:tcW w:w="1986" w:type="dxa"/>
            <w:vAlign w:val="center"/>
          </w:tcPr>
          <w:p w:rsidR="00DA2344" w:rsidRPr="00322506" w:rsidRDefault="00DA2344" w:rsidP="00DA2344">
            <w:pPr>
              <w:spacing w:after="0" w:line="240" w:lineRule="auto"/>
              <w:rPr>
                <w:rFonts w:ascii="Times New Roman" w:hAnsi="Times New Roman"/>
                <w:sz w:val="18"/>
                <w:szCs w:val="18"/>
              </w:rPr>
            </w:pPr>
            <w:r w:rsidRPr="00322506">
              <w:rPr>
                <w:rFonts w:ascii="Times New Roman" w:hAnsi="Times New Roman"/>
                <w:sz w:val="18"/>
                <w:szCs w:val="18"/>
              </w:rPr>
              <w:t>машины, оборудование, транспортные средства, инструмент, инвентарь</w:t>
            </w:r>
          </w:p>
        </w:tc>
        <w:tc>
          <w:tcPr>
            <w:tcW w:w="851" w:type="dxa"/>
            <w:vAlign w:val="center"/>
          </w:tcPr>
          <w:p w:rsidR="00DA2344" w:rsidRPr="00322506" w:rsidRDefault="00DA2344" w:rsidP="00DA2344">
            <w:pPr>
              <w:spacing w:after="0" w:line="240" w:lineRule="auto"/>
              <w:jc w:val="center"/>
              <w:rPr>
                <w:rFonts w:ascii="Times New Roman" w:hAnsi="Times New Roman"/>
                <w:sz w:val="18"/>
                <w:szCs w:val="18"/>
              </w:rPr>
            </w:pPr>
            <w:r>
              <w:rPr>
                <w:rFonts w:ascii="Times New Roman" w:hAnsi="Times New Roman"/>
                <w:sz w:val="18"/>
                <w:szCs w:val="18"/>
              </w:rPr>
              <w:t>372,8</w:t>
            </w:r>
          </w:p>
        </w:tc>
        <w:tc>
          <w:tcPr>
            <w:tcW w:w="850" w:type="dxa"/>
            <w:vAlign w:val="center"/>
          </w:tcPr>
          <w:p w:rsidR="00DA2344" w:rsidRPr="00322506" w:rsidRDefault="00DA2344" w:rsidP="00DA2344">
            <w:pPr>
              <w:spacing w:after="0" w:line="240" w:lineRule="auto"/>
              <w:jc w:val="center"/>
              <w:rPr>
                <w:rFonts w:ascii="Times New Roman" w:hAnsi="Times New Roman"/>
                <w:sz w:val="18"/>
                <w:szCs w:val="18"/>
              </w:rPr>
            </w:pPr>
            <w:r>
              <w:rPr>
                <w:rFonts w:ascii="Times New Roman" w:hAnsi="Times New Roman"/>
                <w:sz w:val="18"/>
                <w:szCs w:val="18"/>
              </w:rPr>
              <w:t>364,6</w:t>
            </w:r>
          </w:p>
        </w:tc>
        <w:tc>
          <w:tcPr>
            <w:tcW w:w="851" w:type="dxa"/>
            <w:vAlign w:val="center"/>
          </w:tcPr>
          <w:p w:rsidR="00DA2344" w:rsidRPr="00322506" w:rsidRDefault="00DA2344" w:rsidP="00DA2344">
            <w:pPr>
              <w:spacing w:after="0" w:line="240" w:lineRule="auto"/>
              <w:jc w:val="center"/>
              <w:rPr>
                <w:rFonts w:ascii="Times New Roman" w:hAnsi="Times New Roman"/>
                <w:sz w:val="18"/>
                <w:szCs w:val="18"/>
              </w:rPr>
            </w:pPr>
            <w:r>
              <w:rPr>
                <w:rFonts w:ascii="Times New Roman" w:hAnsi="Times New Roman"/>
                <w:sz w:val="18"/>
                <w:szCs w:val="18"/>
              </w:rPr>
              <w:t>86,8</w:t>
            </w:r>
          </w:p>
        </w:tc>
        <w:tc>
          <w:tcPr>
            <w:tcW w:w="851" w:type="dxa"/>
            <w:vAlign w:val="center"/>
          </w:tcPr>
          <w:p w:rsidR="00DA2344" w:rsidRPr="00322506" w:rsidRDefault="00DA2344" w:rsidP="00DA2344">
            <w:pPr>
              <w:spacing w:after="0" w:line="240" w:lineRule="auto"/>
              <w:jc w:val="center"/>
              <w:rPr>
                <w:rFonts w:ascii="Times New Roman" w:hAnsi="Times New Roman"/>
                <w:sz w:val="18"/>
                <w:szCs w:val="18"/>
              </w:rPr>
            </w:pPr>
            <w:r>
              <w:rPr>
                <w:rFonts w:ascii="Times New Roman" w:hAnsi="Times New Roman"/>
                <w:sz w:val="18"/>
                <w:szCs w:val="18"/>
              </w:rPr>
              <w:t>86,8</w:t>
            </w:r>
          </w:p>
        </w:tc>
      </w:tr>
    </w:tbl>
    <w:p w:rsidR="00DA2344" w:rsidRPr="008734D7" w:rsidRDefault="00DA2344" w:rsidP="00DA2344">
      <w:pPr>
        <w:spacing w:after="0" w:line="240" w:lineRule="auto"/>
        <w:ind w:left="360" w:hanging="502"/>
        <w:rPr>
          <w:rFonts w:ascii="Times New Roman" w:hAnsi="Times New Roman"/>
          <w:spacing w:val="2"/>
          <w:sz w:val="20"/>
          <w:szCs w:val="20"/>
        </w:rPr>
      </w:pPr>
      <w:r w:rsidRPr="00BA78DB">
        <w:rPr>
          <w:rFonts w:ascii="Times New Roman" w:hAnsi="Times New Roman"/>
          <w:noProof/>
          <w:spacing w:val="2"/>
          <w:sz w:val="20"/>
          <w:szCs w:val="20"/>
        </w:rPr>
        <w:drawing>
          <wp:inline distT="0" distB="0" distL="0" distR="0">
            <wp:extent cx="3143250" cy="2933700"/>
            <wp:effectExtent l="0" t="0" r="0" b="0"/>
            <wp:docPr id="14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A2344" w:rsidRPr="0024371F" w:rsidRDefault="00DA2344" w:rsidP="00DA2344">
      <w:pPr>
        <w:spacing w:after="0" w:line="240" w:lineRule="auto"/>
        <w:ind w:hanging="851"/>
        <w:jc w:val="both"/>
        <w:rPr>
          <w:rFonts w:ascii="Times New Roman" w:hAnsi="Times New Roman"/>
          <w:spacing w:val="3"/>
          <w:sz w:val="18"/>
          <w:szCs w:val="18"/>
        </w:rPr>
      </w:pPr>
      <w:r w:rsidRPr="0024371F">
        <w:rPr>
          <w:rFonts w:ascii="Times New Roman" w:hAnsi="Times New Roman"/>
          <w:spacing w:val="3"/>
          <w:sz w:val="18"/>
          <w:szCs w:val="18"/>
        </w:rPr>
        <w:t>*темпы роста приведены к уточнённым данным</w:t>
      </w:r>
    </w:p>
    <w:p w:rsidR="00EE6B2D" w:rsidRDefault="00EE6B2D" w:rsidP="00DA2344">
      <w:pPr>
        <w:spacing w:after="0" w:line="240" w:lineRule="auto"/>
        <w:ind w:firstLine="708"/>
        <w:jc w:val="both"/>
        <w:rPr>
          <w:rFonts w:ascii="Times New Roman" w:hAnsi="Times New Roman"/>
          <w:spacing w:val="3"/>
          <w:sz w:val="24"/>
          <w:szCs w:val="24"/>
        </w:rPr>
      </w:pPr>
    </w:p>
    <w:p w:rsidR="00DA2344" w:rsidRDefault="00DA2344" w:rsidP="00DA2344">
      <w:pPr>
        <w:spacing w:after="0" w:line="240" w:lineRule="auto"/>
        <w:ind w:firstLine="708"/>
        <w:jc w:val="both"/>
        <w:rPr>
          <w:rFonts w:ascii="Times New Roman" w:hAnsi="Times New Roman"/>
          <w:spacing w:val="2"/>
          <w:sz w:val="24"/>
          <w:szCs w:val="24"/>
        </w:rPr>
      </w:pPr>
      <w:r w:rsidRPr="0025309F">
        <w:rPr>
          <w:rFonts w:ascii="Times New Roman" w:hAnsi="Times New Roman"/>
          <w:spacing w:val="3"/>
          <w:sz w:val="24"/>
          <w:szCs w:val="24"/>
        </w:rPr>
        <w:t xml:space="preserve">Строительство, реконструкция и техническое перевооружение объектов </w:t>
      </w:r>
      <w:r w:rsidRPr="0025309F">
        <w:rPr>
          <w:rFonts w:ascii="Times New Roman" w:hAnsi="Times New Roman"/>
          <w:b/>
          <w:spacing w:val="3"/>
          <w:sz w:val="24"/>
          <w:szCs w:val="24"/>
        </w:rPr>
        <w:t xml:space="preserve">производственного назначения </w:t>
      </w:r>
      <w:r w:rsidRPr="0025309F">
        <w:rPr>
          <w:rFonts w:ascii="Times New Roman" w:hAnsi="Times New Roman"/>
          <w:spacing w:val="3"/>
          <w:sz w:val="24"/>
          <w:szCs w:val="24"/>
        </w:rPr>
        <w:t xml:space="preserve">оставались основными направлениями использования инвестиционных ресурсов в </w:t>
      </w:r>
      <w:r>
        <w:rPr>
          <w:rFonts w:ascii="Times New Roman" w:hAnsi="Times New Roman"/>
          <w:spacing w:val="3"/>
          <w:sz w:val="24"/>
          <w:szCs w:val="24"/>
        </w:rPr>
        <w:t>обозначенном периоде</w:t>
      </w:r>
      <w:r w:rsidRPr="0025309F">
        <w:rPr>
          <w:rFonts w:ascii="Times New Roman" w:hAnsi="Times New Roman"/>
          <w:spacing w:val="3"/>
          <w:sz w:val="24"/>
          <w:szCs w:val="24"/>
        </w:rPr>
        <w:t xml:space="preserve">, </w:t>
      </w:r>
      <w:r>
        <w:rPr>
          <w:rFonts w:ascii="Times New Roman" w:hAnsi="Times New Roman"/>
          <w:spacing w:val="3"/>
          <w:sz w:val="24"/>
          <w:szCs w:val="24"/>
        </w:rPr>
        <w:t xml:space="preserve">объём которых расширился на 4,3%, </w:t>
      </w:r>
      <w:r w:rsidRPr="0025309F">
        <w:rPr>
          <w:rFonts w:ascii="Times New Roman" w:hAnsi="Times New Roman"/>
          <w:spacing w:val="3"/>
          <w:sz w:val="24"/>
          <w:szCs w:val="24"/>
        </w:rPr>
        <w:t>при этом их доля</w:t>
      </w:r>
      <w:r w:rsidRPr="0025309F">
        <w:rPr>
          <w:rFonts w:ascii="Times New Roman" w:hAnsi="Times New Roman"/>
          <w:spacing w:val="2"/>
          <w:sz w:val="24"/>
          <w:szCs w:val="24"/>
        </w:rPr>
        <w:t xml:space="preserve"> в совокупном объеме инвестиций</w:t>
      </w:r>
      <w:r>
        <w:rPr>
          <w:rFonts w:ascii="Times New Roman" w:hAnsi="Times New Roman"/>
          <w:spacing w:val="2"/>
          <w:sz w:val="24"/>
          <w:szCs w:val="24"/>
        </w:rPr>
        <w:t xml:space="preserve"> увеличилась на 0,3% до 87,4% против 87,1% в январе-июне 2013 года.</w:t>
      </w:r>
    </w:p>
    <w:p w:rsidR="00DA2344" w:rsidRDefault="00DA2344" w:rsidP="00DA2344">
      <w:pPr>
        <w:spacing w:after="0" w:line="240" w:lineRule="auto"/>
        <w:ind w:firstLine="708"/>
        <w:jc w:val="both"/>
        <w:rPr>
          <w:rFonts w:ascii="Times New Roman" w:hAnsi="Times New Roman"/>
          <w:spacing w:val="2"/>
          <w:sz w:val="24"/>
          <w:szCs w:val="24"/>
        </w:rPr>
      </w:pPr>
      <w:r w:rsidRPr="0025309F">
        <w:rPr>
          <w:rFonts w:ascii="Times New Roman" w:hAnsi="Times New Roman"/>
          <w:spacing w:val="3"/>
          <w:sz w:val="24"/>
          <w:szCs w:val="24"/>
        </w:rPr>
        <w:t xml:space="preserve">Сумма средств, направленных на </w:t>
      </w:r>
      <w:r>
        <w:rPr>
          <w:rFonts w:ascii="Times New Roman" w:hAnsi="Times New Roman"/>
          <w:spacing w:val="3"/>
          <w:sz w:val="24"/>
          <w:szCs w:val="24"/>
        </w:rPr>
        <w:t>обновление</w:t>
      </w:r>
      <w:r w:rsidRPr="0025309F">
        <w:rPr>
          <w:rFonts w:ascii="Times New Roman" w:hAnsi="Times New Roman"/>
          <w:spacing w:val="3"/>
          <w:sz w:val="24"/>
          <w:szCs w:val="24"/>
        </w:rPr>
        <w:t xml:space="preserve"> объектов </w:t>
      </w:r>
      <w:r w:rsidRPr="0025309F">
        <w:rPr>
          <w:rFonts w:ascii="Times New Roman" w:hAnsi="Times New Roman"/>
          <w:b/>
          <w:spacing w:val="2"/>
          <w:sz w:val="24"/>
          <w:szCs w:val="24"/>
        </w:rPr>
        <w:t xml:space="preserve">непроизводственного назначения, </w:t>
      </w:r>
      <w:r w:rsidRPr="00976B19">
        <w:rPr>
          <w:rFonts w:ascii="Times New Roman" w:hAnsi="Times New Roman"/>
          <w:spacing w:val="2"/>
          <w:sz w:val="24"/>
          <w:szCs w:val="24"/>
        </w:rPr>
        <w:t xml:space="preserve">сократилась на </w:t>
      </w:r>
      <w:r>
        <w:rPr>
          <w:rFonts w:ascii="Times New Roman" w:hAnsi="Times New Roman"/>
          <w:spacing w:val="2"/>
          <w:sz w:val="24"/>
          <w:szCs w:val="24"/>
        </w:rPr>
        <w:t>15,3</w:t>
      </w:r>
      <w:r w:rsidRPr="00976B19">
        <w:rPr>
          <w:rFonts w:ascii="Times New Roman" w:hAnsi="Times New Roman"/>
          <w:spacing w:val="2"/>
          <w:sz w:val="24"/>
          <w:szCs w:val="24"/>
        </w:rPr>
        <w:t>%</w:t>
      </w:r>
      <w:r w:rsidRPr="0025309F">
        <w:rPr>
          <w:rFonts w:ascii="Times New Roman" w:hAnsi="Times New Roman"/>
          <w:spacing w:val="2"/>
          <w:sz w:val="24"/>
          <w:szCs w:val="24"/>
        </w:rPr>
        <w:t xml:space="preserve"> к </w:t>
      </w:r>
      <w:r>
        <w:rPr>
          <w:rFonts w:ascii="Times New Roman" w:hAnsi="Times New Roman"/>
          <w:spacing w:val="2"/>
          <w:sz w:val="24"/>
          <w:szCs w:val="24"/>
        </w:rPr>
        <w:t>аналогичному периоду 2013 года</w:t>
      </w:r>
      <w:r w:rsidRPr="0025309F">
        <w:rPr>
          <w:rFonts w:ascii="Times New Roman" w:hAnsi="Times New Roman"/>
          <w:spacing w:val="2"/>
          <w:sz w:val="24"/>
          <w:szCs w:val="24"/>
        </w:rPr>
        <w:t>, а их вклад в совокупный объём инвестиций достиг 1</w:t>
      </w:r>
      <w:r>
        <w:rPr>
          <w:rFonts w:ascii="Times New Roman" w:hAnsi="Times New Roman"/>
          <w:spacing w:val="2"/>
          <w:sz w:val="24"/>
          <w:szCs w:val="24"/>
        </w:rPr>
        <w:t>2,6</w:t>
      </w:r>
      <w:r w:rsidRPr="0025309F">
        <w:rPr>
          <w:rFonts w:ascii="Times New Roman" w:hAnsi="Times New Roman"/>
          <w:spacing w:val="2"/>
          <w:sz w:val="24"/>
          <w:szCs w:val="24"/>
        </w:rPr>
        <w:t>%</w:t>
      </w:r>
      <w:r>
        <w:rPr>
          <w:rFonts w:ascii="Times New Roman" w:hAnsi="Times New Roman"/>
          <w:spacing w:val="2"/>
          <w:sz w:val="24"/>
          <w:szCs w:val="24"/>
        </w:rPr>
        <w:t xml:space="preserve"> против 12,9% в январе-июне 2013 года.</w:t>
      </w:r>
    </w:p>
    <w:p w:rsidR="00DA2344" w:rsidRDefault="00DA2344" w:rsidP="00DA2344">
      <w:pPr>
        <w:spacing w:after="0" w:line="240" w:lineRule="auto"/>
        <w:ind w:firstLine="708"/>
        <w:jc w:val="both"/>
        <w:rPr>
          <w:rFonts w:ascii="Times New Roman" w:hAnsi="Times New Roman"/>
          <w:spacing w:val="2"/>
          <w:sz w:val="24"/>
          <w:szCs w:val="24"/>
        </w:rPr>
      </w:pPr>
    </w:p>
    <w:p w:rsidR="00EE6B2D" w:rsidRDefault="00EE6B2D" w:rsidP="00DA2344">
      <w:pPr>
        <w:spacing w:after="0" w:line="240" w:lineRule="auto"/>
        <w:ind w:firstLine="708"/>
        <w:jc w:val="both"/>
        <w:rPr>
          <w:rFonts w:ascii="Times New Roman" w:hAnsi="Times New Roman"/>
          <w:spacing w:val="2"/>
          <w:sz w:val="24"/>
          <w:szCs w:val="24"/>
        </w:rPr>
      </w:pPr>
    </w:p>
    <w:p w:rsidR="00DA2344" w:rsidRPr="001E1A97" w:rsidRDefault="00DA2344" w:rsidP="00DA2344">
      <w:pPr>
        <w:spacing w:after="0" w:line="240" w:lineRule="auto"/>
        <w:rPr>
          <w:rFonts w:ascii="Times New Roman" w:hAnsi="Times New Roman"/>
          <w:b/>
          <w:noProof/>
          <w:sz w:val="20"/>
          <w:szCs w:val="20"/>
        </w:rPr>
      </w:pPr>
      <w:r w:rsidRPr="001E1A97">
        <w:rPr>
          <w:rFonts w:ascii="Times New Roman" w:hAnsi="Times New Roman"/>
          <w:b/>
          <w:noProof/>
          <w:sz w:val="20"/>
          <w:szCs w:val="20"/>
        </w:rPr>
        <w:lastRenderedPageBreak/>
        <w:t>Динамика инвестиций по объектам</w:t>
      </w:r>
    </w:p>
    <w:p w:rsidR="00DA2344" w:rsidRPr="001E1A97" w:rsidRDefault="00DA2344" w:rsidP="00DA2344">
      <w:pPr>
        <w:spacing w:after="0" w:line="240" w:lineRule="auto"/>
        <w:ind w:left="-426"/>
        <w:rPr>
          <w:rFonts w:ascii="Times New Roman" w:hAnsi="Times New Roman"/>
          <w:b/>
          <w:noProof/>
          <w:sz w:val="20"/>
          <w:szCs w:val="20"/>
        </w:rPr>
      </w:pPr>
      <w:r w:rsidRPr="001E1A97">
        <w:rPr>
          <w:rFonts w:ascii="Times New Roman" w:hAnsi="Times New Roman"/>
          <w:b/>
          <w:noProof/>
          <w:sz w:val="20"/>
          <w:szCs w:val="20"/>
        </w:rPr>
        <w:t>производственного и непроизводственного</w:t>
      </w:r>
    </w:p>
    <w:p w:rsidR="00DA2344" w:rsidRPr="001E1A97" w:rsidRDefault="00DA2344" w:rsidP="00DA2344">
      <w:pPr>
        <w:spacing w:after="0" w:line="240" w:lineRule="auto"/>
        <w:rPr>
          <w:rFonts w:ascii="Times New Roman" w:hAnsi="Times New Roman"/>
          <w:noProof/>
          <w:sz w:val="20"/>
          <w:szCs w:val="20"/>
        </w:rPr>
      </w:pPr>
      <w:r w:rsidRPr="001E1A97">
        <w:rPr>
          <w:rFonts w:ascii="Times New Roman" w:hAnsi="Times New Roman"/>
          <w:b/>
          <w:noProof/>
          <w:sz w:val="20"/>
          <w:szCs w:val="20"/>
        </w:rPr>
        <w:drawing>
          <wp:anchor distT="0" distB="0" distL="114300" distR="114300" simplePos="0" relativeHeight="251674624" behindDoc="0" locked="0" layoutInCell="1" allowOverlap="1">
            <wp:simplePos x="0" y="0"/>
            <wp:positionH relativeFrom="column">
              <wp:posOffset>2672715</wp:posOffset>
            </wp:positionH>
            <wp:positionV relativeFrom="paragraph">
              <wp:posOffset>48895</wp:posOffset>
            </wp:positionV>
            <wp:extent cx="3524250" cy="2667000"/>
            <wp:effectExtent l="19050" t="0" r="0" b="0"/>
            <wp:wrapSquare wrapText="bothSides"/>
            <wp:docPr id="15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Pr="001E1A97">
        <w:rPr>
          <w:rFonts w:ascii="Times New Roman" w:hAnsi="Times New Roman"/>
          <w:b/>
          <w:noProof/>
          <w:sz w:val="20"/>
          <w:szCs w:val="20"/>
        </w:rPr>
        <w:t xml:space="preserve">      назначения, млн. руб.</w:t>
      </w:r>
    </w:p>
    <w:tbl>
      <w:tblPr>
        <w:tblW w:w="467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851"/>
        <w:gridCol w:w="850"/>
        <w:gridCol w:w="993"/>
      </w:tblGrid>
      <w:tr w:rsidR="00DA2344" w:rsidRPr="00322506" w:rsidTr="00DA2344">
        <w:trPr>
          <w:trHeight w:val="710"/>
        </w:trPr>
        <w:tc>
          <w:tcPr>
            <w:tcW w:w="1985" w:type="dxa"/>
            <w:vAlign w:val="center"/>
          </w:tcPr>
          <w:p w:rsidR="00DA2344" w:rsidRPr="00012B94" w:rsidRDefault="00DA2344" w:rsidP="00DA2344">
            <w:pPr>
              <w:spacing w:after="0" w:line="240" w:lineRule="auto"/>
              <w:jc w:val="center"/>
              <w:rPr>
                <w:rFonts w:ascii="Times New Roman" w:hAnsi="Times New Roman"/>
                <w:b/>
                <w:sz w:val="18"/>
                <w:szCs w:val="18"/>
              </w:rPr>
            </w:pPr>
            <w:r w:rsidRPr="00012B94">
              <w:rPr>
                <w:rFonts w:ascii="Times New Roman" w:hAnsi="Times New Roman"/>
                <w:b/>
                <w:spacing w:val="2"/>
                <w:sz w:val="18"/>
                <w:szCs w:val="18"/>
              </w:rPr>
              <w:t>Показатели</w:t>
            </w:r>
          </w:p>
        </w:tc>
        <w:tc>
          <w:tcPr>
            <w:tcW w:w="851" w:type="dxa"/>
            <w:vAlign w:val="center"/>
          </w:tcPr>
          <w:p w:rsidR="00DA2344" w:rsidRPr="009A3BCE" w:rsidRDefault="00DA2344" w:rsidP="00DA2344">
            <w:pPr>
              <w:spacing w:after="0" w:line="240" w:lineRule="auto"/>
              <w:jc w:val="center"/>
              <w:rPr>
                <w:rFonts w:ascii="Times New Roman" w:hAnsi="Times New Roman"/>
                <w:b/>
                <w:sz w:val="18"/>
                <w:szCs w:val="18"/>
              </w:rPr>
            </w:pPr>
            <w:r w:rsidRPr="009A3BCE">
              <w:rPr>
                <w:rFonts w:ascii="Times New Roman" w:hAnsi="Times New Roman"/>
                <w:b/>
                <w:sz w:val="18"/>
                <w:szCs w:val="18"/>
              </w:rPr>
              <w:t>январь-июнь 2013 г.</w:t>
            </w:r>
          </w:p>
        </w:tc>
        <w:tc>
          <w:tcPr>
            <w:tcW w:w="850" w:type="dxa"/>
            <w:vAlign w:val="center"/>
          </w:tcPr>
          <w:p w:rsidR="00DA2344" w:rsidRPr="009A3BCE" w:rsidRDefault="00DA2344" w:rsidP="00DA2344">
            <w:pPr>
              <w:spacing w:after="0" w:line="240" w:lineRule="auto"/>
              <w:ind w:left="-1217" w:firstLine="1217"/>
              <w:jc w:val="center"/>
              <w:rPr>
                <w:rFonts w:ascii="Times New Roman" w:hAnsi="Times New Roman"/>
                <w:b/>
                <w:sz w:val="18"/>
                <w:szCs w:val="18"/>
              </w:rPr>
            </w:pPr>
            <w:r w:rsidRPr="009A3BCE">
              <w:rPr>
                <w:rFonts w:ascii="Times New Roman" w:hAnsi="Times New Roman"/>
                <w:b/>
                <w:sz w:val="18"/>
                <w:szCs w:val="18"/>
              </w:rPr>
              <w:t>январь</w:t>
            </w:r>
          </w:p>
          <w:p w:rsidR="00DA2344" w:rsidRPr="009A3BCE" w:rsidRDefault="00DA2344" w:rsidP="00DA2344">
            <w:pPr>
              <w:spacing w:after="0" w:line="240" w:lineRule="auto"/>
              <w:ind w:left="-1217" w:firstLine="1217"/>
              <w:jc w:val="center"/>
              <w:rPr>
                <w:rFonts w:ascii="Times New Roman" w:hAnsi="Times New Roman"/>
                <w:b/>
                <w:sz w:val="18"/>
                <w:szCs w:val="18"/>
              </w:rPr>
            </w:pPr>
            <w:r w:rsidRPr="009A3BCE">
              <w:rPr>
                <w:rFonts w:ascii="Times New Roman" w:hAnsi="Times New Roman"/>
                <w:b/>
                <w:sz w:val="18"/>
                <w:szCs w:val="18"/>
              </w:rPr>
              <w:t>июнь</w:t>
            </w:r>
          </w:p>
          <w:p w:rsidR="00DA2344" w:rsidRPr="009A3BCE" w:rsidRDefault="00DA2344" w:rsidP="00DA2344">
            <w:pPr>
              <w:spacing w:after="0" w:line="240" w:lineRule="auto"/>
              <w:ind w:left="-1217" w:firstLine="1217"/>
              <w:jc w:val="center"/>
              <w:rPr>
                <w:rFonts w:ascii="Times New Roman" w:hAnsi="Times New Roman"/>
                <w:b/>
                <w:sz w:val="18"/>
                <w:szCs w:val="18"/>
              </w:rPr>
            </w:pPr>
            <w:r w:rsidRPr="009A3BCE">
              <w:rPr>
                <w:rFonts w:ascii="Times New Roman" w:hAnsi="Times New Roman"/>
                <w:b/>
                <w:sz w:val="18"/>
                <w:szCs w:val="18"/>
              </w:rPr>
              <w:t>2014 г.</w:t>
            </w:r>
          </w:p>
        </w:tc>
        <w:tc>
          <w:tcPr>
            <w:tcW w:w="993" w:type="dxa"/>
            <w:vAlign w:val="center"/>
          </w:tcPr>
          <w:p w:rsidR="00DA2344" w:rsidRPr="009A3BCE" w:rsidRDefault="00DA2344" w:rsidP="00DA2344">
            <w:pPr>
              <w:spacing w:after="0" w:line="240" w:lineRule="auto"/>
              <w:jc w:val="center"/>
              <w:rPr>
                <w:rFonts w:ascii="Times New Roman" w:hAnsi="Times New Roman"/>
                <w:b/>
                <w:bCs/>
                <w:sz w:val="18"/>
                <w:szCs w:val="18"/>
              </w:rPr>
            </w:pPr>
            <w:r w:rsidRPr="009A3BCE">
              <w:rPr>
                <w:rFonts w:ascii="Times New Roman" w:hAnsi="Times New Roman"/>
                <w:b/>
                <w:bCs/>
                <w:sz w:val="18"/>
                <w:szCs w:val="18"/>
              </w:rPr>
              <w:t>Темп роста</w:t>
            </w:r>
          </w:p>
          <w:p w:rsidR="00DA2344" w:rsidRPr="009A3BCE" w:rsidRDefault="00DA2344" w:rsidP="00DA2344">
            <w:pPr>
              <w:spacing w:after="0" w:line="240" w:lineRule="auto"/>
              <w:jc w:val="center"/>
              <w:rPr>
                <w:rFonts w:ascii="Times New Roman" w:hAnsi="Times New Roman"/>
                <w:b/>
                <w:sz w:val="18"/>
                <w:szCs w:val="18"/>
              </w:rPr>
            </w:pPr>
            <w:r w:rsidRPr="009A3BCE">
              <w:rPr>
                <w:rFonts w:ascii="Times New Roman" w:hAnsi="Times New Roman"/>
                <w:b/>
                <w:bCs/>
                <w:sz w:val="18"/>
                <w:szCs w:val="18"/>
              </w:rPr>
              <w:t xml:space="preserve"> в %  к январю-июню 2013 г. </w:t>
            </w:r>
            <w:r>
              <w:rPr>
                <w:rFonts w:ascii="Times New Roman" w:hAnsi="Times New Roman"/>
                <w:b/>
                <w:bCs/>
                <w:sz w:val="18"/>
                <w:szCs w:val="18"/>
              </w:rPr>
              <w:t>*</w:t>
            </w:r>
          </w:p>
        </w:tc>
      </w:tr>
      <w:tr w:rsidR="00DA2344" w:rsidRPr="00322506" w:rsidTr="00DA2344">
        <w:trPr>
          <w:trHeight w:val="1076"/>
        </w:trPr>
        <w:tc>
          <w:tcPr>
            <w:tcW w:w="1985" w:type="dxa"/>
            <w:vAlign w:val="center"/>
          </w:tcPr>
          <w:p w:rsidR="00DA2344" w:rsidRPr="00322506" w:rsidRDefault="00DA2344" w:rsidP="00DA2344">
            <w:pPr>
              <w:spacing w:after="0" w:line="240" w:lineRule="auto"/>
              <w:rPr>
                <w:rFonts w:ascii="Times New Roman" w:hAnsi="Times New Roman"/>
                <w:sz w:val="18"/>
                <w:szCs w:val="18"/>
              </w:rPr>
            </w:pPr>
            <w:r w:rsidRPr="00322506">
              <w:rPr>
                <w:rFonts w:ascii="Times New Roman" w:hAnsi="Times New Roman"/>
                <w:b/>
                <w:sz w:val="18"/>
                <w:szCs w:val="18"/>
              </w:rPr>
              <w:t>Инвестиции в основной капитал</w:t>
            </w:r>
            <w:r w:rsidRPr="00322506">
              <w:rPr>
                <w:rFonts w:ascii="Times New Roman" w:hAnsi="Times New Roman"/>
                <w:sz w:val="18"/>
                <w:szCs w:val="18"/>
              </w:rPr>
              <w:t xml:space="preserve"> (в части новых и приобретенных по импорту основных средств) – всего</w:t>
            </w:r>
          </w:p>
        </w:tc>
        <w:tc>
          <w:tcPr>
            <w:tcW w:w="851" w:type="dxa"/>
            <w:vAlign w:val="center"/>
          </w:tcPr>
          <w:p w:rsidR="00DA2344" w:rsidRPr="00322506" w:rsidRDefault="00DA2344" w:rsidP="00DA2344">
            <w:pPr>
              <w:spacing w:after="0" w:line="240" w:lineRule="auto"/>
              <w:ind w:right="-108"/>
              <w:jc w:val="center"/>
              <w:rPr>
                <w:rFonts w:ascii="Times New Roman" w:hAnsi="Times New Roman"/>
                <w:b/>
                <w:spacing w:val="2"/>
                <w:sz w:val="18"/>
                <w:szCs w:val="18"/>
              </w:rPr>
            </w:pPr>
            <w:r>
              <w:rPr>
                <w:rFonts w:ascii="Times New Roman" w:hAnsi="Times New Roman"/>
                <w:b/>
                <w:sz w:val="18"/>
                <w:szCs w:val="18"/>
              </w:rPr>
              <w:t>565,3</w:t>
            </w:r>
          </w:p>
        </w:tc>
        <w:tc>
          <w:tcPr>
            <w:tcW w:w="850" w:type="dxa"/>
            <w:vAlign w:val="center"/>
          </w:tcPr>
          <w:p w:rsidR="00DA2344" w:rsidRPr="00322506" w:rsidRDefault="00DA2344" w:rsidP="00DA2344">
            <w:pPr>
              <w:tabs>
                <w:tab w:val="left" w:pos="1091"/>
              </w:tabs>
              <w:spacing w:after="0" w:line="240" w:lineRule="auto"/>
              <w:jc w:val="center"/>
              <w:rPr>
                <w:rFonts w:ascii="Times New Roman" w:hAnsi="Times New Roman"/>
                <w:b/>
                <w:sz w:val="18"/>
                <w:szCs w:val="18"/>
              </w:rPr>
            </w:pPr>
            <w:r>
              <w:rPr>
                <w:rFonts w:ascii="Times New Roman" w:hAnsi="Times New Roman"/>
                <w:b/>
                <w:sz w:val="18"/>
                <w:szCs w:val="18"/>
              </w:rPr>
              <w:t>629,7</w:t>
            </w:r>
          </w:p>
        </w:tc>
        <w:tc>
          <w:tcPr>
            <w:tcW w:w="993" w:type="dxa"/>
            <w:vAlign w:val="center"/>
          </w:tcPr>
          <w:p w:rsidR="00DA2344" w:rsidRPr="00322506" w:rsidRDefault="00DA2344" w:rsidP="00DA2344">
            <w:pPr>
              <w:spacing w:after="0" w:line="240" w:lineRule="auto"/>
              <w:jc w:val="center"/>
              <w:rPr>
                <w:rFonts w:ascii="Times New Roman" w:hAnsi="Times New Roman"/>
                <w:b/>
                <w:sz w:val="18"/>
                <w:szCs w:val="18"/>
              </w:rPr>
            </w:pPr>
            <w:r w:rsidRPr="00322506">
              <w:rPr>
                <w:rFonts w:ascii="Times New Roman" w:hAnsi="Times New Roman"/>
                <w:b/>
                <w:sz w:val="18"/>
                <w:szCs w:val="18"/>
              </w:rPr>
              <w:t>1</w:t>
            </w:r>
            <w:r>
              <w:rPr>
                <w:rFonts w:ascii="Times New Roman" w:hAnsi="Times New Roman"/>
                <w:b/>
                <w:sz w:val="18"/>
                <w:szCs w:val="18"/>
              </w:rPr>
              <w:t>01,4</w:t>
            </w:r>
          </w:p>
        </w:tc>
      </w:tr>
      <w:tr w:rsidR="00DA2344" w:rsidRPr="00322506" w:rsidTr="00DA2344">
        <w:trPr>
          <w:trHeight w:val="583"/>
        </w:trPr>
        <w:tc>
          <w:tcPr>
            <w:tcW w:w="1985" w:type="dxa"/>
            <w:vAlign w:val="center"/>
          </w:tcPr>
          <w:p w:rsidR="00DA2344" w:rsidRPr="00322506" w:rsidRDefault="00DA2344" w:rsidP="00DA2344">
            <w:pPr>
              <w:pStyle w:val="31"/>
              <w:spacing w:after="0"/>
              <w:ind w:left="0"/>
              <w:rPr>
                <w:rFonts w:ascii="Times New Roman" w:hAnsi="Times New Roman"/>
                <w:sz w:val="18"/>
                <w:szCs w:val="18"/>
              </w:rPr>
            </w:pPr>
            <w:r w:rsidRPr="00322506">
              <w:rPr>
                <w:rFonts w:ascii="Times New Roman" w:hAnsi="Times New Roman"/>
                <w:sz w:val="18"/>
                <w:szCs w:val="18"/>
              </w:rPr>
              <w:t>в т.ч. по объектам:</w:t>
            </w:r>
          </w:p>
          <w:p w:rsidR="00DA2344" w:rsidRPr="00322506" w:rsidRDefault="00DA2344" w:rsidP="00DA2344">
            <w:pPr>
              <w:pStyle w:val="31"/>
              <w:spacing w:after="0"/>
              <w:ind w:left="0"/>
              <w:rPr>
                <w:rFonts w:ascii="Times New Roman" w:hAnsi="Times New Roman"/>
                <w:sz w:val="18"/>
                <w:szCs w:val="18"/>
              </w:rPr>
            </w:pPr>
            <w:r w:rsidRPr="00322506">
              <w:rPr>
                <w:rFonts w:ascii="Times New Roman" w:hAnsi="Times New Roman"/>
                <w:sz w:val="18"/>
                <w:szCs w:val="18"/>
              </w:rPr>
              <w:t xml:space="preserve">-производственного назначения </w:t>
            </w:r>
          </w:p>
        </w:tc>
        <w:tc>
          <w:tcPr>
            <w:tcW w:w="851" w:type="dxa"/>
            <w:vAlign w:val="center"/>
          </w:tcPr>
          <w:p w:rsidR="00DA2344" w:rsidRPr="00322506" w:rsidRDefault="00DA2344" w:rsidP="00DA2344">
            <w:pPr>
              <w:spacing w:after="0" w:line="240" w:lineRule="auto"/>
              <w:jc w:val="center"/>
              <w:rPr>
                <w:rFonts w:ascii="Times New Roman" w:hAnsi="Times New Roman"/>
                <w:spacing w:val="2"/>
                <w:sz w:val="18"/>
                <w:szCs w:val="18"/>
              </w:rPr>
            </w:pPr>
            <w:r>
              <w:rPr>
                <w:rFonts w:ascii="Times New Roman" w:hAnsi="Times New Roman"/>
                <w:sz w:val="18"/>
                <w:szCs w:val="18"/>
              </w:rPr>
              <w:t>492,2</w:t>
            </w:r>
          </w:p>
        </w:tc>
        <w:tc>
          <w:tcPr>
            <w:tcW w:w="850" w:type="dxa"/>
            <w:vAlign w:val="center"/>
          </w:tcPr>
          <w:p w:rsidR="00DA2344" w:rsidRPr="00322506" w:rsidRDefault="00DA2344" w:rsidP="00DA2344">
            <w:pPr>
              <w:spacing w:after="0" w:line="240" w:lineRule="auto"/>
              <w:jc w:val="center"/>
              <w:rPr>
                <w:rFonts w:ascii="Times New Roman" w:hAnsi="Times New Roman"/>
                <w:sz w:val="18"/>
                <w:szCs w:val="18"/>
              </w:rPr>
            </w:pPr>
            <w:r>
              <w:rPr>
                <w:rFonts w:ascii="Times New Roman" w:hAnsi="Times New Roman"/>
                <w:sz w:val="18"/>
                <w:szCs w:val="18"/>
              </w:rPr>
              <w:t>550,5</w:t>
            </w:r>
          </w:p>
        </w:tc>
        <w:tc>
          <w:tcPr>
            <w:tcW w:w="993" w:type="dxa"/>
            <w:vAlign w:val="center"/>
          </w:tcPr>
          <w:p w:rsidR="00DA2344" w:rsidRPr="00322506" w:rsidRDefault="00DA2344" w:rsidP="00DA2344">
            <w:pPr>
              <w:spacing w:after="0" w:line="240" w:lineRule="auto"/>
              <w:jc w:val="center"/>
              <w:rPr>
                <w:rFonts w:ascii="Times New Roman" w:hAnsi="Times New Roman"/>
                <w:sz w:val="18"/>
                <w:szCs w:val="18"/>
              </w:rPr>
            </w:pPr>
            <w:r>
              <w:rPr>
                <w:rFonts w:ascii="Times New Roman" w:hAnsi="Times New Roman"/>
                <w:sz w:val="18"/>
                <w:szCs w:val="18"/>
              </w:rPr>
              <w:t>104,3</w:t>
            </w:r>
          </w:p>
        </w:tc>
      </w:tr>
      <w:tr w:rsidR="00DA2344" w:rsidRPr="00322506" w:rsidTr="00DA2344">
        <w:trPr>
          <w:trHeight w:val="346"/>
        </w:trPr>
        <w:tc>
          <w:tcPr>
            <w:tcW w:w="1985" w:type="dxa"/>
            <w:vAlign w:val="center"/>
          </w:tcPr>
          <w:p w:rsidR="00DA2344" w:rsidRPr="00322506" w:rsidRDefault="00DA2344" w:rsidP="00DA2344">
            <w:pPr>
              <w:spacing w:after="0" w:line="240" w:lineRule="auto"/>
              <w:rPr>
                <w:rFonts w:ascii="Times New Roman" w:hAnsi="Times New Roman"/>
                <w:sz w:val="18"/>
                <w:szCs w:val="18"/>
              </w:rPr>
            </w:pPr>
            <w:r w:rsidRPr="00322506">
              <w:rPr>
                <w:rFonts w:ascii="Times New Roman" w:hAnsi="Times New Roman"/>
                <w:sz w:val="18"/>
                <w:szCs w:val="18"/>
              </w:rPr>
              <w:t>-непроизводственного назначения</w:t>
            </w:r>
          </w:p>
        </w:tc>
        <w:tc>
          <w:tcPr>
            <w:tcW w:w="851" w:type="dxa"/>
            <w:vAlign w:val="center"/>
          </w:tcPr>
          <w:p w:rsidR="00DA2344" w:rsidRPr="00322506" w:rsidRDefault="00DA2344" w:rsidP="00DA2344">
            <w:pPr>
              <w:spacing w:after="0" w:line="240" w:lineRule="auto"/>
              <w:jc w:val="center"/>
              <w:rPr>
                <w:rFonts w:ascii="Times New Roman" w:hAnsi="Times New Roman"/>
                <w:spacing w:val="2"/>
                <w:sz w:val="18"/>
                <w:szCs w:val="18"/>
              </w:rPr>
            </w:pPr>
            <w:r>
              <w:rPr>
                <w:rFonts w:ascii="Times New Roman" w:hAnsi="Times New Roman"/>
                <w:sz w:val="18"/>
                <w:szCs w:val="18"/>
              </w:rPr>
              <w:t>73,1</w:t>
            </w:r>
          </w:p>
        </w:tc>
        <w:tc>
          <w:tcPr>
            <w:tcW w:w="850" w:type="dxa"/>
            <w:vAlign w:val="center"/>
          </w:tcPr>
          <w:p w:rsidR="00DA2344" w:rsidRPr="00322506" w:rsidRDefault="00DA2344" w:rsidP="00DA2344">
            <w:pPr>
              <w:spacing w:after="0" w:line="240" w:lineRule="auto"/>
              <w:jc w:val="center"/>
              <w:rPr>
                <w:rFonts w:ascii="Times New Roman" w:hAnsi="Times New Roman"/>
                <w:sz w:val="18"/>
                <w:szCs w:val="18"/>
              </w:rPr>
            </w:pPr>
            <w:r>
              <w:rPr>
                <w:rFonts w:ascii="Times New Roman" w:hAnsi="Times New Roman"/>
                <w:sz w:val="18"/>
                <w:szCs w:val="18"/>
              </w:rPr>
              <w:t>79,2</w:t>
            </w:r>
          </w:p>
        </w:tc>
        <w:tc>
          <w:tcPr>
            <w:tcW w:w="993" w:type="dxa"/>
            <w:vAlign w:val="center"/>
          </w:tcPr>
          <w:p w:rsidR="00DA2344" w:rsidRPr="00322506" w:rsidRDefault="00DA2344" w:rsidP="00DA2344">
            <w:pPr>
              <w:spacing w:after="0" w:line="240" w:lineRule="auto"/>
              <w:jc w:val="center"/>
              <w:rPr>
                <w:rFonts w:ascii="Times New Roman" w:hAnsi="Times New Roman"/>
                <w:sz w:val="18"/>
                <w:szCs w:val="18"/>
              </w:rPr>
            </w:pPr>
            <w:r>
              <w:rPr>
                <w:rFonts w:ascii="Times New Roman" w:hAnsi="Times New Roman"/>
                <w:sz w:val="18"/>
                <w:szCs w:val="18"/>
              </w:rPr>
              <w:t>84,7</w:t>
            </w:r>
          </w:p>
        </w:tc>
      </w:tr>
    </w:tbl>
    <w:p w:rsidR="00DA2344" w:rsidRPr="00AF4AAA" w:rsidRDefault="00DA2344" w:rsidP="00DA2344">
      <w:pPr>
        <w:spacing w:after="0" w:line="240" w:lineRule="auto"/>
        <w:ind w:left="-426" w:hanging="502"/>
        <w:rPr>
          <w:rFonts w:ascii="Times New Roman" w:hAnsi="Times New Roman"/>
          <w:spacing w:val="2"/>
          <w:sz w:val="18"/>
          <w:szCs w:val="18"/>
        </w:rPr>
      </w:pPr>
      <w:r>
        <w:rPr>
          <w:rFonts w:ascii="Times New Roman" w:hAnsi="Times New Roman"/>
          <w:spacing w:val="2"/>
          <w:sz w:val="20"/>
          <w:szCs w:val="20"/>
        </w:rPr>
        <w:t xml:space="preserve">      </w:t>
      </w:r>
      <w:r w:rsidRPr="00AF4AAA">
        <w:rPr>
          <w:rFonts w:ascii="Times New Roman" w:hAnsi="Times New Roman"/>
          <w:spacing w:val="2"/>
          <w:sz w:val="18"/>
          <w:szCs w:val="18"/>
        </w:rPr>
        <w:t>* темпы роста приведены к уточнённым данным</w:t>
      </w:r>
    </w:p>
    <w:p w:rsidR="00DA2344" w:rsidRDefault="00DA2344" w:rsidP="00DA2344">
      <w:pPr>
        <w:spacing w:after="0" w:line="240" w:lineRule="auto"/>
        <w:jc w:val="center"/>
        <w:rPr>
          <w:rFonts w:ascii="Times New Roman" w:hAnsi="Times New Roman"/>
          <w:noProof/>
          <w:sz w:val="24"/>
          <w:szCs w:val="24"/>
        </w:rPr>
      </w:pPr>
    </w:p>
    <w:p w:rsidR="00DA2344" w:rsidRDefault="00DA2344" w:rsidP="00DA2344">
      <w:pPr>
        <w:spacing w:after="0" w:line="240" w:lineRule="auto"/>
        <w:ind w:firstLine="708"/>
        <w:jc w:val="both"/>
        <w:rPr>
          <w:rFonts w:ascii="Times New Roman" w:hAnsi="Times New Roman"/>
          <w:b/>
          <w:sz w:val="24"/>
          <w:szCs w:val="24"/>
        </w:rPr>
      </w:pPr>
      <w:r>
        <w:rPr>
          <w:rFonts w:ascii="Times New Roman" w:hAnsi="Times New Roman"/>
          <w:noProof/>
          <w:sz w:val="24"/>
          <w:szCs w:val="24"/>
        </w:rPr>
        <w:t>Несмотря на</w:t>
      </w:r>
      <w:r w:rsidRPr="00E2642E">
        <w:rPr>
          <w:rFonts w:ascii="Times New Roman" w:hAnsi="Times New Roman"/>
          <w:noProof/>
          <w:sz w:val="24"/>
          <w:szCs w:val="24"/>
        </w:rPr>
        <w:t xml:space="preserve"> </w:t>
      </w:r>
      <w:r>
        <w:rPr>
          <w:rFonts w:ascii="Times New Roman" w:hAnsi="Times New Roman"/>
          <w:noProof/>
          <w:sz w:val="24"/>
          <w:szCs w:val="24"/>
        </w:rPr>
        <w:t>увеличение</w:t>
      </w:r>
      <w:r w:rsidRPr="00E2642E">
        <w:rPr>
          <w:rFonts w:ascii="Times New Roman" w:hAnsi="Times New Roman"/>
          <w:noProof/>
          <w:sz w:val="24"/>
          <w:szCs w:val="24"/>
        </w:rPr>
        <w:t xml:space="preserve"> доли </w:t>
      </w:r>
      <w:r w:rsidRPr="00E2642E">
        <w:rPr>
          <w:rFonts w:ascii="Times New Roman" w:hAnsi="Times New Roman"/>
          <w:b/>
          <w:noProof/>
          <w:sz w:val="24"/>
          <w:szCs w:val="24"/>
        </w:rPr>
        <w:t>бюджетных инвестиций</w:t>
      </w:r>
      <w:r w:rsidRPr="00E2642E">
        <w:rPr>
          <w:rFonts w:ascii="Times New Roman" w:hAnsi="Times New Roman"/>
          <w:noProof/>
          <w:sz w:val="24"/>
          <w:szCs w:val="24"/>
        </w:rPr>
        <w:t xml:space="preserve"> (на </w:t>
      </w:r>
      <w:r>
        <w:rPr>
          <w:rFonts w:ascii="Times New Roman" w:hAnsi="Times New Roman"/>
          <w:noProof/>
          <w:sz w:val="24"/>
          <w:szCs w:val="24"/>
        </w:rPr>
        <w:t>0,4</w:t>
      </w:r>
      <w:r w:rsidRPr="00E2642E">
        <w:rPr>
          <w:rFonts w:ascii="Times New Roman" w:hAnsi="Times New Roman"/>
          <w:noProof/>
          <w:sz w:val="24"/>
          <w:szCs w:val="24"/>
        </w:rPr>
        <w:t xml:space="preserve"> процентных пункта) основным источником финансирования долгосрочных проектов оставались </w:t>
      </w:r>
      <w:r w:rsidRPr="00E2642E">
        <w:rPr>
          <w:rFonts w:ascii="Times New Roman" w:hAnsi="Times New Roman"/>
          <w:b/>
          <w:noProof/>
          <w:sz w:val="24"/>
          <w:szCs w:val="24"/>
        </w:rPr>
        <w:t xml:space="preserve">собственные средства организаций </w:t>
      </w:r>
      <w:r w:rsidRPr="00E2642E">
        <w:rPr>
          <w:rFonts w:ascii="Times New Roman" w:hAnsi="Times New Roman"/>
          <w:noProof/>
          <w:sz w:val="24"/>
          <w:szCs w:val="24"/>
        </w:rPr>
        <w:t>(8</w:t>
      </w:r>
      <w:r>
        <w:rPr>
          <w:rFonts w:ascii="Times New Roman" w:hAnsi="Times New Roman"/>
          <w:noProof/>
          <w:sz w:val="24"/>
          <w:szCs w:val="24"/>
        </w:rPr>
        <w:t>0,1</w:t>
      </w:r>
      <w:r w:rsidRPr="00E2642E">
        <w:rPr>
          <w:rFonts w:ascii="Times New Roman" w:hAnsi="Times New Roman"/>
          <w:noProof/>
          <w:sz w:val="24"/>
          <w:szCs w:val="24"/>
        </w:rPr>
        <w:t>%).</w:t>
      </w:r>
      <w:r w:rsidRPr="00E2642E">
        <w:rPr>
          <w:rFonts w:ascii="Times New Roman" w:hAnsi="Times New Roman"/>
          <w:color w:val="0000FF"/>
          <w:spacing w:val="2"/>
          <w:sz w:val="24"/>
          <w:szCs w:val="24"/>
        </w:rPr>
        <w:t xml:space="preserve"> </w:t>
      </w:r>
      <w:r w:rsidRPr="00E2642E">
        <w:rPr>
          <w:rFonts w:ascii="Times New Roman" w:hAnsi="Times New Roman"/>
          <w:spacing w:val="2"/>
          <w:sz w:val="24"/>
          <w:szCs w:val="24"/>
        </w:rPr>
        <w:t xml:space="preserve">Существенно расширилось долевое участие прочих источников финансирования на </w:t>
      </w:r>
      <w:r>
        <w:rPr>
          <w:rFonts w:ascii="Times New Roman" w:hAnsi="Times New Roman"/>
          <w:spacing w:val="2"/>
          <w:sz w:val="24"/>
          <w:szCs w:val="24"/>
        </w:rPr>
        <w:t>10,6</w:t>
      </w:r>
      <w:r w:rsidRPr="00E2642E">
        <w:rPr>
          <w:rFonts w:ascii="Times New Roman" w:hAnsi="Times New Roman"/>
          <w:spacing w:val="2"/>
          <w:sz w:val="24"/>
          <w:szCs w:val="24"/>
        </w:rPr>
        <w:t xml:space="preserve"> процентных пункта к </w:t>
      </w:r>
      <w:r>
        <w:rPr>
          <w:rFonts w:ascii="Times New Roman" w:hAnsi="Times New Roman"/>
          <w:spacing w:val="2"/>
          <w:sz w:val="24"/>
          <w:szCs w:val="24"/>
        </w:rPr>
        <w:t>соответствующему периоду 2013 года.</w:t>
      </w:r>
    </w:p>
    <w:p w:rsidR="00EE6B2D" w:rsidRDefault="00EE6B2D" w:rsidP="00DA2344">
      <w:pPr>
        <w:spacing w:after="0" w:line="240" w:lineRule="auto"/>
        <w:ind w:firstLine="567"/>
        <w:jc w:val="center"/>
        <w:rPr>
          <w:rFonts w:ascii="Times New Roman" w:hAnsi="Times New Roman"/>
          <w:b/>
          <w:sz w:val="24"/>
          <w:szCs w:val="24"/>
        </w:rPr>
      </w:pPr>
    </w:p>
    <w:p w:rsidR="00DA2344" w:rsidRDefault="00DA2344" w:rsidP="00DA2344">
      <w:pPr>
        <w:spacing w:after="0" w:line="240" w:lineRule="auto"/>
        <w:ind w:firstLine="567"/>
        <w:jc w:val="center"/>
        <w:rPr>
          <w:rFonts w:ascii="Times New Roman" w:hAnsi="Times New Roman"/>
          <w:sz w:val="24"/>
          <w:szCs w:val="24"/>
        </w:rPr>
      </w:pPr>
      <w:r>
        <w:rPr>
          <w:rFonts w:ascii="Times New Roman" w:hAnsi="Times New Roman"/>
          <w:b/>
          <w:sz w:val="24"/>
          <w:szCs w:val="24"/>
        </w:rPr>
        <w:t>Структура инвестиций в основной капитал по источникам финансирования, %</w:t>
      </w:r>
    </w:p>
    <w:p w:rsidR="00DA2344" w:rsidRDefault="00DA2344" w:rsidP="00DA2344">
      <w:pPr>
        <w:pStyle w:val="31"/>
        <w:spacing w:after="0"/>
        <w:ind w:left="-567"/>
        <w:jc w:val="both"/>
        <w:rPr>
          <w:b/>
          <w:sz w:val="24"/>
          <w:szCs w:val="24"/>
        </w:rPr>
      </w:pPr>
      <w:r>
        <w:rPr>
          <w:noProof/>
        </w:rPr>
        <w:drawing>
          <wp:inline distT="0" distB="0" distL="0" distR="0">
            <wp:extent cx="3228975" cy="1971675"/>
            <wp:effectExtent l="0" t="0" r="0" b="0"/>
            <wp:docPr id="151"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AE26EF">
        <w:rPr>
          <w:b/>
          <w:noProof/>
          <w:sz w:val="24"/>
          <w:szCs w:val="24"/>
        </w:rPr>
        <w:drawing>
          <wp:inline distT="0" distB="0" distL="0" distR="0">
            <wp:extent cx="2819400" cy="1971675"/>
            <wp:effectExtent l="19050" t="0" r="0" b="0"/>
            <wp:docPr id="152"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A2344" w:rsidRPr="001C4BB6" w:rsidRDefault="00DA2344" w:rsidP="00DA2344">
      <w:pPr>
        <w:spacing w:after="0" w:line="240" w:lineRule="auto"/>
        <w:ind w:firstLine="708"/>
        <w:jc w:val="both"/>
        <w:rPr>
          <w:rFonts w:ascii="Times New Roman" w:hAnsi="Times New Roman"/>
          <w:spacing w:val="2"/>
          <w:sz w:val="24"/>
          <w:szCs w:val="24"/>
        </w:rPr>
      </w:pPr>
      <w:r>
        <w:rPr>
          <w:rFonts w:ascii="Times New Roman" w:hAnsi="Times New Roman"/>
          <w:spacing w:val="2"/>
          <w:sz w:val="24"/>
          <w:szCs w:val="24"/>
        </w:rPr>
        <w:t>Несмотря на снижение долевого участия в структуре инвестиций в основной капитал («-» 6,1 процентных пункта), основное влияние на формирование совокупного показателя оказали организации частной формы собственности (68,7%), на капитальные вложения государственной формы собственности приходилось 27,4% против 22,8% в январе-июне 2013 года.</w:t>
      </w:r>
    </w:p>
    <w:p w:rsidR="00DA2344" w:rsidRDefault="00DA2344" w:rsidP="00DA2344">
      <w:pPr>
        <w:spacing w:after="0" w:line="240" w:lineRule="auto"/>
        <w:ind w:left="-284" w:hanging="142"/>
        <w:jc w:val="center"/>
        <w:rPr>
          <w:rFonts w:ascii="Times New Roman" w:hAnsi="Times New Roman"/>
          <w:b/>
          <w:sz w:val="24"/>
          <w:szCs w:val="24"/>
        </w:rPr>
      </w:pPr>
      <w:r>
        <w:rPr>
          <w:rFonts w:ascii="Times New Roman" w:hAnsi="Times New Roman"/>
          <w:b/>
          <w:sz w:val="24"/>
          <w:szCs w:val="24"/>
        </w:rPr>
        <w:t xml:space="preserve">Структура инвестиций в основной капитал по формам собственности, % </w:t>
      </w:r>
    </w:p>
    <w:p w:rsidR="00DA2344" w:rsidRDefault="00DA2344" w:rsidP="00DA2344">
      <w:pPr>
        <w:pStyle w:val="31"/>
        <w:spacing w:after="0"/>
        <w:ind w:left="-567"/>
        <w:jc w:val="both"/>
        <w:rPr>
          <w:b/>
          <w:color w:val="0000FF"/>
          <w:sz w:val="28"/>
          <w:szCs w:val="28"/>
        </w:rPr>
      </w:pPr>
      <w:r w:rsidRPr="00AA1CB1">
        <w:rPr>
          <w:noProof/>
          <w:color w:val="C6D9F1" w:themeColor="text2" w:themeTint="33"/>
        </w:rPr>
        <w:drawing>
          <wp:inline distT="0" distB="0" distL="0" distR="0">
            <wp:extent cx="2990850" cy="1828800"/>
            <wp:effectExtent l="0" t="0" r="0" b="0"/>
            <wp:docPr id="153"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7329CE">
        <w:rPr>
          <w:b/>
          <w:noProof/>
        </w:rPr>
        <w:drawing>
          <wp:inline distT="0" distB="0" distL="0" distR="0">
            <wp:extent cx="3295650" cy="1828800"/>
            <wp:effectExtent l="0" t="0" r="0" b="0"/>
            <wp:docPr id="154"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A2344" w:rsidRDefault="00DA2344" w:rsidP="00DA2344">
      <w:pPr>
        <w:spacing w:after="0" w:line="240" w:lineRule="auto"/>
        <w:ind w:firstLine="709"/>
        <w:jc w:val="both"/>
        <w:rPr>
          <w:rFonts w:ascii="Times New Roman" w:hAnsi="Times New Roman"/>
          <w:sz w:val="24"/>
          <w:szCs w:val="24"/>
        </w:rPr>
      </w:pPr>
      <w:r w:rsidRPr="000E3619">
        <w:rPr>
          <w:rFonts w:ascii="Times New Roman" w:hAnsi="Times New Roman"/>
          <w:sz w:val="24"/>
          <w:szCs w:val="24"/>
        </w:rPr>
        <w:lastRenderedPageBreak/>
        <w:t xml:space="preserve">В промышленности, несмотря на </w:t>
      </w:r>
      <w:r>
        <w:rPr>
          <w:rFonts w:ascii="Times New Roman" w:hAnsi="Times New Roman"/>
          <w:sz w:val="24"/>
          <w:szCs w:val="24"/>
        </w:rPr>
        <w:t xml:space="preserve">снижение объёмов капитальных вложений в основной капитал на 10,4% до 258,3 млн. руб., сформировано порядка 41,0% совокупного показателя. Вместе с тем, отмечалось </w:t>
      </w:r>
      <w:r w:rsidRPr="00000802">
        <w:rPr>
          <w:rFonts w:ascii="Times New Roman" w:hAnsi="Times New Roman"/>
          <w:sz w:val="24"/>
          <w:szCs w:val="24"/>
        </w:rPr>
        <w:t xml:space="preserve">увеличение инвестиционных вложений в модернизацию, техническое обновление и перевооружение промышленного производства в индустриальном секторе </w:t>
      </w:r>
      <w:r>
        <w:rPr>
          <w:rFonts w:ascii="Times New Roman" w:hAnsi="Times New Roman"/>
          <w:sz w:val="24"/>
          <w:szCs w:val="24"/>
        </w:rPr>
        <w:t xml:space="preserve">по таким предприятиям, как </w:t>
      </w:r>
      <w:r w:rsidRPr="00000802">
        <w:rPr>
          <w:rFonts w:ascii="Times New Roman" w:hAnsi="Times New Roman"/>
          <w:sz w:val="24"/>
          <w:szCs w:val="24"/>
        </w:rPr>
        <w:t xml:space="preserve">Филиал «Завод Прибор «ФГУП НПЦ «Салют» (в </w:t>
      </w:r>
      <w:r>
        <w:rPr>
          <w:rFonts w:ascii="Times New Roman" w:hAnsi="Times New Roman"/>
          <w:sz w:val="24"/>
          <w:szCs w:val="24"/>
        </w:rPr>
        <w:t>4,7</w:t>
      </w:r>
      <w:r w:rsidRPr="00000802">
        <w:rPr>
          <w:rFonts w:ascii="Times New Roman" w:hAnsi="Times New Roman"/>
          <w:sz w:val="24"/>
          <w:szCs w:val="24"/>
        </w:rPr>
        <w:t xml:space="preserve"> раза или </w:t>
      </w:r>
      <w:r>
        <w:rPr>
          <w:rFonts w:ascii="Times New Roman" w:hAnsi="Times New Roman"/>
          <w:sz w:val="24"/>
          <w:szCs w:val="24"/>
        </w:rPr>
        <w:t>8,9</w:t>
      </w:r>
      <w:r w:rsidRPr="00000802">
        <w:rPr>
          <w:rFonts w:ascii="Times New Roman" w:hAnsi="Times New Roman"/>
          <w:sz w:val="24"/>
          <w:szCs w:val="24"/>
        </w:rPr>
        <w:t>%</w:t>
      </w:r>
      <w:r>
        <w:rPr>
          <w:rFonts w:ascii="Times New Roman" w:hAnsi="Times New Roman"/>
          <w:sz w:val="24"/>
          <w:szCs w:val="24"/>
        </w:rPr>
        <w:t xml:space="preserve"> по отрасли промышленности</w:t>
      </w:r>
      <w:r w:rsidRPr="00000802">
        <w:rPr>
          <w:rFonts w:ascii="Times New Roman" w:hAnsi="Times New Roman"/>
          <w:sz w:val="24"/>
          <w:szCs w:val="24"/>
        </w:rPr>
        <w:t>),</w:t>
      </w:r>
      <w:r>
        <w:rPr>
          <w:rFonts w:ascii="Times New Roman" w:hAnsi="Times New Roman"/>
          <w:sz w:val="24"/>
          <w:szCs w:val="24"/>
        </w:rPr>
        <w:t xml:space="preserve"> ООО «Софтшуз</w:t>
      </w:r>
      <w:r>
        <w:rPr>
          <w:rFonts w:ascii="Times New Roman" w:hAnsi="Times New Roman"/>
          <w:sz w:val="24"/>
          <w:szCs w:val="24"/>
        </w:rPr>
        <w:br/>
      </w:r>
      <w:r w:rsidRPr="00000802">
        <w:rPr>
          <w:rFonts w:ascii="Times New Roman" w:hAnsi="Times New Roman"/>
          <w:sz w:val="24"/>
          <w:szCs w:val="24"/>
        </w:rPr>
        <w:t>(</w:t>
      </w:r>
      <w:r>
        <w:rPr>
          <w:rFonts w:ascii="Times New Roman" w:hAnsi="Times New Roman"/>
          <w:sz w:val="24"/>
          <w:szCs w:val="24"/>
        </w:rPr>
        <w:t>в 5,0 раза</w:t>
      </w:r>
      <w:r w:rsidRPr="00000802">
        <w:rPr>
          <w:rFonts w:ascii="Times New Roman" w:hAnsi="Times New Roman"/>
          <w:sz w:val="24"/>
          <w:szCs w:val="24"/>
        </w:rPr>
        <w:t xml:space="preserve"> или </w:t>
      </w:r>
      <w:r>
        <w:rPr>
          <w:rFonts w:ascii="Times New Roman" w:hAnsi="Times New Roman"/>
          <w:sz w:val="24"/>
          <w:szCs w:val="24"/>
        </w:rPr>
        <w:t>2,7%)</w:t>
      </w:r>
      <w:r w:rsidRPr="009F2D07">
        <w:rPr>
          <w:rFonts w:ascii="Times New Roman" w:hAnsi="Times New Roman"/>
          <w:sz w:val="24"/>
          <w:szCs w:val="24"/>
        </w:rPr>
        <w:t xml:space="preserve"> </w:t>
      </w:r>
      <w:r w:rsidRPr="00000802">
        <w:rPr>
          <w:rFonts w:ascii="Times New Roman" w:hAnsi="Times New Roman"/>
          <w:sz w:val="24"/>
          <w:szCs w:val="24"/>
        </w:rPr>
        <w:t xml:space="preserve">ГУП ГК «Днестрэнерго» (на </w:t>
      </w:r>
      <w:r>
        <w:rPr>
          <w:rFonts w:ascii="Times New Roman" w:hAnsi="Times New Roman"/>
          <w:sz w:val="24"/>
          <w:szCs w:val="24"/>
        </w:rPr>
        <w:t>10,1</w:t>
      </w:r>
      <w:r w:rsidRPr="00000802">
        <w:rPr>
          <w:rFonts w:ascii="Times New Roman" w:hAnsi="Times New Roman"/>
          <w:sz w:val="24"/>
          <w:szCs w:val="24"/>
        </w:rPr>
        <w:t xml:space="preserve">% или </w:t>
      </w:r>
      <w:r>
        <w:rPr>
          <w:rFonts w:ascii="Times New Roman" w:hAnsi="Times New Roman"/>
          <w:sz w:val="24"/>
          <w:szCs w:val="24"/>
        </w:rPr>
        <w:t>4,6</w:t>
      </w:r>
      <w:r w:rsidRPr="00000802">
        <w:rPr>
          <w:rFonts w:ascii="Times New Roman" w:hAnsi="Times New Roman"/>
          <w:sz w:val="24"/>
          <w:szCs w:val="24"/>
        </w:rPr>
        <w:t>%), ЗА</w:t>
      </w:r>
      <w:r>
        <w:rPr>
          <w:rFonts w:ascii="Times New Roman" w:hAnsi="Times New Roman"/>
          <w:sz w:val="24"/>
          <w:szCs w:val="24"/>
        </w:rPr>
        <w:t>О «Молдавская ГРЭС» (в 2,3 раза или 20,8%), МГУП «Тирастеплоэнерго» (на 12,8% или 2,6%),</w:t>
      </w:r>
      <w:r>
        <w:rPr>
          <w:rFonts w:ascii="Times New Roman" w:hAnsi="Times New Roman"/>
          <w:sz w:val="24"/>
          <w:szCs w:val="24"/>
        </w:rPr>
        <w:br/>
        <w:t>ЗАО «Тираспольский комбинат хлебопродуктов» (на 95,3% или 1,3%),</w:t>
      </w:r>
      <w:r>
        <w:rPr>
          <w:rFonts w:ascii="Times New Roman" w:hAnsi="Times New Roman"/>
          <w:sz w:val="24"/>
          <w:szCs w:val="24"/>
        </w:rPr>
        <w:br/>
        <w:t>ЗАО «Тираспольский хлебокомбинат» (на 70,2% или 1,4%), ОАО «Тирнистром»</w:t>
      </w:r>
      <w:r>
        <w:rPr>
          <w:rFonts w:ascii="Times New Roman" w:hAnsi="Times New Roman"/>
          <w:sz w:val="24"/>
          <w:szCs w:val="24"/>
        </w:rPr>
        <w:br/>
        <w:t xml:space="preserve">(в 13,0 раза или 0,8%). </w:t>
      </w:r>
      <w:r w:rsidRPr="00000802">
        <w:rPr>
          <w:rFonts w:ascii="Times New Roman" w:hAnsi="Times New Roman"/>
          <w:sz w:val="24"/>
          <w:szCs w:val="24"/>
        </w:rPr>
        <w:t>Суммарный объём инвестиционных поток</w:t>
      </w:r>
      <w:r>
        <w:rPr>
          <w:rFonts w:ascii="Times New Roman" w:hAnsi="Times New Roman"/>
          <w:sz w:val="24"/>
          <w:szCs w:val="24"/>
        </w:rPr>
        <w:t>ов данными предприятиями достиг 111,3</w:t>
      </w:r>
      <w:r w:rsidRPr="00000802">
        <w:rPr>
          <w:rFonts w:ascii="Times New Roman" w:hAnsi="Times New Roman"/>
          <w:sz w:val="24"/>
          <w:szCs w:val="24"/>
        </w:rPr>
        <w:t xml:space="preserve"> млн. руб. (</w:t>
      </w:r>
      <w:r>
        <w:rPr>
          <w:rFonts w:ascii="Times New Roman" w:hAnsi="Times New Roman"/>
          <w:sz w:val="24"/>
          <w:szCs w:val="24"/>
        </w:rPr>
        <w:t>43,1</w:t>
      </w:r>
      <w:r w:rsidRPr="00000802">
        <w:rPr>
          <w:rFonts w:ascii="Times New Roman" w:hAnsi="Times New Roman"/>
          <w:sz w:val="24"/>
          <w:szCs w:val="24"/>
        </w:rPr>
        <w:t xml:space="preserve">% от общего объёма инвестиций по отрасли промышленности или </w:t>
      </w:r>
      <w:r>
        <w:rPr>
          <w:rFonts w:ascii="Times New Roman" w:hAnsi="Times New Roman"/>
          <w:sz w:val="24"/>
          <w:szCs w:val="24"/>
        </w:rPr>
        <w:t>17,7</w:t>
      </w:r>
      <w:r w:rsidRPr="00000802">
        <w:rPr>
          <w:rFonts w:ascii="Times New Roman" w:hAnsi="Times New Roman"/>
          <w:sz w:val="24"/>
          <w:szCs w:val="24"/>
        </w:rPr>
        <w:t>% по республике).</w:t>
      </w:r>
    </w:p>
    <w:p w:rsidR="00DA2344" w:rsidRPr="00332793" w:rsidRDefault="00DA2344" w:rsidP="00DA2344">
      <w:pPr>
        <w:pStyle w:val="31"/>
        <w:spacing w:after="0" w:line="240" w:lineRule="auto"/>
        <w:ind w:left="0" w:firstLine="709"/>
        <w:jc w:val="both"/>
        <w:rPr>
          <w:rFonts w:ascii="Times New Roman" w:hAnsi="Times New Roman"/>
          <w:sz w:val="24"/>
          <w:szCs w:val="24"/>
        </w:rPr>
      </w:pPr>
      <w:r>
        <w:rPr>
          <w:rFonts w:ascii="Times New Roman" w:hAnsi="Times New Roman"/>
          <w:sz w:val="24"/>
          <w:szCs w:val="24"/>
        </w:rPr>
        <w:t>В обозначенном периоде существенно</w:t>
      </w:r>
      <w:r w:rsidRPr="00332793">
        <w:rPr>
          <w:rFonts w:ascii="Times New Roman" w:hAnsi="Times New Roman"/>
          <w:sz w:val="24"/>
          <w:szCs w:val="24"/>
        </w:rPr>
        <w:t xml:space="preserve"> </w:t>
      </w:r>
      <w:r>
        <w:rPr>
          <w:rFonts w:ascii="Times New Roman" w:hAnsi="Times New Roman"/>
          <w:sz w:val="24"/>
          <w:szCs w:val="24"/>
        </w:rPr>
        <w:t xml:space="preserve">улучшили </w:t>
      </w:r>
      <w:r w:rsidRPr="00332793">
        <w:rPr>
          <w:rFonts w:ascii="Times New Roman" w:hAnsi="Times New Roman"/>
          <w:sz w:val="24"/>
          <w:szCs w:val="24"/>
        </w:rPr>
        <w:t>базисные показатели долгосрочного развития</w:t>
      </w:r>
      <w:r>
        <w:rPr>
          <w:rFonts w:ascii="Times New Roman" w:hAnsi="Times New Roman"/>
          <w:sz w:val="24"/>
          <w:szCs w:val="24"/>
        </w:rPr>
        <w:t xml:space="preserve"> сельскохозяйственные организации, ими </w:t>
      </w:r>
      <w:r w:rsidRPr="00332793">
        <w:rPr>
          <w:rFonts w:ascii="Times New Roman" w:hAnsi="Times New Roman"/>
          <w:sz w:val="24"/>
          <w:szCs w:val="24"/>
        </w:rPr>
        <w:t xml:space="preserve">было осуществлено инвестиционных вложений на общую сумму </w:t>
      </w:r>
      <w:r>
        <w:rPr>
          <w:rFonts w:ascii="Times New Roman" w:hAnsi="Times New Roman"/>
          <w:sz w:val="24"/>
          <w:szCs w:val="24"/>
        </w:rPr>
        <w:t>115,9</w:t>
      </w:r>
      <w:r w:rsidRPr="00332793">
        <w:rPr>
          <w:rFonts w:ascii="Times New Roman" w:hAnsi="Times New Roman"/>
          <w:sz w:val="24"/>
          <w:szCs w:val="24"/>
        </w:rPr>
        <w:t xml:space="preserve"> млн. руб. (</w:t>
      </w:r>
      <w:r>
        <w:rPr>
          <w:rFonts w:ascii="Times New Roman" w:hAnsi="Times New Roman"/>
          <w:sz w:val="24"/>
          <w:szCs w:val="24"/>
        </w:rPr>
        <w:t>«</w:t>
      </w:r>
      <w:r w:rsidRPr="00332793">
        <w:rPr>
          <w:rFonts w:ascii="Times New Roman" w:hAnsi="Times New Roman"/>
          <w:sz w:val="24"/>
          <w:szCs w:val="24"/>
        </w:rPr>
        <w:t>+</w:t>
      </w:r>
      <w:r>
        <w:rPr>
          <w:rFonts w:ascii="Times New Roman" w:hAnsi="Times New Roman"/>
          <w:sz w:val="24"/>
          <w:szCs w:val="24"/>
        </w:rPr>
        <w:t>» 47,7</w:t>
      </w:r>
      <w:r w:rsidRPr="00332793">
        <w:rPr>
          <w:rFonts w:ascii="Times New Roman" w:hAnsi="Times New Roman"/>
          <w:sz w:val="24"/>
          <w:szCs w:val="24"/>
        </w:rPr>
        <w:t>%).</w:t>
      </w:r>
    </w:p>
    <w:p w:rsidR="00DA2344" w:rsidRDefault="00DA2344" w:rsidP="00DA2344">
      <w:pPr>
        <w:pStyle w:val="31"/>
        <w:tabs>
          <w:tab w:val="left" w:pos="5760"/>
        </w:tabs>
        <w:spacing w:after="0" w:line="240" w:lineRule="auto"/>
        <w:ind w:left="0" w:firstLine="709"/>
        <w:jc w:val="both"/>
        <w:rPr>
          <w:rFonts w:ascii="Times New Roman" w:hAnsi="Times New Roman"/>
          <w:sz w:val="24"/>
          <w:szCs w:val="24"/>
        </w:rPr>
      </w:pPr>
      <w:r w:rsidRPr="00332793">
        <w:rPr>
          <w:rFonts w:ascii="Times New Roman" w:hAnsi="Times New Roman"/>
          <w:sz w:val="24"/>
          <w:szCs w:val="24"/>
        </w:rPr>
        <w:t>Основная доля инвестиционных вложений была направлена на развитие сельского хозяйства, такими организациями, как:</w:t>
      </w:r>
    </w:p>
    <w:p w:rsidR="00DA2344" w:rsidRPr="00332793" w:rsidRDefault="00DA2344" w:rsidP="00DA2344">
      <w:pPr>
        <w:pStyle w:val="31"/>
        <w:tabs>
          <w:tab w:val="left" w:pos="5760"/>
        </w:tabs>
        <w:spacing w:after="0" w:line="240" w:lineRule="auto"/>
        <w:ind w:left="0" w:firstLine="709"/>
        <w:jc w:val="both"/>
        <w:rPr>
          <w:rFonts w:ascii="Times New Roman" w:hAnsi="Times New Roman"/>
          <w:sz w:val="24"/>
          <w:szCs w:val="24"/>
        </w:rPr>
      </w:pPr>
      <w:r w:rsidRPr="00332793">
        <w:rPr>
          <w:rFonts w:ascii="Times New Roman" w:hAnsi="Times New Roman"/>
          <w:sz w:val="24"/>
          <w:szCs w:val="24"/>
        </w:rPr>
        <w:t>-ЗАО «Тираспольский комбинат хлебопродуктов» (</w:t>
      </w:r>
      <w:r>
        <w:rPr>
          <w:rFonts w:ascii="Times New Roman" w:hAnsi="Times New Roman"/>
          <w:sz w:val="24"/>
          <w:szCs w:val="24"/>
        </w:rPr>
        <w:t>34,0%</w:t>
      </w:r>
      <w:r w:rsidRPr="00004E60">
        <w:rPr>
          <w:rFonts w:ascii="Times New Roman" w:hAnsi="Times New Roman"/>
          <w:sz w:val="24"/>
          <w:szCs w:val="24"/>
        </w:rPr>
        <w:t xml:space="preserve"> </w:t>
      </w:r>
      <w:r w:rsidRPr="00332793">
        <w:rPr>
          <w:rFonts w:ascii="Times New Roman" w:hAnsi="Times New Roman"/>
          <w:sz w:val="24"/>
          <w:szCs w:val="24"/>
        </w:rPr>
        <w:t>от общего объёма инвестиций по отрасли) - на модернизацию производства;</w:t>
      </w:r>
    </w:p>
    <w:p w:rsidR="00DA2344" w:rsidRDefault="00DA2344" w:rsidP="00DA2344">
      <w:pPr>
        <w:pStyle w:val="31"/>
        <w:tabs>
          <w:tab w:val="left" w:pos="5760"/>
        </w:tabs>
        <w:spacing w:after="0" w:line="240" w:lineRule="auto"/>
        <w:ind w:left="0" w:firstLine="709"/>
        <w:jc w:val="both"/>
        <w:rPr>
          <w:rFonts w:ascii="Times New Roman" w:hAnsi="Times New Roman"/>
          <w:sz w:val="24"/>
          <w:szCs w:val="24"/>
        </w:rPr>
      </w:pPr>
      <w:r>
        <w:rPr>
          <w:rFonts w:ascii="Times New Roman" w:hAnsi="Times New Roman"/>
          <w:sz w:val="24"/>
          <w:szCs w:val="24"/>
        </w:rPr>
        <w:t>-</w:t>
      </w:r>
      <w:r w:rsidRPr="00332793">
        <w:rPr>
          <w:rFonts w:ascii="Times New Roman" w:hAnsi="Times New Roman"/>
          <w:sz w:val="24"/>
          <w:szCs w:val="24"/>
        </w:rPr>
        <w:t>ЗАО «Тираспольский вино-коньячный завод «</w:t>
      </w:r>
      <w:r w:rsidRPr="00332793">
        <w:rPr>
          <w:rFonts w:ascii="Times New Roman" w:hAnsi="Times New Roman"/>
          <w:sz w:val="24"/>
          <w:szCs w:val="24"/>
          <w:lang w:val="en-US"/>
        </w:rPr>
        <w:t>KVINT</w:t>
      </w:r>
      <w:r w:rsidRPr="00332793">
        <w:rPr>
          <w:rFonts w:ascii="Times New Roman" w:hAnsi="Times New Roman"/>
          <w:sz w:val="24"/>
          <w:szCs w:val="24"/>
        </w:rPr>
        <w:t>» (</w:t>
      </w:r>
      <w:r>
        <w:rPr>
          <w:rFonts w:ascii="Times New Roman" w:hAnsi="Times New Roman"/>
          <w:sz w:val="24"/>
          <w:szCs w:val="24"/>
        </w:rPr>
        <w:t>27,1</w:t>
      </w:r>
      <w:r w:rsidRPr="00332793">
        <w:rPr>
          <w:rFonts w:ascii="Times New Roman" w:hAnsi="Times New Roman"/>
          <w:sz w:val="24"/>
          <w:szCs w:val="24"/>
        </w:rPr>
        <w:t>%) - на закладку многолетних насаждений;</w:t>
      </w:r>
    </w:p>
    <w:p w:rsidR="00DA2344" w:rsidRDefault="00DA2344" w:rsidP="00DA2344">
      <w:pPr>
        <w:pStyle w:val="31"/>
        <w:tabs>
          <w:tab w:val="left" w:pos="5760"/>
        </w:tabs>
        <w:spacing w:after="0" w:line="240" w:lineRule="auto"/>
        <w:ind w:left="0" w:firstLine="709"/>
        <w:jc w:val="both"/>
        <w:rPr>
          <w:rFonts w:ascii="Times New Roman" w:hAnsi="Times New Roman"/>
          <w:sz w:val="24"/>
          <w:szCs w:val="24"/>
        </w:rPr>
      </w:pPr>
      <w:r>
        <w:rPr>
          <w:rFonts w:ascii="Times New Roman" w:hAnsi="Times New Roman"/>
          <w:sz w:val="24"/>
          <w:szCs w:val="24"/>
        </w:rPr>
        <w:t>-ООО «Славград» (4,0%) – на приобретение сельскохозяйственной техники;</w:t>
      </w:r>
    </w:p>
    <w:p w:rsidR="00DA2344" w:rsidRPr="00332793" w:rsidRDefault="00DA2344" w:rsidP="00DA2344">
      <w:pPr>
        <w:pStyle w:val="31"/>
        <w:tabs>
          <w:tab w:val="left" w:pos="5760"/>
        </w:tabs>
        <w:spacing w:after="0" w:line="240" w:lineRule="auto"/>
        <w:ind w:left="0" w:firstLine="709"/>
        <w:jc w:val="both"/>
        <w:rPr>
          <w:rFonts w:ascii="Times New Roman" w:hAnsi="Times New Roman"/>
          <w:sz w:val="24"/>
          <w:szCs w:val="24"/>
        </w:rPr>
      </w:pPr>
      <w:r>
        <w:rPr>
          <w:rFonts w:ascii="Times New Roman" w:hAnsi="Times New Roman"/>
          <w:sz w:val="24"/>
          <w:szCs w:val="24"/>
        </w:rPr>
        <w:t>-ООО «Фиальт-Агро» (3,3%) - на реконструкцию доильного зала и центрального зернотока;</w:t>
      </w:r>
    </w:p>
    <w:p w:rsidR="00DA2344" w:rsidRDefault="00DA2344" w:rsidP="00DA2344">
      <w:pPr>
        <w:pStyle w:val="31"/>
        <w:tabs>
          <w:tab w:val="left" w:pos="5760"/>
        </w:tabs>
        <w:spacing w:after="0" w:line="240" w:lineRule="auto"/>
        <w:ind w:left="0" w:firstLine="709"/>
        <w:jc w:val="both"/>
        <w:rPr>
          <w:rFonts w:ascii="Times New Roman" w:hAnsi="Times New Roman"/>
          <w:sz w:val="24"/>
          <w:szCs w:val="24"/>
        </w:rPr>
      </w:pPr>
      <w:r>
        <w:rPr>
          <w:rFonts w:ascii="Times New Roman" w:hAnsi="Times New Roman"/>
          <w:sz w:val="24"/>
          <w:szCs w:val="24"/>
        </w:rPr>
        <w:t>-</w:t>
      </w:r>
      <w:r w:rsidRPr="00332793">
        <w:rPr>
          <w:rFonts w:ascii="Times New Roman" w:hAnsi="Times New Roman"/>
          <w:sz w:val="24"/>
          <w:szCs w:val="24"/>
        </w:rPr>
        <w:t>ООО «Агроидея» (</w:t>
      </w:r>
      <w:r>
        <w:rPr>
          <w:rFonts w:ascii="Times New Roman" w:hAnsi="Times New Roman"/>
          <w:sz w:val="24"/>
          <w:szCs w:val="24"/>
        </w:rPr>
        <w:t>3,2</w:t>
      </w:r>
      <w:r w:rsidRPr="00332793">
        <w:rPr>
          <w:rFonts w:ascii="Times New Roman" w:hAnsi="Times New Roman"/>
          <w:sz w:val="24"/>
          <w:szCs w:val="24"/>
        </w:rPr>
        <w:t xml:space="preserve">%) – на </w:t>
      </w:r>
      <w:r>
        <w:rPr>
          <w:rFonts w:ascii="Times New Roman" w:hAnsi="Times New Roman"/>
          <w:sz w:val="24"/>
          <w:szCs w:val="24"/>
        </w:rPr>
        <w:t>приобретение дождевальных установок;</w:t>
      </w:r>
    </w:p>
    <w:p w:rsidR="00DA2344" w:rsidRDefault="00DA2344" w:rsidP="00DA2344">
      <w:pPr>
        <w:pStyle w:val="31"/>
        <w:tabs>
          <w:tab w:val="left" w:pos="5760"/>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-ООО «Агро-Компакт» (3,0%), </w:t>
      </w:r>
      <w:r w:rsidRPr="00332793">
        <w:rPr>
          <w:rFonts w:ascii="Times New Roman" w:hAnsi="Times New Roman"/>
          <w:sz w:val="24"/>
          <w:szCs w:val="24"/>
        </w:rPr>
        <w:t>ООО «Сельскохозяйственная фирма «Рустас» (</w:t>
      </w:r>
      <w:r>
        <w:rPr>
          <w:rFonts w:ascii="Times New Roman" w:hAnsi="Times New Roman"/>
          <w:sz w:val="24"/>
          <w:szCs w:val="24"/>
        </w:rPr>
        <w:t>2,9</w:t>
      </w:r>
      <w:r w:rsidRPr="00332793">
        <w:rPr>
          <w:rFonts w:ascii="Times New Roman" w:hAnsi="Times New Roman"/>
          <w:sz w:val="24"/>
          <w:szCs w:val="24"/>
        </w:rPr>
        <w:t>%)</w:t>
      </w:r>
      <w:r>
        <w:rPr>
          <w:rFonts w:ascii="Times New Roman" w:hAnsi="Times New Roman"/>
          <w:sz w:val="24"/>
          <w:szCs w:val="24"/>
        </w:rPr>
        <w:t xml:space="preserve">, ООО «Каменский Колос» (1,7%) - на приобретение </w:t>
      </w:r>
      <w:r w:rsidRPr="00332793">
        <w:rPr>
          <w:rFonts w:ascii="Times New Roman" w:hAnsi="Times New Roman"/>
          <w:sz w:val="24"/>
          <w:szCs w:val="24"/>
        </w:rPr>
        <w:t>сельскохозяйственной техники</w:t>
      </w:r>
      <w:r>
        <w:rPr>
          <w:rFonts w:ascii="Times New Roman" w:hAnsi="Times New Roman"/>
          <w:sz w:val="24"/>
          <w:szCs w:val="24"/>
        </w:rPr>
        <w:t>.</w:t>
      </w:r>
    </w:p>
    <w:p w:rsidR="00DA2344" w:rsidRPr="00332793" w:rsidRDefault="00DA2344" w:rsidP="00DA2344">
      <w:pPr>
        <w:pStyle w:val="31"/>
        <w:shd w:val="clear" w:color="auto" w:fill="FFFFFF" w:themeFill="background1"/>
        <w:spacing w:after="0" w:line="240" w:lineRule="auto"/>
        <w:ind w:left="0" w:firstLine="709"/>
        <w:jc w:val="both"/>
        <w:rPr>
          <w:rFonts w:ascii="Times New Roman" w:hAnsi="Times New Roman"/>
          <w:sz w:val="24"/>
          <w:szCs w:val="24"/>
        </w:rPr>
      </w:pPr>
      <w:r>
        <w:rPr>
          <w:rFonts w:ascii="Times New Roman" w:hAnsi="Times New Roman"/>
          <w:sz w:val="24"/>
          <w:szCs w:val="24"/>
        </w:rPr>
        <w:t>На фоне низких базовых показателей 2013 года наблюдается в</w:t>
      </w:r>
      <w:r w:rsidRPr="00332793">
        <w:rPr>
          <w:rFonts w:ascii="Times New Roman" w:hAnsi="Times New Roman"/>
          <w:sz w:val="24"/>
          <w:szCs w:val="24"/>
        </w:rPr>
        <w:t>осстановительный рост финансирования капитал</w:t>
      </w:r>
      <w:r>
        <w:rPr>
          <w:rFonts w:ascii="Times New Roman" w:hAnsi="Times New Roman"/>
          <w:sz w:val="24"/>
          <w:szCs w:val="24"/>
        </w:rPr>
        <w:t>ьных вложений</w:t>
      </w:r>
      <w:r w:rsidRPr="00332793">
        <w:rPr>
          <w:rFonts w:ascii="Times New Roman" w:hAnsi="Times New Roman"/>
          <w:sz w:val="24"/>
          <w:szCs w:val="24"/>
        </w:rPr>
        <w:t xml:space="preserve"> </w:t>
      </w:r>
      <w:r>
        <w:rPr>
          <w:rFonts w:ascii="Times New Roman" w:hAnsi="Times New Roman"/>
          <w:sz w:val="24"/>
          <w:szCs w:val="24"/>
        </w:rPr>
        <w:t xml:space="preserve">в коммунальном хозяйстве (в 2,9 раза), в транспортной отрасли (в 2,2 раза) и </w:t>
      </w:r>
      <w:r w:rsidRPr="00332793">
        <w:rPr>
          <w:rFonts w:ascii="Times New Roman" w:hAnsi="Times New Roman"/>
          <w:sz w:val="24"/>
          <w:szCs w:val="24"/>
        </w:rPr>
        <w:t>в строительном сегменте (</w:t>
      </w:r>
      <w:r>
        <w:rPr>
          <w:rFonts w:ascii="Times New Roman" w:hAnsi="Times New Roman"/>
          <w:sz w:val="24"/>
          <w:szCs w:val="24"/>
        </w:rPr>
        <w:t xml:space="preserve">на 11,1%). Однако, </w:t>
      </w:r>
      <w:r w:rsidRPr="00332793">
        <w:rPr>
          <w:rFonts w:ascii="Times New Roman" w:hAnsi="Times New Roman"/>
          <w:sz w:val="24"/>
          <w:szCs w:val="24"/>
        </w:rPr>
        <w:t xml:space="preserve">осваиваемые в </w:t>
      </w:r>
      <w:r>
        <w:rPr>
          <w:rFonts w:ascii="Times New Roman" w:hAnsi="Times New Roman"/>
          <w:sz w:val="24"/>
          <w:szCs w:val="24"/>
        </w:rPr>
        <w:t xml:space="preserve">строительной </w:t>
      </w:r>
      <w:r w:rsidRPr="00332793">
        <w:rPr>
          <w:rFonts w:ascii="Times New Roman" w:hAnsi="Times New Roman"/>
          <w:sz w:val="24"/>
          <w:szCs w:val="24"/>
        </w:rPr>
        <w:t>отрасли объёмы ресурсов</w:t>
      </w:r>
      <w:r>
        <w:rPr>
          <w:rFonts w:ascii="Times New Roman" w:hAnsi="Times New Roman"/>
          <w:sz w:val="24"/>
          <w:szCs w:val="24"/>
        </w:rPr>
        <w:t>,</w:t>
      </w:r>
      <w:r w:rsidRPr="00332793">
        <w:rPr>
          <w:rFonts w:ascii="Times New Roman" w:hAnsi="Times New Roman"/>
          <w:sz w:val="24"/>
          <w:szCs w:val="24"/>
        </w:rPr>
        <w:t xml:space="preserve"> по-прежнему</w:t>
      </w:r>
      <w:r>
        <w:rPr>
          <w:rFonts w:ascii="Times New Roman" w:hAnsi="Times New Roman"/>
          <w:sz w:val="24"/>
          <w:szCs w:val="24"/>
        </w:rPr>
        <w:t xml:space="preserve">, </w:t>
      </w:r>
      <w:r w:rsidRPr="00332793">
        <w:rPr>
          <w:rFonts w:ascii="Times New Roman" w:hAnsi="Times New Roman"/>
          <w:sz w:val="24"/>
          <w:szCs w:val="24"/>
        </w:rPr>
        <w:t>были небольшими - 0,</w:t>
      </w:r>
      <w:r>
        <w:rPr>
          <w:rFonts w:ascii="Times New Roman" w:hAnsi="Times New Roman"/>
          <w:sz w:val="24"/>
          <w:szCs w:val="24"/>
        </w:rPr>
        <w:t>7</w:t>
      </w:r>
      <w:r w:rsidRPr="00332793">
        <w:rPr>
          <w:rFonts w:ascii="Times New Roman" w:hAnsi="Times New Roman"/>
          <w:sz w:val="24"/>
          <w:szCs w:val="24"/>
        </w:rPr>
        <w:t>% в структуре совокупных вложений в экономике.</w:t>
      </w:r>
      <w:r>
        <w:rPr>
          <w:rFonts w:ascii="Times New Roman" w:hAnsi="Times New Roman"/>
          <w:sz w:val="24"/>
          <w:szCs w:val="24"/>
        </w:rPr>
        <w:t xml:space="preserve"> </w:t>
      </w:r>
      <w:r w:rsidRPr="00332793">
        <w:rPr>
          <w:rFonts w:ascii="Times New Roman" w:hAnsi="Times New Roman"/>
          <w:sz w:val="24"/>
          <w:szCs w:val="24"/>
        </w:rPr>
        <w:t xml:space="preserve">При этом в жилищном строительстве зафиксирована обратная динамика – в </w:t>
      </w:r>
      <w:r>
        <w:rPr>
          <w:rFonts w:ascii="Times New Roman" w:hAnsi="Times New Roman"/>
          <w:sz w:val="24"/>
          <w:szCs w:val="24"/>
        </w:rPr>
        <w:t>январе-июне 2014 года</w:t>
      </w:r>
      <w:r w:rsidRPr="00332793">
        <w:rPr>
          <w:rFonts w:ascii="Times New Roman" w:hAnsi="Times New Roman"/>
          <w:sz w:val="24"/>
          <w:szCs w:val="24"/>
        </w:rPr>
        <w:t xml:space="preserve"> удалось аккумулировать лишь </w:t>
      </w:r>
      <w:r>
        <w:rPr>
          <w:rFonts w:ascii="Times New Roman" w:hAnsi="Times New Roman"/>
          <w:sz w:val="24"/>
          <w:szCs w:val="24"/>
        </w:rPr>
        <w:t>44,0</w:t>
      </w:r>
      <w:r w:rsidRPr="00332793">
        <w:rPr>
          <w:rFonts w:ascii="Times New Roman" w:hAnsi="Times New Roman"/>
          <w:sz w:val="24"/>
          <w:szCs w:val="24"/>
        </w:rPr>
        <w:t xml:space="preserve">% от объёма инвестиций базисного </w:t>
      </w:r>
      <w:r>
        <w:rPr>
          <w:rFonts w:ascii="Times New Roman" w:hAnsi="Times New Roman"/>
          <w:sz w:val="24"/>
          <w:szCs w:val="24"/>
        </w:rPr>
        <w:t>периода</w:t>
      </w:r>
      <w:r w:rsidRPr="00332793">
        <w:rPr>
          <w:rFonts w:ascii="Times New Roman" w:hAnsi="Times New Roman"/>
          <w:sz w:val="24"/>
          <w:szCs w:val="24"/>
        </w:rPr>
        <w:t xml:space="preserve"> (</w:t>
      </w:r>
      <w:r>
        <w:rPr>
          <w:rFonts w:ascii="Times New Roman" w:hAnsi="Times New Roman"/>
          <w:sz w:val="24"/>
          <w:szCs w:val="24"/>
        </w:rPr>
        <w:t>5,2</w:t>
      </w:r>
      <w:r w:rsidRPr="00332793">
        <w:rPr>
          <w:rFonts w:ascii="Times New Roman" w:hAnsi="Times New Roman"/>
          <w:sz w:val="24"/>
          <w:szCs w:val="24"/>
        </w:rPr>
        <w:t xml:space="preserve"> млн. руб. против </w:t>
      </w:r>
      <w:r>
        <w:rPr>
          <w:rFonts w:ascii="Times New Roman" w:hAnsi="Times New Roman"/>
          <w:sz w:val="24"/>
          <w:szCs w:val="24"/>
        </w:rPr>
        <w:t>11,8</w:t>
      </w:r>
      <w:r w:rsidRPr="00332793">
        <w:rPr>
          <w:rFonts w:ascii="Times New Roman" w:hAnsi="Times New Roman"/>
          <w:sz w:val="24"/>
          <w:szCs w:val="24"/>
        </w:rPr>
        <w:t xml:space="preserve"> млн. руб. в </w:t>
      </w:r>
      <w:r>
        <w:rPr>
          <w:rFonts w:ascii="Times New Roman" w:hAnsi="Times New Roman"/>
          <w:sz w:val="24"/>
          <w:szCs w:val="24"/>
        </w:rPr>
        <w:t>январе-июне 2013 года</w:t>
      </w:r>
      <w:r w:rsidRPr="00332793">
        <w:rPr>
          <w:rFonts w:ascii="Times New Roman" w:hAnsi="Times New Roman"/>
          <w:sz w:val="24"/>
          <w:szCs w:val="24"/>
        </w:rPr>
        <w:t>).</w:t>
      </w:r>
    </w:p>
    <w:p w:rsidR="00DA2344" w:rsidRDefault="00DA2344" w:rsidP="00DA2344">
      <w:pPr>
        <w:pStyle w:val="31"/>
        <w:shd w:val="clear" w:color="auto" w:fill="FFFFFF" w:themeFill="background1"/>
        <w:spacing w:after="0" w:line="240" w:lineRule="auto"/>
        <w:ind w:left="0" w:firstLine="709"/>
        <w:jc w:val="both"/>
        <w:rPr>
          <w:rFonts w:ascii="Times New Roman" w:hAnsi="Times New Roman"/>
          <w:sz w:val="24"/>
          <w:szCs w:val="24"/>
        </w:rPr>
      </w:pPr>
      <w:r w:rsidRPr="00332793">
        <w:rPr>
          <w:rFonts w:ascii="Times New Roman" w:hAnsi="Times New Roman"/>
          <w:sz w:val="24"/>
          <w:szCs w:val="24"/>
        </w:rPr>
        <w:t>На фоне существенного роста инвестиционной активности в предыдущие годы</w:t>
      </w:r>
      <w:r>
        <w:rPr>
          <w:rFonts w:ascii="Times New Roman" w:hAnsi="Times New Roman"/>
          <w:sz w:val="24"/>
          <w:szCs w:val="24"/>
        </w:rPr>
        <w:t xml:space="preserve"> </w:t>
      </w:r>
      <w:r>
        <w:rPr>
          <w:rFonts w:ascii="Times New Roman" w:hAnsi="Times New Roman"/>
          <w:sz w:val="24"/>
          <w:szCs w:val="24"/>
        </w:rPr>
        <w:br/>
        <w:t xml:space="preserve">в полугодии 2014 года </w:t>
      </w:r>
      <w:r w:rsidRPr="00332793">
        <w:rPr>
          <w:rFonts w:ascii="Times New Roman" w:hAnsi="Times New Roman"/>
          <w:sz w:val="24"/>
          <w:szCs w:val="24"/>
        </w:rPr>
        <w:t>отмеча</w:t>
      </w:r>
      <w:r>
        <w:rPr>
          <w:rFonts w:ascii="Times New Roman" w:hAnsi="Times New Roman"/>
          <w:sz w:val="24"/>
          <w:szCs w:val="24"/>
        </w:rPr>
        <w:t>лось</w:t>
      </w:r>
      <w:r w:rsidRPr="00332793">
        <w:rPr>
          <w:rFonts w:ascii="Times New Roman" w:hAnsi="Times New Roman"/>
          <w:sz w:val="24"/>
          <w:szCs w:val="24"/>
        </w:rPr>
        <w:t xml:space="preserve"> сокращение инвестиций в основной капитал </w:t>
      </w:r>
      <w:r>
        <w:rPr>
          <w:rFonts w:ascii="Times New Roman" w:hAnsi="Times New Roman"/>
          <w:sz w:val="24"/>
          <w:szCs w:val="24"/>
        </w:rPr>
        <w:t xml:space="preserve">в таких отраслях, как </w:t>
      </w:r>
      <w:r w:rsidRPr="00332793">
        <w:rPr>
          <w:rFonts w:ascii="Times New Roman" w:hAnsi="Times New Roman"/>
          <w:sz w:val="24"/>
          <w:szCs w:val="24"/>
        </w:rPr>
        <w:t xml:space="preserve">связь (на </w:t>
      </w:r>
      <w:r>
        <w:rPr>
          <w:rFonts w:ascii="Times New Roman" w:hAnsi="Times New Roman"/>
          <w:sz w:val="24"/>
          <w:szCs w:val="24"/>
        </w:rPr>
        <w:t>25,6</w:t>
      </w:r>
      <w:r w:rsidRPr="00332793">
        <w:rPr>
          <w:rFonts w:ascii="Times New Roman" w:hAnsi="Times New Roman"/>
          <w:sz w:val="24"/>
          <w:szCs w:val="24"/>
        </w:rPr>
        <w:t xml:space="preserve">% до </w:t>
      </w:r>
      <w:r>
        <w:rPr>
          <w:rFonts w:ascii="Times New Roman" w:hAnsi="Times New Roman"/>
          <w:sz w:val="24"/>
          <w:szCs w:val="24"/>
        </w:rPr>
        <w:t>26,4</w:t>
      </w:r>
      <w:r w:rsidRPr="00332793">
        <w:rPr>
          <w:rFonts w:ascii="Times New Roman" w:hAnsi="Times New Roman"/>
          <w:sz w:val="24"/>
          <w:szCs w:val="24"/>
        </w:rPr>
        <w:t xml:space="preserve"> млн. руб.), </w:t>
      </w:r>
      <w:r>
        <w:rPr>
          <w:rFonts w:ascii="Times New Roman" w:hAnsi="Times New Roman"/>
          <w:sz w:val="24"/>
          <w:szCs w:val="24"/>
        </w:rPr>
        <w:t xml:space="preserve">торговля и общественное питание </w:t>
      </w:r>
      <w:r>
        <w:rPr>
          <w:rFonts w:ascii="Times New Roman" w:hAnsi="Times New Roman"/>
          <w:sz w:val="24"/>
          <w:szCs w:val="24"/>
        </w:rPr>
        <w:br/>
        <w:t>(на 25,1% до 53,9 млн. руб.), образование (на 2,2% до 5,4 млн. руб.).</w:t>
      </w:r>
    </w:p>
    <w:p w:rsidR="00DA2344" w:rsidRPr="000E3619" w:rsidRDefault="00DA2344" w:rsidP="00DA2344">
      <w:pPr>
        <w:spacing w:after="0" w:line="240" w:lineRule="auto"/>
        <w:ind w:firstLine="708"/>
        <w:jc w:val="right"/>
        <w:rPr>
          <w:rFonts w:ascii="Times New Roman" w:hAnsi="Times New Roman"/>
          <w:spacing w:val="2"/>
          <w:sz w:val="24"/>
          <w:szCs w:val="24"/>
        </w:rPr>
      </w:pPr>
      <w:r w:rsidRPr="000E3619">
        <w:rPr>
          <w:rFonts w:ascii="Times New Roman" w:hAnsi="Times New Roman"/>
          <w:spacing w:val="2"/>
          <w:sz w:val="24"/>
          <w:szCs w:val="24"/>
        </w:rPr>
        <w:t>Таблица №</w:t>
      </w:r>
      <w:r w:rsidR="00EE6B2D">
        <w:rPr>
          <w:rFonts w:ascii="Times New Roman" w:hAnsi="Times New Roman"/>
          <w:spacing w:val="2"/>
          <w:sz w:val="24"/>
          <w:szCs w:val="24"/>
        </w:rPr>
        <w:t xml:space="preserve"> 2</w:t>
      </w:r>
      <w:r w:rsidR="00381ABA">
        <w:rPr>
          <w:rFonts w:ascii="Times New Roman" w:hAnsi="Times New Roman"/>
          <w:spacing w:val="2"/>
          <w:sz w:val="24"/>
          <w:szCs w:val="24"/>
        </w:rPr>
        <w:t>6</w:t>
      </w:r>
    </w:p>
    <w:p w:rsidR="00DA2344" w:rsidRDefault="00DA2344" w:rsidP="00DA2344">
      <w:pPr>
        <w:spacing w:after="0" w:line="240" w:lineRule="auto"/>
        <w:jc w:val="center"/>
        <w:rPr>
          <w:rFonts w:ascii="Times New Roman" w:hAnsi="Times New Roman"/>
          <w:b/>
          <w:sz w:val="24"/>
          <w:szCs w:val="24"/>
        </w:rPr>
      </w:pPr>
      <w:r>
        <w:rPr>
          <w:rFonts w:ascii="Times New Roman" w:hAnsi="Times New Roman"/>
          <w:b/>
          <w:sz w:val="24"/>
          <w:szCs w:val="24"/>
        </w:rPr>
        <w:t xml:space="preserve">Динамика инвестиций в основной капитал и их структура </w:t>
      </w:r>
    </w:p>
    <w:p w:rsidR="00DA2344" w:rsidRDefault="00DA2344" w:rsidP="00DA2344">
      <w:pPr>
        <w:spacing w:after="0" w:line="240" w:lineRule="auto"/>
        <w:jc w:val="center"/>
        <w:rPr>
          <w:rFonts w:ascii="Times New Roman" w:hAnsi="Times New Roman"/>
          <w:sz w:val="24"/>
          <w:szCs w:val="24"/>
        </w:rPr>
      </w:pPr>
      <w:r>
        <w:rPr>
          <w:rFonts w:ascii="Times New Roman" w:hAnsi="Times New Roman"/>
          <w:b/>
          <w:sz w:val="24"/>
          <w:szCs w:val="24"/>
        </w:rPr>
        <w:t>по основным отраслям экономи</w:t>
      </w:r>
      <w:r w:rsidR="00776745">
        <w:rPr>
          <w:rFonts w:ascii="Times New Roman" w:hAnsi="Times New Roman"/>
          <w:b/>
          <w:sz w:val="24"/>
          <w:szCs w:val="24"/>
        </w:rPr>
        <w:t>к</w:t>
      </w:r>
      <w:r>
        <w:rPr>
          <w:rFonts w:ascii="Times New Roman" w:hAnsi="Times New Roman"/>
          <w:b/>
          <w:sz w:val="24"/>
          <w:szCs w:val="24"/>
        </w:rPr>
        <w:t xml:space="preserve">и </w:t>
      </w:r>
      <w:r w:rsidRPr="0057421F">
        <w:rPr>
          <w:rFonts w:ascii="Times New Roman" w:hAnsi="Times New Roman"/>
          <w:sz w:val="24"/>
          <w:szCs w:val="24"/>
        </w:rPr>
        <w:t>(без субъектов малого предпринимательства)</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19"/>
        <w:gridCol w:w="992"/>
        <w:gridCol w:w="851"/>
        <w:gridCol w:w="993"/>
        <w:gridCol w:w="991"/>
        <w:gridCol w:w="1418"/>
      </w:tblGrid>
      <w:tr w:rsidR="00DA2344" w:rsidRPr="00332793" w:rsidTr="00DA2344">
        <w:tc>
          <w:tcPr>
            <w:tcW w:w="4219" w:type="dxa"/>
            <w:vMerge w:val="restart"/>
            <w:vAlign w:val="center"/>
          </w:tcPr>
          <w:p w:rsidR="00DA2344" w:rsidRPr="00332793" w:rsidRDefault="00DA2344" w:rsidP="00DA2344">
            <w:pPr>
              <w:spacing w:after="0" w:line="240" w:lineRule="auto"/>
              <w:jc w:val="center"/>
              <w:rPr>
                <w:rFonts w:ascii="Times New Roman" w:hAnsi="Times New Roman"/>
                <w:b/>
                <w:sz w:val="20"/>
                <w:szCs w:val="20"/>
              </w:rPr>
            </w:pPr>
            <w:r w:rsidRPr="00332793">
              <w:rPr>
                <w:rFonts w:ascii="Times New Roman" w:hAnsi="Times New Roman"/>
                <w:b/>
                <w:spacing w:val="2"/>
                <w:sz w:val="20"/>
                <w:szCs w:val="20"/>
              </w:rPr>
              <w:t>Показатели</w:t>
            </w:r>
          </w:p>
        </w:tc>
        <w:tc>
          <w:tcPr>
            <w:tcW w:w="1843" w:type="dxa"/>
            <w:gridSpan w:val="2"/>
            <w:vAlign w:val="center"/>
          </w:tcPr>
          <w:p w:rsidR="00DA2344" w:rsidRPr="00332793" w:rsidRDefault="00DA2344" w:rsidP="00DA2344">
            <w:pPr>
              <w:spacing w:after="0" w:line="240" w:lineRule="auto"/>
              <w:jc w:val="center"/>
              <w:rPr>
                <w:rFonts w:ascii="Times New Roman" w:hAnsi="Times New Roman"/>
                <w:b/>
                <w:sz w:val="20"/>
                <w:szCs w:val="20"/>
              </w:rPr>
            </w:pPr>
            <w:r>
              <w:rPr>
                <w:rFonts w:ascii="Times New Roman" w:hAnsi="Times New Roman"/>
                <w:b/>
                <w:sz w:val="20"/>
                <w:szCs w:val="20"/>
              </w:rPr>
              <w:t>январь-июнь 2013 г.</w:t>
            </w:r>
          </w:p>
        </w:tc>
        <w:tc>
          <w:tcPr>
            <w:tcW w:w="1984" w:type="dxa"/>
            <w:gridSpan w:val="2"/>
            <w:vAlign w:val="center"/>
          </w:tcPr>
          <w:p w:rsidR="00DA2344" w:rsidRDefault="00DA2344" w:rsidP="00DA2344">
            <w:pPr>
              <w:spacing w:after="0" w:line="240" w:lineRule="auto"/>
              <w:jc w:val="center"/>
              <w:rPr>
                <w:rFonts w:ascii="Times New Roman" w:hAnsi="Times New Roman"/>
                <w:b/>
                <w:sz w:val="20"/>
                <w:szCs w:val="20"/>
              </w:rPr>
            </w:pPr>
            <w:r>
              <w:rPr>
                <w:rFonts w:ascii="Times New Roman" w:hAnsi="Times New Roman"/>
                <w:b/>
                <w:sz w:val="20"/>
                <w:szCs w:val="20"/>
              </w:rPr>
              <w:t xml:space="preserve">январь-июнь </w:t>
            </w:r>
          </w:p>
          <w:p w:rsidR="00DA2344" w:rsidRPr="00332793" w:rsidRDefault="00DA2344" w:rsidP="00DA2344">
            <w:pPr>
              <w:spacing w:after="0" w:line="240" w:lineRule="auto"/>
              <w:jc w:val="center"/>
              <w:rPr>
                <w:rFonts w:ascii="Times New Roman" w:hAnsi="Times New Roman"/>
                <w:b/>
                <w:sz w:val="20"/>
                <w:szCs w:val="20"/>
              </w:rPr>
            </w:pPr>
            <w:r>
              <w:rPr>
                <w:rFonts w:ascii="Times New Roman" w:hAnsi="Times New Roman"/>
                <w:b/>
                <w:sz w:val="20"/>
                <w:szCs w:val="20"/>
              </w:rPr>
              <w:t>2014 г.</w:t>
            </w:r>
          </w:p>
        </w:tc>
        <w:tc>
          <w:tcPr>
            <w:tcW w:w="1418" w:type="dxa"/>
            <w:vMerge w:val="restart"/>
            <w:vAlign w:val="center"/>
          </w:tcPr>
          <w:p w:rsidR="00DA2344" w:rsidRPr="00332793" w:rsidRDefault="00DA2344" w:rsidP="00DA2344">
            <w:pPr>
              <w:spacing w:after="0" w:line="240" w:lineRule="auto"/>
              <w:jc w:val="center"/>
              <w:rPr>
                <w:rFonts w:ascii="Times New Roman" w:hAnsi="Times New Roman"/>
                <w:b/>
                <w:bCs/>
                <w:sz w:val="20"/>
                <w:szCs w:val="20"/>
              </w:rPr>
            </w:pPr>
            <w:r w:rsidRPr="00332793">
              <w:rPr>
                <w:rFonts w:ascii="Times New Roman" w:hAnsi="Times New Roman"/>
                <w:b/>
                <w:bCs/>
                <w:sz w:val="20"/>
                <w:szCs w:val="20"/>
              </w:rPr>
              <w:t>Темп роста</w:t>
            </w:r>
          </w:p>
          <w:p w:rsidR="00DA2344" w:rsidRDefault="00DA2344" w:rsidP="00DA2344">
            <w:pPr>
              <w:spacing w:after="0" w:line="240" w:lineRule="auto"/>
              <w:jc w:val="center"/>
              <w:rPr>
                <w:rFonts w:ascii="Times New Roman" w:hAnsi="Times New Roman"/>
                <w:b/>
                <w:bCs/>
                <w:sz w:val="20"/>
                <w:szCs w:val="20"/>
              </w:rPr>
            </w:pPr>
            <w:r w:rsidRPr="00332793">
              <w:rPr>
                <w:rFonts w:ascii="Times New Roman" w:hAnsi="Times New Roman"/>
                <w:b/>
                <w:bCs/>
                <w:sz w:val="20"/>
                <w:szCs w:val="20"/>
              </w:rPr>
              <w:t xml:space="preserve">в % к </w:t>
            </w:r>
            <w:r>
              <w:rPr>
                <w:rFonts w:ascii="Times New Roman" w:hAnsi="Times New Roman"/>
                <w:b/>
                <w:bCs/>
                <w:sz w:val="20"/>
                <w:szCs w:val="20"/>
              </w:rPr>
              <w:t>январю-июню</w:t>
            </w:r>
          </w:p>
          <w:p w:rsidR="00DA2344" w:rsidRPr="00332793" w:rsidRDefault="00DA2344" w:rsidP="00DA2344">
            <w:pPr>
              <w:spacing w:after="0" w:line="240" w:lineRule="auto"/>
              <w:jc w:val="center"/>
              <w:rPr>
                <w:rFonts w:ascii="Times New Roman" w:hAnsi="Times New Roman"/>
                <w:b/>
                <w:sz w:val="20"/>
                <w:szCs w:val="20"/>
              </w:rPr>
            </w:pPr>
            <w:r>
              <w:rPr>
                <w:rFonts w:ascii="Times New Roman" w:hAnsi="Times New Roman"/>
                <w:b/>
                <w:bCs/>
                <w:sz w:val="20"/>
                <w:szCs w:val="20"/>
              </w:rPr>
              <w:t>2013 г.</w:t>
            </w:r>
            <w:r w:rsidRPr="00332793">
              <w:rPr>
                <w:rFonts w:ascii="Times New Roman" w:hAnsi="Times New Roman"/>
                <w:b/>
                <w:bCs/>
                <w:sz w:val="20"/>
                <w:szCs w:val="20"/>
              </w:rPr>
              <w:t>*</w:t>
            </w:r>
          </w:p>
        </w:tc>
      </w:tr>
      <w:tr w:rsidR="00DA2344" w:rsidRPr="00332793" w:rsidTr="00DA2344">
        <w:trPr>
          <w:trHeight w:val="700"/>
        </w:trPr>
        <w:tc>
          <w:tcPr>
            <w:tcW w:w="4219" w:type="dxa"/>
            <w:vMerge/>
            <w:tcBorders>
              <w:bottom w:val="single" w:sz="4" w:space="0" w:color="000000"/>
            </w:tcBorders>
            <w:vAlign w:val="center"/>
          </w:tcPr>
          <w:p w:rsidR="00DA2344" w:rsidRPr="00332793" w:rsidRDefault="00DA2344" w:rsidP="00DA2344">
            <w:pPr>
              <w:spacing w:after="0" w:line="240" w:lineRule="auto"/>
              <w:jc w:val="center"/>
              <w:rPr>
                <w:rFonts w:ascii="Times New Roman" w:hAnsi="Times New Roman"/>
                <w:b/>
                <w:sz w:val="20"/>
                <w:szCs w:val="20"/>
              </w:rPr>
            </w:pPr>
          </w:p>
        </w:tc>
        <w:tc>
          <w:tcPr>
            <w:tcW w:w="992" w:type="dxa"/>
            <w:tcBorders>
              <w:bottom w:val="single" w:sz="4" w:space="0" w:color="000000"/>
            </w:tcBorders>
            <w:vAlign w:val="center"/>
          </w:tcPr>
          <w:p w:rsidR="00DA2344" w:rsidRPr="00332793" w:rsidRDefault="00DA2344" w:rsidP="00DA2344">
            <w:pPr>
              <w:spacing w:after="0" w:line="240" w:lineRule="auto"/>
              <w:jc w:val="center"/>
              <w:rPr>
                <w:rFonts w:ascii="Times New Roman" w:hAnsi="Times New Roman"/>
                <w:b/>
                <w:sz w:val="20"/>
                <w:szCs w:val="20"/>
              </w:rPr>
            </w:pPr>
            <w:r w:rsidRPr="00332793">
              <w:rPr>
                <w:rFonts w:ascii="Times New Roman" w:hAnsi="Times New Roman"/>
                <w:b/>
                <w:sz w:val="20"/>
                <w:szCs w:val="20"/>
              </w:rPr>
              <w:t>млн. руб.</w:t>
            </w:r>
          </w:p>
        </w:tc>
        <w:tc>
          <w:tcPr>
            <w:tcW w:w="851" w:type="dxa"/>
            <w:tcBorders>
              <w:bottom w:val="single" w:sz="4" w:space="0" w:color="000000"/>
            </w:tcBorders>
            <w:vAlign w:val="center"/>
          </w:tcPr>
          <w:p w:rsidR="00DA2344" w:rsidRPr="00332793" w:rsidRDefault="00DA2344" w:rsidP="00DA2344">
            <w:pPr>
              <w:spacing w:after="0" w:line="240" w:lineRule="auto"/>
              <w:jc w:val="center"/>
              <w:rPr>
                <w:rFonts w:ascii="Times New Roman" w:hAnsi="Times New Roman"/>
                <w:b/>
                <w:sz w:val="20"/>
                <w:szCs w:val="20"/>
              </w:rPr>
            </w:pPr>
            <w:r w:rsidRPr="00332793">
              <w:rPr>
                <w:rFonts w:ascii="Times New Roman" w:hAnsi="Times New Roman"/>
                <w:b/>
                <w:sz w:val="20"/>
                <w:szCs w:val="20"/>
              </w:rPr>
              <w:t>уд.</w:t>
            </w:r>
          </w:p>
          <w:p w:rsidR="00DA2344" w:rsidRPr="00332793" w:rsidRDefault="00DA2344" w:rsidP="00DA2344">
            <w:pPr>
              <w:spacing w:after="0" w:line="240" w:lineRule="auto"/>
              <w:jc w:val="center"/>
              <w:rPr>
                <w:rFonts w:ascii="Times New Roman" w:hAnsi="Times New Roman"/>
                <w:b/>
                <w:sz w:val="20"/>
                <w:szCs w:val="20"/>
              </w:rPr>
            </w:pPr>
            <w:r w:rsidRPr="00332793">
              <w:rPr>
                <w:rFonts w:ascii="Times New Roman" w:hAnsi="Times New Roman"/>
                <w:b/>
                <w:sz w:val="20"/>
                <w:szCs w:val="20"/>
              </w:rPr>
              <w:t>вес, %</w:t>
            </w:r>
          </w:p>
        </w:tc>
        <w:tc>
          <w:tcPr>
            <w:tcW w:w="993" w:type="dxa"/>
            <w:tcBorders>
              <w:bottom w:val="single" w:sz="4" w:space="0" w:color="000000"/>
            </w:tcBorders>
            <w:vAlign w:val="center"/>
          </w:tcPr>
          <w:p w:rsidR="00DA2344" w:rsidRPr="00332793" w:rsidRDefault="00DA2344" w:rsidP="00DA2344">
            <w:pPr>
              <w:spacing w:after="0" w:line="240" w:lineRule="auto"/>
              <w:jc w:val="center"/>
              <w:rPr>
                <w:rFonts w:ascii="Times New Roman" w:hAnsi="Times New Roman"/>
                <w:b/>
                <w:sz w:val="20"/>
                <w:szCs w:val="20"/>
              </w:rPr>
            </w:pPr>
            <w:r w:rsidRPr="00332793">
              <w:rPr>
                <w:rFonts w:ascii="Times New Roman" w:hAnsi="Times New Roman"/>
                <w:b/>
                <w:sz w:val="20"/>
                <w:szCs w:val="20"/>
              </w:rPr>
              <w:t>млн. руб.</w:t>
            </w:r>
          </w:p>
        </w:tc>
        <w:tc>
          <w:tcPr>
            <w:tcW w:w="991" w:type="dxa"/>
            <w:tcBorders>
              <w:bottom w:val="single" w:sz="4" w:space="0" w:color="000000"/>
            </w:tcBorders>
            <w:vAlign w:val="center"/>
          </w:tcPr>
          <w:p w:rsidR="00DA2344" w:rsidRPr="00332793" w:rsidRDefault="00DA2344" w:rsidP="00DA2344">
            <w:pPr>
              <w:spacing w:after="0" w:line="240" w:lineRule="auto"/>
              <w:jc w:val="center"/>
              <w:rPr>
                <w:rFonts w:ascii="Times New Roman" w:hAnsi="Times New Roman"/>
                <w:b/>
                <w:sz w:val="20"/>
                <w:szCs w:val="20"/>
              </w:rPr>
            </w:pPr>
            <w:r w:rsidRPr="00332793">
              <w:rPr>
                <w:rFonts w:ascii="Times New Roman" w:hAnsi="Times New Roman"/>
                <w:b/>
                <w:sz w:val="20"/>
                <w:szCs w:val="20"/>
              </w:rPr>
              <w:t>уд. вес, %</w:t>
            </w:r>
          </w:p>
        </w:tc>
        <w:tc>
          <w:tcPr>
            <w:tcW w:w="1418" w:type="dxa"/>
            <w:vMerge/>
            <w:tcBorders>
              <w:bottom w:val="single" w:sz="4" w:space="0" w:color="000000"/>
            </w:tcBorders>
            <w:vAlign w:val="center"/>
          </w:tcPr>
          <w:p w:rsidR="00DA2344" w:rsidRPr="00332793" w:rsidRDefault="00DA2344" w:rsidP="00DA2344">
            <w:pPr>
              <w:spacing w:after="0" w:line="240" w:lineRule="auto"/>
              <w:jc w:val="center"/>
              <w:rPr>
                <w:rFonts w:ascii="Times New Roman" w:hAnsi="Times New Roman"/>
                <w:b/>
                <w:sz w:val="20"/>
                <w:szCs w:val="20"/>
              </w:rPr>
            </w:pPr>
          </w:p>
        </w:tc>
      </w:tr>
      <w:tr w:rsidR="00DA2344" w:rsidRPr="00332793" w:rsidTr="00DA2344">
        <w:tc>
          <w:tcPr>
            <w:tcW w:w="4219" w:type="dxa"/>
            <w:vAlign w:val="center"/>
          </w:tcPr>
          <w:p w:rsidR="00DA2344" w:rsidRPr="00332793" w:rsidRDefault="00DA2344" w:rsidP="00DA2344">
            <w:pPr>
              <w:spacing w:after="0" w:line="240" w:lineRule="auto"/>
              <w:rPr>
                <w:rFonts w:ascii="Times New Roman" w:hAnsi="Times New Roman"/>
                <w:sz w:val="20"/>
                <w:szCs w:val="20"/>
              </w:rPr>
            </w:pPr>
            <w:r w:rsidRPr="00332793">
              <w:rPr>
                <w:rFonts w:ascii="Times New Roman" w:hAnsi="Times New Roman"/>
                <w:b/>
                <w:sz w:val="20"/>
                <w:szCs w:val="20"/>
              </w:rPr>
              <w:t>Инвестиции в основной капитал</w:t>
            </w:r>
            <w:r w:rsidRPr="00332793">
              <w:rPr>
                <w:rFonts w:ascii="Times New Roman" w:hAnsi="Times New Roman"/>
                <w:sz w:val="20"/>
                <w:szCs w:val="20"/>
              </w:rPr>
              <w:t xml:space="preserve"> (в части новых и приобретенных по импорту основных средств) – всего</w:t>
            </w:r>
          </w:p>
        </w:tc>
        <w:tc>
          <w:tcPr>
            <w:tcW w:w="992" w:type="dxa"/>
            <w:vAlign w:val="center"/>
          </w:tcPr>
          <w:p w:rsidR="00DA2344" w:rsidRPr="002811DF" w:rsidRDefault="00DA2344" w:rsidP="00DA2344">
            <w:pPr>
              <w:spacing w:after="0" w:line="240" w:lineRule="auto"/>
              <w:jc w:val="center"/>
              <w:rPr>
                <w:rFonts w:ascii="Times New Roman" w:hAnsi="Times New Roman"/>
                <w:b/>
                <w:sz w:val="20"/>
                <w:szCs w:val="20"/>
              </w:rPr>
            </w:pPr>
            <w:r w:rsidRPr="002811DF">
              <w:rPr>
                <w:rFonts w:ascii="Times New Roman" w:hAnsi="Times New Roman"/>
                <w:b/>
                <w:sz w:val="20"/>
                <w:szCs w:val="20"/>
              </w:rPr>
              <w:t>565,3</w:t>
            </w:r>
          </w:p>
        </w:tc>
        <w:tc>
          <w:tcPr>
            <w:tcW w:w="851" w:type="dxa"/>
            <w:vAlign w:val="center"/>
          </w:tcPr>
          <w:p w:rsidR="00DA2344" w:rsidRPr="002811DF" w:rsidRDefault="00DA2344" w:rsidP="00DA2344">
            <w:pPr>
              <w:spacing w:after="0" w:line="240" w:lineRule="auto"/>
              <w:jc w:val="center"/>
              <w:rPr>
                <w:rFonts w:ascii="Times New Roman" w:hAnsi="Times New Roman"/>
                <w:b/>
                <w:sz w:val="20"/>
                <w:szCs w:val="20"/>
              </w:rPr>
            </w:pPr>
            <w:r w:rsidRPr="002811DF">
              <w:rPr>
                <w:rFonts w:ascii="Times New Roman" w:hAnsi="Times New Roman"/>
                <w:b/>
                <w:sz w:val="20"/>
                <w:szCs w:val="20"/>
              </w:rPr>
              <w:t>100,0</w:t>
            </w:r>
          </w:p>
        </w:tc>
        <w:tc>
          <w:tcPr>
            <w:tcW w:w="993" w:type="dxa"/>
            <w:vAlign w:val="center"/>
          </w:tcPr>
          <w:p w:rsidR="00DA2344" w:rsidRPr="002811DF" w:rsidRDefault="00DA2344" w:rsidP="00DA2344">
            <w:pPr>
              <w:spacing w:after="0" w:line="240" w:lineRule="auto"/>
              <w:jc w:val="center"/>
              <w:rPr>
                <w:rFonts w:ascii="Times New Roman" w:hAnsi="Times New Roman"/>
                <w:b/>
                <w:sz w:val="20"/>
                <w:szCs w:val="20"/>
              </w:rPr>
            </w:pPr>
            <w:r w:rsidRPr="002811DF">
              <w:rPr>
                <w:rFonts w:ascii="Times New Roman" w:hAnsi="Times New Roman"/>
                <w:b/>
                <w:sz w:val="20"/>
                <w:szCs w:val="20"/>
              </w:rPr>
              <w:t>629,7</w:t>
            </w:r>
          </w:p>
        </w:tc>
        <w:tc>
          <w:tcPr>
            <w:tcW w:w="991" w:type="dxa"/>
            <w:vAlign w:val="center"/>
          </w:tcPr>
          <w:p w:rsidR="00DA2344" w:rsidRPr="002811DF" w:rsidRDefault="00DA2344" w:rsidP="00DA2344">
            <w:pPr>
              <w:spacing w:after="0" w:line="240" w:lineRule="auto"/>
              <w:jc w:val="center"/>
              <w:rPr>
                <w:rFonts w:ascii="Times New Roman" w:hAnsi="Times New Roman"/>
                <w:b/>
                <w:sz w:val="20"/>
                <w:szCs w:val="20"/>
              </w:rPr>
            </w:pPr>
            <w:r w:rsidRPr="002811DF">
              <w:rPr>
                <w:rFonts w:ascii="Times New Roman" w:hAnsi="Times New Roman"/>
                <w:b/>
                <w:sz w:val="20"/>
                <w:szCs w:val="20"/>
              </w:rPr>
              <w:t>100,0</w:t>
            </w:r>
          </w:p>
        </w:tc>
        <w:tc>
          <w:tcPr>
            <w:tcW w:w="1418" w:type="dxa"/>
            <w:vAlign w:val="center"/>
          </w:tcPr>
          <w:p w:rsidR="00DA2344" w:rsidRPr="002811DF" w:rsidRDefault="00DA2344" w:rsidP="00DA2344">
            <w:pPr>
              <w:spacing w:after="0" w:line="240" w:lineRule="auto"/>
              <w:jc w:val="center"/>
              <w:rPr>
                <w:rFonts w:ascii="Times New Roman" w:hAnsi="Times New Roman"/>
                <w:b/>
                <w:sz w:val="20"/>
                <w:szCs w:val="20"/>
              </w:rPr>
            </w:pPr>
            <w:r w:rsidRPr="002811DF">
              <w:rPr>
                <w:rFonts w:ascii="Times New Roman" w:hAnsi="Times New Roman"/>
                <w:b/>
                <w:sz w:val="20"/>
                <w:szCs w:val="20"/>
              </w:rPr>
              <w:t>101,4</w:t>
            </w:r>
          </w:p>
        </w:tc>
      </w:tr>
      <w:tr w:rsidR="00DA2344" w:rsidRPr="00332793" w:rsidTr="00DA2344">
        <w:tc>
          <w:tcPr>
            <w:tcW w:w="4219" w:type="dxa"/>
            <w:vAlign w:val="center"/>
          </w:tcPr>
          <w:p w:rsidR="00DA2344" w:rsidRPr="00332793" w:rsidRDefault="00DA2344" w:rsidP="00DA2344">
            <w:pPr>
              <w:pStyle w:val="31"/>
              <w:spacing w:after="0"/>
              <w:ind w:left="0"/>
              <w:rPr>
                <w:rFonts w:ascii="Times New Roman" w:hAnsi="Times New Roman"/>
                <w:sz w:val="20"/>
                <w:szCs w:val="20"/>
              </w:rPr>
            </w:pPr>
            <w:r w:rsidRPr="00332793">
              <w:rPr>
                <w:rFonts w:ascii="Times New Roman" w:hAnsi="Times New Roman"/>
                <w:sz w:val="20"/>
                <w:szCs w:val="20"/>
              </w:rPr>
              <w:t>в том числе:</w:t>
            </w:r>
          </w:p>
          <w:p w:rsidR="00DA2344" w:rsidRPr="00332793" w:rsidRDefault="00DA2344" w:rsidP="00DA2344">
            <w:pPr>
              <w:pStyle w:val="31"/>
              <w:spacing w:after="0"/>
              <w:ind w:left="0"/>
              <w:rPr>
                <w:rFonts w:ascii="Times New Roman" w:hAnsi="Times New Roman"/>
                <w:sz w:val="20"/>
                <w:szCs w:val="20"/>
              </w:rPr>
            </w:pPr>
            <w:r w:rsidRPr="00332793">
              <w:rPr>
                <w:rFonts w:ascii="Times New Roman" w:hAnsi="Times New Roman"/>
                <w:sz w:val="20"/>
                <w:szCs w:val="20"/>
              </w:rPr>
              <w:lastRenderedPageBreak/>
              <w:t>промышленность</w:t>
            </w:r>
          </w:p>
        </w:tc>
        <w:tc>
          <w:tcPr>
            <w:tcW w:w="992"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lastRenderedPageBreak/>
              <w:t>273,8</w:t>
            </w:r>
          </w:p>
        </w:tc>
        <w:tc>
          <w:tcPr>
            <w:tcW w:w="851"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48,4</w:t>
            </w:r>
          </w:p>
        </w:tc>
        <w:tc>
          <w:tcPr>
            <w:tcW w:w="993"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258,3</w:t>
            </w:r>
          </w:p>
        </w:tc>
        <w:tc>
          <w:tcPr>
            <w:tcW w:w="991"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41,0</w:t>
            </w:r>
          </w:p>
        </w:tc>
        <w:tc>
          <w:tcPr>
            <w:tcW w:w="1418"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89,6</w:t>
            </w:r>
          </w:p>
        </w:tc>
      </w:tr>
      <w:tr w:rsidR="00DA2344" w:rsidRPr="00332793" w:rsidTr="00DA2344">
        <w:tc>
          <w:tcPr>
            <w:tcW w:w="4219" w:type="dxa"/>
            <w:vAlign w:val="center"/>
          </w:tcPr>
          <w:p w:rsidR="00DA2344" w:rsidRPr="00332793" w:rsidRDefault="00DA2344" w:rsidP="00DA2344">
            <w:pPr>
              <w:spacing w:after="0" w:line="240" w:lineRule="auto"/>
              <w:rPr>
                <w:rFonts w:ascii="Times New Roman" w:hAnsi="Times New Roman"/>
                <w:sz w:val="20"/>
                <w:szCs w:val="20"/>
              </w:rPr>
            </w:pPr>
            <w:r w:rsidRPr="00332793">
              <w:rPr>
                <w:rFonts w:ascii="Times New Roman" w:hAnsi="Times New Roman"/>
                <w:sz w:val="20"/>
                <w:szCs w:val="20"/>
              </w:rPr>
              <w:lastRenderedPageBreak/>
              <w:t>сельское хозяйство</w:t>
            </w:r>
          </w:p>
        </w:tc>
        <w:tc>
          <w:tcPr>
            <w:tcW w:w="992"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83,4</w:t>
            </w:r>
          </w:p>
        </w:tc>
        <w:tc>
          <w:tcPr>
            <w:tcW w:w="851"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14,8</w:t>
            </w:r>
          </w:p>
        </w:tc>
        <w:tc>
          <w:tcPr>
            <w:tcW w:w="993"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115,9</w:t>
            </w:r>
          </w:p>
        </w:tc>
        <w:tc>
          <w:tcPr>
            <w:tcW w:w="991"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18,4</w:t>
            </w:r>
          </w:p>
        </w:tc>
        <w:tc>
          <w:tcPr>
            <w:tcW w:w="1418"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147,7</w:t>
            </w:r>
          </w:p>
        </w:tc>
      </w:tr>
      <w:tr w:rsidR="00DA2344" w:rsidRPr="00332793" w:rsidTr="00DA2344">
        <w:tc>
          <w:tcPr>
            <w:tcW w:w="4219" w:type="dxa"/>
            <w:vAlign w:val="center"/>
          </w:tcPr>
          <w:p w:rsidR="00DA2344" w:rsidRPr="00332793" w:rsidRDefault="00DA2344" w:rsidP="00DA2344">
            <w:pPr>
              <w:spacing w:after="0" w:line="240" w:lineRule="auto"/>
              <w:rPr>
                <w:rFonts w:ascii="Times New Roman" w:hAnsi="Times New Roman"/>
                <w:sz w:val="20"/>
                <w:szCs w:val="20"/>
              </w:rPr>
            </w:pPr>
            <w:r w:rsidRPr="00332793">
              <w:rPr>
                <w:rFonts w:ascii="Times New Roman" w:hAnsi="Times New Roman"/>
                <w:sz w:val="20"/>
                <w:szCs w:val="20"/>
              </w:rPr>
              <w:t>транспорт</w:t>
            </w:r>
          </w:p>
        </w:tc>
        <w:tc>
          <w:tcPr>
            <w:tcW w:w="992"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29,2</w:t>
            </w:r>
          </w:p>
        </w:tc>
        <w:tc>
          <w:tcPr>
            <w:tcW w:w="851"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5,2</w:t>
            </w:r>
          </w:p>
        </w:tc>
        <w:tc>
          <w:tcPr>
            <w:tcW w:w="993"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77,2</w:t>
            </w:r>
          </w:p>
        </w:tc>
        <w:tc>
          <w:tcPr>
            <w:tcW w:w="991"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12,3</w:t>
            </w:r>
          </w:p>
        </w:tc>
        <w:tc>
          <w:tcPr>
            <w:tcW w:w="1418"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в 2,2 р.</w:t>
            </w:r>
          </w:p>
        </w:tc>
      </w:tr>
      <w:tr w:rsidR="00DA2344" w:rsidRPr="00332793" w:rsidTr="00DA2344">
        <w:tc>
          <w:tcPr>
            <w:tcW w:w="4219" w:type="dxa"/>
            <w:vAlign w:val="center"/>
          </w:tcPr>
          <w:p w:rsidR="00DA2344" w:rsidRPr="00332793" w:rsidRDefault="00DA2344" w:rsidP="00DA2344">
            <w:pPr>
              <w:spacing w:after="0" w:line="240" w:lineRule="auto"/>
              <w:rPr>
                <w:rFonts w:ascii="Times New Roman" w:hAnsi="Times New Roman"/>
                <w:sz w:val="20"/>
                <w:szCs w:val="20"/>
              </w:rPr>
            </w:pPr>
            <w:r w:rsidRPr="00332793">
              <w:rPr>
                <w:rFonts w:ascii="Times New Roman" w:hAnsi="Times New Roman"/>
                <w:sz w:val="20"/>
                <w:szCs w:val="20"/>
              </w:rPr>
              <w:t>связь</w:t>
            </w:r>
          </w:p>
        </w:tc>
        <w:tc>
          <w:tcPr>
            <w:tcW w:w="992"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30,0</w:t>
            </w:r>
          </w:p>
        </w:tc>
        <w:tc>
          <w:tcPr>
            <w:tcW w:w="851"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5,3</w:t>
            </w:r>
          </w:p>
        </w:tc>
        <w:tc>
          <w:tcPr>
            <w:tcW w:w="993"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26,4</w:t>
            </w:r>
          </w:p>
        </w:tc>
        <w:tc>
          <w:tcPr>
            <w:tcW w:w="991"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4,2</w:t>
            </w:r>
          </w:p>
        </w:tc>
        <w:tc>
          <w:tcPr>
            <w:tcW w:w="1418"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74,4</w:t>
            </w:r>
          </w:p>
        </w:tc>
      </w:tr>
      <w:tr w:rsidR="00DA2344" w:rsidRPr="00332793" w:rsidTr="00DA2344">
        <w:tc>
          <w:tcPr>
            <w:tcW w:w="4219" w:type="dxa"/>
            <w:vAlign w:val="center"/>
          </w:tcPr>
          <w:p w:rsidR="00DA2344" w:rsidRPr="00332793" w:rsidRDefault="00DA2344" w:rsidP="00DA2344">
            <w:pPr>
              <w:spacing w:after="0" w:line="240" w:lineRule="auto"/>
              <w:rPr>
                <w:rFonts w:ascii="Times New Roman" w:hAnsi="Times New Roman"/>
                <w:sz w:val="20"/>
                <w:szCs w:val="20"/>
              </w:rPr>
            </w:pPr>
            <w:r w:rsidRPr="00332793">
              <w:rPr>
                <w:rFonts w:ascii="Times New Roman" w:hAnsi="Times New Roman"/>
                <w:sz w:val="20"/>
                <w:szCs w:val="20"/>
              </w:rPr>
              <w:t>строительство</w:t>
            </w:r>
          </w:p>
        </w:tc>
        <w:tc>
          <w:tcPr>
            <w:tcW w:w="992"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4,0</w:t>
            </w:r>
          </w:p>
        </w:tc>
        <w:tc>
          <w:tcPr>
            <w:tcW w:w="851"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0,7</w:t>
            </w:r>
          </w:p>
        </w:tc>
        <w:tc>
          <w:tcPr>
            <w:tcW w:w="993"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4,5</w:t>
            </w:r>
          </w:p>
        </w:tc>
        <w:tc>
          <w:tcPr>
            <w:tcW w:w="991"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0,7</w:t>
            </w:r>
          </w:p>
        </w:tc>
        <w:tc>
          <w:tcPr>
            <w:tcW w:w="1418"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111,0</w:t>
            </w:r>
          </w:p>
        </w:tc>
      </w:tr>
      <w:tr w:rsidR="00DA2344" w:rsidRPr="00332793" w:rsidTr="00DA2344">
        <w:tc>
          <w:tcPr>
            <w:tcW w:w="4219" w:type="dxa"/>
            <w:vAlign w:val="center"/>
          </w:tcPr>
          <w:p w:rsidR="00DA2344" w:rsidRPr="00332793" w:rsidRDefault="00DA2344" w:rsidP="00DA2344">
            <w:pPr>
              <w:spacing w:after="0" w:line="240" w:lineRule="auto"/>
              <w:rPr>
                <w:rFonts w:ascii="Times New Roman" w:hAnsi="Times New Roman"/>
                <w:sz w:val="20"/>
                <w:szCs w:val="20"/>
              </w:rPr>
            </w:pPr>
            <w:r w:rsidRPr="00332793">
              <w:rPr>
                <w:rFonts w:ascii="Times New Roman" w:hAnsi="Times New Roman"/>
                <w:sz w:val="20"/>
                <w:szCs w:val="20"/>
              </w:rPr>
              <w:t>торговля и общественное питание</w:t>
            </w:r>
          </w:p>
        </w:tc>
        <w:tc>
          <w:tcPr>
            <w:tcW w:w="992"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58,4</w:t>
            </w:r>
          </w:p>
        </w:tc>
        <w:tc>
          <w:tcPr>
            <w:tcW w:w="851"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10,3</w:t>
            </w:r>
          </w:p>
        </w:tc>
        <w:tc>
          <w:tcPr>
            <w:tcW w:w="993"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53,9</w:t>
            </w:r>
          </w:p>
        </w:tc>
        <w:tc>
          <w:tcPr>
            <w:tcW w:w="991"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8,6</w:t>
            </w:r>
          </w:p>
        </w:tc>
        <w:tc>
          <w:tcPr>
            <w:tcW w:w="1418"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74,9</w:t>
            </w:r>
          </w:p>
        </w:tc>
      </w:tr>
      <w:tr w:rsidR="00DA2344" w:rsidRPr="00332793" w:rsidTr="00DA2344">
        <w:tc>
          <w:tcPr>
            <w:tcW w:w="4219" w:type="dxa"/>
            <w:vAlign w:val="center"/>
          </w:tcPr>
          <w:p w:rsidR="00DA2344" w:rsidRPr="00332793" w:rsidRDefault="00DA2344" w:rsidP="00DA2344">
            <w:pPr>
              <w:spacing w:after="0" w:line="240" w:lineRule="auto"/>
              <w:rPr>
                <w:rFonts w:ascii="Times New Roman" w:hAnsi="Times New Roman"/>
                <w:sz w:val="20"/>
                <w:szCs w:val="20"/>
              </w:rPr>
            </w:pPr>
            <w:r w:rsidRPr="00332793">
              <w:rPr>
                <w:rFonts w:ascii="Times New Roman" w:hAnsi="Times New Roman"/>
                <w:sz w:val="20"/>
                <w:szCs w:val="20"/>
              </w:rPr>
              <w:t>жилищное строительство</w:t>
            </w:r>
          </w:p>
        </w:tc>
        <w:tc>
          <w:tcPr>
            <w:tcW w:w="992"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11,8</w:t>
            </w:r>
          </w:p>
        </w:tc>
        <w:tc>
          <w:tcPr>
            <w:tcW w:w="851"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2,1</w:t>
            </w:r>
          </w:p>
        </w:tc>
        <w:tc>
          <w:tcPr>
            <w:tcW w:w="993"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5,2</w:t>
            </w:r>
          </w:p>
        </w:tc>
        <w:tc>
          <w:tcPr>
            <w:tcW w:w="991"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0,8</w:t>
            </w:r>
          </w:p>
        </w:tc>
        <w:tc>
          <w:tcPr>
            <w:tcW w:w="1418"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44,0</w:t>
            </w:r>
          </w:p>
        </w:tc>
      </w:tr>
      <w:tr w:rsidR="00DA2344" w:rsidRPr="00332793" w:rsidTr="00DA2344">
        <w:tc>
          <w:tcPr>
            <w:tcW w:w="4219" w:type="dxa"/>
            <w:vAlign w:val="center"/>
          </w:tcPr>
          <w:p w:rsidR="00DA2344" w:rsidRPr="00332793" w:rsidRDefault="00DA2344" w:rsidP="00DA2344">
            <w:pPr>
              <w:spacing w:after="0" w:line="240" w:lineRule="auto"/>
              <w:rPr>
                <w:rFonts w:ascii="Times New Roman" w:hAnsi="Times New Roman"/>
                <w:sz w:val="20"/>
                <w:szCs w:val="20"/>
              </w:rPr>
            </w:pPr>
            <w:r w:rsidRPr="00332793">
              <w:rPr>
                <w:rFonts w:ascii="Times New Roman" w:hAnsi="Times New Roman"/>
                <w:sz w:val="20"/>
                <w:szCs w:val="20"/>
              </w:rPr>
              <w:t>коммунальное хозяйство</w:t>
            </w:r>
          </w:p>
        </w:tc>
        <w:tc>
          <w:tcPr>
            <w:tcW w:w="992"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5,1</w:t>
            </w:r>
          </w:p>
        </w:tc>
        <w:tc>
          <w:tcPr>
            <w:tcW w:w="851"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0,9</w:t>
            </w:r>
          </w:p>
        </w:tc>
        <w:tc>
          <w:tcPr>
            <w:tcW w:w="993"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13,5</w:t>
            </w:r>
          </w:p>
        </w:tc>
        <w:tc>
          <w:tcPr>
            <w:tcW w:w="991"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2,1</w:t>
            </w:r>
          </w:p>
        </w:tc>
        <w:tc>
          <w:tcPr>
            <w:tcW w:w="1418"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в 2,9 р.</w:t>
            </w:r>
          </w:p>
        </w:tc>
      </w:tr>
      <w:tr w:rsidR="00DA2344" w:rsidRPr="00332793" w:rsidTr="00DA2344">
        <w:tc>
          <w:tcPr>
            <w:tcW w:w="4219" w:type="dxa"/>
            <w:vAlign w:val="center"/>
          </w:tcPr>
          <w:p w:rsidR="00DA2344" w:rsidRPr="00332793" w:rsidRDefault="00DA2344" w:rsidP="00DA2344">
            <w:pPr>
              <w:pStyle w:val="31"/>
              <w:spacing w:after="0"/>
              <w:ind w:left="0"/>
              <w:rPr>
                <w:rFonts w:ascii="Times New Roman" w:hAnsi="Times New Roman"/>
                <w:sz w:val="20"/>
                <w:szCs w:val="20"/>
              </w:rPr>
            </w:pPr>
            <w:r w:rsidRPr="00332793">
              <w:rPr>
                <w:rFonts w:ascii="Times New Roman" w:hAnsi="Times New Roman"/>
                <w:sz w:val="20"/>
                <w:szCs w:val="20"/>
              </w:rPr>
              <w:t>здравоохранение и соц. обеспечение</w:t>
            </w:r>
          </w:p>
        </w:tc>
        <w:tc>
          <w:tcPr>
            <w:tcW w:w="992"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4,2</w:t>
            </w:r>
          </w:p>
        </w:tc>
        <w:tc>
          <w:tcPr>
            <w:tcW w:w="851"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0,7</w:t>
            </w:r>
          </w:p>
        </w:tc>
        <w:tc>
          <w:tcPr>
            <w:tcW w:w="993"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26,4</w:t>
            </w:r>
          </w:p>
        </w:tc>
        <w:tc>
          <w:tcPr>
            <w:tcW w:w="991"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4,2</w:t>
            </w:r>
          </w:p>
        </w:tc>
        <w:tc>
          <w:tcPr>
            <w:tcW w:w="1418"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в 4,4 р.</w:t>
            </w:r>
          </w:p>
        </w:tc>
      </w:tr>
      <w:tr w:rsidR="00DA2344" w:rsidRPr="00332793" w:rsidTr="00DA2344">
        <w:tc>
          <w:tcPr>
            <w:tcW w:w="4219" w:type="dxa"/>
            <w:vAlign w:val="center"/>
          </w:tcPr>
          <w:p w:rsidR="00DA2344" w:rsidRPr="00332793" w:rsidRDefault="00DA2344" w:rsidP="00DA2344">
            <w:pPr>
              <w:pStyle w:val="31"/>
              <w:spacing w:after="0"/>
              <w:ind w:left="0"/>
              <w:rPr>
                <w:rFonts w:ascii="Times New Roman" w:hAnsi="Times New Roman"/>
                <w:sz w:val="20"/>
                <w:szCs w:val="20"/>
              </w:rPr>
            </w:pPr>
            <w:r w:rsidRPr="00332793">
              <w:rPr>
                <w:rFonts w:ascii="Times New Roman" w:hAnsi="Times New Roman"/>
                <w:sz w:val="20"/>
                <w:szCs w:val="20"/>
              </w:rPr>
              <w:t>образование</w:t>
            </w:r>
          </w:p>
        </w:tc>
        <w:tc>
          <w:tcPr>
            <w:tcW w:w="992"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5,9</w:t>
            </w:r>
          </w:p>
        </w:tc>
        <w:tc>
          <w:tcPr>
            <w:tcW w:w="851"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1,1</w:t>
            </w:r>
          </w:p>
        </w:tc>
        <w:tc>
          <w:tcPr>
            <w:tcW w:w="993"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5,4</w:t>
            </w:r>
          </w:p>
        </w:tc>
        <w:tc>
          <w:tcPr>
            <w:tcW w:w="991"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0,9</w:t>
            </w:r>
          </w:p>
        </w:tc>
        <w:tc>
          <w:tcPr>
            <w:tcW w:w="1418"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97,8</w:t>
            </w:r>
          </w:p>
        </w:tc>
      </w:tr>
      <w:tr w:rsidR="00DA2344" w:rsidRPr="00332793" w:rsidTr="00DA2344">
        <w:tc>
          <w:tcPr>
            <w:tcW w:w="4219" w:type="dxa"/>
            <w:vAlign w:val="center"/>
          </w:tcPr>
          <w:p w:rsidR="00DA2344" w:rsidRPr="00332793" w:rsidRDefault="00DA2344" w:rsidP="00DA2344">
            <w:pPr>
              <w:pStyle w:val="31"/>
              <w:spacing w:after="0"/>
              <w:ind w:left="0"/>
              <w:rPr>
                <w:rFonts w:ascii="Times New Roman" w:hAnsi="Times New Roman"/>
                <w:sz w:val="20"/>
                <w:szCs w:val="20"/>
              </w:rPr>
            </w:pPr>
            <w:r w:rsidRPr="00332793">
              <w:rPr>
                <w:rFonts w:ascii="Times New Roman" w:hAnsi="Times New Roman"/>
                <w:sz w:val="20"/>
                <w:szCs w:val="20"/>
              </w:rPr>
              <w:t>прочие</w:t>
            </w:r>
          </w:p>
        </w:tc>
        <w:tc>
          <w:tcPr>
            <w:tcW w:w="992" w:type="dxa"/>
            <w:vAlign w:val="center"/>
          </w:tcPr>
          <w:p w:rsidR="00DA2344" w:rsidRPr="002811DF" w:rsidRDefault="00DA2344" w:rsidP="00DA2344">
            <w:pPr>
              <w:spacing w:after="0" w:line="240" w:lineRule="auto"/>
              <w:jc w:val="center"/>
              <w:rPr>
                <w:rFonts w:ascii="Times New Roman" w:hAnsi="Times New Roman"/>
                <w:sz w:val="20"/>
                <w:szCs w:val="20"/>
                <w:highlight w:val="yellow"/>
              </w:rPr>
            </w:pPr>
            <w:r w:rsidRPr="002811DF">
              <w:rPr>
                <w:rFonts w:ascii="Times New Roman" w:hAnsi="Times New Roman"/>
                <w:sz w:val="20"/>
                <w:szCs w:val="20"/>
              </w:rPr>
              <w:t>59,4</w:t>
            </w:r>
          </w:p>
        </w:tc>
        <w:tc>
          <w:tcPr>
            <w:tcW w:w="851"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10,5</w:t>
            </w:r>
          </w:p>
        </w:tc>
        <w:tc>
          <w:tcPr>
            <w:tcW w:w="993"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43,</w:t>
            </w:r>
            <w:r>
              <w:rPr>
                <w:rFonts w:ascii="Times New Roman" w:hAnsi="Times New Roman"/>
                <w:sz w:val="20"/>
                <w:szCs w:val="20"/>
              </w:rPr>
              <w:t>0</w:t>
            </w:r>
          </w:p>
        </w:tc>
        <w:tc>
          <w:tcPr>
            <w:tcW w:w="991"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6,8</w:t>
            </w:r>
          </w:p>
        </w:tc>
        <w:tc>
          <w:tcPr>
            <w:tcW w:w="1418" w:type="dxa"/>
            <w:vAlign w:val="center"/>
          </w:tcPr>
          <w:p w:rsidR="00DA2344" w:rsidRPr="002811DF" w:rsidRDefault="00DA2344" w:rsidP="00DA2344">
            <w:pPr>
              <w:spacing w:after="0" w:line="240" w:lineRule="auto"/>
              <w:jc w:val="center"/>
              <w:rPr>
                <w:rFonts w:ascii="Times New Roman" w:hAnsi="Times New Roman"/>
                <w:sz w:val="20"/>
                <w:szCs w:val="20"/>
              </w:rPr>
            </w:pPr>
            <w:r w:rsidRPr="002811DF">
              <w:rPr>
                <w:rFonts w:ascii="Times New Roman" w:hAnsi="Times New Roman"/>
                <w:sz w:val="20"/>
                <w:szCs w:val="20"/>
              </w:rPr>
              <w:t>54,5</w:t>
            </w:r>
          </w:p>
        </w:tc>
      </w:tr>
    </w:tbl>
    <w:p w:rsidR="00DA2344" w:rsidRDefault="00DA2344" w:rsidP="00DA2344">
      <w:pPr>
        <w:spacing w:after="0" w:line="240" w:lineRule="auto"/>
        <w:ind w:left="360" w:hanging="502"/>
        <w:rPr>
          <w:rFonts w:ascii="Times New Roman" w:hAnsi="Times New Roman"/>
          <w:b/>
          <w:sz w:val="28"/>
          <w:szCs w:val="28"/>
        </w:rPr>
      </w:pPr>
      <w:r w:rsidRPr="000E0787">
        <w:rPr>
          <w:rFonts w:ascii="Times New Roman" w:hAnsi="Times New Roman"/>
          <w:i/>
          <w:spacing w:val="2"/>
          <w:sz w:val="20"/>
          <w:szCs w:val="20"/>
        </w:rPr>
        <w:t xml:space="preserve">   </w:t>
      </w:r>
      <w:r>
        <w:rPr>
          <w:rFonts w:ascii="Times New Roman" w:hAnsi="Times New Roman"/>
          <w:i/>
          <w:spacing w:val="2"/>
          <w:sz w:val="20"/>
          <w:szCs w:val="20"/>
        </w:rPr>
        <w:t xml:space="preserve"> </w:t>
      </w:r>
      <w:r w:rsidRPr="000E0787">
        <w:rPr>
          <w:rFonts w:ascii="Times New Roman" w:hAnsi="Times New Roman"/>
          <w:i/>
          <w:spacing w:val="2"/>
          <w:sz w:val="20"/>
          <w:szCs w:val="20"/>
        </w:rPr>
        <w:t xml:space="preserve">* </w:t>
      </w:r>
      <w:r w:rsidRPr="008734D7">
        <w:rPr>
          <w:rFonts w:ascii="Times New Roman" w:hAnsi="Times New Roman"/>
          <w:spacing w:val="2"/>
          <w:sz w:val="20"/>
          <w:szCs w:val="20"/>
        </w:rPr>
        <w:t xml:space="preserve">темпы роста </w:t>
      </w:r>
      <w:r>
        <w:rPr>
          <w:rFonts w:ascii="Times New Roman" w:hAnsi="Times New Roman"/>
          <w:spacing w:val="2"/>
          <w:sz w:val="20"/>
          <w:szCs w:val="20"/>
        </w:rPr>
        <w:t>приведены к</w:t>
      </w:r>
      <w:r w:rsidRPr="008734D7">
        <w:rPr>
          <w:rFonts w:ascii="Times New Roman" w:hAnsi="Times New Roman"/>
          <w:spacing w:val="2"/>
          <w:sz w:val="20"/>
          <w:szCs w:val="20"/>
        </w:rPr>
        <w:t xml:space="preserve"> уточнённы</w:t>
      </w:r>
      <w:r>
        <w:rPr>
          <w:rFonts w:ascii="Times New Roman" w:hAnsi="Times New Roman"/>
          <w:spacing w:val="2"/>
          <w:sz w:val="20"/>
          <w:szCs w:val="20"/>
        </w:rPr>
        <w:t>м</w:t>
      </w:r>
      <w:r w:rsidRPr="008734D7">
        <w:rPr>
          <w:rFonts w:ascii="Times New Roman" w:hAnsi="Times New Roman"/>
          <w:spacing w:val="2"/>
          <w:sz w:val="20"/>
          <w:szCs w:val="20"/>
        </w:rPr>
        <w:t xml:space="preserve"> данны</w:t>
      </w:r>
      <w:r>
        <w:rPr>
          <w:rFonts w:ascii="Times New Roman" w:hAnsi="Times New Roman"/>
          <w:spacing w:val="2"/>
          <w:sz w:val="20"/>
          <w:szCs w:val="20"/>
        </w:rPr>
        <w:t>м</w:t>
      </w:r>
    </w:p>
    <w:p w:rsidR="00DA2344" w:rsidRDefault="00DA2344" w:rsidP="00DA2344">
      <w:pPr>
        <w:spacing w:after="0" w:line="240" w:lineRule="auto"/>
        <w:ind w:left="-142" w:firstLine="284"/>
        <w:jc w:val="center"/>
        <w:rPr>
          <w:rFonts w:ascii="Times New Roman" w:hAnsi="Times New Roman"/>
          <w:b/>
          <w:sz w:val="24"/>
          <w:szCs w:val="24"/>
        </w:rPr>
      </w:pPr>
    </w:p>
    <w:p w:rsidR="00DA2344" w:rsidRDefault="00DA2344" w:rsidP="00DA2344">
      <w:pPr>
        <w:spacing w:after="0" w:line="240" w:lineRule="auto"/>
        <w:ind w:left="-142" w:firstLine="284"/>
        <w:jc w:val="center"/>
        <w:rPr>
          <w:rFonts w:ascii="Times New Roman" w:hAnsi="Times New Roman"/>
        </w:rPr>
      </w:pPr>
      <w:r w:rsidRPr="007C656F">
        <w:rPr>
          <w:rFonts w:ascii="Times New Roman" w:hAnsi="Times New Roman"/>
          <w:b/>
          <w:sz w:val="24"/>
          <w:szCs w:val="24"/>
        </w:rPr>
        <w:t>Распределение инвестиций в основной капитал по отраслям экономики</w:t>
      </w:r>
      <w:r w:rsidRPr="00AE52F7">
        <w:rPr>
          <w:rFonts w:ascii="Times New Roman" w:hAnsi="Times New Roman"/>
        </w:rPr>
        <w:t xml:space="preserve"> </w:t>
      </w:r>
    </w:p>
    <w:p w:rsidR="00DA2344" w:rsidRDefault="00DA2344" w:rsidP="00DA2344">
      <w:pPr>
        <w:spacing w:after="0" w:line="240" w:lineRule="auto"/>
        <w:ind w:left="-142" w:firstLine="284"/>
        <w:jc w:val="center"/>
        <w:rPr>
          <w:rFonts w:ascii="Times New Roman" w:hAnsi="Times New Roman"/>
          <w:bCs/>
        </w:rPr>
      </w:pPr>
      <w:r w:rsidRPr="00AE52F7">
        <w:rPr>
          <w:rFonts w:ascii="Times New Roman" w:hAnsi="Times New Roman"/>
          <w:bCs/>
        </w:rPr>
        <w:t>(млн. руб., %)</w:t>
      </w:r>
    </w:p>
    <w:p w:rsidR="00DA2344" w:rsidRDefault="00DA2344" w:rsidP="00DA2344">
      <w:pPr>
        <w:spacing w:after="0" w:line="240" w:lineRule="auto"/>
        <w:ind w:firstLine="720"/>
        <w:jc w:val="center"/>
        <w:rPr>
          <w:rFonts w:ascii="Times New Roman" w:hAnsi="Times New Roman"/>
          <w:bCs/>
        </w:rPr>
      </w:pPr>
    </w:p>
    <w:p w:rsidR="00DA2344" w:rsidRPr="00000802" w:rsidRDefault="00DA2344" w:rsidP="00DA2344">
      <w:pPr>
        <w:spacing w:after="0" w:line="240" w:lineRule="auto"/>
        <w:jc w:val="both"/>
        <w:rPr>
          <w:rFonts w:ascii="Times New Roman" w:hAnsi="Times New Roman"/>
          <w:spacing w:val="2"/>
          <w:sz w:val="24"/>
          <w:szCs w:val="24"/>
        </w:rPr>
      </w:pPr>
      <w:r w:rsidRPr="005C3818">
        <w:rPr>
          <w:rFonts w:ascii="Times New Roman" w:hAnsi="Times New Roman"/>
          <w:noProof/>
          <w:color w:val="C6D9F1" w:themeColor="text2" w:themeTint="33"/>
          <w:sz w:val="16"/>
          <w:szCs w:val="16"/>
        </w:rPr>
        <w:drawing>
          <wp:inline distT="0" distB="0" distL="0" distR="0">
            <wp:extent cx="2828925" cy="2428875"/>
            <wp:effectExtent l="0" t="0" r="0" b="0"/>
            <wp:docPr id="15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5C3818">
        <w:rPr>
          <w:rFonts w:ascii="Times New Roman" w:hAnsi="Times New Roman"/>
          <w:b/>
          <w:noProof/>
          <w:sz w:val="16"/>
          <w:szCs w:val="16"/>
        </w:rPr>
        <w:drawing>
          <wp:inline distT="0" distB="0" distL="0" distR="0">
            <wp:extent cx="3057525" cy="2447925"/>
            <wp:effectExtent l="19050" t="0" r="0" b="0"/>
            <wp:docPr id="15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A2344" w:rsidRDefault="00DA2344" w:rsidP="00DA2344">
      <w:pPr>
        <w:shd w:val="clear" w:color="auto" w:fill="FFFFFF" w:themeFill="background1"/>
        <w:spacing w:after="0" w:line="240" w:lineRule="auto"/>
        <w:ind w:firstLine="709"/>
        <w:jc w:val="both"/>
        <w:rPr>
          <w:rFonts w:ascii="Times New Roman" w:hAnsi="Times New Roman"/>
          <w:sz w:val="24"/>
          <w:szCs w:val="24"/>
        </w:rPr>
      </w:pPr>
      <w:r w:rsidRPr="00332793">
        <w:rPr>
          <w:rFonts w:ascii="Times New Roman" w:hAnsi="Times New Roman"/>
          <w:sz w:val="24"/>
          <w:szCs w:val="24"/>
        </w:rPr>
        <w:t>Наряду с этим, реализация социальных проектов в рамках сотрудничества</w:t>
      </w:r>
      <w:r>
        <w:rPr>
          <w:rFonts w:ascii="Times New Roman" w:hAnsi="Times New Roman"/>
          <w:sz w:val="24"/>
          <w:szCs w:val="24"/>
        </w:rPr>
        <w:br/>
      </w:r>
      <w:r w:rsidRPr="00332793">
        <w:rPr>
          <w:rFonts w:ascii="Times New Roman" w:hAnsi="Times New Roman"/>
          <w:sz w:val="24"/>
          <w:szCs w:val="24"/>
        </w:rPr>
        <w:t xml:space="preserve">с АНО «Евразийская интеграция» </w:t>
      </w:r>
      <w:r>
        <w:rPr>
          <w:rFonts w:ascii="Times New Roman" w:hAnsi="Times New Roman"/>
          <w:sz w:val="24"/>
          <w:szCs w:val="24"/>
        </w:rPr>
        <w:t>в рассматриваемом периоде продолжила</w:t>
      </w:r>
      <w:r w:rsidRPr="00332793">
        <w:rPr>
          <w:rFonts w:ascii="Times New Roman" w:hAnsi="Times New Roman"/>
          <w:sz w:val="24"/>
          <w:szCs w:val="24"/>
        </w:rPr>
        <w:t xml:space="preserve"> расширение объемов средств, направленных в модернизацию и техническое обновление инфраструктуры в сфере здравоохранения и социального обеспечения (в </w:t>
      </w:r>
      <w:r>
        <w:rPr>
          <w:rFonts w:ascii="Times New Roman" w:hAnsi="Times New Roman"/>
          <w:sz w:val="24"/>
          <w:szCs w:val="24"/>
        </w:rPr>
        <w:t>4,4</w:t>
      </w:r>
      <w:r w:rsidRPr="00332793">
        <w:rPr>
          <w:rFonts w:ascii="Times New Roman" w:hAnsi="Times New Roman"/>
          <w:sz w:val="24"/>
          <w:szCs w:val="24"/>
        </w:rPr>
        <w:t xml:space="preserve"> раза)</w:t>
      </w:r>
      <w:r>
        <w:rPr>
          <w:rFonts w:ascii="Times New Roman" w:hAnsi="Times New Roman"/>
          <w:sz w:val="24"/>
          <w:szCs w:val="24"/>
        </w:rPr>
        <w:t>.</w:t>
      </w:r>
    </w:p>
    <w:p w:rsidR="00DA2344" w:rsidRDefault="00DA2344" w:rsidP="00DA2344">
      <w:pPr>
        <w:shd w:val="clear" w:color="auto" w:fill="FFFFFF" w:themeFill="background1"/>
        <w:spacing w:after="0" w:line="240" w:lineRule="auto"/>
        <w:ind w:firstLine="709"/>
        <w:jc w:val="both"/>
        <w:rPr>
          <w:rFonts w:ascii="Times New Roman" w:hAnsi="Times New Roman"/>
          <w:sz w:val="24"/>
          <w:szCs w:val="24"/>
        </w:rPr>
      </w:pPr>
      <w:r>
        <w:rPr>
          <w:rFonts w:ascii="Times New Roman" w:hAnsi="Times New Roman"/>
          <w:sz w:val="24"/>
          <w:szCs w:val="24"/>
        </w:rPr>
        <w:t>Таким образом, неопределённость дальнейших перспектив развития в связи с обострением ситуации в сопредельных государствах на фоне отсутствия доступа к внешнему финансированию и ограниченности внутренних ресурсов отразилась на инвестиционной активности хозяйствующих субъектов республики и предопределила отрицательную динамику показателей долгосрочных вложений в основной капитал.</w:t>
      </w:r>
    </w:p>
    <w:p w:rsidR="00DE2491" w:rsidRDefault="00DE2491" w:rsidP="00332793">
      <w:pPr>
        <w:shd w:val="clear" w:color="auto" w:fill="FFFFFF"/>
        <w:spacing w:after="0" w:line="240" w:lineRule="auto"/>
        <w:ind w:firstLine="709"/>
        <w:jc w:val="both"/>
        <w:rPr>
          <w:rFonts w:ascii="Times New Roman" w:hAnsi="Times New Roman"/>
          <w:sz w:val="24"/>
          <w:szCs w:val="24"/>
        </w:rPr>
      </w:pPr>
    </w:p>
    <w:p w:rsidR="00DA2344" w:rsidRPr="00C17273" w:rsidRDefault="00DA2344" w:rsidP="00DA2344">
      <w:pPr>
        <w:spacing w:after="0" w:line="240" w:lineRule="auto"/>
        <w:ind w:firstLine="709"/>
        <w:rPr>
          <w:rFonts w:ascii="Times New Roman" w:hAnsi="Times New Roman"/>
          <w:b/>
          <w:sz w:val="24"/>
          <w:szCs w:val="24"/>
        </w:rPr>
      </w:pPr>
      <w:r w:rsidRPr="00EE6B2D">
        <w:rPr>
          <w:rFonts w:ascii="Times New Roman" w:hAnsi="Times New Roman"/>
          <w:b/>
          <w:sz w:val="24"/>
          <w:szCs w:val="24"/>
        </w:rPr>
        <w:t>Транспорт</w:t>
      </w:r>
    </w:p>
    <w:p w:rsidR="00DA2344" w:rsidRPr="00C17273" w:rsidRDefault="00DA2344" w:rsidP="00DA2344">
      <w:pPr>
        <w:spacing w:after="0" w:line="240" w:lineRule="auto"/>
        <w:ind w:firstLine="709"/>
        <w:rPr>
          <w:rFonts w:ascii="Times New Roman" w:hAnsi="Times New Roman"/>
          <w:b/>
          <w:sz w:val="24"/>
          <w:szCs w:val="24"/>
        </w:rPr>
      </w:pPr>
    </w:p>
    <w:p w:rsidR="00DA2344" w:rsidRDefault="00DA2344" w:rsidP="00DA2344">
      <w:pPr>
        <w:spacing w:after="0" w:line="240" w:lineRule="auto"/>
        <w:ind w:firstLine="709"/>
        <w:jc w:val="both"/>
        <w:rPr>
          <w:rFonts w:ascii="Times New Roman" w:hAnsi="Times New Roman"/>
          <w:sz w:val="24"/>
          <w:szCs w:val="24"/>
        </w:rPr>
      </w:pPr>
      <w:r>
        <w:rPr>
          <w:rFonts w:ascii="Times New Roman" w:hAnsi="Times New Roman"/>
          <w:sz w:val="24"/>
          <w:szCs w:val="24"/>
        </w:rPr>
        <w:t>Одной из важнейших систем жизнеобеспечения является транспорт, его устойчивое, сбалансированное и эффективное развитие способствует удовлетворению потребностей в транспортных услугах, а также обеспечивает растущий спрос на транспортные услуги.</w:t>
      </w:r>
    </w:p>
    <w:p w:rsidR="00DA2344" w:rsidRPr="00C17273" w:rsidRDefault="00DA2344" w:rsidP="00DA2344">
      <w:pPr>
        <w:spacing w:after="0" w:line="240" w:lineRule="auto"/>
        <w:ind w:firstLine="709"/>
        <w:jc w:val="both"/>
        <w:rPr>
          <w:rFonts w:ascii="Times New Roman" w:hAnsi="Times New Roman"/>
          <w:sz w:val="24"/>
          <w:szCs w:val="24"/>
          <w:highlight w:val="cyan"/>
        </w:rPr>
      </w:pPr>
      <w:r w:rsidRPr="00C17273">
        <w:rPr>
          <w:rFonts w:ascii="Times New Roman" w:hAnsi="Times New Roman"/>
          <w:sz w:val="24"/>
          <w:szCs w:val="24"/>
        </w:rPr>
        <w:t xml:space="preserve">Показатели деятельности организаций </w:t>
      </w:r>
      <w:r w:rsidRPr="00C17273">
        <w:rPr>
          <w:rFonts w:ascii="Times New Roman" w:hAnsi="Times New Roman"/>
          <w:b/>
          <w:i/>
          <w:sz w:val="24"/>
          <w:szCs w:val="24"/>
        </w:rPr>
        <w:t xml:space="preserve">грузового автомобильного транспорта </w:t>
      </w:r>
      <w:r w:rsidRPr="00C17273">
        <w:rPr>
          <w:rFonts w:ascii="Times New Roman" w:hAnsi="Times New Roman"/>
          <w:sz w:val="24"/>
          <w:szCs w:val="24"/>
        </w:rPr>
        <w:t>в январе-июне 2014 году демонстрируют положительную динамику, что в большей мере обусловлено ростом объемов грузооборота.</w:t>
      </w:r>
    </w:p>
    <w:p w:rsidR="00DA2344" w:rsidRPr="00C17273" w:rsidRDefault="00DA2344" w:rsidP="00DA2344">
      <w:pPr>
        <w:spacing w:after="0" w:line="240" w:lineRule="auto"/>
        <w:ind w:firstLine="709"/>
        <w:jc w:val="both"/>
        <w:rPr>
          <w:rFonts w:ascii="Times New Roman" w:hAnsi="Times New Roman"/>
          <w:spacing w:val="3"/>
          <w:sz w:val="24"/>
          <w:szCs w:val="24"/>
        </w:rPr>
      </w:pPr>
      <w:r w:rsidRPr="00C17273">
        <w:rPr>
          <w:rFonts w:ascii="Times New Roman" w:hAnsi="Times New Roman"/>
          <w:sz w:val="24"/>
          <w:szCs w:val="24"/>
        </w:rPr>
        <w:t xml:space="preserve">Грузооборот по автотранспортным организациям общего пользования за </w:t>
      </w:r>
      <w:r w:rsidR="00381ABA">
        <w:rPr>
          <w:rFonts w:ascii="Times New Roman" w:hAnsi="Times New Roman"/>
          <w:sz w:val="24"/>
          <w:szCs w:val="24"/>
        </w:rPr>
        <w:t xml:space="preserve">              </w:t>
      </w:r>
      <w:r w:rsidRPr="00C17273">
        <w:rPr>
          <w:rFonts w:ascii="Times New Roman" w:hAnsi="Times New Roman"/>
          <w:sz w:val="24"/>
          <w:szCs w:val="24"/>
        </w:rPr>
        <w:t xml:space="preserve">январь – июнь 2014 года, благодаря увеличению общего объема перевезенных грузов автомобильным транспортом в 2,1 раза до 1 070,6 тыс. тонн, а также в результате </w:t>
      </w:r>
      <w:r w:rsidRPr="00C17273">
        <w:rPr>
          <w:rFonts w:ascii="Times New Roman" w:hAnsi="Times New Roman"/>
          <w:sz w:val="24"/>
          <w:szCs w:val="24"/>
        </w:rPr>
        <w:lastRenderedPageBreak/>
        <w:t>снижения</w:t>
      </w:r>
      <w:r w:rsidRPr="00C17273">
        <w:rPr>
          <w:rFonts w:ascii="Times New Roman" w:hAnsi="Times New Roman"/>
          <w:spacing w:val="3"/>
          <w:sz w:val="24"/>
          <w:szCs w:val="24"/>
        </w:rPr>
        <w:t xml:space="preserve"> дальности перевозки 1 тонны груза на 22,3% увеличился на 63,2% и составил 11 149,5 тыс. т-км.</w:t>
      </w:r>
    </w:p>
    <w:p w:rsidR="00DA2344" w:rsidRPr="00C17273" w:rsidRDefault="00DA2344" w:rsidP="00DA2344">
      <w:pPr>
        <w:spacing w:after="0" w:line="240" w:lineRule="auto"/>
        <w:ind w:firstLine="709"/>
        <w:jc w:val="both"/>
        <w:rPr>
          <w:rFonts w:ascii="Times New Roman" w:hAnsi="Times New Roman"/>
          <w:sz w:val="24"/>
          <w:szCs w:val="24"/>
        </w:rPr>
      </w:pPr>
      <w:r w:rsidRPr="00C17273">
        <w:rPr>
          <w:rFonts w:ascii="Times New Roman" w:hAnsi="Times New Roman"/>
          <w:sz w:val="24"/>
          <w:szCs w:val="24"/>
        </w:rPr>
        <w:t xml:space="preserve">За счет роста общего объема перевезенных грузов, а также снижения </w:t>
      </w:r>
      <w:r>
        <w:rPr>
          <w:rFonts w:ascii="Times New Roman" w:hAnsi="Times New Roman"/>
          <w:sz w:val="24"/>
          <w:szCs w:val="24"/>
        </w:rPr>
        <w:t xml:space="preserve">средней дальности перевозок </w:t>
      </w:r>
      <w:r w:rsidRPr="00C17273">
        <w:rPr>
          <w:rFonts w:ascii="Times New Roman" w:hAnsi="Times New Roman"/>
          <w:sz w:val="24"/>
          <w:szCs w:val="24"/>
        </w:rPr>
        <w:t xml:space="preserve">1 тонны груза, отмечается положительная динамика доходов транспортных организаций, которые за рассматриваемый период увеличились на 44,2% по сравнению с </w:t>
      </w:r>
      <w:r w:rsidRPr="00C17273">
        <w:rPr>
          <w:rFonts w:ascii="Times New Roman" w:hAnsi="Times New Roman"/>
          <w:sz w:val="24"/>
          <w:szCs w:val="24"/>
          <w:lang w:val="en-US"/>
        </w:rPr>
        <w:t>I</w:t>
      </w:r>
      <w:r w:rsidRPr="00C17273">
        <w:rPr>
          <w:rFonts w:ascii="Times New Roman" w:hAnsi="Times New Roman"/>
          <w:sz w:val="24"/>
          <w:szCs w:val="24"/>
        </w:rPr>
        <w:t xml:space="preserve"> полугодием 2013 года и составили 16 248,3 тыс. руб.</w:t>
      </w:r>
    </w:p>
    <w:p w:rsidR="00DA2344" w:rsidRPr="003360E7" w:rsidRDefault="00DA2344" w:rsidP="00DA2344">
      <w:pPr>
        <w:spacing w:after="0" w:line="240" w:lineRule="auto"/>
        <w:ind w:firstLine="709"/>
        <w:jc w:val="right"/>
        <w:rPr>
          <w:rFonts w:ascii="Times New Roman" w:hAnsi="Times New Roman"/>
          <w:spacing w:val="3"/>
          <w:sz w:val="24"/>
          <w:szCs w:val="24"/>
        </w:rPr>
      </w:pPr>
      <w:r w:rsidRPr="003360E7">
        <w:rPr>
          <w:rFonts w:ascii="Times New Roman" w:hAnsi="Times New Roman"/>
          <w:spacing w:val="3"/>
          <w:sz w:val="24"/>
          <w:szCs w:val="24"/>
        </w:rPr>
        <w:t>Таблица №</w:t>
      </w:r>
      <w:r w:rsidR="00EE6B2D">
        <w:rPr>
          <w:rFonts w:ascii="Times New Roman" w:hAnsi="Times New Roman"/>
          <w:spacing w:val="3"/>
          <w:sz w:val="24"/>
          <w:szCs w:val="24"/>
        </w:rPr>
        <w:t xml:space="preserve"> 2</w:t>
      </w:r>
      <w:r w:rsidR="00381ABA">
        <w:rPr>
          <w:rFonts w:ascii="Times New Roman" w:hAnsi="Times New Roman"/>
          <w:spacing w:val="3"/>
          <w:sz w:val="24"/>
          <w:szCs w:val="24"/>
        </w:rPr>
        <w:t>7</w:t>
      </w:r>
    </w:p>
    <w:p w:rsidR="00DA2344" w:rsidRPr="003360E7" w:rsidRDefault="00DA2344" w:rsidP="00DA2344">
      <w:pPr>
        <w:spacing w:after="0" w:line="240" w:lineRule="auto"/>
        <w:jc w:val="center"/>
        <w:rPr>
          <w:rFonts w:ascii="Times New Roman" w:hAnsi="Times New Roman"/>
          <w:b/>
          <w:sz w:val="24"/>
          <w:szCs w:val="24"/>
        </w:rPr>
      </w:pPr>
      <w:r w:rsidRPr="003360E7">
        <w:rPr>
          <w:rFonts w:ascii="Times New Roman" w:hAnsi="Times New Roman"/>
          <w:b/>
          <w:sz w:val="24"/>
          <w:szCs w:val="24"/>
        </w:rPr>
        <w:t>Показатели работы грузового транспорта общего пользования</w:t>
      </w:r>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9"/>
        <w:gridCol w:w="1368"/>
        <w:gridCol w:w="1156"/>
        <w:gridCol w:w="1300"/>
        <w:gridCol w:w="1301"/>
      </w:tblGrid>
      <w:tr w:rsidR="00DA2344" w:rsidRPr="00431BB1" w:rsidTr="00DA2344">
        <w:trPr>
          <w:trHeight w:val="522"/>
        </w:trPr>
        <w:tc>
          <w:tcPr>
            <w:tcW w:w="4269" w:type="dxa"/>
            <w:vAlign w:val="center"/>
          </w:tcPr>
          <w:p w:rsidR="00DA2344" w:rsidRPr="003360E7" w:rsidRDefault="00DA2344" w:rsidP="00DA2344">
            <w:pPr>
              <w:spacing w:after="0" w:line="240" w:lineRule="auto"/>
              <w:jc w:val="center"/>
              <w:rPr>
                <w:rFonts w:ascii="Times New Roman" w:hAnsi="Times New Roman"/>
                <w:b/>
              </w:rPr>
            </w:pPr>
            <w:r w:rsidRPr="003360E7">
              <w:rPr>
                <w:rFonts w:ascii="Times New Roman" w:hAnsi="Times New Roman"/>
                <w:b/>
              </w:rPr>
              <w:t>Показатели</w:t>
            </w:r>
          </w:p>
        </w:tc>
        <w:tc>
          <w:tcPr>
            <w:tcW w:w="1368" w:type="dxa"/>
            <w:vAlign w:val="center"/>
          </w:tcPr>
          <w:p w:rsidR="00DA2344" w:rsidRPr="003360E7" w:rsidRDefault="00DA2344" w:rsidP="00DA2344">
            <w:pPr>
              <w:spacing w:after="0" w:line="240" w:lineRule="auto"/>
              <w:jc w:val="center"/>
              <w:rPr>
                <w:rFonts w:ascii="Times New Roman" w:hAnsi="Times New Roman"/>
                <w:b/>
              </w:rPr>
            </w:pPr>
            <w:r w:rsidRPr="003360E7">
              <w:rPr>
                <w:rFonts w:ascii="Times New Roman" w:hAnsi="Times New Roman"/>
                <w:b/>
              </w:rPr>
              <w:t>Ед. изм.</w:t>
            </w:r>
          </w:p>
        </w:tc>
        <w:tc>
          <w:tcPr>
            <w:tcW w:w="1156" w:type="dxa"/>
            <w:vAlign w:val="center"/>
          </w:tcPr>
          <w:p w:rsidR="00DA2344" w:rsidRPr="003360E7" w:rsidRDefault="00DA2344" w:rsidP="00DA2344">
            <w:pPr>
              <w:spacing w:after="0" w:line="240" w:lineRule="auto"/>
              <w:jc w:val="center"/>
              <w:rPr>
                <w:rFonts w:ascii="Times New Roman" w:hAnsi="Times New Roman"/>
                <w:b/>
              </w:rPr>
            </w:pPr>
            <w:r w:rsidRPr="003360E7">
              <w:rPr>
                <w:rFonts w:ascii="Times New Roman" w:hAnsi="Times New Roman"/>
                <w:b/>
              </w:rPr>
              <w:t>Январь-июнь</w:t>
            </w:r>
          </w:p>
          <w:p w:rsidR="00DA2344" w:rsidRPr="003360E7" w:rsidRDefault="00DA2344" w:rsidP="00DA2344">
            <w:pPr>
              <w:spacing w:after="0" w:line="240" w:lineRule="auto"/>
              <w:jc w:val="center"/>
              <w:rPr>
                <w:rFonts w:ascii="Times New Roman" w:hAnsi="Times New Roman"/>
                <w:b/>
              </w:rPr>
            </w:pPr>
            <w:r w:rsidRPr="003360E7">
              <w:rPr>
                <w:rFonts w:ascii="Times New Roman" w:hAnsi="Times New Roman"/>
                <w:b/>
              </w:rPr>
              <w:t>2013 г.</w:t>
            </w:r>
          </w:p>
        </w:tc>
        <w:tc>
          <w:tcPr>
            <w:tcW w:w="1300" w:type="dxa"/>
            <w:vAlign w:val="center"/>
          </w:tcPr>
          <w:p w:rsidR="00DA2344" w:rsidRPr="003360E7" w:rsidRDefault="00DA2344" w:rsidP="00DA2344">
            <w:pPr>
              <w:spacing w:after="0" w:line="240" w:lineRule="auto"/>
              <w:jc w:val="center"/>
              <w:rPr>
                <w:rFonts w:ascii="Times New Roman" w:hAnsi="Times New Roman"/>
                <w:b/>
              </w:rPr>
            </w:pPr>
            <w:r w:rsidRPr="003360E7">
              <w:rPr>
                <w:rFonts w:ascii="Times New Roman" w:hAnsi="Times New Roman"/>
                <w:b/>
              </w:rPr>
              <w:t xml:space="preserve">Январь-июнь </w:t>
            </w:r>
          </w:p>
          <w:p w:rsidR="00DA2344" w:rsidRPr="003360E7" w:rsidRDefault="00DA2344" w:rsidP="00DA2344">
            <w:pPr>
              <w:spacing w:after="0" w:line="240" w:lineRule="auto"/>
              <w:jc w:val="center"/>
              <w:rPr>
                <w:rFonts w:ascii="Times New Roman" w:hAnsi="Times New Roman"/>
                <w:b/>
              </w:rPr>
            </w:pPr>
            <w:r w:rsidRPr="003360E7">
              <w:rPr>
                <w:rFonts w:ascii="Times New Roman" w:hAnsi="Times New Roman"/>
                <w:b/>
              </w:rPr>
              <w:t>2014 г.</w:t>
            </w:r>
          </w:p>
        </w:tc>
        <w:tc>
          <w:tcPr>
            <w:tcW w:w="1301" w:type="dxa"/>
            <w:vAlign w:val="center"/>
          </w:tcPr>
          <w:p w:rsidR="00DA2344" w:rsidRPr="003360E7" w:rsidRDefault="00DA2344" w:rsidP="00DA2344">
            <w:pPr>
              <w:spacing w:after="0" w:line="240" w:lineRule="auto"/>
              <w:ind w:left="-108" w:right="-51"/>
              <w:jc w:val="center"/>
              <w:rPr>
                <w:rFonts w:ascii="Times New Roman" w:hAnsi="Times New Roman"/>
                <w:b/>
                <w:i/>
              </w:rPr>
            </w:pPr>
            <w:r w:rsidRPr="003360E7">
              <w:rPr>
                <w:rFonts w:ascii="Times New Roman" w:hAnsi="Times New Roman"/>
                <w:b/>
                <w:i/>
              </w:rPr>
              <w:t>2014 г. в % к</w:t>
            </w:r>
          </w:p>
          <w:p w:rsidR="00DA2344" w:rsidRPr="003360E7" w:rsidRDefault="00DA2344" w:rsidP="00DA2344">
            <w:pPr>
              <w:spacing w:after="0" w:line="240" w:lineRule="auto"/>
              <w:ind w:left="-108" w:right="-51"/>
              <w:jc w:val="center"/>
              <w:rPr>
                <w:rFonts w:ascii="Times New Roman" w:hAnsi="Times New Roman"/>
                <w:b/>
                <w:i/>
              </w:rPr>
            </w:pPr>
            <w:r w:rsidRPr="003360E7">
              <w:rPr>
                <w:rFonts w:ascii="Times New Roman" w:hAnsi="Times New Roman"/>
                <w:b/>
                <w:i/>
              </w:rPr>
              <w:t>2013 г.</w:t>
            </w:r>
          </w:p>
        </w:tc>
      </w:tr>
      <w:tr w:rsidR="00DA2344" w:rsidRPr="00431BB1" w:rsidTr="00DA2344">
        <w:trPr>
          <w:trHeight w:val="286"/>
        </w:trPr>
        <w:tc>
          <w:tcPr>
            <w:tcW w:w="4269" w:type="dxa"/>
            <w:vAlign w:val="center"/>
          </w:tcPr>
          <w:p w:rsidR="00DA2344" w:rsidRPr="003360E7" w:rsidRDefault="00DA2344" w:rsidP="00DA2344">
            <w:pPr>
              <w:spacing w:after="0" w:line="240" w:lineRule="auto"/>
              <w:rPr>
                <w:rFonts w:ascii="Times New Roman" w:hAnsi="Times New Roman"/>
                <w:vertAlign w:val="superscript"/>
              </w:rPr>
            </w:pPr>
            <w:r w:rsidRPr="003360E7">
              <w:rPr>
                <w:rFonts w:ascii="Times New Roman" w:hAnsi="Times New Roman"/>
                <w:b/>
              </w:rPr>
              <w:t>Объем перевозок грузов</w:t>
            </w:r>
            <w:r w:rsidRPr="003360E7">
              <w:rPr>
                <w:rFonts w:ascii="Times New Roman" w:hAnsi="Times New Roman"/>
              </w:rPr>
              <w:t xml:space="preserve"> </w:t>
            </w:r>
          </w:p>
        </w:tc>
        <w:tc>
          <w:tcPr>
            <w:tcW w:w="1368" w:type="dxa"/>
            <w:vAlign w:val="center"/>
          </w:tcPr>
          <w:p w:rsidR="00DA2344" w:rsidRPr="00456B6E" w:rsidRDefault="00DA2344" w:rsidP="00DA2344">
            <w:pPr>
              <w:spacing w:after="0" w:line="240" w:lineRule="auto"/>
              <w:ind w:right="113"/>
              <w:jc w:val="center"/>
              <w:rPr>
                <w:rFonts w:ascii="Times New Roman" w:hAnsi="Times New Roman"/>
              </w:rPr>
            </w:pPr>
            <w:r w:rsidRPr="00456B6E">
              <w:rPr>
                <w:rFonts w:ascii="Times New Roman" w:hAnsi="Times New Roman"/>
              </w:rPr>
              <w:t>тыс. т</w:t>
            </w:r>
          </w:p>
        </w:tc>
        <w:tc>
          <w:tcPr>
            <w:tcW w:w="1156" w:type="dxa"/>
            <w:vAlign w:val="center"/>
          </w:tcPr>
          <w:p w:rsidR="00DA2344" w:rsidRPr="00431BB1" w:rsidRDefault="00DA2344" w:rsidP="00DA2344">
            <w:pPr>
              <w:spacing w:after="0" w:line="240" w:lineRule="auto"/>
              <w:ind w:right="113"/>
              <w:jc w:val="center"/>
              <w:rPr>
                <w:rFonts w:ascii="Times New Roman" w:hAnsi="Times New Roman"/>
                <w:highlight w:val="cyan"/>
              </w:rPr>
            </w:pPr>
            <w:r w:rsidRPr="00456B6E">
              <w:rPr>
                <w:rFonts w:ascii="Times New Roman" w:hAnsi="Times New Roman"/>
              </w:rPr>
              <w:t>511,3</w:t>
            </w:r>
          </w:p>
        </w:tc>
        <w:tc>
          <w:tcPr>
            <w:tcW w:w="1300" w:type="dxa"/>
            <w:vAlign w:val="center"/>
          </w:tcPr>
          <w:p w:rsidR="00DA2344" w:rsidRPr="00431BB1" w:rsidRDefault="00DA2344" w:rsidP="00DA2344">
            <w:pPr>
              <w:spacing w:after="0" w:line="240" w:lineRule="auto"/>
              <w:ind w:right="113"/>
              <w:jc w:val="center"/>
              <w:rPr>
                <w:rFonts w:ascii="Times New Roman" w:hAnsi="Times New Roman"/>
                <w:highlight w:val="cyan"/>
              </w:rPr>
            </w:pPr>
            <w:r w:rsidRPr="00456B6E">
              <w:rPr>
                <w:rFonts w:ascii="Times New Roman" w:hAnsi="Times New Roman"/>
              </w:rPr>
              <w:t>1 070,6</w:t>
            </w:r>
          </w:p>
        </w:tc>
        <w:tc>
          <w:tcPr>
            <w:tcW w:w="1301" w:type="dxa"/>
            <w:vAlign w:val="center"/>
          </w:tcPr>
          <w:p w:rsidR="00DA2344" w:rsidRPr="00431BB1" w:rsidRDefault="00DA2344" w:rsidP="00DA2344">
            <w:pPr>
              <w:spacing w:after="0" w:line="240" w:lineRule="auto"/>
              <w:ind w:left="-108" w:right="-51"/>
              <w:jc w:val="center"/>
              <w:rPr>
                <w:rFonts w:ascii="Times New Roman" w:hAnsi="Times New Roman"/>
                <w:i/>
                <w:highlight w:val="cyan"/>
              </w:rPr>
            </w:pPr>
            <w:r w:rsidRPr="00456B6E">
              <w:rPr>
                <w:rFonts w:ascii="Times New Roman" w:hAnsi="Times New Roman"/>
                <w:i/>
              </w:rPr>
              <w:t>209,4</w:t>
            </w:r>
          </w:p>
        </w:tc>
      </w:tr>
      <w:tr w:rsidR="00DA2344" w:rsidRPr="00431BB1" w:rsidTr="00DA2344">
        <w:trPr>
          <w:trHeight w:val="334"/>
        </w:trPr>
        <w:tc>
          <w:tcPr>
            <w:tcW w:w="4269" w:type="dxa"/>
            <w:vAlign w:val="center"/>
          </w:tcPr>
          <w:p w:rsidR="00DA2344" w:rsidRPr="003360E7" w:rsidRDefault="00DA2344" w:rsidP="00DA2344">
            <w:pPr>
              <w:spacing w:after="0" w:line="240" w:lineRule="auto"/>
              <w:rPr>
                <w:rFonts w:ascii="Times New Roman" w:hAnsi="Times New Roman"/>
              </w:rPr>
            </w:pPr>
            <w:r w:rsidRPr="003360E7">
              <w:rPr>
                <w:rFonts w:ascii="Times New Roman" w:hAnsi="Times New Roman"/>
                <w:b/>
              </w:rPr>
              <w:t>Грузооборот</w:t>
            </w:r>
          </w:p>
        </w:tc>
        <w:tc>
          <w:tcPr>
            <w:tcW w:w="1368" w:type="dxa"/>
            <w:vAlign w:val="center"/>
          </w:tcPr>
          <w:p w:rsidR="00DA2344" w:rsidRPr="00456B6E" w:rsidRDefault="00DA2344" w:rsidP="00DA2344">
            <w:pPr>
              <w:spacing w:after="0" w:line="240" w:lineRule="auto"/>
              <w:ind w:right="113"/>
              <w:jc w:val="center"/>
              <w:rPr>
                <w:rFonts w:ascii="Times New Roman" w:hAnsi="Times New Roman"/>
              </w:rPr>
            </w:pPr>
            <w:r w:rsidRPr="00456B6E">
              <w:rPr>
                <w:rFonts w:ascii="Times New Roman" w:hAnsi="Times New Roman"/>
              </w:rPr>
              <w:t>тыс. т-км.</w:t>
            </w:r>
          </w:p>
        </w:tc>
        <w:tc>
          <w:tcPr>
            <w:tcW w:w="1156" w:type="dxa"/>
            <w:vAlign w:val="center"/>
          </w:tcPr>
          <w:p w:rsidR="00DA2344" w:rsidRPr="00456B6E" w:rsidRDefault="00DA2344" w:rsidP="00DA2344">
            <w:pPr>
              <w:spacing w:after="0" w:line="240" w:lineRule="auto"/>
              <w:ind w:right="113"/>
              <w:jc w:val="center"/>
              <w:rPr>
                <w:rFonts w:ascii="Times New Roman" w:hAnsi="Times New Roman"/>
              </w:rPr>
            </w:pPr>
            <w:r w:rsidRPr="00456B6E">
              <w:rPr>
                <w:rFonts w:ascii="Times New Roman" w:hAnsi="Times New Roman"/>
              </w:rPr>
              <w:t>6 833,6</w:t>
            </w:r>
          </w:p>
        </w:tc>
        <w:tc>
          <w:tcPr>
            <w:tcW w:w="1300" w:type="dxa"/>
            <w:vAlign w:val="center"/>
          </w:tcPr>
          <w:p w:rsidR="00DA2344" w:rsidRPr="00456B6E" w:rsidRDefault="00DA2344" w:rsidP="00DA2344">
            <w:pPr>
              <w:spacing w:after="0" w:line="240" w:lineRule="auto"/>
              <w:ind w:right="113"/>
              <w:jc w:val="center"/>
              <w:rPr>
                <w:rFonts w:ascii="Times New Roman" w:hAnsi="Times New Roman"/>
              </w:rPr>
            </w:pPr>
            <w:r w:rsidRPr="00456B6E">
              <w:rPr>
                <w:rFonts w:ascii="Times New Roman" w:hAnsi="Times New Roman"/>
              </w:rPr>
              <w:t>11 149,5</w:t>
            </w:r>
          </w:p>
        </w:tc>
        <w:tc>
          <w:tcPr>
            <w:tcW w:w="1301" w:type="dxa"/>
            <w:vAlign w:val="center"/>
          </w:tcPr>
          <w:p w:rsidR="00DA2344" w:rsidRPr="00431BB1" w:rsidRDefault="00DA2344" w:rsidP="00DA2344">
            <w:pPr>
              <w:spacing w:after="0" w:line="240" w:lineRule="auto"/>
              <w:ind w:left="-108" w:right="-51"/>
              <w:jc w:val="center"/>
              <w:rPr>
                <w:rFonts w:ascii="Times New Roman" w:hAnsi="Times New Roman"/>
                <w:i/>
                <w:highlight w:val="cyan"/>
              </w:rPr>
            </w:pPr>
            <w:r w:rsidRPr="00456B6E">
              <w:rPr>
                <w:rFonts w:ascii="Times New Roman" w:hAnsi="Times New Roman"/>
                <w:i/>
              </w:rPr>
              <w:t>163,2</w:t>
            </w:r>
          </w:p>
        </w:tc>
      </w:tr>
      <w:tr w:rsidR="00DA2344" w:rsidRPr="00431BB1" w:rsidTr="00DA2344">
        <w:trPr>
          <w:trHeight w:val="325"/>
        </w:trPr>
        <w:tc>
          <w:tcPr>
            <w:tcW w:w="4269" w:type="dxa"/>
            <w:vAlign w:val="center"/>
          </w:tcPr>
          <w:p w:rsidR="00DA2344" w:rsidRPr="003360E7" w:rsidRDefault="00DA2344" w:rsidP="00DA2344">
            <w:pPr>
              <w:spacing w:after="0" w:line="240" w:lineRule="auto"/>
              <w:rPr>
                <w:rFonts w:ascii="Times New Roman" w:hAnsi="Times New Roman"/>
                <w:b/>
              </w:rPr>
            </w:pPr>
            <w:r w:rsidRPr="003360E7">
              <w:rPr>
                <w:rFonts w:ascii="Times New Roman" w:hAnsi="Times New Roman"/>
                <w:b/>
              </w:rPr>
              <w:t>Средняя дальность перевозки 1 т груза</w:t>
            </w:r>
          </w:p>
        </w:tc>
        <w:tc>
          <w:tcPr>
            <w:tcW w:w="1368" w:type="dxa"/>
            <w:vAlign w:val="center"/>
          </w:tcPr>
          <w:p w:rsidR="00DA2344" w:rsidRPr="00456B6E" w:rsidRDefault="00DA2344" w:rsidP="00DA2344">
            <w:pPr>
              <w:spacing w:after="0" w:line="240" w:lineRule="auto"/>
              <w:ind w:right="113"/>
              <w:jc w:val="center"/>
              <w:rPr>
                <w:rFonts w:ascii="Times New Roman" w:hAnsi="Times New Roman"/>
              </w:rPr>
            </w:pPr>
            <w:r w:rsidRPr="00456B6E">
              <w:rPr>
                <w:rFonts w:ascii="Times New Roman" w:hAnsi="Times New Roman"/>
              </w:rPr>
              <w:t>км</w:t>
            </w:r>
          </w:p>
        </w:tc>
        <w:tc>
          <w:tcPr>
            <w:tcW w:w="1156" w:type="dxa"/>
            <w:vAlign w:val="center"/>
          </w:tcPr>
          <w:p w:rsidR="00DA2344" w:rsidRPr="00456B6E" w:rsidRDefault="00DA2344" w:rsidP="00DA2344">
            <w:pPr>
              <w:spacing w:after="0" w:line="240" w:lineRule="auto"/>
              <w:ind w:right="113"/>
              <w:jc w:val="center"/>
              <w:rPr>
                <w:rFonts w:ascii="Times New Roman" w:hAnsi="Times New Roman"/>
              </w:rPr>
            </w:pPr>
            <w:r w:rsidRPr="00456B6E">
              <w:rPr>
                <w:rFonts w:ascii="Times New Roman" w:hAnsi="Times New Roman"/>
              </w:rPr>
              <w:t>13,4</w:t>
            </w:r>
          </w:p>
        </w:tc>
        <w:tc>
          <w:tcPr>
            <w:tcW w:w="1300" w:type="dxa"/>
            <w:vAlign w:val="center"/>
          </w:tcPr>
          <w:p w:rsidR="00DA2344" w:rsidRPr="00456B6E" w:rsidRDefault="00DA2344" w:rsidP="00DA2344">
            <w:pPr>
              <w:spacing w:after="0" w:line="240" w:lineRule="auto"/>
              <w:ind w:right="113"/>
              <w:jc w:val="center"/>
              <w:rPr>
                <w:rFonts w:ascii="Times New Roman" w:hAnsi="Times New Roman"/>
              </w:rPr>
            </w:pPr>
            <w:r w:rsidRPr="00456B6E">
              <w:rPr>
                <w:rFonts w:ascii="Times New Roman" w:hAnsi="Times New Roman"/>
              </w:rPr>
              <w:t>10,4</w:t>
            </w:r>
          </w:p>
        </w:tc>
        <w:tc>
          <w:tcPr>
            <w:tcW w:w="1301" w:type="dxa"/>
            <w:vAlign w:val="center"/>
          </w:tcPr>
          <w:p w:rsidR="00DA2344" w:rsidRPr="00456B6E" w:rsidRDefault="00DA2344" w:rsidP="00DA2344">
            <w:pPr>
              <w:spacing w:after="0" w:line="240" w:lineRule="auto"/>
              <w:ind w:left="-108" w:right="-51"/>
              <w:jc w:val="center"/>
              <w:rPr>
                <w:rFonts w:ascii="Times New Roman" w:hAnsi="Times New Roman"/>
                <w:i/>
              </w:rPr>
            </w:pPr>
            <w:r w:rsidRPr="00456B6E">
              <w:rPr>
                <w:rFonts w:ascii="Times New Roman" w:hAnsi="Times New Roman"/>
                <w:i/>
              </w:rPr>
              <w:t>77,7</w:t>
            </w:r>
          </w:p>
        </w:tc>
      </w:tr>
      <w:tr w:rsidR="00DA2344" w:rsidRPr="00431BB1" w:rsidTr="00DA2344">
        <w:trPr>
          <w:trHeight w:val="325"/>
        </w:trPr>
        <w:tc>
          <w:tcPr>
            <w:tcW w:w="4269" w:type="dxa"/>
            <w:vAlign w:val="center"/>
          </w:tcPr>
          <w:p w:rsidR="00DA2344" w:rsidRPr="003360E7" w:rsidRDefault="00DA2344" w:rsidP="00DA2344">
            <w:pPr>
              <w:spacing w:after="0" w:line="240" w:lineRule="auto"/>
              <w:rPr>
                <w:rFonts w:ascii="Times New Roman" w:hAnsi="Times New Roman"/>
              </w:rPr>
            </w:pPr>
            <w:r w:rsidRPr="003360E7">
              <w:rPr>
                <w:rFonts w:ascii="Times New Roman" w:hAnsi="Times New Roman"/>
                <w:b/>
              </w:rPr>
              <w:t>Наличие грузовых автомобилей*</w:t>
            </w:r>
          </w:p>
        </w:tc>
        <w:tc>
          <w:tcPr>
            <w:tcW w:w="1368" w:type="dxa"/>
            <w:vAlign w:val="center"/>
          </w:tcPr>
          <w:p w:rsidR="00DA2344" w:rsidRPr="00456B6E" w:rsidRDefault="00DA2344" w:rsidP="00DA2344">
            <w:pPr>
              <w:spacing w:after="0" w:line="240" w:lineRule="auto"/>
              <w:ind w:right="113"/>
              <w:jc w:val="center"/>
              <w:rPr>
                <w:rFonts w:ascii="Times New Roman" w:hAnsi="Times New Roman"/>
              </w:rPr>
            </w:pPr>
            <w:r w:rsidRPr="00456B6E">
              <w:rPr>
                <w:rFonts w:ascii="Times New Roman" w:hAnsi="Times New Roman"/>
              </w:rPr>
              <w:t>ед.</w:t>
            </w:r>
          </w:p>
        </w:tc>
        <w:tc>
          <w:tcPr>
            <w:tcW w:w="1156" w:type="dxa"/>
            <w:vAlign w:val="center"/>
          </w:tcPr>
          <w:p w:rsidR="00DA2344" w:rsidRPr="00456B6E" w:rsidRDefault="00DA2344" w:rsidP="00DA2344">
            <w:pPr>
              <w:spacing w:after="0" w:line="240" w:lineRule="auto"/>
              <w:ind w:right="113"/>
              <w:jc w:val="center"/>
              <w:rPr>
                <w:rFonts w:ascii="Times New Roman" w:hAnsi="Times New Roman"/>
              </w:rPr>
            </w:pPr>
            <w:r w:rsidRPr="00456B6E">
              <w:rPr>
                <w:rFonts w:ascii="Times New Roman" w:hAnsi="Times New Roman"/>
              </w:rPr>
              <w:t>284</w:t>
            </w:r>
          </w:p>
        </w:tc>
        <w:tc>
          <w:tcPr>
            <w:tcW w:w="1300" w:type="dxa"/>
            <w:vAlign w:val="center"/>
          </w:tcPr>
          <w:p w:rsidR="00DA2344" w:rsidRPr="00456B6E" w:rsidRDefault="00DA2344" w:rsidP="00DA2344">
            <w:pPr>
              <w:spacing w:after="0" w:line="240" w:lineRule="auto"/>
              <w:ind w:right="113"/>
              <w:jc w:val="center"/>
              <w:rPr>
                <w:rFonts w:ascii="Times New Roman" w:hAnsi="Times New Roman"/>
              </w:rPr>
            </w:pPr>
            <w:r w:rsidRPr="00456B6E">
              <w:rPr>
                <w:rFonts w:ascii="Times New Roman" w:hAnsi="Times New Roman"/>
              </w:rPr>
              <w:t>291</w:t>
            </w:r>
          </w:p>
        </w:tc>
        <w:tc>
          <w:tcPr>
            <w:tcW w:w="1301" w:type="dxa"/>
            <w:vAlign w:val="center"/>
          </w:tcPr>
          <w:p w:rsidR="00DA2344" w:rsidRPr="00456B6E" w:rsidRDefault="00DA2344" w:rsidP="00DA2344">
            <w:pPr>
              <w:spacing w:after="0" w:line="240" w:lineRule="auto"/>
              <w:ind w:left="-108" w:right="-51"/>
              <w:jc w:val="center"/>
              <w:rPr>
                <w:rFonts w:ascii="Times New Roman" w:hAnsi="Times New Roman"/>
                <w:i/>
              </w:rPr>
            </w:pPr>
            <w:r w:rsidRPr="00456B6E">
              <w:rPr>
                <w:rFonts w:ascii="Times New Roman" w:hAnsi="Times New Roman"/>
                <w:i/>
              </w:rPr>
              <w:t>102,5</w:t>
            </w:r>
          </w:p>
        </w:tc>
      </w:tr>
      <w:tr w:rsidR="00DA2344" w:rsidRPr="00431BB1" w:rsidTr="00DA2344">
        <w:trPr>
          <w:trHeight w:val="251"/>
        </w:trPr>
        <w:tc>
          <w:tcPr>
            <w:tcW w:w="4269" w:type="dxa"/>
            <w:vAlign w:val="center"/>
          </w:tcPr>
          <w:p w:rsidR="00DA2344" w:rsidRPr="003360E7" w:rsidRDefault="00DA2344" w:rsidP="00DA2344">
            <w:pPr>
              <w:spacing w:after="0" w:line="240" w:lineRule="auto"/>
              <w:rPr>
                <w:rFonts w:ascii="Times New Roman" w:hAnsi="Times New Roman"/>
              </w:rPr>
            </w:pPr>
            <w:r w:rsidRPr="003360E7">
              <w:rPr>
                <w:rFonts w:ascii="Times New Roman" w:hAnsi="Times New Roman"/>
                <w:b/>
              </w:rPr>
              <w:t>Доход от доставки грузов</w:t>
            </w:r>
          </w:p>
        </w:tc>
        <w:tc>
          <w:tcPr>
            <w:tcW w:w="1368" w:type="dxa"/>
            <w:vAlign w:val="center"/>
          </w:tcPr>
          <w:p w:rsidR="00DA2344" w:rsidRPr="00456B6E" w:rsidRDefault="00DA2344" w:rsidP="00DA2344">
            <w:pPr>
              <w:spacing w:after="0" w:line="240" w:lineRule="auto"/>
              <w:ind w:right="113"/>
              <w:jc w:val="center"/>
              <w:rPr>
                <w:rFonts w:ascii="Times New Roman" w:hAnsi="Times New Roman"/>
              </w:rPr>
            </w:pPr>
            <w:r w:rsidRPr="00456B6E">
              <w:rPr>
                <w:rFonts w:ascii="Times New Roman" w:hAnsi="Times New Roman"/>
              </w:rPr>
              <w:t>тыс. руб.</w:t>
            </w:r>
          </w:p>
        </w:tc>
        <w:tc>
          <w:tcPr>
            <w:tcW w:w="1156" w:type="dxa"/>
            <w:vAlign w:val="center"/>
          </w:tcPr>
          <w:p w:rsidR="00DA2344" w:rsidRPr="007542E0" w:rsidRDefault="00DA2344" w:rsidP="00DA2344">
            <w:pPr>
              <w:spacing w:after="0" w:line="240" w:lineRule="auto"/>
              <w:ind w:right="113"/>
              <w:jc w:val="center"/>
              <w:rPr>
                <w:rFonts w:ascii="Times New Roman" w:hAnsi="Times New Roman"/>
              </w:rPr>
            </w:pPr>
            <w:r w:rsidRPr="007542E0">
              <w:rPr>
                <w:rFonts w:ascii="Times New Roman" w:hAnsi="Times New Roman"/>
              </w:rPr>
              <w:t>11 274,1</w:t>
            </w:r>
          </w:p>
        </w:tc>
        <w:tc>
          <w:tcPr>
            <w:tcW w:w="1300" w:type="dxa"/>
            <w:vAlign w:val="center"/>
          </w:tcPr>
          <w:p w:rsidR="00DA2344" w:rsidRPr="007542E0" w:rsidRDefault="00DA2344" w:rsidP="00DA2344">
            <w:pPr>
              <w:spacing w:after="0" w:line="240" w:lineRule="auto"/>
              <w:ind w:right="113"/>
              <w:jc w:val="center"/>
              <w:rPr>
                <w:rFonts w:ascii="Times New Roman" w:hAnsi="Times New Roman"/>
              </w:rPr>
            </w:pPr>
            <w:r w:rsidRPr="007542E0">
              <w:rPr>
                <w:rFonts w:ascii="Times New Roman" w:hAnsi="Times New Roman"/>
              </w:rPr>
              <w:t>16 248,3</w:t>
            </w:r>
          </w:p>
        </w:tc>
        <w:tc>
          <w:tcPr>
            <w:tcW w:w="1301" w:type="dxa"/>
            <w:vAlign w:val="center"/>
          </w:tcPr>
          <w:p w:rsidR="00DA2344" w:rsidRPr="007542E0" w:rsidRDefault="00DA2344" w:rsidP="00DA2344">
            <w:pPr>
              <w:spacing w:after="0" w:line="240" w:lineRule="auto"/>
              <w:ind w:left="-108" w:right="-51"/>
              <w:jc w:val="center"/>
              <w:rPr>
                <w:rFonts w:ascii="Times New Roman" w:hAnsi="Times New Roman"/>
                <w:i/>
              </w:rPr>
            </w:pPr>
            <w:r w:rsidRPr="007542E0">
              <w:rPr>
                <w:rFonts w:ascii="Times New Roman" w:hAnsi="Times New Roman"/>
                <w:i/>
              </w:rPr>
              <w:t>144,2</w:t>
            </w:r>
          </w:p>
        </w:tc>
      </w:tr>
    </w:tbl>
    <w:p w:rsidR="00DA2344" w:rsidRPr="00456B6E" w:rsidRDefault="00DA2344" w:rsidP="00DA2344">
      <w:pPr>
        <w:spacing w:after="0" w:line="240" w:lineRule="auto"/>
        <w:jc w:val="both"/>
        <w:rPr>
          <w:rFonts w:ascii="Times New Roman" w:hAnsi="Times New Roman"/>
          <w:sz w:val="20"/>
          <w:szCs w:val="20"/>
        </w:rPr>
      </w:pPr>
      <w:r w:rsidRPr="00456B6E">
        <w:rPr>
          <w:rFonts w:ascii="Times New Roman" w:hAnsi="Times New Roman"/>
          <w:sz w:val="20"/>
          <w:szCs w:val="20"/>
        </w:rPr>
        <w:t>* - без субъектов малого предпринимательства</w:t>
      </w:r>
    </w:p>
    <w:p w:rsidR="00DA2344" w:rsidRPr="00431BB1" w:rsidRDefault="00DA2344" w:rsidP="00DA2344">
      <w:pPr>
        <w:spacing w:after="0" w:line="240" w:lineRule="auto"/>
        <w:jc w:val="both"/>
        <w:rPr>
          <w:rFonts w:ascii="Times New Roman" w:hAnsi="Times New Roman"/>
          <w:sz w:val="20"/>
          <w:szCs w:val="20"/>
          <w:highlight w:val="cyan"/>
        </w:rPr>
      </w:pPr>
    </w:p>
    <w:p w:rsidR="00DA2344" w:rsidRPr="00C17273" w:rsidRDefault="00DA2344" w:rsidP="00DA2344">
      <w:pPr>
        <w:spacing w:after="0" w:line="240" w:lineRule="auto"/>
        <w:ind w:firstLine="709"/>
        <w:jc w:val="both"/>
        <w:rPr>
          <w:rFonts w:ascii="Times New Roman" w:hAnsi="Times New Roman"/>
          <w:sz w:val="24"/>
          <w:szCs w:val="24"/>
        </w:rPr>
      </w:pPr>
      <w:r w:rsidRPr="00C17273">
        <w:rPr>
          <w:rFonts w:ascii="Times New Roman" w:hAnsi="Times New Roman"/>
          <w:sz w:val="24"/>
          <w:szCs w:val="24"/>
        </w:rPr>
        <w:t>При этом необходимо отметить, что более 70% общего грузооборота в I полугодии 2014 года пришлось на 5 организаций: ОАО «Машино-технологическая станция» (34,3% в общем объеме грузооборота), ООО «Ростан» (14,0%), ЗАО «АТП-3» (10,9%), ООО «Куст» (9,7%), ООО «Мегатрансавто» (6,6%).</w:t>
      </w:r>
    </w:p>
    <w:p w:rsidR="00DA2344" w:rsidRPr="00C17273" w:rsidRDefault="00DA2344" w:rsidP="00DA2344">
      <w:pPr>
        <w:spacing w:after="0" w:line="240" w:lineRule="auto"/>
        <w:ind w:firstLine="709"/>
        <w:jc w:val="both"/>
        <w:rPr>
          <w:rFonts w:ascii="Times New Roman" w:hAnsi="Times New Roman"/>
          <w:spacing w:val="3"/>
          <w:sz w:val="24"/>
          <w:szCs w:val="24"/>
        </w:rPr>
      </w:pPr>
      <w:r w:rsidRPr="00C17273">
        <w:rPr>
          <w:rFonts w:ascii="Times New Roman" w:hAnsi="Times New Roman"/>
          <w:spacing w:val="3"/>
          <w:sz w:val="24"/>
          <w:szCs w:val="24"/>
        </w:rPr>
        <w:t>В целом развитие данного сегмента экономики ограничено внешнеполитическими условиями и ориентировано на осуществление транспортировки грузов внутри Республики.</w:t>
      </w:r>
    </w:p>
    <w:p w:rsidR="00DA2344" w:rsidRPr="00C17273" w:rsidRDefault="00DA2344" w:rsidP="00DA2344">
      <w:pPr>
        <w:spacing w:after="0" w:line="240" w:lineRule="auto"/>
        <w:ind w:firstLine="709"/>
        <w:jc w:val="both"/>
        <w:rPr>
          <w:rFonts w:ascii="Times New Roman" w:hAnsi="Times New Roman"/>
          <w:spacing w:val="3"/>
          <w:sz w:val="24"/>
          <w:szCs w:val="24"/>
        </w:rPr>
      </w:pPr>
      <w:r w:rsidRPr="00C17273">
        <w:rPr>
          <w:rFonts w:ascii="Times New Roman" w:hAnsi="Times New Roman"/>
          <w:spacing w:val="3"/>
          <w:sz w:val="24"/>
          <w:szCs w:val="24"/>
        </w:rPr>
        <w:t xml:space="preserve">В </w:t>
      </w:r>
      <w:r w:rsidRPr="00C17273">
        <w:rPr>
          <w:rFonts w:ascii="Times New Roman" w:hAnsi="Times New Roman"/>
          <w:spacing w:val="3"/>
          <w:sz w:val="24"/>
          <w:szCs w:val="24"/>
          <w:lang w:val="en-US"/>
        </w:rPr>
        <w:t>I</w:t>
      </w:r>
      <w:r w:rsidRPr="00C17273">
        <w:rPr>
          <w:rFonts w:ascii="Times New Roman" w:hAnsi="Times New Roman"/>
          <w:spacing w:val="3"/>
          <w:sz w:val="24"/>
          <w:szCs w:val="24"/>
        </w:rPr>
        <w:t xml:space="preserve"> полугодии 2014 года продолжилось выбытие подвижного состава. Однако, небольшое количество организаций проводят постепенное обновление автомобильного парка, что позволяет им снизить затраты на ремонт и обслуживание автотранспортной техники, затраты на горюче – смазочные материалы. Наличие грузовых автомобилей (без учета субъектов малого предпринимательства) увеличилось на 2,5% по сравнению</w:t>
      </w:r>
      <w:r w:rsidRPr="008B2ADF">
        <w:rPr>
          <w:rFonts w:ascii="Times New Roman" w:hAnsi="Times New Roman"/>
          <w:spacing w:val="3"/>
          <w:sz w:val="28"/>
          <w:szCs w:val="28"/>
        </w:rPr>
        <w:t xml:space="preserve"> </w:t>
      </w:r>
      <w:r w:rsidRPr="00C17273">
        <w:rPr>
          <w:rFonts w:ascii="Times New Roman" w:hAnsi="Times New Roman"/>
          <w:spacing w:val="3"/>
          <w:sz w:val="24"/>
          <w:szCs w:val="24"/>
        </w:rPr>
        <w:t>с январем – июнем 2013 года и составило 291 единицу. Сдерживающим фактором развития данного сектора является получение дохода преимущественно на внутреннем рынке, а также недоинвестирование средств в транспортный парк организаций осуществляющих грузовые перевозки.</w:t>
      </w:r>
    </w:p>
    <w:p w:rsidR="00DA2344" w:rsidRPr="00C17273" w:rsidRDefault="00DA2344" w:rsidP="00DA2344">
      <w:pPr>
        <w:spacing w:after="0" w:line="240" w:lineRule="auto"/>
        <w:ind w:firstLine="709"/>
        <w:jc w:val="both"/>
        <w:rPr>
          <w:rFonts w:ascii="Times New Roman" w:hAnsi="Times New Roman"/>
          <w:spacing w:val="4"/>
          <w:sz w:val="24"/>
          <w:szCs w:val="24"/>
        </w:rPr>
      </w:pPr>
      <w:r w:rsidRPr="00C17273">
        <w:rPr>
          <w:rFonts w:ascii="Times New Roman" w:hAnsi="Times New Roman"/>
          <w:spacing w:val="4"/>
          <w:sz w:val="24"/>
          <w:szCs w:val="24"/>
        </w:rPr>
        <w:t xml:space="preserve">Основные показатели работы </w:t>
      </w:r>
      <w:r w:rsidRPr="00C17273">
        <w:rPr>
          <w:rFonts w:ascii="Times New Roman" w:hAnsi="Times New Roman"/>
          <w:b/>
          <w:i/>
          <w:spacing w:val="4"/>
          <w:sz w:val="24"/>
          <w:szCs w:val="24"/>
        </w:rPr>
        <w:t>автомобильного транспорта общего пользования</w:t>
      </w:r>
      <w:r w:rsidRPr="00C17273">
        <w:rPr>
          <w:rFonts w:ascii="Times New Roman" w:hAnsi="Times New Roman"/>
          <w:spacing w:val="4"/>
          <w:sz w:val="24"/>
          <w:szCs w:val="24"/>
        </w:rPr>
        <w:t xml:space="preserve"> в </w:t>
      </w:r>
      <w:r w:rsidRPr="00C17273">
        <w:rPr>
          <w:rFonts w:ascii="Times New Roman" w:hAnsi="Times New Roman"/>
          <w:spacing w:val="4"/>
          <w:sz w:val="24"/>
          <w:szCs w:val="24"/>
          <w:lang w:val="en-US"/>
        </w:rPr>
        <w:t>I</w:t>
      </w:r>
      <w:r w:rsidRPr="00C17273">
        <w:rPr>
          <w:rFonts w:ascii="Times New Roman" w:hAnsi="Times New Roman"/>
          <w:spacing w:val="4"/>
          <w:sz w:val="24"/>
          <w:szCs w:val="24"/>
        </w:rPr>
        <w:t xml:space="preserve"> полугодии 2014 года в целом демонстрируют понижательную динамику развития.</w:t>
      </w:r>
    </w:p>
    <w:p w:rsidR="00DA2344" w:rsidRPr="00C17273" w:rsidRDefault="00DA2344" w:rsidP="00DA2344">
      <w:pPr>
        <w:spacing w:after="0" w:line="240" w:lineRule="auto"/>
        <w:ind w:firstLine="709"/>
        <w:jc w:val="both"/>
        <w:rPr>
          <w:rFonts w:ascii="Times New Roman" w:hAnsi="Times New Roman"/>
          <w:spacing w:val="4"/>
          <w:sz w:val="24"/>
          <w:szCs w:val="24"/>
        </w:rPr>
      </w:pPr>
      <w:r w:rsidRPr="00C17273">
        <w:rPr>
          <w:rFonts w:ascii="Times New Roman" w:hAnsi="Times New Roman"/>
          <w:spacing w:val="4"/>
          <w:sz w:val="24"/>
          <w:szCs w:val="24"/>
        </w:rPr>
        <w:t>В рассматриваемом периоде отмечается снижение пассажирских перевозок общественным автомобильным транспортом на 2,5%.</w:t>
      </w:r>
      <w:r w:rsidRPr="00C17273">
        <w:rPr>
          <w:rFonts w:ascii="Times New Roman" w:hAnsi="Times New Roman"/>
          <w:color w:val="808080"/>
          <w:spacing w:val="4"/>
          <w:sz w:val="24"/>
          <w:szCs w:val="24"/>
        </w:rPr>
        <w:t xml:space="preserve"> </w:t>
      </w:r>
      <w:r w:rsidRPr="00C17273">
        <w:rPr>
          <w:rFonts w:ascii="Times New Roman" w:hAnsi="Times New Roman"/>
          <w:spacing w:val="4"/>
          <w:sz w:val="24"/>
          <w:szCs w:val="24"/>
        </w:rPr>
        <w:t xml:space="preserve">Автоперевозчиками региона, специализирующимся на предоставлении услуг физическим лицам, осуществлено </w:t>
      </w:r>
      <w:r>
        <w:rPr>
          <w:rFonts w:ascii="Times New Roman" w:hAnsi="Times New Roman"/>
          <w:spacing w:val="4"/>
          <w:sz w:val="24"/>
          <w:szCs w:val="24"/>
        </w:rPr>
        <w:t xml:space="preserve">  </w:t>
      </w:r>
      <w:r w:rsidRPr="00C17273">
        <w:rPr>
          <w:rFonts w:ascii="Times New Roman" w:hAnsi="Times New Roman"/>
          <w:spacing w:val="4"/>
          <w:sz w:val="24"/>
          <w:szCs w:val="24"/>
        </w:rPr>
        <w:t xml:space="preserve">16,7 млн. пассажироперевозок. </w:t>
      </w:r>
    </w:p>
    <w:p w:rsidR="00DA2344" w:rsidRPr="00C17273" w:rsidRDefault="00DA2344" w:rsidP="00DA2344">
      <w:pPr>
        <w:spacing w:after="0" w:line="240" w:lineRule="auto"/>
        <w:ind w:firstLine="709"/>
        <w:jc w:val="both"/>
        <w:rPr>
          <w:rFonts w:ascii="Times New Roman" w:hAnsi="Times New Roman"/>
          <w:spacing w:val="2"/>
          <w:sz w:val="24"/>
          <w:szCs w:val="24"/>
        </w:rPr>
      </w:pPr>
      <w:r w:rsidRPr="00C17273">
        <w:rPr>
          <w:rFonts w:ascii="Times New Roman" w:hAnsi="Times New Roman"/>
          <w:spacing w:val="4"/>
          <w:sz w:val="24"/>
          <w:szCs w:val="24"/>
        </w:rPr>
        <w:t xml:space="preserve">Пассажирооборот снизился по сравнению с </w:t>
      </w:r>
      <w:r w:rsidRPr="00C17273">
        <w:rPr>
          <w:rFonts w:ascii="Times New Roman" w:hAnsi="Times New Roman"/>
          <w:spacing w:val="4"/>
          <w:sz w:val="24"/>
          <w:szCs w:val="24"/>
          <w:lang w:val="en-US"/>
        </w:rPr>
        <w:t>I</w:t>
      </w:r>
      <w:r w:rsidRPr="00C17273">
        <w:rPr>
          <w:rFonts w:ascii="Times New Roman" w:hAnsi="Times New Roman"/>
          <w:spacing w:val="4"/>
          <w:sz w:val="24"/>
          <w:szCs w:val="24"/>
        </w:rPr>
        <w:t xml:space="preserve"> полугодием 2014 года на 17,7%</w:t>
      </w:r>
      <w:r w:rsidRPr="00C17273">
        <w:rPr>
          <w:rFonts w:ascii="Times New Roman" w:hAnsi="Times New Roman"/>
          <w:color w:val="808080"/>
          <w:spacing w:val="4"/>
          <w:sz w:val="24"/>
          <w:szCs w:val="24"/>
        </w:rPr>
        <w:t xml:space="preserve"> </w:t>
      </w:r>
      <w:r w:rsidRPr="00C17273">
        <w:rPr>
          <w:rFonts w:ascii="Times New Roman" w:hAnsi="Times New Roman"/>
          <w:spacing w:val="4"/>
          <w:sz w:val="24"/>
          <w:szCs w:val="24"/>
        </w:rPr>
        <w:t>и составил 129,9 млн. пассажиро – километров.</w:t>
      </w:r>
      <w:r w:rsidRPr="00C17273">
        <w:rPr>
          <w:rFonts w:ascii="Times New Roman" w:hAnsi="Times New Roman"/>
          <w:spacing w:val="3"/>
          <w:sz w:val="24"/>
          <w:szCs w:val="24"/>
        </w:rPr>
        <w:t xml:space="preserve"> При этом наибольшее влияние на снижение объема пассажирооборота оказало увеличение объемов пассажирских перевозок частным транспортом, а также снижение средней дальности поездки одного пассажира на 15,2%. В результате, доходы организаций пассажирского автотранспорта за январь – июнь </w:t>
      </w:r>
      <w:r w:rsidRPr="00C17273">
        <w:rPr>
          <w:rFonts w:ascii="Times New Roman" w:hAnsi="Times New Roman"/>
          <w:spacing w:val="2"/>
          <w:sz w:val="24"/>
          <w:szCs w:val="24"/>
        </w:rPr>
        <w:t>2014 года сложились в сумме 75,3</w:t>
      </w:r>
      <w:r w:rsidRPr="00C17273">
        <w:rPr>
          <w:rFonts w:ascii="Times New Roman" w:hAnsi="Times New Roman"/>
          <w:spacing w:val="3"/>
          <w:sz w:val="24"/>
          <w:szCs w:val="24"/>
        </w:rPr>
        <w:t xml:space="preserve"> млн. руб., что ниже показателя января – июня 2</w:t>
      </w:r>
      <w:r w:rsidRPr="00C17273">
        <w:rPr>
          <w:rFonts w:ascii="Times New Roman" w:hAnsi="Times New Roman"/>
          <w:spacing w:val="2"/>
          <w:sz w:val="24"/>
          <w:szCs w:val="24"/>
        </w:rPr>
        <w:t xml:space="preserve">013 года </w:t>
      </w:r>
      <w:r w:rsidRPr="00C17273">
        <w:rPr>
          <w:rFonts w:ascii="Times New Roman" w:hAnsi="Times New Roman"/>
          <w:spacing w:val="3"/>
          <w:sz w:val="24"/>
          <w:szCs w:val="24"/>
        </w:rPr>
        <w:t>на 8,5</w:t>
      </w:r>
      <w:r w:rsidRPr="00C17273">
        <w:rPr>
          <w:rFonts w:ascii="Times New Roman" w:hAnsi="Times New Roman"/>
          <w:spacing w:val="2"/>
          <w:sz w:val="24"/>
          <w:szCs w:val="24"/>
        </w:rPr>
        <w:t>%.</w:t>
      </w:r>
    </w:p>
    <w:p w:rsidR="00EE6B2D" w:rsidRDefault="00EE6B2D" w:rsidP="00DA2344">
      <w:pPr>
        <w:spacing w:after="0" w:line="240" w:lineRule="auto"/>
        <w:ind w:firstLine="709"/>
        <w:jc w:val="right"/>
        <w:rPr>
          <w:rFonts w:ascii="Times New Roman" w:hAnsi="Times New Roman"/>
          <w:spacing w:val="2"/>
          <w:sz w:val="24"/>
          <w:szCs w:val="24"/>
        </w:rPr>
      </w:pPr>
    </w:p>
    <w:p w:rsidR="00EE6B2D" w:rsidRDefault="00EE6B2D" w:rsidP="00DA2344">
      <w:pPr>
        <w:spacing w:after="0" w:line="240" w:lineRule="auto"/>
        <w:ind w:firstLine="709"/>
        <w:jc w:val="right"/>
        <w:rPr>
          <w:rFonts w:ascii="Times New Roman" w:hAnsi="Times New Roman"/>
          <w:spacing w:val="2"/>
          <w:sz w:val="24"/>
          <w:szCs w:val="24"/>
        </w:rPr>
      </w:pPr>
    </w:p>
    <w:p w:rsidR="00EE6B2D" w:rsidRDefault="00EE6B2D" w:rsidP="00DA2344">
      <w:pPr>
        <w:spacing w:after="0" w:line="240" w:lineRule="auto"/>
        <w:ind w:firstLine="709"/>
        <w:jc w:val="right"/>
        <w:rPr>
          <w:rFonts w:ascii="Times New Roman" w:hAnsi="Times New Roman"/>
          <w:spacing w:val="2"/>
          <w:sz w:val="24"/>
          <w:szCs w:val="24"/>
        </w:rPr>
      </w:pPr>
    </w:p>
    <w:p w:rsidR="00EE6B2D" w:rsidRDefault="00EE6B2D" w:rsidP="00DA2344">
      <w:pPr>
        <w:spacing w:after="0" w:line="240" w:lineRule="auto"/>
        <w:ind w:firstLine="709"/>
        <w:jc w:val="right"/>
        <w:rPr>
          <w:rFonts w:ascii="Times New Roman" w:hAnsi="Times New Roman"/>
          <w:spacing w:val="2"/>
          <w:sz w:val="24"/>
          <w:szCs w:val="24"/>
        </w:rPr>
      </w:pPr>
    </w:p>
    <w:p w:rsidR="00DA2344" w:rsidRPr="000D0034" w:rsidRDefault="00DA2344" w:rsidP="00DA2344">
      <w:pPr>
        <w:spacing w:after="0" w:line="240" w:lineRule="auto"/>
        <w:ind w:firstLine="709"/>
        <w:jc w:val="right"/>
        <w:rPr>
          <w:rFonts w:ascii="Times New Roman" w:hAnsi="Times New Roman"/>
          <w:spacing w:val="2"/>
          <w:sz w:val="24"/>
          <w:szCs w:val="24"/>
        </w:rPr>
      </w:pPr>
      <w:r w:rsidRPr="000D0034">
        <w:rPr>
          <w:rFonts w:ascii="Times New Roman" w:hAnsi="Times New Roman"/>
          <w:spacing w:val="2"/>
          <w:sz w:val="24"/>
          <w:szCs w:val="24"/>
        </w:rPr>
        <w:lastRenderedPageBreak/>
        <w:t>Таблица №</w:t>
      </w:r>
      <w:r w:rsidR="00EE6B2D">
        <w:rPr>
          <w:rFonts w:ascii="Times New Roman" w:hAnsi="Times New Roman"/>
          <w:spacing w:val="2"/>
          <w:sz w:val="24"/>
          <w:szCs w:val="24"/>
        </w:rPr>
        <w:t xml:space="preserve"> 2</w:t>
      </w:r>
      <w:r w:rsidR="00381ABA">
        <w:rPr>
          <w:rFonts w:ascii="Times New Roman" w:hAnsi="Times New Roman"/>
          <w:spacing w:val="2"/>
          <w:sz w:val="24"/>
          <w:szCs w:val="24"/>
        </w:rPr>
        <w:t>8</w:t>
      </w:r>
    </w:p>
    <w:p w:rsidR="00DA2344" w:rsidRPr="000D0034" w:rsidRDefault="00DA2344" w:rsidP="00DA2344">
      <w:pPr>
        <w:spacing w:after="0" w:line="240" w:lineRule="auto"/>
        <w:jc w:val="center"/>
        <w:rPr>
          <w:rFonts w:ascii="Times New Roman" w:hAnsi="Times New Roman"/>
          <w:b/>
          <w:sz w:val="24"/>
          <w:szCs w:val="24"/>
        </w:rPr>
      </w:pPr>
      <w:r w:rsidRPr="000D0034">
        <w:rPr>
          <w:rFonts w:ascii="Times New Roman" w:hAnsi="Times New Roman"/>
          <w:b/>
          <w:sz w:val="24"/>
          <w:szCs w:val="24"/>
        </w:rPr>
        <w:t xml:space="preserve">Показатели работы пассажирского автотранспорта </w:t>
      </w:r>
    </w:p>
    <w:p w:rsidR="00DA2344" w:rsidRPr="000D0034" w:rsidRDefault="00DA2344" w:rsidP="00DA2344">
      <w:pPr>
        <w:spacing w:after="0" w:line="240" w:lineRule="auto"/>
        <w:jc w:val="center"/>
        <w:rPr>
          <w:rFonts w:ascii="Times New Roman" w:hAnsi="Times New Roman"/>
          <w:b/>
          <w:sz w:val="24"/>
          <w:szCs w:val="24"/>
        </w:rPr>
      </w:pPr>
      <w:r w:rsidRPr="000D0034">
        <w:rPr>
          <w:rFonts w:ascii="Times New Roman" w:hAnsi="Times New Roman"/>
          <w:b/>
          <w:sz w:val="24"/>
          <w:szCs w:val="24"/>
        </w:rPr>
        <w:t>общего пользования</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1440"/>
        <w:gridCol w:w="1260"/>
        <w:gridCol w:w="1260"/>
        <w:gridCol w:w="1320"/>
      </w:tblGrid>
      <w:tr w:rsidR="00DA2344" w:rsidRPr="00ED5EC4" w:rsidTr="00DA2344">
        <w:tc>
          <w:tcPr>
            <w:tcW w:w="3960" w:type="dxa"/>
            <w:vAlign w:val="center"/>
          </w:tcPr>
          <w:p w:rsidR="00DA2344" w:rsidRPr="000D0034" w:rsidRDefault="00DA2344" w:rsidP="00DA2344">
            <w:pPr>
              <w:spacing w:after="0" w:line="240" w:lineRule="auto"/>
              <w:jc w:val="center"/>
              <w:rPr>
                <w:rFonts w:ascii="Times New Roman" w:hAnsi="Times New Roman"/>
                <w:b/>
              </w:rPr>
            </w:pPr>
            <w:r w:rsidRPr="000D0034">
              <w:rPr>
                <w:rFonts w:ascii="Times New Roman" w:hAnsi="Times New Roman"/>
                <w:b/>
              </w:rPr>
              <w:t>Показатели</w:t>
            </w:r>
          </w:p>
        </w:tc>
        <w:tc>
          <w:tcPr>
            <w:tcW w:w="1440" w:type="dxa"/>
            <w:vAlign w:val="center"/>
          </w:tcPr>
          <w:p w:rsidR="00DA2344" w:rsidRPr="000D0034" w:rsidRDefault="00DA2344" w:rsidP="00DA2344">
            <w:pPr>
              <w:spacing w:after="0" w:line="240" w:lineRule="auto"/>
              <w:jc w:val="center"/>
              <w:rPr>
                <w:rFonts w:ascii="Times New Roman" w:hAnsi="Times New Roman"/>
                <w:b/>
              </w:rPr>
            </w:pPr>
            <w:r w:rsidRPr="000D0034">
              <w:rPr>
                <w:rFonts w:ascii="Times New Roman" w:hAnsi="Times New Roman"/>
                <w:b/>
              </w:rPr>
              <w:t>Ед. изм.</w:t>
            </w:r>
          </w:p>
        </w:tc>
        <w:tc>
          <w:tcPr>
            <w:tcW w:w="1260" w:type="dxa"/>
            <w:vAlign w:val="center"/>
          </w:tcPr>
          <w:p w:rsidR="00DA2344" w:rsidRPr="000D0034" w:rsidRDefault="00DA2344" w:rsidP="00DA2344">
            <w:pPr>
              <w:spacing w:after="0" w:line="240" w:lineRule="auto"/>
              <w:jc w:val="center"/>
              <w:rPr>
                <w:rFonts w:ascii="Times New Roman" w:hAnsi="Times New Roman"/>
                <w:b/>
              </w:rPr>
            </w:pPr>
            <w:r w:rsidRPr="000D0034">
              <w:rPr>
                <w:rFonts w:ascii="Times New Roman" w:hAnsi="Times New Roman"/>
                <w:b/>
              </w:rPr>
              <w:t>Январь-июнь</w:t>
            </w:r>
          </w:p>
          <w:p w:rsidR="00DA2344" w:rsidRPr="000D0034" w:rsidRDefault="00DA2344" w:rsidP="00DA2344">
            <w:pPr>
              <w:spacing w:after="0" w:line="240" w:lineRule="auto"/>
              <w:jc w:val="center"/>
              <w:rPr>
                <w:rFonts w:ascii="Times New Roman" w:hAnsi="Times New Roman"/>
                <w:b/>
              </w:rPr>
            </w:pPr>
            <w:r w:rsidRPr="000D0034">
              <w:rPr>
                <w:rFonts w:ascii="Times New Roman" w:hAnsi="Times New Roman"/>
                <w:b/>
              </w:rPr>
              <w:t>2013 г.</w:t>
            </w:r>
          </w:p>
        </w:tc>
        <w:tc>
          <w:tcPr>
            <w:tcW w:w="1260" w:type="dxa"/>
            <w:vAlign w:val="center"/>
          </w:tcPr>
          <w:p w:rsidR="00DA2344" w:rsidRPr="000D0034" w:rsidRDefault="00DA2344" w:rsidP="00DA2344">
            <w:pPr>
              <w:spacing w:after="0" w:line="240" w:lineRule="auto"/>
              <w:jc w:val="center"/>
              <w:rPr>
                <w:rFonts w:ascii="Times New Roman" w:hAnsi="Times New Roman"/>
                <w:b/>
              </w:rPr>
            </w:pPr>
            <w:r w:rsidRPr="000D0034">
              <w:rPr>
                <w:rFonts w:ascii="Times New Roman" w:hAnsi="Times New Roman"/>
                <w:b/>
              </w:rPr>
              <w:t>Январь-июнь</w:t>
            </w:r>
          </w:p>
          <w:p w:rsidR="00DA2344" w:rsidRPr="000D0034" w:rsidRDefault="00DA2344" w:rsidP="00DA2344">
            <w:pPr>
              <w:spacing w:after="0" w:line="240" w:lineRule="auto"/>
              <w:jc w:val="center"/>
              <w:rPr>
                <w:rFonts w:ascii="Times New Roman" w:hAnsi="Times New Roman"/>
                <w:b/>
              </w:rPr>
            </w:pPr>
            <w:r w:rsidRPr="000D0034">
              <w:rPr>
                <w:rFonts w:ascii="Times New Roman" w:hAnsi="Times New Roman"/>
                <w:b/>
              </w:rPr>
              <w:t>2014 г.</w:t>
            </w:r>
          </w:p>
        </w:tc>
        <w:tc>
          <w:tcPr>
            <w:tcW w:w="1320" w:type="dxa"/>
            <w:vAlign w:val="center"/>
          </w:tcPr>
          <w:p w:rsidR="00DA2344" w:rsidRPr="000D0034" w:rsidRDefault="00DA2344" w:rsidP="00DA2344">
            <w:pPr>
              <w:spacing w:after="0" w:line="240" w:lineRule="auto"/>
              <w:jc w:val="center"/>
              <w:rPr>
                <w:rFonts w:ascii="Times New Roman" w:hAnsi="Times New Roman"/>
                <w:b/>
                <w:i/>
              </w:rPr>
            </w:pPr>
            <w:r w:rsidRPr="000D0034">
              <w:rPr>
                <w:rFonts w:ascii="Times New Roman" w:hAnsi="Times New Roman"/>
                <w:b/>
                <w:i/>
              </w:rPr>
              <w:t>2014 г. в % к 2013 г.</w:t>
            </w:r>
          </w:p>
        </w:tc>
      </w:tr>
      <w:tr w:rsidR="00DA2344" w:rsidRPr="00ED5EC4" w:rsidTr="00DA2344">
        <w:tc>
          <w:tcPr>
            <w:tcW w:w="3960" w:type="dxa"/>
          </w:tcPr>
          <w:p w:rsidR="00DA2344" w:rsidRPr="000D0034" w:rsidRDefault="00DA2344" w:rsidP="00DA2344">
            <w:pPr>
              <w:spacing w:after="0" w:line="240" w:lineRule="auto"/>
              <w:rPr>
                <w:rFonts w:ascii="Times New Roman" w:hAnsi="Times New Roman"/>
                <w:vertAlign w:val="superscript"/>
              </w:rPr>
            </w:pPr>
            <w:r w:rsidRPr="000D0034">
              <w:rPr>
                <w:rFonts w:ascii="Times New Roman" w:hAnsi="Times New Roman"/>
                <w:b/>
              </w:rPr>
              <w:t>Перевезено пассажиров</w:t>
            </w:r>
          </w:p>
        </w:tc>
        <w:tc>
          <w:tcPr>
            <w:tcW w:w="1440" w:type="dxa"/>
            <w:vAlign w:val="center"/>
          </w:tcPr>
          <w:p w:rsidR="00DA2344" w:rsidRPr="000D0034" w:rsidRDefault="00DA2344" w:rsidP="00DA2344">
            <w:pPr>
              <w:spacing w:after="0" w:line="240" w:lineRule="auto"/>
              <w:ind w:right="113"/>
              <w:jc w:val="center"/>
              <w:rPr>
                <w:rFonts w:ascii="Times New Roman" w:hAnsi="Times New Roman"/>
              </w:rPr>
            </w:pPr>
            <w:r w:rsidRPr="000D0034">
              <w:rPr>
                <w:rFonts w:ascii="Times New Roman" w:hAnsi="Times New Roman"/>
              </w:rPr>
              <w:t>тыс. чел.</w:t>
            </w:r>
          </w:p>
        </w:tc>
        <w:tc>
          <w:tcPr>
            <w:tcW w:w="1260" w:type="dxa"/>
            <w:vAlign w:val="center"/>
          </w:tcPr>
          <w:p w:rsidR="00DA2344" w:rsidRPr="000D0034" w:rsidRDefault="00DA2344" w:rsidP="00DA2344">
            <w:pPr>
              <w:spacing w:after="0" w:line="240" w:lineRule="auto"/>
              <w:ind w:right="113"/>
              <w:jc w:val="right"/>
              <w:rPr>
                <w:rFonts w:ascii="Times New Roman" w:hAnsi="Times New Roman"/>
              </w:rPr>
            </w:pPr>
            <w:r w:rsidRPr="000D0034">
              <w:rPr>
                <w:rFonts w:ascii="Times New Roman" w:hAnsi="Times New Roman"/>
              </w:rPr>
              <w:t>17 088,7</w:t>
            </w:r>
          </w:p>
        </w:tc>
        <w:tc>
          <w:tcPr>
            <w:tcW w:w="1260" w:type="dxa"/>
            <w:vAlign w:val="center"/>
          </w:tcPr>
          <w:p w:rsidR="00DA2344" w:rsidRPr="000D0034" w:rsidRDefault="00DA2344" w:rsidP="00DA2344">
            <w:pPr>
              <w:spacing w:after="0" w:line="240" w:lineRule="auto"/>
              <w:ind w:right="113"/>
              <w:jc w:val="right"/>
              <w:rPr>
                <w:rFonts w:ascii="Times New Roman" w:hAnsi="Times New Roman"/>
              </w:rPr>
            </w:pPr>
            <w:r w:rsidRPr="000D0034">
              <w:rPr>
                <w:rFonts w:ascii="Times New Roman" w:hAnsi="Times New Roman"/>
              </w:rPr>
              <w:t>16 660,4</w:t>
            </w:r>
          </w:p>
        </w:tc>
        <w:tc>
          <w:tcPr>
            <w:tcW w:w="1320" w:type="dxa"/>
            <w:vAlign w:val="center"/>
          </w:tcPr>
          <w:p w:rsidR="00DA2344" w:rsidRPr="000D0034" w:rsidRDefault="00DA2344" w:rsidP="00DA2344">
            <w:pPr>
              <w:spacing w:after="0" w:line="240" w:lineRule="auto"/>
              <w:ind w:right="113"/>
              <w:jc w:val="right"/>
              <w:rPr>
                <w:rFonts w:ascii="Times New Roman" w:hAnsi="Times New Roman"/>
                <w:i/>
              </w:rPr>
            </w:pPr>
            <w:r w:rsidRPr="000D0034">
              <w:rPr>
                <w:rFonts w:ascii="Times New Roman" w:hAnsi="Times New Roman"/>
                <w:i/>
              </w:rPr>
              <w:t>97,5</w:t>
            </w:r>
          </w:p>
        </w:tc>
      </w:tr>
      <w:tr w:rsidR="00DA2344" w:rsidRPr="00ED5EC4" w:rsidTr="00DA2344">
        <w:tc>
          <w:tcPr>
            <w:tcW w:w="3960" w:type="dxa"/>
          </w:tcPr>
          <w:p w:rsidR="00DA2344" w:rsidRPr="000D0034" w:rsidRDefault="00DA2344" w:rsidP="00DA2344">
            <w:pPr>
              <w:spacing w:after="0" w:line="240" w:lineRule="auto"/>
              <w:rPr>
                <w:rFonts w:ascii="Times New Roman" w:hAnsi="Times New Roman"/>
              </w:rPr>
            </w:pPr>
            <w:r w:rsidRPr="000D0034">
              <w:rPr>
                <w:rFonts w:ascii="Times New Roman" w:hAnsi="Times New Roman"/>
                <w:b/>
              </w:rPr>
              <w:t>Пассажирооборот</w:t>
            </w:r>
          </w:p>
        </w:tc>
        <w:tc>
          <w:tcPr>
            <w:tcW w:w="1440" w:type="dxa"/>
            <w:vAlign w:val="center"/>
          </w:tcPr>
          <w:p w:rsidR="00DA2344" w:rsidRPr="000D0034" w:rsidRDefault="00DA2344" w:rsidP="00DA2344">
            <w:pPr>
              <w:spacing w:after="0" w:line="240" w:lineRule="auto"/>
              <w:ind w:left="-108" w:right="-108"/>
              <w:jc w:val="center"/>
              <w:rPr>
                <w:rFonts w:ascii="Times New Roman" w:hAnsi="Times New Roman"/>
              </w:rPr>
            </w:pPr>
            <w:r w:rsidRPr="000D0034">
              <w:rPr>
                <w:rFonts w:ascii="Times New Roman" w:hAnsi="Times New Roman"/>
              </w:rPr>
              <w:t>тыс. пас - км.</w:t>
            </w:r>
          </w:p>
        </w:tc>
        <w:tc>
          <w:tcPr>
            <w:tcW w:w="1260" w:type="dxa"/>
            <w:vAlign w:val="center"/>
          </w:tcPr>
          <w:p w:rsidR="00DA2344" w:rsidRPr="000D0034" w:rsidRDefault="00DA2344" w:rsidP="00DA2344">
            <w:pPr>
              <w:spacing w:after="0" w:line="240" w:lineRule="auto"/>
              <w:ind w:right="113"/>
              <w:jc w:val="right"/>
              <w:rPr>
                <w:rFonts w:ascii="Times New Roman" w:hAnsi="Times New Roman"/>
              </w:rPr>
            </w:pPr>
            <w:r w:rsidRPr="000D0034">
              <w:rPr>
                <w:rFonts w:ascii="Times New Roman" w:hAnsi="Times New Roman"/>
              </w:rPr>
              <w:t>158 009,3</w:t>
            </w:r>
          </w:p>
        </w:tc>
        <w:tc>
          <w:tcPr>
            <w:tcW w:w="1260" w:type="dxa"/>
            <w:vAlign w:val="center"/>
          </w:tcPr>
          <w:p w:rsidR="00DA2344" w:rsidRPr="000D0034" w:rsidRDefault="00DA2344" w:rsidP="00DA2344">
            <w:pPr>
              <w:spacing w:after="0" w:line="240" w:lineRule="auto"/>
              <w:ind w:right="113"/>
              <w:jc w:val="right"/>
              <w:rPr>
                <w:rFonts w:ascii="Times New Roman" w:hAnsi="Times New Roman"/>
              </w:rPr>
            </w:pPr>
            <w:r w:rsidRPr="000D0034">
              <w:rPr>
                <w:rFonts w:ascii="Times New Roman" w:hAnsi="Times New Roman"/>
              </w:rPr>
              <w:t>129 905,1</w:t>
            </w:r>
          </w:p>
        </w:tc>
        <w:tc>
          <w:tcPr>
            <w:tcW w:w="1320" w:type="dxa"/>
            <w:vAlign w:val="center"/>
          </w:tcPr>
          <w:p w:rsidR="00DA2344" w:rsidRPr="000D0034" w:rsidRDefault="00DA2344" w:rsidP="00DA2344">
            <w:pPr>
              <w:spacing w:after="0" w:line="240" w:lineRule="auto"/>
              <w:ind w:right="113"/>
              <w:jc w:val="right"/>
              <w:rPr>
                <w:rFonts w:ascii="Times New Roman" w:hAnsi="Times New Roman"/>
                <w:i/>
              </w:rPr>
            </w:pPr>
            <w:r w:rsidRPr="000D0034">
              <w:rPr>
                <w:rFonts w:ascii="Times New Roman" w:hAnsi="Times New Roman"/>
                <w:i/>
              </w:rPr>
              <w:t>82,3</w:t>
            </w:r>
          </w:p>
        </w:tc>
      </w:tr>
      <w:tr w:rsidR="00DA2344" w:rsidRPr="00ED5EC4" w:rsidTr="00DA2344">
        <w:tc>
          <w:tcPr>
            <w:tcW w:w="3960" w:type="dxa"/>
          </w:tcPr>
          <w:p w:rsidR="00DA2344" w:rsidRPr="000D0034" w:rsidRDefault="00DA2344" w:rsidP="00DA2344">
            <w:pPr>
              <w:spacing w:after="0" w:line="240" w:lineRule="auto"/>
              <w:rPr>
                <w:rFonts w:ascii="Times New Roman" w:hAnsi="Times New Roman"/>
                <w:vertAlign w:val="superscript"/>
              </w:rPr>
            </w:pPr>
            <w:r w:rsidRPr="000D0034">
              <w:rPr>
                <w:rFonts w:ascii="Times New Roman" w:hAnsi="Times New Roman"/>
                <w:b/>
              </w:rPr>
              <w:t>Средняя дальность поездки одного пассажира</w:t>
            </w:r>
          </w:p>
        </w:tc>
        <w:tc>
          <w:tcPr>
            <w:tcW w:w="1440" w:type="dxa"/>
            <w:vAlign w:val="center"/>
          </w:tcPr>
          <w:p w:rsidR="00DA2344" w:rsidRPr="000D0034" w:rsidRDefault="00DA2344" w:rsidP="00DA2344">
            <w:pPr>
              <w:spacing w:after="0" w:line="240" w:lineRule="auto"/>
              <w:ind w:right="113"/>
              <w:jc w:val="center"/>
              <w:rPr>
                <w:rFonts w:ascii="Times New Roman" w:hAnsi="Times New Roman"/>
              </w:rPr>
            </w:pPr>
            <w:r w:rsidRPr="000D0034">
              <w:rPr>
                <w:rFonts w:ascii="Times New Roman" w:hAnsi="Times New Roman"/>
              </w:rPr>
              <w:t>км</w:t>
            </w:r>
          </w:p>
        </w:tc>
        <w:tc>
          <w:tcPr>
            <w:tcW w:w="1260" w:type="dxa"/>
            <w:vAlign w:val="center"/>
          </w:tcPr>
          <w:p w:rsidR="00DA2344" w:rsidRPr="000D0034" w:rsidRDefault="00DA2344" w:rsidP="00DA2344">
            <w:pPr>
              <w:spacing w:after="0" w:line="240" w:lineRule="auto"/>
              <w:ind w:right="113"/>
              <w:jc w:val="right"/>
              <w:rPr>
                <w:rFonts w:ascii="Times New Roman" w:hAnsi="Times New Roman"/>
              </w:rPr>
            </w:pPr>
            <w:r w:rsidRPr="000D0034">
              <w:rPr>
                <w:rFonts w:ascii="Times New Roman" w:hAnsi="Times New Roman"/>
              </w:rPr>
              <w:t>9,2</w:t>
            </w:r>
          </w:p>
        </w:tc>
        <w:tc>
          <w:tcPr>
            <w:tcW w:w="1260" w:type="dxa"/>
            <w:vAlign w:val="center"/>
          </w:tcPr>
          <w:p w:rsidR="00DA2344" w:rsidRPr="000D0034" w:rsidRDefault="00DA2344" w:rsidP="00DA2344">
            <w:pPr>
              <w:spacing w:after="0" w:line="240" w:lineRule="auto"/>
              <w:ind w:right="113"/>
              <w:jc w:val="right"/>
              <w:rPr>
                <w:rFonts w:ascii="Times New Roman" w:hAnsi="Times New Roman"/>
              </w:rPr>
            </w:pPr>
            <w:r w:rsidRPr="000D0034">
              <w:rPr>
                <w:rFonts w:ascii="Times New Roman" w:hAnsi="Times New Roman"/>
              </w:rPr>
              <w:t>7,8</w:t>
            </w:r>
          </w:p>
        </w:tc>
        <w:tc>
          <w:tcPr>
            <w:tcW w:w="1320" w:type="dxa"/>
            <w:vAlign w:val="center"/>
          </w:tcPr>
          <w:p w:rsidR="00DA2344" w:rsidRPr="000D0034" w:rsidRDefault="00DA2344" w:rsidP="00DA2344">
            <w:pPr>
              <w:spacing w:after="0" w:line="240" w:lineRule="auto"/>
              <w:ind w:right="113"/>
              <w:jc w:val="right"/>
              <w:rPr>
                <w:rFonts w:ascii="Times New Roman" w:hAnsi="Times New Roman"/>
                <w:i/>
              </w:rPr>
            </w:pPr>
            <w:r w:rsidRPr="000D0034">
              <w:rPr>
                <w:rFonts w:ascii="Times New Roman" w:hAnsi="Times New Roman"/>
                <w:i/>
              </w:rPr>
              <w:t>84,8</w:t>
            </w:r>
          </w:p>
        </w:tc>
      </w:tr>
      <w:tr w:rsidR="00DA2344" w:rsidRPr="007A6F26" w:rsidTr="00DA2344">
        <w:tc>
          <w:tcPr>
            <w:tcW w:w="3960" w:type="dxa"/>
            <w:vAlign w:val="center"/>
          </w:tcPr>
          <w:p w:rsidR="00DA2344" w:rsidRPr="007A6F26" w:rsidRDefault="00DA2344" w:rsidP="00DA2344">
            <w:pPr>
              <w:spacing w:after="0" w:line="240" w:lineRule="auto"/>
              <w:rPr>
                <w:rFonts w:ascii="Times New Roman" w:hAnsi="Times New Roman"/>
                <w:b/>
              </w:rPr>
            </w:pPr>
            <w:r w:rsidRPr="007A6F26">
              <w:rPr>
                <w:rFonts w:ascii="Times New Roman" w:hAnsi="Times New Roman"/>
                <w:b/>
              </w:rPr>
              <w:t>Наличие автобусов</w:t>
            </w:r>
            <w:r w:rsidRPr="007A6F26">
              <w:rPr>
                <w:rFonts w:ascii="Times New Roman" w:hAnsi="Times New Roman"/>
              </w:rPr>
              <w:t>*</w:t>
            </w:r>
          </w:p>
        </w:tc>
        <w:tc>
          <w:tcPr>
            <w:tcW w:w="1440" w:type="dxa"/>
            <w:vAlign w:val="center"/>
          </w:tcPr>
          <w:p w:rsidR="00DA2344" w:rsidRPr="007A6F26" w:rsidRDefault="00DA2344" w:rsidP="00DA2344">
            <w:pPr>
              <w:spacing w:after="0" w:line="240" w:lineRule="auto"/>
              <w:ind w:right="113"/>
              <w:jc w:val="center"/>
              <w:rPr>
                <w:rFonts w:ascii="Times New Roman" w:hAnsi="Times New Roman"/>
              </w:rPr>
            </w:pPr>
            <w:r w:rsidRPr="007A6F26">
              <w:rPr>
                <w:rFonts w:ascii="Times New Roman" w:hAnsi="Times New Roman"/>
              </w:rPr>
              <w:t>ед.</w:t>
            </w:r>
          </w:p>
        </w:tc>
        <w:tc>
          <w:tcPr>
            <w:tcW w:w="1260" w:type="dxa"/>
            <w:vAlign w:val="center"/>
          </w:tcPr>
          <w:p w:rsidR="00DA2344" w:rsidRPr="007A6F26" w:rsidRDefault="00DA2344" w:rsidP="00DA2344">
            <w:pPr>
              <w:spacing w:after="0" w:line="240" w:lineRule="auto"/>
              <w:ind w:right="113"/>
              <w:jc w:val="right"/>
              <w:rPr>
                <w:rFonts w:ascii="Times New Roman" w:hAnsi="Times New Roman"/>
              </w:rPr>
            </w:pPr>
            <w:r w:rsidRPr="007A6F26">
              <w:rPr>
                <w:rFonts w:ascii="Times New Roman" w:hAnsi="Times New Roman"/>
              </w:rPr>
              <w:t>298</w:t>
            </w:r>
          </w:p>
        </w:tc>
        <w:tc>
          <w:tcPr>
            <w:tcW w:w="1260" w:type="dxa"/>
            <w:vAlign w:val="center"/>
          </w:tcPr>
          <w:p w:rsidR="00DA2344" w:rsidRPr="007A6F26" w:rsidRDefault="00DA2344" w:rsidP="00DA2344">
            <w:pPr>
              <w:spacing w:after="0" w:line="240" w:lineRule="auto"/>
              <w:ind w:right="113"/>
              <w:jc w:val="right"/>
              <w:rPr>
                <w:rFonts w:ascii="Times New Roman" w:hAnsi="Times New Roman"/>
              </w:rPr>
            </w:pPr>
            <w:r w:rsidRPr="007A6F26">
              <w:rPr>
                <w:rFonts w:ascii="Times New Roman" w:hAnsi="Times New Roman"/>
              </w:rPr>
              <w:t>308</w:t>
            </w:r>
          </w:p>
        </w:tc>
        <w:tc>
          <w:tcPr>
            <w:tcW w:w="1320" w:type="dxa"/>
            <w:vAlign w:val="center"/>
          </w:tcPr>
          <w:p w:rsidR="00DA2344" w:rsidRPr="007A6F26" w:rsidRDefault="00DA2344" w:rsidP="00DA2344">
            <w:pPr>
              <w:spacing w:after="0" w:line="240" w:lineRule="auto"/>
              <w:ind w:right="113"/>
              <w:jc w:val="right"/>
              <w:rPr>
                <w:rFonts w:ascii="Times New Roman" w:hAnsi="Times New Roman"/>
                <w:i/>
              </w:rPr>
            </w:pPr>
            <w:r w:rsidRPr="007A6F26">
              <w:rPr>
                <w:rFonts w:ascii="Times New Roman" w:hAnsi="Times New Roman"/>
                <w:i/>
              </w:rPr>
              <w:t>103,4</w:t>
            </w:r>
          </w:p>
        </w:tc>
      </w:tr>
      <w:tr w:rsidR="00DA2344" w:rsidRPr="007A6F26" w:rsidTr="00DA2344">
        <w:tc>
          <w:tcPr>
            <w:tcW w:w="3960" w:type="dxa"/>
          </w:tcPr>
          <w:p w:rsidR="00DA2344" w:rsidRPr="007A6F26" w:rsidRDefault="00DA2344" w:rsidP="00DA2344">
            <w:pPr>
              <w:spacing w:after="0" w:line="240" w:lineRule="auto"/>
              <w:rPr>
                <w:rFonts w:ascii="Times New Roman" w:hAnsi="Times New Roman"/>
                <w:vertAlign w:val="superscript"/>
              </w:rPr>
            </w:pPr>
            <w:r w:rsidRPr="007A6F26">
              <w:rPr>
                <w:rFonts w:ascii="Times New Roman" w:hAnsi="Times New Roman"/>
                <w:b/>
              </w:rPr>
              <w:t>Доходы от перевозки пассажиров автобусами и легковыми такси</w:t>
            </w:r>
          </w:p>
        </w:tc>
        <w:tc>
          <w:tcPr>
            <w:tcW w:w="1440" w:type="dxa"/>
            <w:vAlign w:val="center"/>
          </w:tcPr>
          <w:p w:rsidR="00DA2344" w:rsidRPr="007A6F26" w:rsidRDefault="00DA2344" w:rsidP="00DA2344">
            <w:pPr>
              <w:spacing w:after="0" w:line="240" w:lineRule="auto"/>
              <w:ind w:right="113"/>
              <w:jc w:val="center"/>
              <w:rPr>
                <w:rFonts w:ascii="Times New Roman" w:hAnsi="Times New Roman"/>
              </w:rPr>
            </w:pPr>
            <w:r w:rsidRPr="007A6F26">
              <w:rPr>
                <w:rFonts w:ascii="Times New Roman" w:hAnsi="Times New Roman"/>
              </w:rPr>
              <w:t>тыс. руб.</w:t>
            </w:r>
          </w:p>
        </w:tc>
        <w:tc>
          <w:tcPr>
            <w:tcW w:w="1260" w:type="dxa"/>
            <w:vAlign w:val="center"/>
          </w:tcPr>
          <w:p w:rsidR="00DA2344" w:rsidRPr="007A6F26" w:rsidRDefault="00DA2344" w:rsidP="00DA2344">
            <w:pPr>
              <w:spacing w:after="0" w:line="240" w:lineRule="auto"/>
              <w:ind w:right="113"/>
              <w:jc w:val="right"/>
              <w:rPr>
                <w:rFonts w:ascii="Times New Roman" w:hAnsi="Times New Roman"/>
              </w:rPr>
            </w:pPr>
            <w:r w:rsidRPr="007A6F26">
              <w:rPr>
                <w:rFonts w:ascii="Times New Roman" w:hAnsi="Times New Roman"/>
              </w:rPr>
              <w:t>82 355,7</w:t>
            </w:r>
          </w:p>
        </w:tc>
        <w:tc>
          <w:tcPr>
            <w:tcW w:w="1260" w:type="dxa"/>
            <w:vAlign w:val="center"/>
          </w:tcPr>
          <w:p w:rsidR="00DA2344" w:rsidRPr="007A6F26" w:rsidRDefault="00DA2344" w:rsidP="00DA2344">
            <w:pPr>
              <w:spacing w:after="0" w:line="240" w:lineRule="auto"/>
              <w:ind w:right="113"/>
              <w:jc w:val="right"/>
              <w:rPr>
                <w:rFonts w:ascii="Times New Roman" w:hAnsi="Times New Roman"/>
              </w:rPr>
            </w:pPr>
            <w:r w:rsidRPr="007A6F26">
              <w:rPr>
                <w:rFonts w:ascii="Times New Roman" w:hAnsi="Times New Roman"/>
              </w:rPr>
              <w:t>75 294,0</w:t>
            </w:r>
          </w:p>
        </w:tc>
        <w:tc>
          <w:tcPr>
            <w:tcW w:w="1320" w:type="dxa"/>
            <w:vAlign w:val="center"/>
          </w:tcPr>
          <w:p w:rsidR="00DA2344" w:rsidRPr="007A6F26" w:rsidRDefault="00DA2344" w:rsidP="00DA2344">
            <w:pPr>
              <w:spacing w:after="0" w:line="240" w:lineRule="auto"/>
              <w:ind w:right="113"/>
              <w:jc w:val="right"/>
              <w:rPr>
                <w:rFonts w:ascii="Times New Roman" w:hAnsi="Times New Roman"/>
                <w:i/>
              </w:rPr>
            </w:pPr>
            <w:r w:rsidRPr="007A6F26">
              <w:rPr>
                <w:rFonts w:ascii="Times New Roman" w:hAnsi="Times New Roman"/>
                <w:i/>
              </w:rPr>
              <w:t>91,5</w:t>
            </w:r>
          </w:p>
        </w:tc>
      </w:tr>
    </w:tbl>
    <w:p w:rsidR="00DA2344" w:rsidRPr="00E272DC" w:rsidRDefault="00DA2344" w:rsidP="00DA2344">
      <w:pPr>
        <w:jc w:val="both"/>
        <w:rPr>
          <w:rFonts w:ascii="Times New Roman" w:hAnsi="Times New Roman"/>
          <w:sz w:val="20"/>
          <w:szCs w:val="20"/>
        </w:rPr>
      </w:pPr>
      <w:r w:rsidRPr="007A6F26">
        <w:rPr>
          <w:rFonts w:ascii="Times New Roman" w:hAnsi="Times New Roman"/>
          <w:sz w:val="20"/>
          <w:szCs w:val="20"/>
        </w:rPr>
        <w:t>* - без субъектов малого предпринимательства</w:t>
      </w:r>
    </w:p>
    <w:p w:rsidR="00DA2344" w:rsidRPr="00C17273" w:rsidRDefault="00DA2344" w:rsidP="00DA2344">
      <w:pPr>
        <w:spacing w:after="0" w:line="240" w:lineRule="auto"/>
        <w:ind w:firstLine="709"/>
        <w:jc w:val="both"/>
        <w:rPr>
          <w:rFonts w:ascii="Times New Roman" w:hAnsi="Times New Roman"/>
          <w:sz w:val="24"/>
          <w:szCs w:val="24"/>
        </w:rPr>
      </w:pPr>
      <w:r w:rsidRPr="00C17273">
        <w:rPr>
          <w:rFonts w:ascii="Times New Roman" w:hAnsi="Times New Roman"/>
          <w:sz w:val="24"/>
          <w:szCs w:val="24"/>
        </w:rPr>
        <w:t xml:space="preserve">В разрезе автотранспортных предприятий </w:t>
      </w:r>
      <w:r w:rsidRPr="00C17273">
        <w:rPr>
          <w:rFonts w:ascii="Times New Roman" w:hAnsi="Times New Roman"/>
          <w:spacing w:val="3"/>
          <w:sz w:val="24"/>
          <w:szCs w:val="24"/>
        </w:rPr>
        <w:t xml:space="preserve">республики лидерами по величине доходов от перевозки пассажиров являются: </w:t>
      </w:r>
      <w:r w:rsidRPr="00C17273">
        <w:rPr>
          <w:rFonts w:ascii="Times New Roman" w:hAnsi="Times New Roman"/>
          <w:sz w:val="24"/>
          <w:szCs w:val="24"/>
        </w:rPr>
        <w:t>ООО «Автовнешэкономсервис» (12,7% в общем объеме доходов), МУП «Автомотосервис и торговля г. Бендеры» (10,6%), ОАО «Рыбницкая АК №2831» (10,5%), ГУП «Горавтотранс» (7,6%), ООО «Король» (7,5%), ООО «Мелиор» (7,4%).</w:t>
      </w:r>
    </w:p>
    <w:p w:rsidR="00DA2344" w:rsidRPr="00C17273" w:rsidRDefault="00DA2344" w:rsidP="00DA2344">
      <w:pPr>
        <w:spacing w:after="0" w:line="240" w:lineRule="auto"/>
        <w:ind w:firstLine="709"/>
        <w:jc w:val="both"/>
        <w:rPr>
          <w:rFonts w:ascii="Times New Roman" w:hAnsi="Times New Roman"/>
          <w:spacing w:val="2"/>
          <w:sz w:val="24"/>
          <w:szCs w:val="24"/>
        </w:rPr>
      </w:pPr>
      <w:r w:rsidRPr="00C17273">
        <w:rPr>
          <w:rFonts w:ascii="Times New Roman" w:hAnsi="Times New Roman"/>
          <w:spacing w:val="3"/>
          <w:sz w:val="24"/>
          <w:szCs w:val="24"/>
        </w:rPr>
        <w:t>На снижение доходов автотранспортных организаций, оказывающих услуги по перевозке пассажиров, основное влияние оказало снижение количества обслуживаемых маршрутов, а также уменьшение пассажиропотока.</w:t>
      </w:r>
    </w:p>
    <w:p w:rsidR="00DA2344" w:rsidRPr="00C17273" w:rsidRDefault="00DA2344" w:rsidP="00DA2344">
      <w:pPr>
        <w:spacing w:after="0" w:line="240" w:lineRule="auto"/>
        <w:ind w:firstLine="709"/>
        <w:jc w:val="both"/>
        <w:rPr>
          <w:rFonts w:ascii="Times New Roman" w:hAnsi="Times New Roman"/>
          <w:sz w:val="24"/>
          <w:szCs w:val="24"/>
        </w:rPr>
      </w:pPr>
      <w:r w:rsidRPr="00C17273">
        <w:rPr>
          <w:rFonts w:ascii="Times New Roman" w:hAnsi="Times New Roman"/>
          <w:sz w:val="24"/>
          <w:szCs w:val="24"/>
        </w:rPr>
        <w:t>В январе – июне 2014 года произошло увеличение подвижного состава. Наличие автобусов (без учета субъектов малого предпринимательства) на 1 июля 2014 года составило 308 единиц, что на 3,4% больше показателя предыдущего периода.</w:t>
      </w:r>
    </w:p>
    <w:p w:rsidR="00DA2344" w:rsidRPr="00C17273" w:rsidRDefault="00DA2344" w:rsidP="00DA2344">
      <w:pPr>
        <w:spacing w:after="0" w:line="240" w:lineRule="auto"/>
        <w:ind w:firstLine="709"/>
        <w:jc w:val="both"/>
        <w:rPr>
          <w:rFonts w:ascii="Times New Roman" w:hAnsi="Times New Roman"/>
          <w:sz w:val="24"/>
          <w:szCs w:val="24"/>
        </w:rPr>
      </w:pPr>
      <w:r w:rsidRPr="00C17273">
        <w:rPr>
          <w:rFonts w:ascii="Times New Roman" w:hAnsi="Times New Roman"/>
          <w:sz w:val="24"/>
          <w:szCs w:val="24"/>
        </w:rPr>
        <w:t xml:space="preserve">В рассматриваемом периоде </w:t>
      </w:r>
      <w:r w:rsidRPr="00C17273">
        <w:rPr>
          <w:rFonts w:ascii="Times New Roman" w:hAnsi="Times New Roman"/>
          <w:b/>
          <w:i/>
          <w:sz w:val="24"/>
          <w:szCs w:val="24"/>
        </w:rPr>
        <w:t xml:space="preserve">электрическим транспортом, </w:t>
      </w:r>
      <w:r w:rsidRPr="00C17273">
        <w:rPr>
          <w:rFonts w:ascii="Times New Roman" w:hAnsi="Times New Roman"/>
          <w:sz w:val="24"/>
          <w:szCs w:val="24"/>
        </w:rPr>
        <w:t>действующим в двух городах республики (город Тирасполь, город Бендеры) перевезено 10,5 млн. пассажиров, увеличившись по сравнению с январем - июнем 2013 года на 7,4%. Из общего числа перевезенных пассажиров только 28,1% являются пассажиры с платным проездом.</w:t>
      </w:r>
    </w:p>
    <w:p w:rsidR="00DA2344" w:rsidRPr="00C17273" w:rsidRDefault="00DA2344" w:rsidP="00DA2344">
      <w:pPr>
        <w:spacing w:after="0" w:line="240" w:lineRule="auto"/>
        <w:ind w:firstLine="709"/>
        <w:jc w:val="both"/>
        <w:rPr>
          <w:rFonts w:ascii="Times New Roman" w:hAnsi="Times New Roman"/>
          <w:spacing w:val="2"/>
          <w:sz w:val="24"/>
          <w:szCs w:val="24"/>
        </w:rPr>
      </w:pPr>
      <w:r w:rsidRPr="00C17273">
        <w:rPr>
          <w:rFonts w:ascii="Times New Roman" w:hAnsi="Times New Roman"/>
          <w:spacing w:val="2"/>
          <w:sz w:val="24"/>
          <w:szCs w:val="24"/>
        </w:rPr>
        <w:t>В результате увеличения в I полугодии 2014 года пассажиропотока, отмечается повышение на 4,4% в сравнении с сопоставимым показателем 2013 года пассажирооборота электрического транспорта</w:t>
      </w:r>
      <w:r>
        <w:rPr>
          <w:rFonts w:ascii="Times New Roman" w:hAnsi="Times New Roman"/>
          <w:spacing w:val="2"/>
          <w:sz w:val="24"/>
          <w:szCs w:val="24"/>
        </w:rPr>
        <w:t xml:space="preserve"> до</w:t>
      </w:r>
      <w:r w:rsidRPr="00C17273">
        <w:rPr>
          <w:rFonts w:ascii="Times New Roman" w:hAnsi="Times New Roman"/>
          <w:spacing w:val="2"/>
          <w:sz w:val="24"/>
          <w:szCs w:val="24"/>
        </w:rPr>
        <w:t xml:space="preserve"> 77,0 млн. пассажиро - километров. </w:t>
      </w:r>
    </w:p>
    <w:p w:rsidR="00DA2344" w:rsidRPr="00C17273" w:rsidRDefault="00DA2344" w:rsidP="00DA2344">
      <w:pPr>
        <w:spacing w:after="0" w:line="240" w:lineRule="auto"/>
        <w:ind w:firstLine="709"/>
        <w:jc w:val="both"/>
        <w:rPr>
          <w:rFonts w:ascii="Times New Roman" w:hAnsi="Times New Roman"/>
          <w:sz w:val="24"/>
          <w:szCs w:val="24"/>
        </w:rPr>
      </w:pPr>
      <w:r w:rsidRPr="00C17273">
        <w:rPr>
          <w:rFonts w:ascii="Times New Roman" w:hAnsi="Times New Roman"/>
          <w:sz w:val="24"/>
          <w:szCs w:val="24"/>
        </w:rPr>
        <w:t>В I полугодии 2014 года в рамках продолжающейся программы обновления пассажирского транспорта были введены в эксплуатацию 14 троллейбусов, а обще</w:t>
      </w:r>
      <w:r>
        <w:rPr>
          <w:rFonts w:ascii="Times New Roman" w:hAnsi="Times New Roman"/>
          <w:sz w:val="24"/>
          <w:szCs w:val="24"/>
        </w:rPr>
        <w:t>е</w:t>
      </w:r>
      <w:r w:rsidRPr="00C17273">
        <w:rPr>
          <w:rFonts w:ascii="Times New Roman" w:hAnsi="Times New Roman"/>
          <w:sz w:val="24"/>
          <w:szCs w:val="24"/>
        </w:rPr>
        <w:t xml:space="preserve"> число транспортных средств составило 98 единиц.</w:t>
      </w:r>
    </w:p>
    <w:p w:rsidR="00DA2344" w:rsidRPr="00C17273" w:rsidRDefault="00DA2344" w:rsidP="00DA2344">
      <w:pPr>
        <w:spacing w:after="0" w:line="240" w:lineRule="auto"/>
        <w:ind w:firstLine="709"/>
        <w:jc w:val="both"/>
        <w:rPr>
          <w:rFonts w:ascii="Times New Roman" w:hAnsi="Times New Roman"/>
          <w:sz w:val="24"/>
          <w:szCs w:val="24"/>
        </w:rPr>
      </w:pPr>
      <w:r w:rsidRPr="00C17273">
        <w:rPr>
          <w:rFonts w:ascii="Times New Roman" w:hAnsi="Times New Roman"/>
          <w:sz w:val="24"/>
          <w:szCs w:val="24"/>
        </w:rPr>
        <w:t xml:space="preserve">Несмотря на ввод в эксплуатацию новых троллейбусов с высокой комфортабельностью, доходы </w:t>
      </w:r>
      <w:r w:rsidRPr="00C17273">
        <w:rPr>
          <w:rFonts w:ascii="Times New Roman" w:hAnsi="Times New Roman"/>
          <w:spacing w:val="2"/>
          <w:sz w:val="24"/>
          <w:szCs w:val="24"/>
        </w:rPr>
        <w:t xml:space="preserve">троллейбусных парков </w:t>
      </w:r>
      <w:r w:rsidRPr="00C17273">
        <w:rPr>
          <w:rFonts w:ascii="Times New Roman" w:hAnsi="Times New Roman"/>
          <w:sz w:val="24"/>
          <w:szCs w:val="24"/>
        </w:rPr>
        <w:t xml:space="preserve">от перевозки пассажиров и багажа </w:t>
      </w:r>
      <w:r w:rsidRPr="00C17273">
        <w:rPr>
          <w:rFonts w:ascii="Times New Roman" w:hAnsi="Times New Roman"/>
          <w:spacing w:val="2"/>
          <w:sz w:val="24"/>
          <w:szCs w:val="24"/>
        </w:rPr>
        <w:t>(без поступления средств из бюджета и других источников)</w:t>
      </w:r>
      <w:r w:rsidRPr="00C17273">
        <w:rPr>
          <w:rFonts w:ascii="Times New Roman" w:hAnsi="Times New Roman"/>
          <w:sz w:val="24"/>
          <w:szCs w:val="24"/>
        </w:rPr>
        <w:t xml:space="preserve"> </w:t>
      </w:r>
      <w:r w:rsidRPr="00C17273">
        <w:rPr>
          <w:rFonts w:ascii="Times New Roman" w:hAnsi="Times New Roman"/>
          <w:spacing w:val="2"/>
          <w:sz w:val="24"/>
          <w:szCs w:val="24"/>
        </w:rPr>
        <w:t>за отчетный период увеличились незначительно по сравнению с январем – июнем 2013 года (на 1,3%), в стоимостном выражении достигнув 16,0 млн. руб.</w:t>
      </w:r>
      <w:r w:rsidRPr="00C17273">
        <w:rPr>
          <w:rFonts w:ascii="Times New Roman" w:hAnsi="Times New Roman"/>
          <w:sz w:val="24"/>
          <w:szCs w:val="24"/>
        </w:rPr>
        <w:t xml:space="preserve"> </w:t>
      </w:r>
    </w:p>
    <w:p w:rsidR="00DA2344" w:rsidRPr="00C17273" w:rsidRDefault="00DA2344" w:rsidP="00DA2344">
      <w:pPr>
        <w:spacing w:after="0" w:line="240" w:lineRule="auto"/>
        <w:ind w:firstLine="709"/>
        <w:jc w:val="both"/>
        <w:rPr>
          <w:rFonts w:ascii="Times New Roman" w:hAnsi="Times New Roman"/>
          <w:sz w:val="24"/>
          <w:szCs w:val="24"/>
        </w:rPr>
      </w:pPr>
      <w:r w:rsidRPr="00C17273">
        <w:rPr>
          <w:rFonts w:ascii="Times New Roman" w:hAnsi="Times New Roman"/>
          <w:b/>
          <w:i/>
          <w:sz w:val="24"/>
          <w:szCs w:val="24"/>
        </w:rPr>
        <w:t>Железнодорожный транспорт</w:t>
      </w:r>
      <w:r w:rsidRPr="00C17273">
        <w:rPr>
          <w:rFonts w:ascii="Times New Roman" w:hAnsi="Times New Roman"/>
          <w:sz w:val="24"/>
          <w:szCs w:val="24"/>
        </w:rPr>
        <w:t xml:space="preserve"> республики представлен ГУКП «Приднестровская железная дорога».</w:t>
      </w:r>
    </w:p>
    <w:p w:rsidR="00DA2344" w:rsidRPr="00C17273" w:rsidRDefault="00DA2344" w:rsidP="00DA2344">
      <w:pPr>
        <w:tabs>
          <w:tab w:val="left" w:pos="1080"/>
          <w:tab w:val="left" w:pos="1260"/>
        </w:tabs>
        <w:spacing w:after="0" w:line="240" w:lineRule="auto"/>
        <w:ind w:firstLine="709"/>
        <w:jc w:val="both"/>
        <w:rPr>
          <w:rFonts w:ascii="Times New Roman" w:hAnsi="Times New Roman"/>
          <w:spacing w:val="1"/>
          <w:sz w:val="24"/>
          <w:szCs w:val="24"/>
        </w:rPr>
      </w:pPr>
      <w:r w:rsidRPr="00C17273">
        <w:rPr>
          <w:rFonts w:ascii="Times New Roman" w:hAnsi="Times New Roman"/>
          <w:spacing w:val="1"/>
          <w:sz w:val="24"/>
          <w:szCs w:val="24"/>
        </w:rPr>
        <w:t xml:space="preserve">За </w:t>
      </w:r>
      <w:r w:rsidRPr="00C17273">
        <w:rPr>
          <w:rFonts w:ascii="Times New Roman" w:hAnsi="Times New Roman"/>
          <w:spacing w:val="1"/>
          <w:sz w:val="24"/>
          <w:szCs w:val="24"/>
          <w:lang w:val="en-US"/>
        </w:rPr>
        <w:t>I</w:t>
      </w:r>
      <w:r w:rsidRPr="00C17273">
        <w:rPr>
          <w:rFonts w:ascii="Times New Roman" w:hAnsi="Times New Roman"/>
          <w:spacing w:val="1"/>
          <w:sz w:val="24"/>
          <w:szCs w:val="24"/>
        </w:rPr>
        <w:t xml:space="preserve"> полугодие 2014 года ГУКП «Приднестровская железная дорога» осуществила общий объем грузовых перевозок в размере 1 818,9 тыс. тонн, что на 2,4% превысило аналогичный показатель прошлого года (в </w:t>
      </w:r>
      <w:r w:rsidRPr="00C17273">
        <w:rPr>
          <w:rFonts w:ascii="Times New Roman" w:hAnsi="Times New Roman"/>
          <w:spacing w:val="1"/>
          <w:sz w:val="24"/>
          <w:szCs w:val="24"/>
          <w:lang w:val="en-US"/>
        </w:rPr>
        <w:t>I</w:t>
      </w:r>
      <w:r w:rsidRPr="00C17273">
        <w:rPr>
          <w:rFonts w:ascii="Times New Roman" w:hAnsi="Times New Roman"/>
          <w:spacing w:val="1"/>
          <w:sz w:val="24"/>
          <w:szCs w:val="24"/>
        </w:rPr>
        <w:t xml:space="preserve"> полугодии 2013 года объем грузовых перевозок составил 1 777,4 тыс. тонн). Достичь положительной динамики удалось благодаря возобновлению во втором полугодии 2013 года работы </w:t>
      </w:r>
      <w:r w:rsidR="00EE6B2D">
        <w:rPr>
          <w:rFonts w:ascii="Times New Roman" w:hAnsi="Times New Roman"/>
          <w:spacing w:val="1"/>
          <w:sz w:val="24"/>
          <w:szCs w:val="24"/>
        </w:rPr>
        <w:t xml:space="preserve">                                          </w:t>
      </w:r>
      <w:r w:rsidRPr="00C17273">
        <w:rPr>
          <w:rFonts w:ascii="Times New Roman" w:hAnsi="Times New Roman"/>
          <w:spacing w:val="1"/>
          <w:sz w:val="24"/>
          <w:szCs w:val="24"/>
        </w:rPr>
        <w:t>ОАО «Молдавский металлургический завод», а также увеличению во втором квартале 2014 года объема перевозок в местном сообщении.</w:t>
      </w:r>
    </w:p>
    <w:p w:rsidR="00DA2344" w:rsidRPr="00C17273" w:rsidRDefault="00DA2344" w:rsidP="00DA2344">
      <w:pPr>
        <w:spacing w:after="0" w:line="240" w:lineRule="auto"/>
        <w:ind w:firstLine="709"/>
        <w:jc w:val="both"/>
        <w:rPr>
          <w:rFonts w:ascii="Times New Roman" w:hAnsi="Times New Roman"/>
          <w:spacing w:val="1"/>
          <w:sz w:val="24"/>
          <w:szCs w:val="24"/>
        </w:rPr>
      </w:pPr>
      <w:r w:rsidRPr="00C17273">
        <w:rPr>
          <w:rFonts w:ascii="Times New Roman" w:hAnsi="Times New Roman"/>
          <w:sz w:val="24"/>
          <w:szCs w:val="24"/>
        </w:rPr>
        <w:t xml:space="preserve">За рассматриваемый период </w:t>
      </w:r>
      <w:r w:rsidRPr="00C17273">
        <w:rPr>
          <w:rFonts w:ascii="Times New Roman" w:hAnsi="Times New Roman"/>
          <w:spacing w:val="1"/>
          <w:sz w:val="24"/>
          <w:szCs w:val="24"/>
        </w:rPr>
        <w:t xml:space="preserve">ГУКП «Приднестровская железная дорога» получена чистая прибыль в размере 2 046,2 тыс. руб., рентабельность хозяйственной деятельности в </w:t>
      </w:r>
      <w:r w:rsidRPr="00C17273">
        <w:rPr>
          <w:rFonts w:ascii="Times New Roman" w:hAnsi="Times New Roman"/>
          <w:spacing w:val="1"/>
          <w:sz w:val="24"/>
          <w:szCs w:val="24"/>
          <w:lang w:val="en-US"/>
        </w:rPr>
        <w:t>I</w:t>
      </w:r>
      <w:r w:rsidRPr="00C17273">
        <w:rPr>
          <w:rFonts w:ascii="Times New Roman" w:hAnsi="Times New Roman"/>
          <w:spacing w:val="1"/>
          <w:sz w:val="24"/>
          <w:szCs w:val="24"/>
        </w:rPr>
        <w:t xml:space="preserve"> полугодии 2014 года составила 12,4%, против 9,3% в прошлом периоде.</w:t>
      </w:r>
    </w:p>
    <w:p w:rsidR="00DA2344" w:rsidRPr="00C17273" w:rsidRDefault="00DA2344" w:rsidP="00DA2344">
      <w:pPr>
        <w:spacing w:after="0" w:line="240" w:lineRule="auto"/>
        <w:ind w:firstLine="709"/>
        <w:jc w:val="both"/>
        <w:rPr>
          <w:rFonts w:ascii="Times New Roman" w:hAnsi="Times New Roman"/>
          <w:sz w:val="24"/>
          <w:szCs w:val="24"/>
        </w:rPr>
      </w:pPr>
      <w:r w:rsidRPr="00C17273">
        <w:rPr>
          <w:rFonts w:ascii="Times New Roman" w:hAnsi="Times New Roman"/>
          <w:b/>
          <w:bCs/>
          <w:i/>
          <w:sz w:val="24"/>
          <w:szCs w:val="24"/>
        </w:rPr>
        <w:lastRenderedPageBreak/>
        <w:t>Внутренний водный (речной) транспорт</w:t>
      </w:r>
      <w:r w:rsidRPr="00C17273">
        <w:rPr>
          <w:rFonts w:ascii="Times New Roman" w:hAnsi="Times New Roman"/>
          <w:sz w:val="24"/>
          <w:szCs w:val="24"/>
        </w:rPr>
        <w:t xml:space="preserve"> республики представлен Рыбницким и Бендерским речными портами. </w:t>
      </w:r>
    </w:p>
    <w:p w:rsidR="00DA2344" w:rsidRPr="00C17273" w:rsidRDefault="00DA2344" w:rsidP="00DA2344">
      <w:pPr>
        <w:spacing w:after="0" w:line="240" w:lineRule="auto"/>
        <w:ind w:firstLine="709"/>
        <w:jc w:val="both"/>
        <w:rPr>
          <w:rFonts w:ascii="Times New Roman" w:hAnsi="Times New Roman"/>
          <w:sz w:val="24"/>
          <w:szCs w:val="24"/>
        </w:rPr>
      </w:pPr>
      <w:r w:rsidRPr="00C17273">
        <w:rPr>
          <w:rFonts w:ascii="Times New Roman" w:hAnsi="Times New Roman"/>
          <w:sz w:val="24"/>
          <w:szCs w:val="24"/>
        </w:rPr>
        <w:t>Основными отрицательными факторами, оказывающими существенное влияние на результаты работы предприятий, являются разрыв экономических связей, повлекший прекращение грузового сообщения и запрет изъятия речного грунта при проведении дноуглубительных работ. Стоит также отметить отсутствие межгосударственного соглашения по судоходству на реке Днестр, предусматривающего порядок движения судов, таможенные процедуры и пограничный контроль, что исключает возможность перевозки грузов молдавским агентам и осуществление грузовых и пассажирских перевозок через Днестровский лиман в Черное море.</w:t>
      </w:r>
    </w:p>
    <w:p w:rsidR="00DA2344" w:rsidRPr="00C17273" w:rsidRDefault="00DA2344" w:rsidP="00DA2344">
      <w:pPr>
        <w:spacing w:after="0" w:line="240" w:lineRule="auto"/>
        <w:ind w:firstLine="709"/>
        <w:jc w:val="both"/>
        <w:rPr>
          <w:rFonts w:ascii="Times New Roman" w:hAnsi="Times New Roman"/>
          <w:sz w:val="24"/>
          <w:szCs w:val="24"/>
        </w:rPr>
      </w:pPr>
      <w:r>
        <w:rPr>
          <w:rFonts w:ascii="Times New Roman" w:hAnsi="Times New Roman"/>
          <w:sz w:val="24"/>
          <w:szCs w:val="24"/>
        </w:rPr>
        <w:t>Извлекаемый грунт при проектном дноуглублении на разных участках в большинстве случаев некондиционен, так как требует значительных затрат на очистку, что влияет на конечную цену продукта. При этом, находясь в зависимости от качества извлекаемого грунта (возможность реализовать его в качестве строительного материала и компенсировать затраты), вынужден производить дноуглубление на ограниченных участках.</w:t>
      </w:r>
    </w:p>
    <w:p w:rsidR="00DA2344" w:rsidRPr="00C17273" w:rsidRDefault="00DA2344" w:rsidP="00DA2344">
      <w:pPr>
        <w:spacing w:after="0" w:line="240" w:lineRule="auto"/>
        <w:ind w:firstLine="709"/>
        <w:jc w:val="both"/>
        <w:rPr>
          <w:rFonts w:ascii="Times New Roman" w:hAnsi="Times New Roman"/>
          <w:sz w:val="24"/>
          <w:szCs w:val="24"/>
        </w:rPr>
      </w:pPr>
      <w:r w:rsidRPr="00C17273">
        <w:rPr>
          <w:rFonts w:ascii="Times New Roman" w:hAnsi="Times New Roman"/>
          <w:sz w:val="24"/>
          <w:szCs w:val="24"/>
        </w:rPr>
        <w:t xml:space="preserve">В </w:t>
      </w:r>
      <w:r w:rsidRPr="00C17273">
        <w:rPr>
          <w:rFonts w:ascii="Times New Roman" w:hAnsi="Times New Roman"/>
          <w:sz w:val="24"/>
          <w:szCs w:val="24"/>
          <w:lang w:val="en-US"/>
        </w:rPr>
        <w:t>I</w:t>
      </w:r>
      <w:r w:rsidRPr="00C17273">
        <w:rPr>
          <w:rFonts w:ascii="Times New Roman" w:hAnsi="Times New Roman"/>
          <w:sz w:val="24"/>
          <w:szCs w:val="24"/>
        </w:rPr>
        <w:t xml:space="preserve"> полугодии 2014 года отмечается положительная динамика в работе Бендерского речного порта за счет реализации песчано-гравийной смеси (ПГС) и осуществления пассажирских перевозок. В составе выручки доходы от реализации песчано-гравийной смеси в январе – июне 2014 года составили 21,0% (против 30,3% в прошлом периоде).</w:t>
      </w:r>
    </w:p>
    <w:p w:rsidR="00DA2344" w:rsidRPr="00C17273" w:rsidRDefault="00DA2344" w:rsidP="00DA2344">
      <w:pPr>
        <w:spacing w:after="0" w:line="240" w:lineRule="auto"/>
        <w:ind w:firstLine="709"/>
        <w:jc w:val="both"/>
        <w:rPr>
          <w:rFonts w:ascii="Times New Roman" w:hAnsi="Times New Roman"/>
          <w:spacing w:val="6"/>
          <w:sz w:val="24"/>
          <w:szCs w:val="24"/>
        </w:rPr>
      </w:pPr>
      <w:r w:rsidRPr="00C17273">
        <w:rPr>
          <w:rFonts w:ascii="Times New Roman" w:hAnsi="Times New Roman"/>
          <w:spacing w:val="6"/>
          <w:sz w:val="24"/>
          <w:szCs w:val="24"/>
        </w:rPr>
        <w:t xml:space="preserve">Принимая во внимание сложившуюся в транспортной сфере республики ситуацию, </w:t>
      </w:r>
      <w:r w:rsidRPr="00C17273">
        <w:rPr>
          <w:rFonts w:ascii="Times New Roman" w:hAnsi="Times New Roman"/>
          <w:b/>
          <w:i/>
          <w:spacing w:val="6"/>
          <w:sz w:val="24"/>
          <w:szCs w:val="24"/>
        </w:rPr>
        <w:t>государственная политика в области координации и развития транспорта</w:t>
      </w:r>
      <w:r w:rsidRPr="00C17273">
        <w:rPr>
          <w:rFonts w:ascii="Times New Roman" w:hAnsi="Times New Roman"/>
          <w:spacing w:val="6"/>
          <w:sz w:val="24"/>
          <w:szCs w:val="24"/>
        </w:rPr>
        <w:t xml:space="preserve"> </w:t>
      </w:r>
      <w:r w:rsidRPr="00C17273">
        <w:rPr>
          <w:rFonts w:ascii="Times New Roman" w:hAnsi="Times New Roman"/>
          <w:sz w:val="24"/>
          <w:szCs w:val="24"/>
        </w:rPr>
        <w:t>была</w:t>
      </w:r>
      <w:r w:rsidRPr="00C17273">
        <w:rPr>
          <w:rFonts w:ascii="Times New Roman" w:hAnsi="Times New Roman"/>
          <w:spacing w:val="6"/>
          <w:sz w:val="24"/>
          <w:szCs w:val="24"/>
        </w:rPr>
        <w:t xml:space="preserve"> направлена на обеспечение стабильной работы транспортной инфраструктуры. В этой связи профильным ведомством в отчетном периоде осуществлялся постоянный мониторинг транспортной сети Приднестровья. В рамках оптимизации маршрутного ресурса автомобильного транспорта и формирования рациональной маршрутной сети готовятся проекты новых маршрутов, способствующие максимальному удовлетворению потребностей жителей Приднестровья, а также постоянно ведется аналитическая работа по выполнению перевозчиками договорных отношений по обслуживанию пригородных, междугородних и международных маршрутов.</w:t>
      </w:r>
    </w:p>
    <w:p w:rsidR="00DA2344" w:rsidRPr="00C17273" w:rsidRDefault="00DA2344" w:rsidP="00DA2344">
      <w:pPr>
        <w:spacing w:after="0" w:line="240" w:lineRule="auto"/>
        <w:ind w:firstLine="709"/>
        <w:jc w:val="both"/>
        <w:rPr>
          <w:rFonts w:ascii="Times New Roman" w:hAnsi="Times New Roman"/>
          <w:sz w:val="24"/>
          <w:szCs w:val="24"/>
        </w:rPr>
      </w:pPr>
      <w:r w:rsidRPr="00C17273">
        <w:rPr>
          <w:rFonts w:ascii="Times New Roman" w:hAnsi="Times New Roman"/>
          <w:sz w:val="24"/>
          <w:szCs w:val="24"/>
        </w:rPr>
        <w:t>В I полугодии 2014 года перевозчик</w:t>
      </w:r>
      <w:r>
        <w:rPr>
          <w:rFonts w:ascii="Times New Roman" w:hAnsi="Times New Roman"/>
          <w:sz w:val="24"/>
          <w:szCs w:val="24"/>
        </w:rPr>
        <w:t>ами приобретено в собственность</w:t>
      </w:r>
      <w:r w:rsidRPr="00C17273">
        <w:rPr>
          <w:rFonts w:ascii="Times New Roman" w:hAnsi="Times New Roman"/>
          <w:sz w:val="24"/>
          <w:szCs w:val="24"/>
        </w:rPr>
        <w:t xml:space="preserve"> 6 единиц подвижного состава.</w:t>
      </w:r>
    </w:p>
    <w:p w:rsidR="00DA2344" w:rsidRPr="00C17273" w:rsidRDefault="00DA2344" w:rsidP="00DA2344">
      <w:pPr>
        <w:spacing w:after="0" w:line="240" w:lineRule="auto"/>
        <w:ind w:firstLine="709"/>
        <w:jc w:val="both"/>
        <w:rPr>
          <w:rFonts w:ascii="Times New Roman" w:hAnsi="Times New Roman"/>
          <w:sz w:val="24"/>
          <w:szCs w:val="24"/>
        </w:rPr>
      </w:pPr>
      <w:r w:rsidRPr="00C17273">
        <w:rPr>
          <w:rFonts w:ascii="Times New Roman" w:hAnsi="Times New Roman"/>
          <w:sz w:val="24"/>
          <w:szCs w:val="24"/>
        </w:rPr>
        <w:t>В целях снижения нагрузки на Республиканский бюджет в части компенсации ущерба перевозчикам от перевозки льготных категорий граждан были внесены изменения в действующее законодательство. В результате чего удалось достичь снижения суммы компенсации ущерба в январе – июне 2014 года до 4,4 млн. руб., 3,3млн. руб. из которых уже возмещены из бюджета.</w:t>
      </w:r>
    </w:p>
    <w:p w:rsidR="00DA2344" w:rsidRPr="00C17273" w:rsidRDefault="00DA2344" w:rsidP="00DA2344">
      <w:pPr>
        <w:spacing w:after="0" w:line="240" w:lineRule="auto"/>
        <w:ind w:firstLine="709"/>
        <w:jc w:val="both"/>
        <w:rPr>
          <w:rFonts w:ascii="Times New Roman" w:hAnsi="Times New Roman"/>
          <w:sz w:val="24"/>
          <w:szCs w:val="24"/>
        </w:rPr>
      </w:pPr>
      <w:r w:rsidRPr="00C17273">
        <w:rPr>
          <w:rFonts w:ascii="Times New Roman" w:hAnsi="Times New Roman"/>
          <w:sz w:val="24"/>
          <w:szCs w:val="24"/>
        </w:rPr>
        <w:t>В I полугодии 2014 года были разработаны и введены в действие Устав автомобильного транспорта, Правил</w:t>
      </w:r>
      <w:r>
        <w:rPr>
          <w:rFonts w:ascii="Times New Roman" w:hAnsi="Times New Roman"/>
          <w:sz w:val="24"/>
          <w:szCs w:val="24"/>
        </w:rPr>
        <w:t>а</w:t>
      </w:r>
      <w:r w:rsidRPr="00C17273">
        <w:rPr>
          <w:rFonts w:ascii="Times New Roman" w:hAnsi="Times New Roman"/>
          <w:sz w:val="24"/>
          <w:szCs w:val="24"/>
        </w:rPr>
        <w:t xml:space="preserve"> перевозки грузов автомобильным транспортом, проект «Об утверждении Правил по перевозке крупногабаритных и тяжеловесных грузов автомобильным транспортом по дорогам Приднестровской Молдавской Республики</w:t>
      </w:r>
      <w:r>
        <w:rPr>
          <w:rFonts w:ascii="Times New Roman" w:hAnsi="Times New Roman"/>
          <w:sz w:val="24"/>
          <w:szCs w:val="24"/>
        </w:rPr>
        <w:t>».</w:t>
      </w:r>
    </w:p>
    <w:p w:rsidR="00DA2344" w:rsidRPr="00C17273" w:rsidRDefault="00DA2344" w:rsidP="00DA2344">
      <w:pPr>
        <w:spacing w:after="0" w:line="240" w:lineRule="auto"/>
        <w:ind w:firstLine="709"/>
        <w:jc w:val="both"/>
        <w:rPr>
          <w:rFonts w:ascii="Times New Roman" w:hAnsi="Times New Roman"/>
          <w:sz w:val="24"/>
          <w:szCs w:val="24"/>
        </w:rPr>
      </w:pPr>
      <w:r w:rsidRPr="00C17273">
        <w:rPr>
          <w:rFonts w:ascii="Times New Roman" w:hAnsi="Times New Roman"/>
          <w:sz w:val="24"/>
          <w:szCs w:val="24"/>
        </w:rPr>
        <w:t>Проводимые мероприятия в рамках единой государственной политики в области реформирования дорожной отрасли были направлены на экономное использование бюджетных средств, оптимизацию маршрутного ресурса автомобильного транспорта, разработку нормативно-правовых проектов, что будет способствовать развитию данной отрасли.</w:t>
      </w:r>
    </w:p>
    <w:p w:rsidR="00DA2344" w:rsidRPr="00C17273" w:rsidRDefault="00DA2344" w:rsidP="00DA2344">
      <w:pPr>
        <w:spacing w:after="0" w:line="240" w:lineRule="auto"/>
        <w:ind w:firstLine="709"/>
        <w:jc w:val="both"/>
        <w:rPr>
          <w:rFonts w:ascii="Times New Roman" w:hAnsi="Times New Roman"/>
          <w:sz w:val="24"/>
          <w:szCs w:val="24"/>
        </w:rPr>
      </w:pPr>
      <w:r w:rsidRPr="00C17273">
        <w:rPr>
          <w:rFonts w:ascii="Times New Roman" w:hAnsi="Times New Roman"/>
          <w:sz w:val="24"/>
          <w:szCs w:val="24"/>
        </w:rPr>
        <w:t>В то же время существует ряд проблем в сфере</w:t>
      </w:r>
      <w:r>
        <w:rPr>
          <w:rFonts w:ascii="Times New Roman" w:hAnsi="Times New Roman"/>
          <w:sz w:val="24"/>
          <w:szCs w:val="24"/>
        </w:rPr>
        <w:t>,</w:t>
      </w:r>
      <w:r w:rsidRPr="00C17273">
        <w:rPr>
          <w:rFonts w:ascii="Times New Roman" w:hAnsi="Times New Roman"/>
          <w:sz w:val="24"/>
          <w:szCs w:val="24"/>
        </w:rPr>
        <w:t xml:space="preserve"> связанных с убыточностью социально значимых маршрутов, непредставлением со стороны Республики Молдова разрешительных документов на осуществление международных грузовых и пассажирских перевозок, «выпадение» отдельных перевозчиков из поля зрения Министерства внутренних дел Приднестровской Молдавской Республики, отсутствие возможности </w:t>
      </w:r>
      <w:r w:rsidRPr="00C17273">
        <w:rPr>
          <w:rFonts w:ascii="Times New Roman" w:hAnsi="Times New Roman"/>
          <w:sz w:val="24"/>
          <w:szCs w:val="24"/>
        </w:rPr>
        <w:lastRenderedPageBreak/>
        <w:t>обучения на территории Приднестровской Молдавской Республики персонала перевозчиков осуществляющих международные</w:t>
      </w:r>
      <w:r w:rsidRPr="008B2ADF">
        <w:rPr>
          <w:rFonts w:ascii="Times New Roman" w:hAnsi="Times New Roman"/>
          <w:sz w:val="28"/>
          <w:szCs w:val="28"/>
        </w:rPr>
        <w:t xml:space="preserve"> </w:t>
      </w:r>
      <w:r w:rsidRPr="00C17273">
        <w:rPr>
          <w:rFonts w:ascii="Times New Roman" w:hAnsi="Times New Roman"/>
          <w:sz w:val="24"/>
          <w:szCs w:val="24"/>
        </w:rPr>
        <w:t>перевозки грузов и пассажиров и.т.д.</w:t>
      </w:r>
    </w:p>
    <w:p w:rsidR="00DA2344" w:rsidRPr="00C17273" w:rsidRDefault="00DA2344" w:rsidP="00DA2344">
      <w:pPr>
        <w:spacing w:after="0" w:line="240" w:lineRule="auto"/>
        <w:ind w:firstLine="709"/>
        <w:jc w:val="both"/>
        <w:rPr>
          <w:rFonts w:ascii="Times New Roman" w:hAnsi="Times New Roman"/>
          <w:sz w:val="24"/>
          <w:szCs w:val="24"/>
        </w:rPr>
      </w:pPr>
      <w:r w:rsidRPr="00C17273">
        <w:rPr>
          <w:rFonts w:ascii="Times New Roman" w:hAnsi="Times New Roman"/>
          <w:sz w:val="24"/>
          <w:szCs w:val="24"/>
        </w:rPr>
        <w:t xml:space="preserve">В целом в </w:t>
      </w:r>
      <w:r w:rsidRPr="00C17273">
        <w:rPr>
          <w:rFonts w:ascii="Times New Roman" w:hAnsi="Times New Roman"/>
          <w:sz w:val="24"/>
          <w:szCs w:val="24"/>
          <w:lang w:val="en-US"/>
        </w:rPr>
        <w:t>I</w:t>
      </w:r>
      <w:r w:rsidRPr="00C17273">
        <w:rPr>
          <w:rFonts w:ascii="Times New Roman" w:hAnsi="Times New Roman"/>
          <w:sz w:val="24"/>
          <w:szCs w:val="24"/>
        </w:rPr>
        <w:t xml:space="preserve"> полугодии 2014 года необходимо отметить положительную динамику развития транспортной отрасли. Однако, в работе транспортных организаций сохраняются значительные сложности, среди которых сложности в осуществлении международных перевозок, а также появление большого количества частного автотранспорта. Кроме того, основными причинами, сдерживающими рост предприятий отрасли, являются дефицит бюджетных средств, недоинвестирование в транспортный парк, убыточность социально значимых маршрутов, а также уменьшение пассажиропотока, что является следствием </w:t>
      </w:r>
      <w:r>
        <w:rPr>
          <w:rFonts w:ascii="Times New Roman" w:hAnsi="Times New Roman"/>
          <w:sz w:val="24"/>
          <w:szCs w:val="24"/>
        </w:rPr>
        <w:t>обострения внешнеполитической ситуации вокруг Украины</w:t>
      </w:r>
      <w:r w:rsidRPr="00C17273">
        <w:rPr>
          <w:rFonts w:ascii="Times New Roman" w:hAnsi="Times New Roman"/>
          <w:sz w:val="24"/>
          <w:szCs w:val="24"/>
        </w:rPr>
        <w:t>.</w:t>
      </w:r>
    </w:p>
    <w:p w:rsidR="00DE2491" w:rsidRPr="00B556DD" w:rsidRDefault="00DE2491" w:rsidP="00332793">
      <w:pPr>
        <w:shd w:val="clear" w:color="auto" w:fill="FFFFFF"/>
        <w:spacing w:after="0" w:line="240" w:lineRule="auto"/>
        <w:ind w:firstLine="709"/>
        <w:jc w:val="both"/>
        <w:rPr>
          <w:rFonts w:ascii="Times New Roman" w:hAnsi="Times New Roman"/>
          <w:sz w:val="24"/>
          <w:szCs w:val="24"/>
        </w:rPr>
      </w:pPr>
    </w:p>
    <w:p w:rsidR="00DA2344" w:rsidRDefault="00DA2344" w:rsidP="00DA2344">
      <w:pPr>
        <w:widowControl w:val="0"/>
        <w:autoSpaceDE w:val="0"/>
        <w:autoSpaceDN w:val="0"/>
        <w:adjustRightInd w:val="0"/>
        <w:spacing w:after="0" w:line="240" w:lineRule="auto"/>
        <w:ind w:firstLine="720"/>
        <w:jc w:val="both"/>
        <w:rPr>
          <w:rFonts w:ascii="Times New Roman" w:hAnsi="Times New Roman"/>
          <w:b/>
          <w:sz w:val="24"/>
          <w:szCs w:val="24"/>
        </w:rPr>
      </w:pPr>
      <w:r w:rsidRPr="00EE6B2D">
        <w:rPr>
          <w:rFonts w:ascii="Times New Roman" w:hAnsi="Times New Roman"/>
          <w:b/>
          <w:sz w:val="24"/>
          <w:szCs w:val="24"/>
        </w:rPr>
        <w:t>Связь</w:t>
      </w:r>
    </w:p>
    <w:p w:rsidR="00DA2344" w:rsidRPr="004A53F9" w:rsidRDefault="00DA2344" w:rsidP="00DA2344">
      <w:pPr>
        <w:widowControl w:val="0"/>
        <w:autoSpaceDE w:val="0"/>
        <w:autoSpaceDN w:val="0"/>
        <w:adjustRightInd w:val="0"/>
        <w:spacing w:after="0" w:line="240" w:lineRule="auto"/>
        <w:ind w:firstLine="720"/>
        <w:jc w:val="both"/>
        <w:rPr>
          <w:rFonts w:ascii="Times New Roman" w:hAnsi="Times New Roman"/>
          <w:b/>
          <w:sz w:val="24"/>
          <w:szCs w:val="24"/>
        </w:rPr>
      </w:pPr>
    </w:p>
    <w:p w:rsidR="00DA2344" w:rsidRPr="004A53F9" w:rsidRDefault="00DA2344" w:rsidP="00DA2344">
      <w:pPr>
        <w:pStyle w:val="af0"/>
        <w:spacing w:before="0" w:beforeAutospacing="0" w:after="0" w:afterAutospacing="0"/>
        <w:ind w:firstLine="709"/>
        <w:jc w:val="both"/>
        <w:rPr>
          <w:sz w:val="28"/>
          <w:szCs w:val="28"/>
        </w:rPr>
      </w:pPr>
      <w:r w:rsidRPr="004A53F9">
        <w:t xml:space="preserve">Связь является одной из наиболее конструктивно развивающихся отраслей экономики Приднестровья. </w:t>
      </w:r>
      <w:r w:rsidRPr="004A53F9">
        <w:rPr>
          <w:bCs/>
        </w:rPr>
        <w:t xml:space="preserve">Повышение качества предоставляемых услуг, поиск и внедрение новых форм обслуживания населения обеспечили </w:t>
      </w:r>
      <w:r w:rsidRPr="004A53F9">
        <w:t xml:space="preserve">в январе – июне 2014 года увеличение совокупного дохода от основной деятельности организаций, предоставляющих услуги электросвязи на 4,5% до 371,5 млн. руб. </w:t>
      </w:r>
    </w:p>
    <w:p w:rsidR="00DA2344" w:rsidRPr="004A53F9" w:rsidRDefault="00DA2344" w:rsidP="00DA2344">
      <w:pPr>
        <w:spacing w:after="0" w:line="240" w:lineRule="auto"/>
        <w:ind w:firstLine="709"/>
        <w:jc w:val="right"/>
        <w:rPr>
          <w:rFonts w:ascii="Times New Roman" w:hAnsi="Times New Roman"/>
          <w:sz w:val="24"/>
          <w:szCs w:val="24"/>
        </w:rPr>
      </w:pPr>
      <w:r w:rsidRPr="004A53F9">
        <w:rPr>
          <w:rFonts w:ascii="Times New Roman" w:hAnsi="Times New Roman"/>
          <w:sz w:val="24"/>
          <w:szCs w:val="24"/>
        </w:rPr>
        <w:t>Таблица №</w:t>
      </w:r>
      <w:r w:rsidR="00EE6B2D">
        <w:rPr>
          <w:rFonts w:ascii="Times New Roman" w:hAnsi="Times New Roman"/>
          <w:sz w:val="24"/>
          <w:szCs w:val="24"/>
        </w:rPr>
        <w:t xml:space="preserve"> 2</w:t>
      </w:r>
      <w:r w:rsidR="00381ABA">
        <w:rPr>
          <w:rFonts w:ascii="Times New Roman" w:hAnsi="Times New Roman"/>
          <w:sz w:val="24"/>
          <w:szCs w:val="24"/>
        </w:rPr>
        <w:t>9</w:t>
      </w:r>
    </w:p>
    <w:p w:rsidR="00DA2344" w:rsidRPr="004A53F9" w:rsidRDefault="00DA2344" w:rsidP="00DA2344">
      <w:pPr>
        <w:spacing w:after="0" w:line="240" w:lineRule="auto"/>
        <w:ind w:firstLine="709"/>
        <w:jc w:val="center"/>
        <w:rPr>
          <w:rFonts w:ascii="Times New Roman" w:hAnsi="Times New Roman"/>
          <w:sz w:val="24"/>
          <w:szCs w:val="24"/>
        </w:rPr>
      </w:pPr>
      <w:r w:rsidRPr="004A53F9">
        <w:rPr>
          <w:rFonts w:ascii="Times New Roman" w:hAnsi="Times New Roman"/>
          <w:b/>
          <w:bCs/>
          <w:sz w:val="24"/>
          <w:szCs w:val="24"/>
        </w:rPr>
        <w:t>Анализ доходов от предоставления услуг электросвязи (тыс. руб.)</w:t>
      </w:r>
    </w:p>
    <w:tbl>
      <w:tblPr>
        <w:tblW w:w="10065" w:type="dxa"/>
        <w:tblInd w:w="-176" w:type="dxa"/>
        <w:tblLayout w:type="fixed"/>
        <w:tblLook w:val="0000"/>
      </w:tblPr>
      <w:tblGrid>
        <w:gridCol w:w="6380"/>
        <w:gridCol w:w="1260"/>
        <w:gridCol w:w="1098"/>
        <w:gridCol w:w="1327"/>
      </w:tblGrid>
      <w:tr w:rsidR="00DA2344" w:rsidRPr="004A53F9" w:rsidTr="00DA2344">
        <w:trPr>
          <w:trHeight w:val="509"/>
        </w:trPr>
        <w:tc>
          <w:tcPr>
            <w:tcW w:w="6380" w:type="dxa"/>
            <w:tcBorders>
              <w:top w:val="single" w:sz="4" w:space="0" w:color="auto"/>
              <w:left w:val="single" w:sz="4" w:space="0" w:color="auto"/>
              <w:bottom w:val="nil"/>
              <w:right w:val="single" w:sz="4" w:space="0" w:color="auto"/>
            </w:tcBorders>
            <w:shd w:val="clear" w:color="auto" w:fill="FFFFFF"/>
            <w:vAlign w:val="center"/>
          </w:tcPr>
          <w:p w:rsidR="00DA2344" w:rsidRPr="004A53F9" w:rsidRDefault="00DA2344" w:rsidP="00DA2344">
            <w:pPr>
              <w:spacing w:after="0" w:line="240" w:lineRule="auto"/>
              <w:jc w:val="center"/>
              <w:rPr>
                <w:rFonts w:ascii="Times New Roman" w:hAnsi="Times New Roman"/>
                <w:b/>
                <w:color w:val="000000"/>
                <w:sz w:val="20"/>
                <w:szCs w:val="20"/>
              </w:rPr>
            </w:pPr>
            <w:r w:rsidRPr="004A53F9">
              <w:rPr>
                <w:rFonts w:ascii="Times New Roman" w:hAnsi="Times New Roman"/>
                <w:b/>
                <w:color w:val="000000"/>
                <w:sz w:val="20"/>
                <w:szCs w:val="20"/>
              </w:rPr>
              <w:t>Наименование показателей</w:t>
            </w:r>
          </w:p>
        </w:tc>
        <w:tc>
          <w:tcPr>
            <w:tcW w:w="1260" w:type="dxa"/>
            <w:tcBorders>
              <w:top w:val="single" w:sz="4" w:space="0" w:color="auto"/>
              <w:left w:val="nil"/>
              <w:bottom w:val="single" w:sz="4" w:space="0" w:color="auto"/>
              <w:right w:val="nil"/>
            </w:tcBorders>
            <w:shd w:val="clear" w:color="auto" w:fill="auto"/>
            <w:vAlign w:val="center"/>
          </w:tcPr>
          <w:p w:rsidR="00DA2344" w:rsidRPr="004A53F9" w:rsidRDefault="00DA2344" w:rsidP="00DA2344">
            <w:pPr>
              <w:spacing w:after="0" w:line="240" w:lineRule="auto"/>
              <w:jc w:val="center"/>
              <w:rPr>
                <w:rFonts w:ascii="Times New Roman" w:hAnsi="Times New Roman"/>
                <w:b/>
                <w:color w:val="000000"/>
                <w:sz w:val="20"/>
                <w:szCs w:val="20"/>
              </w:rPr>
            </w:pPr>
            <w:r w:rsidRPr="004A53F9">
              <w:rPr>
                <w:rFonts w:ascii="Times New Roman" w:hAnsi="Times New Roman"/>
                <w:b/>
                <w:color w:val="000000"/>
                <w:sz w:val="20"/>
                <w:szCs w:val="20"/>
                <w:lang w:val="en-US"/>
              </w:rPr>
              <w:t>I</w:t>
            </w:r>
            <w:r w:rsidRPr="004A53F9">
              <w:rPr>
                <w:rFonts w:ascii="Times New Roman" w:hAnsi="Times New Roman"/>
                <w:b/>
                <w:color w:val="000000"/>
                <w:sz w:val="20"/>
                <w:szCs w:val="20"/>
              </w:rPr>
              <w:t xml:space="preserve"> полуг. 2013г.</w:t>
            </w:r>
          </w:p>
        </w:tc>
        <w:tc>
          <w:tcPr>
            <w:tcW w:w="1098" w:type="dxa"/>
            <w:tcBorders>
              <w:top w:val="single" w:sz="4" w:space="0" w:color="auto"/>
              <w:left w:val="single" w:sz="4" w:space="0" w:color="auto"/>
              <w:bottom w:val="single" w:sz="4" w:space="0" w:color="auto"/>
              <w:right w:val="nil"/>
            </w:tcBorders>
            <w:shd w:val="clear" w:color="auto" w:fill="auto"/>
            <w:vAlign w:val="center"/>
          </w:tcPr>
          <w:p w:rsidR="00DA2344" w:rsidRPr="004A53F9" w:rsidRDefault="00DA2344" w:rsidP="00DA2344">
            <w:pPr>
              <w:spacing w:after="0" w:line="240" w:lineRule="auto"/>
              <w:jc w:val="center"/>
              <w:rPr>
                <w:rFonts w:ascii="Times New Roman" w:hAnsi="Times New Roman"/>
                <w:b/>
                <w:color w:val="000000"/>
                <w:sz w:val="20"/>
                <w:szCs w:val="20"/>
              </w:rPr>
            </w:pPr>
            <w:r w:rsidRPr="004A53F9">
              <w:rPr>
                <w:rFonts w:ascii="Times New Roman" w:hAnsi="Times New Roman"/>
                <w:b/>
                <w:color w:val="000000"/>
                <w:sz w:val="20"/>
                <w:szCs w:val="20"/>
                <w:lang w:val="en-US"/>
              </w:rPr>
              <w:t>I</w:t>
            </w:r>
            <w:r w:rsidRPr="004A53F9">
              <w:rPr>
                <w:rFonts w:ascii="Times New Roman" w:hAnsi="Times New Roman"/>
                <w:b/>
                <w:color w:val="000000"/>
                <w:sz w:val="20"/>
                <w:szCs w:val="20"/>
              </w:rPr>
              <w:t xml:space="preserve"> полуг. 2014г.</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DA2344" w:rsidRPr="004A53F9" w:rsidRDefault="00DA2344" w:rsidP="00DA2344">
            <w:pPr>
              <w:spacing w:after="0" w:line="240" w:lineRule="auto"/>
              <w:ind w:left="-57" w:right="-108" w:hanging="141"/>
              <w:jc w:val="center"/>
              <w:rPr>
                <w:rFonts w:ascii="Times New Roman" w:hAnsi="Times New Roman"/>
                <w:b/>
                <w:color w:val="000000"/>
                <w:sz w:val="20"/>
                <w:szCs w:val="20"/>
              </w:rPr>
            </w:pPr>
            <w:r w:rsidRPr="004A53F9">
              <w:rPr>
                <w:rFonts w:ascii="Times New Roman" w:hAnsi="Times New Roman"/>
                <w:b/>
                <w:sz w:val="20"/>
                <w:szCs w:val="20"/>
              </w:rPr>
              <w:t xml:space="preserve">Темп роста </w:t>
            </w:r>
            <w:r w:rsidRPr="004A53F9">
              <w:rPr>
                <w:rFonts w:ascii="Times New Roman" w:hAnsi="Times New Roman"/>
                <w:b/>
                <w:sz w:val="20"/>
                <w:szCs w:val="20"/>
                <w:lang w:val="en-US"/>
              </w:rPr>
              <w:t>I</w:t>
            </w:r>
            <w:r w:rsidRPr="004A53F9">
              <w:rPr>
                <w:rFonts w:ascii="Times New Roman" w:hAnsi="Times New Roman"/>
                <w:b/>
                <w:sz w:val="20"/>
                <w:szCs w:val="20"/>
              </w:rPr>
              <w:t xml:space="preserve"> полуг.2014г. к </w:t>
            </w:r>
            <w:r w:rsidRPr="004A53F9">
              <w:rPr>
                <w:rFonts w:ascii="Times New Roman" w:hAnsi="Times New Roman"/>
                <w:b/>
                <w:sz w:val="20"/>
                <w:szCs w:val="20"/>
                <w:lang w:val="en-US"/>
              </w:rPr>
              <w:t>I</w:t>
            </w:r>
            <w:r w:rsidRPr="004A53F9">
              <w:rPr>
                <w:rFonts w:ascii="Times New Roman" w:hAnsi="Times New Roman"/>
                <w:b/>
                <w:sz w:val="20"/>
                <w:szCs w:val="20"/>
              </w:rPr>
              <w:t xml:space="preserve"> полуг.2013,%</w:t>
            </w:r>
          </w:p>
        </w:tc>
      </w:tr>
      <w:tr w:rsidR="00DA2344" w:rsidRPr="004A53F9" w:rsidTr="00DA2344">
        <w:trPr>
          <w:trHeight w:val="156"/>
        </w:trPr>
        <w:tc>
          <w:tcPr>
            <w:tcW w:w="6380" w:type="dxa"/>
            <w:tcBorders>
              <w:top w:val="single" w:sz="4" w:space="0" w:color="auto"/>
              <w:left w:val="single" w:sz="4" w:space="0" w:color="auto"/>
              <w:bottom w:val="single" w:sz="4" w:space="0" w:color="auto"/>
              <w:right w:val="single" w:sz="4" w:space="0" w:color="auto"/>
            </w:tcBorders>
            <w:shd w:val="clear" w:color="auto" w:fill="FFFFFF"/>
          </w:tcPr>
          <w:p w:rsidR="00DA2344" w:rsidRPr="004A53F9" w:rsidRDefault="00DA2344" w:rsidP="00DA2344">
            <w:pPr>
              <w:spacing w:after="0" w:line="240" w:lineRule="auto"/>
              <w:rPr>
                <w:rFonts w:ascii="Times New Roman" w:hAnsi="Times New Roman"/>
                <w:sz w:val="20"/>
                <w:szCs w:val="20"/>
              </w:rPr>
            </w:pPr>
            <w:r w:rsidRPr="004A53F9">
              <w:rPr>
                <w:rFonts w:ascii="Times New Roman" w:hAnsi="Times New Roman"/>
                <w:sz w:val="20"/>
                <w:szCs w:val="20"/>
              </w:rPr>
              <w:t>Услуги электросвязи, всего</w:t>
            </w:r>
          </w:p>
        </w:tc>
        <w:tc>
          <w:tcPr>
            <w:tcW w:w="1260" w:type="dxa"/>
            <w:tcBorders>
              <w:top w:val="nil"/>
              <w:left w:val="nil"/>
              <w:bottom w:val="single" w:sz="4" w:space="0" w:color="auto"/>
              <w:right w:val="single" w:sz="4" w:space="0" w:color="auto"/>
            </w:tcBorders>
            <w:shd w:val="clear" w:color="auto" w:fill="auto"/>
            <w:vAlign w:val="bottom"/>
          </w:tcPr>
          <w:p w:rsidR="00DA2344" w:rsidRPr="004A53F9" w:rsidRDefault="00DA2344" w:rsidP="00DA2344">
            <w:pPr>
              <w:spacing w:after="0" w:line="240" w:lineRule="auto"/>
              <w:jc w:val="right"/>
              <w:rPr>
                <w:rFonts w:ascii="Times New Roman" w:hAnsi="Times New Roman"/>
                <w:bCs/>
                <w:sz w:val="20"/>
                <w:szCs w:val="20"/>
              </w:rPr>
            </w:pPr>
            <w:r w:rsidRPr="004A53F9">
              <w:rPr>
                <w:rFonts w:ascii="Times New Roman" w:hAnsi="Times New Roman"/>
                <w:bCs/>
                <w:sz w:val="20"/>
                <w:szCs w:val="20"/>
              </w:rPr>
              <w:t>355,6</w:t>
            </w:r>
          </w:p>
        </w:tc>
        <w:tc>
          <w:tcPr>
            <w:tcW w:w="1098" w:type="dxa"/>
            <w:tcBorders>
              <w:top w:val="nil"/>
              <w:left w:val="nil"/>
              <w:bottom w:val="single" w:sz="4" w:space="0" w:color="auto"/>
              <w:right w:val="single" w:sz="4" w:space="0" w:color="auto"/>
            </w:tcBorders>
            <w:shd w:val="clear" w:color="auto" w:fill="auto"/>
            <w:vAlign w:val="bottom"/>
          </w:tcPr>
          <w:p w:rsidR="00DA2344" w:rsidRPr="004A53F9" w:rsidRDefault="00DA2344" w:rsidP="00DA2344">
            <w:pPr>
              <w:spacing w:after="0" w:line="240" w:lineRule="auto"/>
              <w:jc w:val="right"/>
              <w:rPr>
                <w:rFonts w:ascii="Times New Roman" w:hAnsi="Times New Roman"/>
                <w:bCs/>
                <w:sz w:val="20"/>
                <w:szCs w:val="20"/>
              </w:rPr>
            </w:pPr>
            <w:r w:rsidRPr="004A53F9">
              <w:rPr>
                <w:rFonts w:ascii="Times New Roman" w:hAnsi="Times New Roman"/>
                <w:sz w:val="20"/>
                <w:szCs w:val="20"/>
              </w:rPr>
              <w:t>371,5</w:t>
            </w:r>
          </w:p>
        </w:tc>
        <w:tc>
          <w:tcPr>
            <w:tcW w:w="1327" w:type="dxa"/>
            <w:tcBorders>
              <w:top w:val="nil"/>
              <w:left w:val="nil"/>
              <w:bottom w:val="single" w:sz="4" w:space="0" w:color="auto"/>
              <w:right w:val="single" w:sz="4" w:space="0" w:color="auto"/>
            </w:tcBorders>
            <w:shd w:val="clear" w:color="auto" w:fill="auto"/>
            <w:vAlign w:val="bottom"/>
          </w:tcPr>
          <w:p w:rsidR="00DA2344" w:rsidRPr="004A53F9" w:rsidRDefault="00DA2344" w:rsidP="00DA2344">
            <w:pPr>
              <w:spacing w:after="0" w:line="240" w:lineRule="auto"/>
              <w:jc w:val="right"/>
              <w:rPr>
                <w:rFonts w:ascii="Times New Roman" w:hAnsi="Times New Roman"/>
                <w:sz w:val="20"/>
                <w:szCs w:val="20"/>
              </w:rPr>
            </w:pPr>
            <w:r w:rsidRPr="004A53F9">
              <w:rPr>
                <w:rFonts w:ascii="Times New Roman" w:hAnsi="Times New Roman"/>
                <w:sz w:val="20"/>
                <w:szCs w:val="20"/>
              </w:rPr>
              <w:t>104,5</w:t>
            </w:r>
          </w:p>
        </w:tc>
      </w:tr>
      <w:tr w:rsidR="00DA2344" w:rsidRPr="004A53F9" w:rsidTr="00DA2344">
        <w:trPr>
          <w:trHeight w:val="209"/>
        </w:trPr>
        <w:tc>
          <w:tcPr>
            <w:tcW w:w="6380" w:type="dxa"/>
            <w:tcBorders>
              <w:top w:val="nil"/>
              <w:left w:val="single" w:sz="4" w:space="0" w:color="auto"/>
              <w:bottom w:val="nil"/>
              <w:right w:val="single" w:sz="4" w:space="0" w:color="auto"/>
            </w:tcBorders>
            <w:shd w:val="clear" w:color="auto" w:fill="FFFFFF"/>
          </w:tcPr>
          <w:p w:rsidR="00DA2344" w:rsidRPr="004A53F9" w:rsidRDefault="00DA2344" w:rsidP="00DA2344">
            <w:pPr>
              <w:spacing w:after="0" w:line="240" w:lineRule="auto"/>
              <w:rPr>
                <w:rFonts w:ascii="Times New Roman" w:hAnsi="Times New Roman"/>
                <w:sz w:val="20"/>
                <w:szCs w:val="20"/>
              </w:rPr>
            </w:pPr>
            <w:r w:rsidRPr="004A53F9">
              <w:rPr>
                <w:rFonts w:ascii="Times New Roman" w:hAnsi="Times New Roman"/>
                <w:sz w:val="20"/>
                <w:szCs w:val="20"/>
              </w:rPr>
              <w:t xml:space="preserve">в том числе: </w:t>
            </w:r>
          </w:p>
        </w:tc>
        <w:tc>
          <w:tcPr>
            <w:tcW w:w="1260" w:type="dxa"/>
            <w:tcBorders>
              <w:top w:val="nil"/>
              <w:left w:val="nil"/>
              <w:bottom w:val="nil"/>
              <w:right w:val="single" w:sz="4" w:space="0" w:color="auto"/>
            </w:tcBorders>
            <w:shd w:val="clear" w:color="auto" w:fill="auto"/>
            <w:vAlign w:val="bottom"/>
          </w:tcPr>
          <w:p w:rsidR="00DA2344" w:rsidRPr="004A53F9" w:rsidRDefault="00DA2344" w:rsidP="00DA2344">
            <w:pPr>
              <w:spacing w:after="0" w:line="240" w:lineRule="auto"/>
              <w:rPr>
                <w:rFonts w:ascii="Times New Roman" w:hAnsi="Times New Roman"/>
                <w:sz w:val="20"/>
                <w:szCs w:val="20"/>
              </w:rPr>
            </w:pPr>
            <w:r w:rsidRPr="004A53F9">
              <w:rPr>
                <w:rFonts w:ascii="Times New Roman" w:hAnsi="Times New Roman"/>
                <w:sz w:val="20"/>
                <w:szCs w:val="20"/>
              </w:rPr>
              <w:t> </w:t>
            </w:r>
          </w:p>
        </w:tc>
        <w:tc>
          <w:tcPr>
            <w:tcW w:w="1098" w:type="dxa"/>
            <w:tcBorders>
              <w:top w:val="nil"/>
              <w:left w:val="nil"/>
              <w:bottom w:val="nil"/>
              <w:right w:val="single" w:sz="4" w:space="0" w:color="auto"/>
            </w:tcBorders>
            <w:shd w:val="clear" w:color="auto" w:fill="auto"/>
            <w:vAlign w:val="bottom"/>
          </w:tcPr>
          <w:p w:rsidR="00DA2344" w:rsidRPr="004A53F9" w:rsidRDefault="00DA2344" w:rsidP="00DA2344">
            <w:pPr>
              <w:spacing w:after="0" w:line="240" w:lineRule="auto"/>
              <w:rPr>
                <w:rFonts w:ascii="Times New Roman" w:hAnsi="Times New Roman"/>
                <w:sz w:val="20"/>
                <w:szCs w:val="20"/>
              </w:rPr>
            </w:pPr>
            <w:r w:rsidRPr="004A53F9">
              <w:rPr>
                <w:rFonts w:ascii="Times New Roman" w:hAnsi="Times New Roman"/>
                <w:sz w:val="20"/>
                <w:szCs w:val="20"/>
              </w:rPr>
              <w:t> </w:t>
            </w:r>
          </w:p>
        </w:tc>
        <w:tc>
          <w:tcPr>
            <w:tcW w:w="1327" w:type="dxa"/>
            <w:tcBorders>
              <w:top w:val="nil"/>
              <w:left w:val="nil"/>
              <w:bottom w:val="nil"/>
              <w:right w:val="single" w:sz="4" w:space="0" w:color="auto"/>
            </w:tcBorders>
            <w:shd w:val="clear" w:color="auto" w:fill="auto"/>
            <w:vAlign w:val="bottom"/>
          </w:tcPr>
          <w:p w:rsidR="00DA2344" w:rsidRPr="004A53F9" w:rsidRDefault="00DA2344" w:rsidP="00DA2344">
            <w:pPr>
              <w:spacing w:after="0" w:line="240" w:lineRule="auto"/>
              <w:rPr>
                <w:rFonts w:ascii="Times New Roman" w:hAnsi="Times New Roman"/>
                <w:sz w:val="20"/>
                <w:szCs w:val="20"/>
              </w:rPr>
            </w:pPr>
          </w:p>
        </w:tc>
      </w:tr>
      <w:tr w:rsidR="00DA2344" w:rsidRPr="004A53F9" w:rsidTr="00DA2344">
        <w:trPr>
          <w:trHeight w:val="111"/>
        </w:trPr>
        <w:tc>
          <w:tcPr>
            <w:tcW w:w="6380" w:type="dxa"/>
            <w:tcBorders>
              <w:top w:val="nil"/>
              <w:left w:val="single" w:sz="4" w:space="0" w:color="auto"/>
              <w:bottom w:val="single" w:sz="4" w:space="0" w:color="auto"/>
              <w:right w:val="single" w:sz="4" w:space="0" w:color="auto"/>
            </w:tcBorders>
            <w:shd w:val="clear" w:color="auto" w:fill="FFFFFF"/>
          </w:tcPr>
          <w:p w:rsidR="00DA2344" w:rsidRPr="004A53F9" w:rsidRDefault="00DA2344" w:rsidP="00DA2344">
            <w:pPr>
              <w:spacing w:after="0" w:line="240" w:lineRule="auto"/>
              <w:rPr>
                <w:rFonts w:ascii="Times New Roman" w:hAnsi="Times New Roman"/>
                <w:sz w:val="20"/>
                <w:szCs w:val="20"/>
              </w:rPr>
            </w:pPr>
            <w:r w:rsidRPr="004A53F9">
              <w:rPr>
                <w:rFonts w:ascii="Times New Roman" w:hAnsi="Times New Roman"/>
                <w:sz w:val="20"/>
                <w:szCs w:val="20"/>
              </w:rPr>
              <w:t xml:space="preserve"> Фиксированная связь </w:t>
            </w:r>
          </w:p>
        </w:tc>
        <w:tc>
          <w:tcPr>
            <w:tcW w:w="1260" w:type="dxa"/>
            <w:tcBorders>
              <w:top w:val="nil"/>
              <w:left w:val="nil"/>
              <w:bottom w:val="single" w:sz="4" w:space="0" w:color="auto"/>
              <w:right w:val="single" w:sz="4" w:space="0" w:color="auto"/>
            </w:tcBorders>
            <w:shd w:val="clear" w:color="auto" w:fill="auto"/>
            <w:vAlign w:val="bottom"/>
          </w:tcPr>
          <w:p w:rsidR="00DA2344" w:rsidRPr="004A53F9" w:rsidRDefault="00DA2344" w:rsidP="00DA2344">
            <w:pPr>
              <w:spacing w:after="0" w:line="240" w:lineRule="auto"/>
              <w:jc w:val="right"/>
              <w:rPr>
                <w:rFonts w:ascii="Times New Roman" w:hAnsi="Times New Roman"/>
                <w:bCs/>
                <w:sz w:val="20"/>
                <w:szCs w:val="20"/>
              </w:rPr>
            </w:pPr>
            <w:r w:rsidRPr="004A53F9">
              <w:rPr>
                <w:rFonts w:ascii="Times New Roman" w:hAnsi="Times New Roman"/>
                <w:bCs/>
                <w:sz w:val="20"/>
                <w:szCs w:val="20"/>
              </w:rPr>
              <w:t>108,0</w:t>
            </w:r>
          </w:p>
        </w:tc>
        <w:tc>
          <w:tcPr>
            <w:tcW w:w="1098" w:type="dxa"/>
            <w:tcBorders>
              <w:top w:val="nil"/>
              <w:left w:val="nil"/>
              <w:bottom w:val="single" w:sz="4" w:space="0" w:color="auto"/>
              <w:right w:val="single" w:sz="4" w:space="0" w:color="auto"/>
            </w:tcBorders>
            <w:shd w:val="clear" w:color="auto" w:fill="auto"/>
            <w:vAlign w:val="bottom"/>
          </w:tcPr>
          <w:p w:rsidR="00DA2344" w:rsidRPr="004A53F9" w:rsidRDefault="00DA2344" w:rsidP="00DA2344">
            <w:pPr>
              <w:spacing w:after="0" w:line="240" w:lineRule="auto"/>
              <w:jc w:val="right"/>
              <w:rPr>
                <w:rFonts w:ascii="Times New Roman" w:hAnsi="Times New Roman"/>
                <w:bCs/>
                <w:sz w:val="20"/>
                <w:szCs w:val="20"/>
              </w:rPr>
            </w:pPr>
            <w:r w:rsidRPr="004A53F9">
              <w:rPr>
                <w:rFonts w:ascii="Times New Roman" w:hAnsi="Times New Roman"/>
                <w:bCs/>
                <w:sz w:val="20"/>
                <w:szCs w:val="20"/>
              </w:rPr>
              <w:t>99,9</w:t>
            </w:r>
          </w:p>
        </w:tc>
        <w:tc>
          <w:tcPr>
            <w:tcW w:w="1327" w:type="dxa"/>
            <w:tcBorders>
              <w:top w:val="nil"/>
              <w:left w:val="nil"/>
              <w:bottom w:val="single" w:sz="4" w:space="0" w:color="auto"/>
              <w:right w:val="single" w:sz="4" w:space="0" w:color="auto"/>
            </w:tcBorders>
            <w:shd w:val="clear" w:color="auto" w:fill="auto"/>
            <w:vAlign w:val="bottom"/>
          </w:tcPr>
          <w:p w:rsidR="00DA2344" w:rsidRPr="004A53F9" w:rsidRDefault="00DA2344" w:rsidP="00DA2344">
            <w:pPr>
              <w:spacing w:after="0" w:line="240" w:lineRule="auto"/>
              <w:jc w:val="right"/>
              <w:rPr>
                <w:rFonts w:ascii="Times New Roman" w:hAnsi="Times New Roman"/>
                <w:sz w:val="20"/>
                <w:szCs w:val="20"/>
              </w:rPr>
            </w:pPr>
            <w:r w:rsidRPr="004A53F9">
              <w:rPr>
                <w:rFonts w:ascii="Times New Roman" w:hAnsi="Times New Roman"/>
                <w:sz w:val="20"/>
                <w:szCs w:val="20"/>
              </w:rPr>
              <w:t>92,5</w:t>
            </w:r>
          </w:p>
        </w:tc>
      </w:tr>
      <w:tr w:rsidR="00DA2344" w:rsidRPr="004A53F9" w:rsidTr="00DA2344">
        <w:trPr>
          <w:trHeight w:val="149"/>
        </w:trPr>
        <w:tc>
          <w:tcPr>
            <w:tcW w:w="6380" w:type="dxa"/>
            <w:tcBorders>
              <w:top w:val="nil"/>
              <w:left w:val="single" w:sz="4" w:space="0" w:color="auto"/>
              <w:bottom w:val="single" w:sz="4" w:space="0" w:color="auto"/>
              <w:right w:val="single" w:sz="4" w:space="0" w:color="auto"/>
            </w:tcBorders>
            <w:shd w:val="clear" w:color="auto" w:fill="FFFFFF"/>
          </w:tcPr>
          <w:p w:rsidR="00DA2344" w:rsidRPr="004A53F9" w:rsidRDefault="00DA2344" w:rsidP="00DA2344">
            <w:pPr>
              <w:spacing w:after="0" w:line="240" w:lineRule="auto"/>
              <w:rPr>
                <w:rFonts w:ascii="Times New Roman" w:hAnsi="Times New Roman"/>
                <w:sz w:val="20"/>
                <w:szCs w:val="20"/>
              </w:rPr>
            </w:pPr>
            <w:r w:rsidRPr="004A53F9">
              <w:rPr>
                <w:rFonts w:ascii="Times New Roman" w:hAnsi="Times New Roman"/>
                <w:sz w:val="20"/>
                <w:szCs w:val="20"/>
              </w:rPr>
              <w:t xml:space="preserve"> Мобильная связь</w:t>
            </w:r>
          </w:p>
        </w:tc>
        <w:tc>
          <w:tcPr>
            <w:tcW w:w="1260" w:type="dxa"/>
            <w:tcBorders>
              <w:top w:val="nil"/>
              <w:left w:val="nil"/>
              <w:bottom w:val="single" w:sz="4" w:space="0" w:color="auto"/>
              <w:right w:val="single" w:sz="4" w:space="0" w:color="auto"/>
            </w:tcBorders>
            <w:shd w:val="clear" w:color="auto" w:fill="auto"/>
            <w:vAlign w:val="bottom"/>
          </w:tcPr>
          <w:p w:rsidR="00DA2344" w:rsidRPr="004A53F9" w:rsidRDefault="00DA2344" w:rsidP="00DA2344">
            <w:pPr>
              <w:spacing w:after="0" w:line="240" w:lineRule="auto"/>
              <w:jc w:val="right"/>
              <w:rPr>
                <w:rFonts w:ascii="Times New Roman" w:hAnsi="Times New Roman"/>
                <w:bCs/>
                <w:sz w:val="20"/>
                <w:szCs w:val="20"/>
              </w:rPr>
            </w:pPr>
            <w:r w:rsidRPr="004A53F9">
              <w:rPr>
                <w:rFonts w:ascii="Times New Roman" w:hAnsi="Times New Roman"/>
                <w:bCs/>
                <w:sz w:val="20"/>
                <w:szCs w:val="20"/>
              </w:rPr>
              <w:t>128,3</w:t>
            </w:r>
          </w:p>
        </w:tc>
        <w:tc>
          <w:tcPr>
            <w:tcW w:w="1098" w:type="dxa"/>
            <w:tcBorders>
              <w:top w:val="nil"/>
              <w:left w:val="nil"/>
              <w:bottom w:val="single" w:sz="4" w:space="0" w:color="auto"/>
              <w:right w:val="single" w:sz="4" w:space="0" w:color="auto"/>
            </w:tcBorders>
            <w:shd w:val="clear" w:color="auto" w:fill="auto"/>
            <w:vAlign w:val="bottom"/>
          </w:tcPr>
          <w:p w:rsidR="00DA2344" w:rsidRPr="004A53F9" w:rsidRDefault="00DA2344" w:rsidP="00DA2344">
            <w:pPr>
              <w:spacing w:after="0" w:line="240" w:lineRule="auto"/>
              <w:jc w:val="right"/>
              <w:rPr>
                <w:rFonts w:ascii="Times New Roman" w:hAnsi="Times New Roman"/>
                <w:bCs/>
                <w:sz w:val="20"/>
                <w:szCs w:val="20"/>
              </w:rPr>
            </w:pPr>
            <w:r w:rsidRPr="004A53F9">
              <w:rPr>
                <w:rFonts w:ascii="Times New Roman" w:hAnsi="Times New Roman"/>
                <w:bCs/>
                <w:sz w:val="20"/>
                <w:szCs w:val="20"/>
              </w:rPr>
              <w:t>134,3</w:t>
            </w:r>
          </w:p>
        </w:tc>
        <w:tc>
          <w:tcPr>
            <w:tcW w:w="1327" w:type="dxa"/>
            <w:tcBorders>
              <w:top w:val="nil"/>
              <w:left w:val="nil"/>
              <w:bottom w:val="single" w:sz="4" w:space="0" w:color="auto"/>
              <w:right w:val="single" w:sz="4" w:space="0" w:color="auto"/>
            </w:tcBorders>
            <w:shd w:val="clear" w:color="auto" w:fill="auto"/>
            <w:vAlign w:val="bottom"/>
          </w:tcPr>
          <w:p w:rsidR="00DA2344" w:rsidRPr="004A53F9" w:rsidRDefault="00DA2344" w:rsidP="00DA2344">
            <w:pPr>
              <w:spacing w:after="0" w:line="240" w:lineRule="auto"/>
              <w:jc w:val="right"/>
              <w:rPr>
                <w:rFonts w:ascii="Times New Roman" w:hAnsi="Times New Roman"/>
                <w:sz w:val="20"/>
                <w:szCs w:val="20"/>
              </w:rPr>
            </w:pPr>
            <w:r w:rsidRPr="004A53F9">
              <w:rPr>
                <w:rFonts w:ascii="Times New Roman" w:hAnsi="Times New Roman"/>
                <w:sz w:val="20"/>
                <w:szCs w:val="20"/>
              </w:rPr>
              <w:t>104,7</w:t>
            </w:r>
          </w:p>
        </w:tc>
      </w:tr>
      <w:tr w:rsidR="00DA2344" w:rsidRPr="004A53F9" w:rsidTr="00DA2344">
        <w:trPr>
          <w:trHeight w:val="193"/>
        </w:trPr>
        <w:tc>
          <w:tcPr>
            <w:tcW w:w="6380" w:type="dxa"/>
            <w:tcBorders>
              <w:top w:val="nil"/>
              <w:left w:val="single" w:sz="4" w:space="0" w:color="auto"/>
              <w:bottom w:val="single" w:sz="4" w:space="0" w:color="auto"/>
              <w:right w:val="single" w:sz="4" w:space="0" w:color="auto"/>
            </w:tcBorders>
            <w:shd w:val="clear" w:color="auto" w:fill="FFFFFF"/>
          </w:tcPr>
          <w:p w:rsidR="00DA2344" w:rsidRPr="004A53F9" w:rsidRDefault="00DA2344" w:rsidP="00DA2344">
            <w:pPr>
              <w:spacing w:after="0" w:line="240" w:lineRule="auto"/>
              <w:rPr>
                <w:rFonts w:ascii="Times New Roman" w:hAnsi="Times New Roman"/>
                <w:sz w:val="20"/>
                <w:szCs w:val="20"/>
              </w:rPr>
            </w:pPr>
            <w:r w:rsidRPr="004A53F9">
              <w:rPr>
                <w:rFonts w:ascii="Times New Roman" w:hAnsi="Times New Roman"/>
                <w:sz w:val="20"/>
                <w:szCs w:val="20"/>
              </w:rPr>
              <w:t xml:space="preserve"> Услуги по  передаче данных и доступа к глобальной сети Интернет или к информационным ресурсам - всего </w:t>
            </w:r>
          </w:p>
        </w:tc>
        <w:tc>
          <w:tcPr>
            <w:tcW w:w="1260" w:type="dxa"/>
            <w:tcBorders>
              <w:top w:val="nil"/>
              <w:left w:val="nil"/>
              <w:bottom w:val="single" w:sz="4" w:space="0" w:color="auto"/>
              <w:right w:val="single" w:sz="4" w:space="0" w:color="auto"/>
            </w:tcBorders>
            <w:shd w:val="clear" w:color="auto" w:fill="auto"/>
            <w:vAlign w:val="bottom"/>
          </w:tcPr>
          <w:p w:rsidR="00DA2344" w:rsidRPr="004A53F9" w:rsidRDefault="00DA2344" w:rsidP="00DA2344">
            <w:pPr>
              <w:spacing w:after="0" w:line="240" w:lineRule="auto"/>
              <w:jc w:val="right"/>
              <w:rPr>
                <w:rFonts w:ascii="Times New Roman" w:hAnsi="Times New Roman"/>
                <w:bCs/>
                <w:sz w:val="20"/>
                <w:szCs w:val="20"/>
              </w:rPr>
            </w:pPr>
            <w:r w:rsidRPr="004A53F9">
              <w:rPr>
                <w:rFonts w:ascii="Times New Roman" w:hAnsi="Times New Roman"/>
                <w:bCs/>
                <w:sz w:val="20"/>
                <w:szCs w:val="20"/>
              </w:rPr>
              <w:t>76,5</w:t>
            </w:r>
          </w:p>
        </w:tc>
        <w:tc>
          <w:tcPr>
            <w:tcW w:w="1098" w:type="dxa"/>
            <w:tcBorders>
              <w:top w:val="nil"/>
              <w:left w:val="nil"/>
              <w:bottom w:val="single" w:sz="4" w:space="0" w:color="auto"/>
              <w:right w:val="single" w:sz="4" w:space="0" w:color="auto"/>
            </w:tcBorders>
            <w:shd w:val="clear" w:color="auto" w:fill="auto"/>
            <w:vAlign w:val="bottom"/>
          </w:tcPr>
          <w:p w:rsidR="00DA2344" w:rsidRPr="004A53F9" w:rsidRDefault="00DA2344" w:rsidP="00DA2344">
            <w:pPr>
              <w:spacing w:after="0" w:line="240" w:lineRule="auto"/>
              <w:jc w:val="right"/>
              <w:rPr>
                <w:rFonts w:ascii="Times New Roman" w:hAnsi="Times New Roman"/>
                <w:bCs/>
                <w:sz w:val="20"/>
                <w:szCs w:val="20"/>
              </w:rPr>
            </w:pPr>
            <w:r w:rsidRPr="004A53F9">
              <w:rPr>
                <w:rFonts w:ascii="Times New Roman" w:hAnsi="Times New Roman"/>
                <w:bCs/>
                <w:sz w:val="20"/>
                <w:szCs w:val="20"/>
              </w:rPr>
              <w:t>89,4</w:t>
            </w:r>
          </w:p>
        </w:tc>
        <w:tc>
          <w:tcPr>
            <w:tcW w:w="1327" w:type="dxa"/>
            <w:tcBorders>
              <w:top w:val="nil"/>
              <w:left w:val="nil"/>
              <w:bottom w:val="single" w:sz="4" w:space="0" w:color="auto"/>
              <w:right w:val="single" w:sz="4" w:space="0" w:color="auto"/>
            </w:tcBorders>
            <w:shd w:val="clear" w:color="auto" w:fill="auto"/>
            <w:vAlign w:val="bottom"/>
          </w:tcPr>
          <w:p w:rsidR="00DA2344" w:rsidRPr="004A53F9" w:rsidRDefault="00DA2344" w:rsidP="00DA2344">
            <w:pPr>
              <w:spacing w:after="0" w:line="240" w:lineRule="auto"/>
              <w:jc w:val="right"/>
              <w:rPr>
                <w:rFonts w:ascii="Times New Roman" w:hAnsi="Times New Roman"/>
                <w:sz w:val="20"/>
                <w:szCs w:val="20"/>
              </w:rPr>
            </w:pPr>
            <w:r w:rsidRPr="004A53F9">
              <w:rPr>
                <w:rFonts w:ascii="Times New Roman" w:hAnsi="Times New Roman"/>
                <w:sz w:val="20"/>
                <w:szCs w:val="20"/>
              </w:rPr>
              <w:t>116,9</w:t>
            </w:r>
          </w:p>
        </w:tc>
      </w:tr>
      <w:tr w:rsidR="00DA2344" w:rsidRPr="004A53F9" w:rsidTr="00DA2344">
        <w:trPr>
          <w:trHeight w:val="193"/>
        </w:trPr>
        <w:tc>
          <w:tcPr>
            <w:tcW w:w="6380" w:type="dxa"/>
            <w:tcBorders>
              <w:top w:val="nil"/>
              <w:left w:val="single" w:sz="4" w:space="0" w:color="auto"/>
              <w:bottom w:val="single" w:sz="4" w:space="0" w:color="auto"/>
              <w:right w:val="single" w:sz="4" w:space="0" w:color="auto"/>
            </w:tcBorders>
            <w:shd w:val="clear" w:color="auto" w:fill="FFFFFF"/>
          </w:tcPr>
          <w:p w:rsidR="00DA2344" w:rsidRPr="004A53F9" w:rsidRDefault="00DA2344" w:rsidP="00DA2344">
            <w:pPr>
              <w:spacing w:after="0" w:line="240" w:lineRule="auto"/>
              <w:rPr>
                <w:rFonts w:ascii="Times New Roman" w:hAnsi="Times New Roman"/>
                <w:sz w:val="20"/>
                <w:szCs w:val="20"/>
              </w:rPr>
            </w:pPr>
            <w:r w:rsidRPr="004A53F9">
              <w:rPr>
                <w:rFonts w:ascii="Times New Roman" w:hAnsi="Times New Roman"/>
                <w:sz w:val="20"/>
                <w:szCs w:val="20"/>
              </w:rPr>
              <w:t xml:space="preserve"> Услуги для целей телевизионного вещания - всего</w:t>
            </w:r>
          </w:p>
        </w:tc>
        <w:tc>
          <w:tcPr>
            <w:tcW w:w="1260" w:type="dxa"/>
            <w:tcBorders>
              <w:top w:val="nil"/>
              <w:left w:val="nil"/>
              <w:bottom w:val="single" w:sz="4" w:space="0" w:color="auto"/>
              <w:right w:val="single" w:sz="4" w:space="0" w:color="auto"/>
            </w:tcBorders>
            <w:shd w:val="clear" w:color="auto" w:fill="auto"/>
            <w:vAlign w:val="bottom"/>
          </w:tcPr>
          <w:p w:rsidR="00DA2344" w:rsidRPr="004A53F9" w:rsidRDefault="00DA2344" w:rsidP="00DA2344">
            <w:pPr>
              <w:spacing w:after="0" w:line="240" w:lineRule="auto"/>
              <w:jc w:val="right"/>
              <w:rPr>
                <w:rFonts w:ascii="Times New Roman" w:hAnsi="Times New Roman"/>
                <w:bCs/>
                <w:sz w:val="20"/>
                <w:szCs w:val="20"/>
              </w:rPr>
            </w:pPr>
            <w:r w:rsidRPr="004A53F9">
              <w:rPr>
                <w:rFonts w:ascii="Times New Roman" w:hAnsi="Times New Roman"/>
                <w:bCs/>
                <w:sz w:val="20"/>
                <w:szCs w:val="20"/>
              </w:rPr>
              <w:t>24,0</w:t>
            </w:r>
          </w:p>
        </w:tc>
        <w:tc>
          <w:tcPr>
            <w:tcW w:w="1098" w:type="dxa"/>
            <w:tcBorders>
              <w:top w:val="nil"/>
              <w:left w:val="nil"/>
              <w:bottom w:val="single" w:sz="4" w:space="0" w:color="auto"/>
              <w:right w:val="single" w:sz="4" w:space="0" w:color="auto"/>
            </w:tcBorders>
            <w:shd w:val="clear" w:color="auto" w:fill="auto"/>
            <w:vAlign w:val="bottom"/>
          </w:tcPr>
          <w:p w:rsidR="00DA2344" w:rsidRPr="004A53F9" w:rsidRDefault="00DA2344" w:rsidP="00DA2344">
            <w:pPr>
              <w:spacing w:after="0" w:line="240" w:lineRule="auto"/>
              <w:jc w:val="right"/>
              <w:rPr>
                <w:rFonts w:ascii="Times New Roman" w:hAnsi="Times New Roman"/>
                <w:bCs/>
                <w:sz w:val="20"/>
                <w:szCs w:val="20"/>
              </w:rPr>
            </w:pPr>
            <w:r w:rsidRPr="004A53F9">
              <w:rPr>
                <w:rFonts w:ascii="Times New Roman" w:hAnsi="Times New Roman"/>
                <w:bCs/>
                <w:sz w:val="20"/>
                <w:szCs w:val="20"/>
              </w:rPr>
              <w:t>30,2</w:t>
            </w:r>
          </w:p>
        </w:tc>
        <w:tc>
          <w:tcPr>
            <w:tcW w:w="1327" w:type="dxa"/>
            <w:tcBorders>
              <w:top w:val="nil"/>
              <w:left w:val="nil"/>
              <w:bottom w:val="single" w:sz="4" w:space="0" w:color="auto"/>
              <w:right w:val="single" w:sz="4" w:space="0" w:color="auto"/>
            </w:tcBorders>
            <w:shd w:val="clear" w:color="auto" w:fill="auto"/>
            <w:vAlign w:val="bottom"/>
          </w:tcPr>
          <w:p w:rsidR="00DA2344" w:rsidRPr="004A53F9" w:rsidRDefault="00DA2344" w:rsidP="00DA2344">
            <w:pPr>
              <w:spacing w:after="0" w:line="240" w:lineRule="auto"/>
              <w:jc w:val="right"/>
              <w:rPr>
                <w:rFonts w:ascii="Times New Roman" w:hAnsi="Times New Roman"/>
                <w:sz w:val="20"/>
                <w:szCs w:val="20"/>
              </w:rPr>
            </w:pPr>
            <w:r w:rsidRPr="004A53F9">
              <w:rPr>
                <w:rFonts w:ascii="Times New Roman" w:hAnsi="Times New Roman"/>
                <w:sz w:val="20"/>
                <w:szCs w:val="20"/>
              </w:rPr>
              <w:t>125,8</w:t>
            </w:r>
          </w:p>
        </w:tc>
      </w:tr>
      <w:tr w:rsidR="00DA2344" w:rsidRPr="004A53F9" w:rsidTr="00DA2344">
        <w:trPr>
          <w:trHeight w:val="149"/>
        </w:trPr>
        <w:tc>
          <w:tcPr>
            <w:tcW w:w="6380" w:type="dxa"/>
            <w:tcBorders>
              <w:top w:val="nil"/>
              <w:left w:val="single" w:sz="4" w:space="0" w:color="auto"/>
              <w:bottom w:val="single" w:sz="4" w:space="0" w:color="auto"/>
              <w:right w:val="single" w:sz="4" w:space="0" w:color="auto"/>
            </w:tcBorders>
            <w:shd w:val="clear" w:color="auto" w:fill="FFFFFF"/>
          </w:tcPr>
          <w:p w:rsidR="00DA2344" w:rsidRPr="004A53F9" w:rsidRDefault="00DA2344" w:rsidP="00DA2344">
            <w:pPr>
              <w:spacing w:after="0" w:line="240" w:lineRule="auto"/>
              <w:rPr>
                <w:rFonts w:ascii="Times New Roman" w:hAnsi="Times New Roman"/>
                <w:sz w:val="20"/>
                <w:szCs w:val="20"/>
              </w:rPr>
            </w:pPr>
            <w:r w:rsidRPr="004A53F9">
              <w:rPr>
                <w:rFonts w:ascii="Times New Roman" w:hAnsi="Times New Roman"/>
                <w:sz w:val="20"/>
                <w:szCs w:val="20"/>
              </w:rPr>
              <w:t xml:space="preserve"> Услуги для целей радиовещания - всего </w:t>
            </w:r>
          </w:p>
        </w:tc>
        <w:tc>
          <w:tcPr>
            <w:tcW w:w="1260" w:type="dxa"/>
            <w:tcBorders>
              <w:top w:val="nil"/>
              <w:left w:val="nil"/>
              <w:bottom w:val="single" w:sz="4" w:space="0" w:color="auto"/>
              <w:right w:val="single" w:sz="4" w:space="0" w:color="auto"/>
            </w:tcBorders>
            <w:shd w:val="clear" w:color="auto" w:fill="auto"/>
            <w:vAlign w:val="bottom"/>
          </w:tcPr>
          <w:p w:rsidR="00DA2344" w:rsidRPr="004A53F9" w:rsidRDefault="00DA2344" w:rsidP="00DA2344">
            <w:pPr>
              <w:spacing w:after="0" w:line="240" w:lineRule="auto"/>
              <w:jc w:val="right"/>
              <w:rPr>
                <w:rFonts w:ascii="Times New Roman" w:hAnsi="Times New Roman"/>
                <w:bCs/>
                <w:sz w:val="20"/>
                <w:szCs w:val="20"/>
              </w:rPr>
            </w:pPr>
            <w:r w:rsidRPr="004A53F9">
              <w:rPr>
                <w:rFonts w:ascii="Times New Roman" w:hAnsi="Times New Roman"/>
                <w:bCs/>
                <w:sz w:val="20"/>
                <w:szCs w:val="20"/>
              </w:rPr>
              <w:t>18,0</w:t>
            </w:r>
          </w:p>
        </w:tc>
        <w:tc>
          <w:tcPr>
            <w:tcW w:w="1098" w:type="dxa"/>
            <w:tcBorders>
              <w:top w:val="nil"/>
              <w:left w:val="nil"/>
              <w:bottom w:val="single" w:sz="4" w:space="0" w:color="auto"/>
              <w:right w:val="single" w:sz="4" w:space="0" w:color="auto"/>
            </w:tcBorders>
            <w:shd w:val="clear" w:color="auto" w:fill="auto"/>
            <w:vAlign w:val="bottom"/>
          </w:tcPr>
          <w:p w:rsidR="00DA2344" w:rsidRPr="004A53F9" w:rsidRDefault="00DA2344" w:rsidP="00DA2344">
            <w:pPr>
              <w:spacing w:after="0" w:line="240" w:lineRule="auto"/>
              <w:jc w:val="right"/>
              <w:rPr>
                <w:rFonts w:ascii="Times New Roman" w:hAnsi="Times New Roman"/>
                <w:bCs/>
                <w:sz w:val="20"/>
                <w:szCs w:val="20"/>
              </w:rPr>
            </w:pPr>
            <w:r w:rsidRPr="004A53F9">
              <w:rPr>
                <w:rFonts w:ascii="Times New Roman" w:hAnsi="Times New Roman"/>
                <w:bCs/>
                <w:sz w:val="20"/>
                <w:szCs w:val="20"/>
              </w:rPr>
              <w:t>17,0</w:t>
            </w:r>
          </w:p>
        </w:tc>
        <w:tc>
          <w:tcPr>
            <w:tcW w:w="1327" w:type="dxa"/>
            <w:tcBorders>
              <w:top w:val="nil"/>
              <w:left w:val="nil"/>
              <w:bottom w:val="single" w:sz="4" w:space="0" w:color="auto"/>
              <w:right w:val="single" w:sz="4" w:space="0" w:color="auto"/>
            </w:tcBorders>
            <w:shd w:val="clear" w:color="auto" w:fill="auto"/>
            <w:vAlign w:val="bottom"/>
          </w:tcPr>
          <w:p w:rsidR="00DA2344" w:rsidRPr="004A53F9" w:rsidRDefault="00DA2344" w:rsidP="00DA2344">
            <w:pPr>
              <w:spacing w:after="0" w:line="240" w:lineRule="auto"/>
              <w:jc w:val="right"/>
              <w:rPr>
                <w:rFonts w:ascii="Times New Roman" w:hAnsi="Times New Roman"/>
                <w:sz w:val="20"/>
                <w:szCs w:val="20"/>
              </w:rPr>
            </w:pPr>
            <w:r w:rsidRPr="004A53F9">
              <w:rPr>
                <w:rFonts w:ascii="Times New Roman" w:hAnsi="Times New Roman"/>
                <w:sz w:val="20"/>
                <w:szCs w:val="20"/>
              </w:rPr>
              <w:t>94,4</w:t>
            </w:r>
          </w:p>
        </w:tc>
      </w:tr>
      <w:tr w:rsidR="00DA2344" w:rsidRPr="004A53F9" w:rsidTr="00DA2344">
        <w:trPr>
          <w:trHeight w:val="149"/>
        </w:trPr>
        <w:tc>
          <w:tcPr>
            <w:tcW w:w="6380" w:type="dxa"/>
            <w:tcBorders>
              <w:top w:val="nil"/>
              <w:left w:val="single" w:sz="4" w:space="0" w:color="auto"/>
              <w:bottom w:val="single" w:sz="4" w:space="0" w:color="auto"/>
              <w:right w:val="single" w:sz="4" w:space="0" w:color="auto"/>
            </w:tcBorders>
            <w:shd w:val="clear" w:color="auto" w:fill="FFFFFF"/>
          </w:tcPr>
          <w:p w:rsidR="00DA2344" w:rsidRPr="004A53F9" w:rsidRDefault="00DA2344" w:rsidP="00DA2344">
            <w:pPr>
              <w:spacing w:after="0" w:line="240" w:lineRule="auto"/>
              <w:rPr>
                <w:rFonts w:ascii="Times New Roman" w:hAnsi="Times New Roman"/>
                <w:sz w:val="20"/>
                <w:szCs w:val="20"/>
              </w:rPr>
            </w:pPr>
            <w:r w:rsidRPr="004A53F9">
              <w:rPr>
                <w:rFonts w:ascii="Times New Roman" w:hAnsi="Times New Roman"/>
                <w:sz w:val="20"/>
                <w:szCs w:val="20"/>
              </w:rPr>
              <w:t xml:space="preserve"> Другие услуги телерадиовещания (обеспечение использования радиочастотного ресурса) и подвижной радиоэлектросвязи </w:t>
            </w:r>
          </w:p>
        </w:tc>
        <w:tc>
          <w:tcPr>
            <w:tcW w:w="1260" w:type="dxa"/>
            <w:tcBorders>
              <w:top w:val="nil"/>
              <w:left w:val="nil"/>
              <w:bottom w:val="single" w:sz="4" w:space="0" w:color="auto"/>
              <w:right w:val="single" w:sz="4" w:space="0" w:color="auto"/>
            </w:tcBorders>
            <w:shd w:val="clear" w:color="auto" w:fill="auto"/>
            <w:vAlign w:val="bottom"/>
          </w:tcPr>
          <w:p w:rsidR="00DA2344" w:rsidRPr="004A53F9" w:rsidRDefault="00DA2344" w:rsidP="00DA2344">
            <w:pPr>
              <w:spacing w:after="0" w:line="240" w:lineRule="auto"/>
              <w:jc w:val="right"/>
              <w:rPr>
                <w:rFonts w:ascii="Times New Roman" w:hAnsi="Times New Roman"/>
                <w:bCs/>
                <w:sz w:val="20"/>
                <w:szCs w:val="20"/>
              </w:rPr>
            </w:pPr>
            <w:r w:rsidRPr="004A53F9">
              <w:rPr>
                <w:rFonts w:ascii="Times New Roman" w:hAnsi="Times New Roman"/>
                <w:bCs/>
                <w:sz w:val="20"/>
                <w:szCs w:val="20"/>
              </w:rPr>
              <w:t>0,8</w:t>
            </w:r>
          </w:p>
        </w:tc>
        <w:tc>
          <w:tcPr>
            <w:tcW w:w="1098" w:type="dxa"/>
            <w:tcBorders>
              <w:top w:val="nil"/>
              <w:left w:val="nil"/>
              <w:bottom w:val="single" w:sz="4" w:space="0" w:color="auto"/>
              <w:right w:val="single" w:sz="4" w:space="0" w:color="auto"/>
            </w:tcBorders>
            <w:shd w:val="clear" w:color="auto" w:fill="auto"/>
            <w:vAlign w:val="bottom"/>
          </w:tcPr>
          <w:p w:rsidR="00DA2344" w:rsidRPr="004A53F9" w:rsidRDefault="00DA2344" w:rsidP="00DA2344">
            <w:pPr>
              <w:spacing w:after="0" w:line="240" w:lineRule="auto"/>
              <w:jc w:val="right"/>
              <w:rPr>
                <w:rFonts w:ascii="Times New Roman" w:hAnsi="Times New Roman"/>
                <w:bCs/>
                <w:sz w:val="20"/>
                <w:szCs w:val="20"/>
              </w:rPr>
            </w:pPr>
            <w:r w:rsidRPr="004A53F9">
              <w:rPr>
                <w:rFonts w:ascii="Times New Roman" w:hAnsi="Times New Roman"/>
                <w:bCs/>
                <w:sz w:val="20"/>
                <w:szCs w:val="20"/>
              </w:rPr>
              <w:t>0,6</w:t>
            </w:r>
          </w:p>
        </w:tc>
        <w:tc>
          <w:tcPr>
            <w:tcW w:w="1327" w:type="dxa"/>
            <w:tcBorders>
              <w:top w:val="nil"/>
              <w:left w:val="nil"/>
              <w:bottom w:val="single" w:sz="4" w:space="0" w:color="auto"/>
              <w:right w:val="single" w:sz="4" w:space="0" w:color="auto"/>
            </w:tcBorders>
            <w:shd w:val="clear" w:color="auto" w:fill="auto"/>
            <w:vAlign w:val="bottom"/>
          </w:tcPr>
          <w:p w:rsidR="00DA2344" w:rsidRPr="004A53F9" w:rsidRDefault="00DA2344" w:rsidP="00DA2344">
            <w:pPr>
              <w:spacing w:after="0" w:line="240" w:lineRule="auto"/>
              <w:jc w:val="right"/>
              <w:rPr>
                <w:rFonts w:ascii="Times New Roman" w:hAnsi="Times New Roman"/>
                <w:sz w:val="20"/>
                <w:szCs w:val="20"/>
              </w:rPr>
            </w:pPr>
            <w:r w:rsidRPr="004A53F9">
              <w:rPr>
                <w:rFonts w:ascii="Times New Roman" w:hAnsi="Times New Roman"/>
                <w:sz w:val="20"/>
                <w:szCs w:val="20"/>
              </w:rPr>
              <w:t>77,5</w:t>
            </w:r>
          </w:p>
        </w:tc>
      </w:tr>
    </w:tbl>
    <w:p w:rsidR="00DA2344" w:rsidRPr="004A53F9" w:rsidRDefault="00DA2344" w:rsidP="00DA2344">
      <w:pPr>
        <w:ind w:left="-284"/>
      </w:pPr>
      <w:r w:rsidRPr="004A53F9">
        <w:rPr>
          <w:noProof/>
        </w:rPr>
        <w:drawing>
          <wp:inline distT="0" distB="0" distL="0" distR="0">
            <wp:extent cx="3057525" cy="2686050"/>
            <wp:effectExtent l="19050" t="0" r="0" b="0"/>
            <wp:docPr id="15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4A53F9">
        <w:rPr>
          <w:noProof/>
        </w:rPr>
        <w:drawing>
          <wp:inline distT="0" distB="0" distL="0" distR="0">
            <wp:extent cx="3009900" cy="2686050"/>
            <wp:effectExtent l="19050" t="0" r="0" b="0"/>
            <wp:docPr id="15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A2344" w:rsidRPr="004A53F9" w:rsidRDefault="00DA2344" w:rsidP="00DA2344">
      <w:pPr>
        <w:spacing w:after="0" w:line="240" w:lineRule="auto"/>
        <w:ind w:firstLine="851"/>
        <w:jc w:val="both"/>
        <w:rPr>
          <w:rFonts w:ascii="Times New Roman" w:hAnsi="Times New Roman"/>
          <w:sz w:val="24"/>
          <w:szCs w:val="24"/>
        </w:rPr>
      </w:pPr>
      <w:r w:rsidRPr="004A53F9">
        <w:rPr>
          <w:rFonts w:ascii="Times New Roman" w:hAnsi="Times New Roman"/>
          <w:sz w:val="24"/>
          <w:szCs w:val="24"/>
        </w:rPr>
        <w:t xml:space="preserve">В структуре доходов от предоставления услуг электросвязи  наибольший удельный вес продолжают занимать доходы от предоставления услуг мобильной связи – 36,2%. Вторыми по объему доходов являются доходы от предоставления услуг фиксированной связи – 26,8 %, по сравнению с </w:t>
      </w:r>
      <w:r w:rsidRPr="004A53F9">
        <w:rPr>
          <w:rFonts w:ascii="Times New Roman" w:hAnsi="Times New Roman"/>
          <w:sz w:val="24"/>
          <w:szCs w:val="24"/>
          <w:lang w:val="en-US"/>
        </w:rPr>
        <w:t>I</w:t>
      </w:r>
      <w:r w:rsidRPr="004A53F9">
        <w:rPr>
          <w:rFonts w:ascii="Times New Roman" w:hAnsi="Times New Roman"/>
          <w:sz w:val="24"/>
          <w:szCs w:val="24"/>
        </w:rPr>
        <w:t xml:space="preserve"> полугодием 2013 года их доля </w:t>
      </w:r>
      <w:r w:rsidRPr="004A53F9">
        <w:rPr>
          <w:rFonts w:ascii="Times New Roman" w:hAnsi="Times New Roman"/>
          <w:sz w:val="24"/>
          <w:szCs w:val="24"/>
        </w:rPr>
        <w:lastRenderedPageBreak/>
        <w:t xml:space="preserve">сократилась на </w:t>
      </w:r>
      <w:r>
        <w:rPr>
          <w:rFonts w:ascii="Times New Roman" w:hAnsi="Times New Roman"/>
          <w:sz w:val="24"/>
          <w:szCs w:val="24"/>
        </w:rPr>
        <w:t>3,6</w:t>
      </w:r>
      <w:r w:rsidRPr="004A53F9">
        <w:rPr>
          <w:rFonts w:ascii="Times New Roman" w:hAnsi="Times New Roman"/>
          <w:sz w:val="24"/>
          <w:szCs w:val="24"/>
        </w:rPr>
        <w:t>%. В январе – июне 2014 года наблюдался рост доходов от предоставления таких услуг, как: услуги по передаче данных на 16,9% (</w:t>
      </w:r>
      <w:r>
        <w:rPr>
          <w:rFonts w:ascii="Times New Roman" w:hAnsi="Times New Roman"/>
          <w:sz w:val="24"/>
          <w:szCs w:val="24"/>
        </w:rPr>
        <w:t xml:space="preserve">+ </w:t>
      </w:r>
      <w:r w:rsidRPr="004A53F9">
        <w:rPr>
          <w:rFonts w:ascii="Times New Roman" w:hAnsi="Times New Roman"/>
          <w:sz w:val="24"/>
          <w:szCs w:val="24"/>
        </w:rPr>
        <w:t>12,9 млн.</w:t>
      </w:r>
      <w:r w:rsidR="00EE6B2D">
        <w:rPr>
          <w:rFonts w:ascii="Times New Roman" w:hAnsi="Times New Roman"/>
          <w:sz w:val="24"/>
          <w:szCs w:val="24"/>
        </w:rPr>
        <w:t xml:space="preserve"> </w:t>
      </w:r>
      <w:r w:rsidRPr="004A53F9">
        <w:rPr>
          <w:rFonts w:ascii="Times New Roman" w:hAnsi="Times New Roman"/>
          <w:sz w:val="24"/>
          <w:szCs w:val="24"/>
        </w:rPr>
        <w:t>руб.) и услуги телевизионного вещания на 25,8% (</w:t>
      </w:r>
      <w:r>
        <w:rPr>
          <w:rFonts w:ascii="Times New Roman" w:hAnsi="Times New Roman"/>
          <w:sz w:val="24"/>
          <w:szCs w:val="24"/>
        </w:rPr>
        <w:t xml:space="preserve">+ </w:t>
      </w:r>
      <w:r w:rsidRPr="004A53F9">
        <w:rPr>
          <w:rFonts w:ascii="Times New Roman" w:hAnsi="Times New Roman"/>
          <w:sz w:val="24"/>
          <w:szCs w:val="24"/>
        </w:rPr>
        <w:t>6,2 млн.</w:t>
      </w:r>
      <w:r w:rsidR="00EE6B2D">
        <w:rPr>
          <w:rFonts w:ascii="Times New Roman" w:hAnsi="Times New Roman"/>
          <w:sz w:val="24"/>
          <w:szCs w:val="24"/>
        </w:rPr>
        <w:t xml:space="preserve"> </w:t>
      </w:r>
      <w:r w:rsidRPr="004A53F9">
        <w:rPr>
          <w:rFonts w:ascii="Times New Roman" w:hAnsi="Times New Roman"/>
          <w:sz w:val="24"/>
          <w:szCs w:val="24"/>
        </w:rPr>
        <w:t>руб.).</w:t>
      </w:r>
    </w:p>
    <w:p w:rsidR="00DA2344" w:rsidRPr="004A53F9" w:rsidRDefault="00DA2344" w:rsidP="00DA2344">
      <w:pPr>
        <w:spacing w:after="0" w:line="240" w:lineRule="auto"/>
        <w:ind w:firstLine="851"/>
        <w:jc w:val="both"/>
        <w:rPr>
          <w:rFonts w:ascii="Times New Roman" w:hAnsi="Times New Roman"/>
          <w:sz w:val="24"/>
          <w:szCs w:val="24"/>
        </w:rPr>
      </w:pPr>
      <w:r w:rsidRPr="004A53F9">
        <w:rPr>
          <w:rFonts w:ascii="Times New Roman" w:hAnsi="Times New Roman"/>
          <w:sz w:val="24"/>
          <w:szCs w:val="24"/>
        </w:rPr>
        <w:t xml:space="preserve">В сфере оказания услуг электросвязи лидером, по-прежнему, остается                  СЗАО «Интерднестрком», на долю которого приходится 344,1 млн. руб. (в январе – июне 2013 года – 330,1 млн. руб.) или 92,6% суммарного дохода от предоставления услуг электросвязи. </w:t>
      </w:r>
    </w:p>
    <w:p w:rsidR="00DA2344" w:rsidRPr="004A53F9" w:rsidRDefault="00DA2344" w:rsidP="00DA2344">
      <w:pPr>
        <w:spacing w:after="0" w:line="240" w:lineRule="auto"/>
        <w:ind w:firstLine="709"/>
        <w:jc w:val="both"/>
        <w:rPr>
          <w:rFonts w:ascii="Times New Roman" w:hAnsi="Times New Roman"/>
          <w:sz w:val="24"/>
          <w:szCs w:val="24"/>
        </w:rPr>
      </w:pPr>
      <w:r w:rsidRPr="004A53F9">
        <w:rPr>
          <w:rFonts w:ascii="Times New Roman" w:hAnsi="Times New Roman"/>
          <w:sz w:val="24"/>
          <w:szCs w:val="24"/>
        </w:rPr>
        <w:t xml:space="preserve">СЗАО «Интерднестрком» также остается самым крупным оператором фиксированной связи, занимающий наибольший удельный вес по использованию монтированной емкости (97,8% от общего объема). </w:t>
      </w:r>
    </w:p>
    <w:p w:rsidR="00DA2344" w:rsidRPr="004A53F9" w:rsidRDefault="00DA2344" w:rsidP="00DA2344">
      <w:pPr>
        <w:spacing w:after="0" w:line="240" w:lineRule="auto"/>
        <w:ind w:firstLine="709"/>
        <w:jc w:val="both"/>
        <w:rPr>
          <w:rFonts w:ascii="Times New Roman" w:hAnsi="Times New Roman"/>
          <w:sz w:val="24"/>
          <w:szCs w:val="24"/>
        </w:rPr>
      </w:pPr>
      <w:r w:rsidRPr="004A53F9">
        <w:rPr>
          <w:rFonts w:ascii="Times New Roman" w:hAnsi="Times New Roman"/>
          <w:bCs/>
          <w:sz w:val="24"/>
          <w:szCs w:val="24"/>
        </w:rPr>
        <w:t xml:space="preserve">За </w:t>
      </w:r>
      <w:r w:rsidRPr="004A53F9">
        <w:rPr>
          <w:rFonts w:ascii="Times New Roman" w:hAnsi="Times New Roman"/>
          <w:bCs/>
          <w:sz w:val="24"/>
          <w:szCs w:val="24"/>
          <w:lang w:val="en-US"/>
        </w:rPr>
        <w:t>I</w:t>
      </w:r>
      <w:r w:rsidRPr="004A53F9">
        <w:rPr>
          <w:rFonts w:ascii="Times New Roman" w:hAnsi="Times New Roman"/>
          <w:bCs/>
          <w:sz w:val="24"/>
          <w:szCs w:val="24"/>
        </w:rPr>
        <w:t xml:space="preserve"> полугодие 2014 года в республике было зарегистрировано </w:t>
      </w:r>
      <w:r w:rsidRPr="004A53F9">
        <w:rPr>
          <w:rFonts w:ascii="Times New Roman" w:hAnsi="Times New Roman"/>
          <w:sz w:val="24"/>
          <w:szCs w:val="24"/>
        </w:rPr>
        <w:t xml:space="preserve">202 642 абонента, что на 1462 абонента (0,7%) меньше, чем за </w:t>
      </w:r>
      <w:r w:rsidRPr="004A53F9">
        <w:rPr>
          <w:rFonts w:ascii="Times New Roman" w:hAnsi="Times New Roman"/>
          <w:bCs/>
          <w:sz w:val="24"/>
          <w:szCs w:val="24"/>
          <w:lang w:val="en-US"/>
        </w:rPr>
        <w:t>I</w:t>
      </w:r>
      <w:r w:rsidRPr="004A53F9">
        <w:rPr>
          <w:rFonts w:ascii="Times New Roman" w:hAnsi="Times New Roman"/>
          <w:bCs/>
          <w:sz w:val="24"/>
          <w:szCs w:val="24"/>
        </w:rPr>
        <w:t xml:space="preserve"> полугодие</w:t>
      </w:r>
      <w:r w:rsidRPr="004A53F9">
        <w:rPr>
          <w:rFonts w:ascii="Times New Roman" w:hAnsi="Times New Roman"/>
          <w:sz w:val="24"/>
          <w:szCs w:val="24"/>
        </w:rPr>
        <w:t xml:space="preserve"> 2013 года. Из общего числа зарегистрированных - 158 033 абонентов (78,0%) проживают в городских населенных пунктах, 44 609 абонентов (22,0%) - в сельских населенных пунктах.</w:t>
      </w:r>
    </w:p>
    <w:p w:rsidR="00DA2344" w:rsidRPr="004A53F9" w:rsidRDefault="00DA2344" w:rsidP="00DA2344">
      <w:pPr>
        <w:shd w:val="clear" w:color="auto" w:fill="FFFFFF"/>
        <w:spacing w:after="0" w:line="240" w:lineRule="auto"/>
        <w:ind w:firstLine="709"/>
        <w:contextualSpacing/>
        <w:jc w:val="both"/>
      </w:pPr>
      <w:r w:rsidRPr="004A53F9">
        <w:rPr>
          <w:rFonts w:ascii="Times New Roman" w:hAnsi="Times New Roman"/>
          <w:sz w:val="24"/>
          <w:szCs w:val="24"/>
        </w:rPr>
        <w:t>Количество основных проводных телефонных аппаратов по городской телефонной сети снизилось на 1,0% и составило 158 777 шт., всего проводных телефонов сельской телефонной сети составило 43 155 шт., увеличившись на 0,6%.</w:t>
      </w:r>
    </w:p>
    <w:p w:rsidR="00DA2344" w:rsidRPr="004A53F9" w:rsidRDefault="00DA2344" w:rsidP="00DA2344">
      <w:pPr>
        <w:shd w:val="clear" w:color="auto" w:fill="FFFFFF"/>
        <w:spacing w:after="0" w:line="240" w:lineRule="auto"/>
        <w:ind w:firstLine="709"/>
        <w:contextualSpacing/>
        <w:jc w:val="both"/>
        <w:rPr>
          <w:rFonts w:ascii="Times New Roman" w:hAnsi="Times New Roman"/>
          <w:sz w:val="24"/>
          <w:szCs w:val="24"/>
        </w:rPr>
      </w:pPr>
      <w:r w:rsidRPr="004A53F9">
        <w:rPr>
          <w:rFonts w:ascii="Times New Roman" w:hAnsi="Times New Roman"/>
          <w:sz w:val="24"/>
          <w:szCs w:val="24"/>
        </w:rPr>
        <w:t xml:space="preserve">Наибольший удельный вес (67,3%) в голосовом трафике в сетях фиксированной связи принадлежит трафику в фиксированных местных сетях, соединения с абонентами сотовой мобильной связи составляют 23,9%, трафик к междугородным сетям и трафик к международным сетям составляют соответственно 4,7% и 4,1%. </w:t>
      </w:r>
    </w:p>
    <w:p w:rsidR="00DA2344" w:rsidRPr="00DA2344" w:rsidRDefault="00DA2344" w:rsidP="00DA2344">
      <w:pPr>
        <w:ind w:left="-709" w:right="-426"/>
        <w:rPr>
          <w:sz w:val="24"/>
          <w:szCs w:val="24"/>
        </w:rPr>
      </w:pPr>
      <w:r w:rsidRPr="00DA2344">
        <w:rPr>
          <w:noProof/>
          <w:sz w:val="24"/>
          <w:szCs w:val="24"/>
        </w:rPr>
        <w:drawing>
          <wp:inline distT="0" distB="0" distL="0" distR="0">
            <wp:extent cx="3248025" cy="2524125"/>
            <wp:effectExtent l="0" t="0" r="0" b="0"/>
            <wp:docPr id="15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srcRect/>
                    <a:stretch>
                      <a:fillRect/>
                    </a:stretch>
                  </pic:blipFill>
                  <pic:spPr bwMode="auto">
                    <a:xfrm>
                      <a:off x="0" y="0"/>
                      <a:ext cx="3248025" cy="2524125"/>
                    </a:xfrm>
                    <a:prstGeom prst="rect">
                      <a:avLst/>
                    </a:prstGeom>
                    <a:noFill/>
                    <a:ln w="9525">
                      <a:noFill/>
                      <a:miter lim="800000"/>
                      <a:headEnd/>
                      <a:tailEnd/>
                    </a:ln>
                  </pic:spPr>
                </pic:pic>
              </a:graphicData>
            </a:graphic>
          </wp:inline>
        </w:drawing>
      </w:r>
      <w:r w:rsidRPr="00DA2344">
        <w:rPr>
          <w:noProof/>
          <w:sz w:val="24"/>
          <w:szCs w:val="24"/>
        </w:rPr>
        <w:drawing>
          <wp:inline distT="0" distB="0" distL="0" distR="0">
            <wp:extent cx="3362325" cy="2438400"/>
            <wp:effectExtent l="0" t="0" r="0" b="0"/>
            <wp:docPr id="1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3360530" cy="2437098"/>
                    </a:xfrm>
                    <a:prstGeom prst="rect">
                      <a:avLst/>
                    </a:prstGeom>
                    <a:noFill/>
                    <a:ln w="9525">
                      <a:noFill/>
                      <a:miter lim="800000"/>
                      <a:headEnd/>
                      <a:tailEnd/>
                    </a:ln>
                  </pic:spPr>
                </pic:pic>
              </a:graphicData>
            </a:graphic>
          </wp:inline>
        </w:drawing>
      </w:r>
    </w:p>
    <w:p w:rsidR="00DA2344" w:rsidRPr="00DA2344" w:rsidRDefault="00DA2344" w:rsidP="00DA2344">
      <w:pPr>
        <w:pStyle w:val="af8"/>
        <w:spacing w:after="0" w:line="240" w:lineRule="auto"/>
        <w:ind w:left="0" w:firstLine="709"/>
        <w:jc w:val="both"/>
        <w:rPr>
          <w:rFonts w:ascii="Times New Roman" w:hAnsi="Times New Roman"/>
          <w:sz w:val="24"/>
          <w:szCs w:val="24"/>
        </w:rPr>
      </w:pPr>
      <w:r w:rsidRPr="00DA2344">
        <w:rPr>
          <w:rFonts w:ascii="Times New Roman" w:hAnsi="Times New Roman"/>
          <w:sz w:val="24"/>
          <w:szCs w:val="24"/>
        </w:rPr>
        <w:t xml:space="preserve">За </w:t>
      </w:r>
      <w:r w:rsidRPr="00DA2344">
        <w:rPr>
          <w:rFonts w:ascii="Times New Roman" w:hAnsi="Times New Roman"/>
          <w:sz w:val="24"/>
          <w:szCs w:val="24"/>
          <w:lang w:val="en-US"/>
        </w:rPr>
        <w:t>I</w:t>
      </w:r>
      <w:r w:rsidRPr="00DA2344">
        <w:rPr>
          <w:rFonts w:ascii="Times New Roman" w:hAnsi="Times New Roman"/>
          <w:sz w:val="24"/>
          <w:szCs w:val="24"/>
        </w:rPr>
        <w:t xml:space="preserve"> полугодие 2014 года по сравнению с аналогичным периодом 2013 года количество исходящих местных телефонных соединений по городской и сельской телефонной сети уменьшилось на 12,4 % или на 9 118,3 тыс. звонков и составило                 64 274,8 тыс. соединений. Продолжительность местных телефонных соединений (исходящий трафик) так же снизилась на 9,6 % или на 14 603,0 тыс. минут и составила             137 868,8 тыс. минут. Таким образом, продолжительность одного среднестатистического исходящего разговора абонента местной телефонной сети составляет 2 минуты.</w:t>
      </w:r>
    </w:p>
    <w:p w:rsidR="00DA2344" w:rsidRPr="00DA2344" w:rsidRDefault="00DA2344" w:rsidP="00DA2344">
      <w:pPr>
        <w:pStyle w:val="af8"/>
        <w:spacing w:after="0" w:line="240" w:lineRule="auto"/>
        <w:ind w:left="0" w:firstLine="709"/>
        <w:jc w:val="both"/>
        <w:rPr>
          <w:rFonts w:ascii="Times New Roman" w:hAnsi="Times New Roman"/>
          <w:sz w:val="24"/>
          <w:szCs w:val="24"/>
        </w:rPr>
      </w:pPr>
      <w:r w:rsidRPr="00DA2344">
        <w:rPr>
          <w:rFonts w:ascii="Times New Roman" w:hAnsi="Times New Roman"/>
          <w:sz w:val="24"/>
          <w:szCs w:val="24"/>
        </w:rPr>
        <w:t xml:space="preserve">Количество исходящих местных телефонных соединений с абонентами сети сотовой мобильной связи уменьшилось на 3,6% и составило 22 875,0 тыс. соединений. Продолжительность исходящего одного среднестатистического разговора абонентов местных телефонных сетей с абонентами сети сотовой мобильной связи составляет               1 минута. </w:t>
      </w:r>
    </w:p>
    <w:p w:rsidR="00DA2344" w:rsidRPr="004A53F9" w:rsidRDefault="00DA2344" w:rsidP="00DA2344">
      <w:pPr>
        <w:pStyle w:val="af0"/>
        <w:spacing w:before="0" w:beforeAutospacing="0" w:after="0" w:afterAutospacing="0"/>
        <w:ind w:firstLine="709"/>
        <w:jc w:val="both"/>
      </w:pPr>
      <w:r w:rsidRPr="00DA2344">
        <w:t>Продолжительность бесплатных местных телефонных соединений в пределах</w:t>
      </w:r>
      <w:r w:rsidRPr="004A53F9">
        <w:t xml:space="preserve"> социальной нормы за 1 полугодие 2014 года составила 33 842,7 тыс. минут и уменьшилась по сравнению с аналогичным периодом прошлого года на 1,9%. Объем услуг, предоставляемых СЗАО «Интерднестрком» и ЗАО «Молдавская ГРЭС» льготным </w:t>
      </w:r>
      <w:r w:rsidRPr="004A53F9">
        <w:lastRenderedPageBreak/>
        <w:t>категориям населения, составил сумму 1 092,3 тыс. руб. или уменьшился на 55,6 тыс. руб. (</w:t>
      </w:r>
      <w:r>
        <w:t xml:space="preserve">+ </w:t>
      </w:r>
      <w:r w:rsidRPr="004A53F9">
        <w:t xml:space="preserve">4,8%). </w:t>
      </w:r>
    </w:p>
    <w:p w:rsidR="00DA2344" w:rsidRPr="004A53F9" w:rsidRDefault="00DA2344" w:rsidP="00DA2344">
      <w:pPr>
        <w:spacing w:after="0" w:line="240" w:lineRule="auto"/>
        <w:ind w:firstLine="709"/>
        <w:jc w:val="both"/>
        <w:rPr>
          <w:rFonts w:ascii="Times New Roman" w:hAnsi="Times New Roman"/>
          <w:b/>
          <w:bCs/>
          <w:sz w:val="24"/>
          <w:szCs w:val="24"/>
        </w:rPr>
      </w:pPr>
      <w:r>
        <w:rPr>
          <w:rFonts w:ascii="Times New Roman" w:hAnsi="Times New Roman"/>
          <w:sz w:val="24"/>
          <w:szCs w:val="24"/>
        </w:rPr>
        <w:t>При этом следует отметить, напротив, з</w:t>
      </w:r>
      <w:r w:rsidRPr="004A53F9">
        <w:rPr>
          <w:rFonts w:ascii="Times New Roman" w:hAnsi="Times New Roman"/>
          <w:sz w:val="24"/>
          <w:szCs w:val="24"/>
        </w:rPr>
        <w:t>а отчетный период в республике увелич</w:t>
      </w:r>
      <w:r>
        <w:rPr>
          <w:rFonts w:ascii="Times New Roman" w:hAnsi="Times New Roman"/>
          <w:sz w:val="24"/>
          <w:szCs w:val="24"/>
        </w:rPr>
        <w:t>ение</w:t>
      </w:r>
      <w:r w:rsidRPr="004A53F9">
        <w:rPr>
          <w:rFonts w:ascii="Times New Roman" w:hAnsi="Times New Roman"/>
          <w:sz w:val="24"/>
          <w:szCs w:val="24"/>
        </w:rPr>
        <w:t xml:space="preserve"> показател</w:t>
      </w:r>
      <w:r>
        <w:rPr>
          <w:rFonts w:ascii="Times New Roman" w:hAnsi="Times New Roman"/>
          <w:sz w:val="24"/>
          <w:szCs w:val="24"/>
        </w:rPr>
        <w:t>ей</w:t>
      </w:r>
      <w:r w:rsidRPr="004A53F9">
        <w:rPr>
          <w:rFonts w:ascii="Times New Roman" w:hAnsi="Times New Roman"/>
          <w:sz w:val="24"/>
          <w:szCs w:val="24"/>
        </w:rPr>
        <w:t xml:space="preserve"> мобильной сотовой связи.</w:t>
      </w:r>
      <w:r w:rsidRPr="004A53F9">
        <w:rPr>
          <w:rFonts w:ascii="Times New Roman" w:hAnsi="Times New Roman"/>
          <w:bCs/>
          <w:sz w:val="24"/>
          <w:szCs w:val="24"/>
        </w:rPr>
        <w:t xml:space="preserve"> Число абонентов мобильной сотовой связи по состоянию на 1 июля 2014 года составило 312 738 абонентов и по сравнению с прошлым годом увеличилось на 4,4%. </w:t>
      </w:r>
    </w:p>
    <w:p w:rsidR="00DA2344" w:rsidRPr="004A53F9" w:rsidRDefault="00DA2344" w:rsidP="00DA2344">
      <w:pPr>
        <w:spacing w:after="0" w:line="240" w:lineRule="auto"/>
        <w:ind w:firstLine="709"/>
        <w:jc w:val="both"/>
        <w:rPr>
          <w:rFonts w:ascii="Times New Roman" w:hAnsi="Times New Roman"/>
          <w:sz w:val="24"/>
          <w:szCs w:val="24"/>
        </w:rPr>
      </w:pPr>
      <w:r w:rsidRPr="004A53F9">
        <w:rPr>
          <w:rFonts w:ascii="Times New Roman" w:hAnsi="Times New Roman"/>
          <w:sz w:val="24"/>
          <w:szCs w:val="24"/>
        </w:rPr>
        <w:t xml:space="preserve">В </w:t>
      </w:r>
      <w:r w:rsidRPr="004A53F9">
        <w:rPr>
          <w:rFonts w:ascii="Times New Roman" w:hAnsi="Times New Roman"/>
          <w:sz w:val="24"/>
          <w:szCs w:val="24"/>
          <w:lang w:val="en-US"/>
        </w:rPr>
        <w:t>I</w:t>
      </w:r>
      <w:r w:rsidRPr="004A53F9">
        <w:rPr>
          <w:rFonts w:ascii="Times New Roman" w:hAnsi="Times New Roman"/>
          <w:sz w:val="24"/>
          <w:szCs w:val="24"/>
        </w:rPr>
        <w:t xml:space="preserve"> полугодии 2014 года общий объем голосового трафика (исходящего и входящего) в мобильных сетях составил 369 622,2 тыс. минут (6 160,4 тыс. часов) и увеличился по сравнению с аналогичным периодом прошл</w:t>
      </w:r>
      <w:r>
        <w:rPr>
          <w:rFonts w:ascii="Times New Roman" w:hAnsi="Times New Roman"/>
          <w:sz w:val="24"/>
          <w:szCs w:val="24"/>
        </w:rPr>
        <w:t>ого</w:t>
      </w:r>
      <w:r w:rsidRPr="004A53F9">
        <w:rPr>
          <w:rFonts w:ascii="Times New Roman" w:hAnsi="Times New Roman"/>
          <w:sz w:val="24"/>
          <w:szCs w:val="24"/>
        </w:rPr>
        <w:t xml:space="preserve"> год</w:t>
      </w:r>
      <w:r>
        <w:rPr>
          <w:rFonts w:ascii="Times New Roman" w:hAnsi="Times New Roman"/>
          <w:sz w:val="24"/>
          <w:szCs w:val="24"/>
        </w:rPr>
        <w:t>а</w:t>
      </w:r>
      <w:r w:rsidRPr="004A53F9">
        <w:rPr>
          <w:rFonts w:ascii="Times New Roman" w:hAnsi="Times New Roman"/>
          <w:sz w:val="24"/>
          <w:szCs w:val="24"/>
        </w:rPr>
        <w:t xml:space="preserve"> на 20 223,1 тыс. минут (на 5,8%). </w:t>
      </w:r>
    </w:p>
    <w:p w:rsidR="00DA2344" w:rsidRPr="004A53F9" w:rsidRDefault="00DA2344" w:rsidP="00DA2344">
      <w:pPr>
        <w:spacing w:after="0" w:line="240" w:lineRule="auto"/>
        <w:ind w:firstLine="709"/>
        <w:jc w:val="both"/>
        <w:rPr>
          <w:rFonts w:ascii="Times New Roman" w:hAnsi="Times New Roman"/>
          <w:sz w:val="24"/>
          <w:szCs w:val="24"/>
        </w:rPr>
      </w:pPr>
      <w:r w:rsidRPr="004A53F9">
        <w:rPr>
          <w:rFonts w:ascii="Times New Roman" w:hAnsi="Times New Roman"/>
          <w:sz w:val="24"/>
          <w:szCs w:val="24"/>
        </w:rPr>
        <w:t xml:space="preserve">Среднемесячное количество минут (исходящих и входящих), потребленных одним пользователем в мобильных сетях (показатель MОU), в </w:t>
      </w:r>
      <w:r w:rsidRPr="004A53F9">
        <w:rPr>
          <w:rFonts w:ascii="Times New Roman" w:hAnsi="Times New Roman"/>
          <w:sz w:val="24"/>
          <w:szCs w:val="24"/>
          <w:lang w:val="en-US"/>
        </w:rPr>
        <w:t>I</w:t>
      </w:r>
      <w:r w:rsidRPr="004A53F9">
        <w:rPr>
          <w:rFonts w:ascii="Times New Roman" w:hAnsi="Times New Roman"/>
          <w:sz w:val="24"/>
          <w:szCs w:val="24"/>
        </w:rPr>
        <w:t xml:space="preserve"> полугодии 2014 года составляет 197 минут (3,3 часа) в месяц, по сравнению с аналогичным периодом 2013 года данный показатель увеличился незначительно (на 1,3%). В </w:t>
      </w:r>
      <w:r w:rsidRPr="004A53F9">
        <w:rPr>
          <w:rFonts w:ascii="Times New Roman" w:hAnsi="Times New Roman"/>
          <w:sz w:val="24"/>
          <w:szCs w:val="24"/>
          <w:lang w:val="en-US"/>
        </w:rPr>
        <w:t>I</w:t>
      </w:r>
      <w:r w:rsidRPr="004A53F9">
        <w:rPr>
          <w:rFonts w:ascii="Times New Roman" w:hAnsi="Times New Roman"/>
          <w:sz w:val="24"/>
          <w:szCs w:val="24"/>
        </w:rPr>
        <w:t xml:space="preserve"> полугодии 2014 года из общего</w:t>
      </w:r>
      <w:r w:rsidRPr="004A53F9">
        <w:rPr>
          <w:rFonts w:ascii="Times New Roman" w:hAnsi="Times New Roman"/>
          <w:b/>
          <w:sz w:val="24"/>
          <w:szCs w:val="24"/>
        </w:rPr>
        <w:t xml:space="preserve"> </w:t>
      </w:r>
      <w:r w:rsidRPr="004A53F9">
        <w:rPr>
          <w:rFonts w:ascii="Times New Roman" w:hAnsi="Times New Roman"/>
          <w:sz w:val="24"/>
          <w:szCs w:val="24"/>
        </w:rPr>
        <w:t>количества потребленных минут одним пользователем в мобильных сетях соединений по территории Приднестровской Молдавской Республики составляет 183 минуты, что составляет 92,9 % общего объема голосового трафика.</w:t>
      </w:r>
    </w:p>
    <w:p w:rsidR="00DA2344" w:rsidRPr="004A53F9" w:rsidRDefault="00DA2344" w:rsidP="00DA2344">
      <w:pPr>
        <w:shd w:val="clear" w:color="auto" w:fill="FFFFFF"/>
        <w:autoSpaceDE w:val="0"/>
        <w:autoSpaceDN w:val="0"/>
        <w:adjustRightInd w:val="0"/>
        <w:spacing w:line="240" w:lineRule="auto"/>
        <w:ind w:firstLine="720"/>
        <w:contextualSpacing/>
        <w:jc w:val="both"/>
        <w:rPr>
          <w:rFonts w:ascii="Times New Roman" w:hAnsi="Times New Roman"/>
          <w:sz w:val="24"/>
          <w:szCs w:val="24"/>
        </w:rPr>
      </w:pPr>
      <w:r w:rsidRPr="004A53F9">
        <w:rPr>
          <w:rFonts w:ascii="Times New Roman" w:hAnsi="Times New Roman"/>
          <w:i/>
          <w:sz w:val="24"/>
          <w:szCs w:val="24"/>
        </w:rPr>
        <w:t>Отрасль почтовой связи</w:t>
      </w:r>
      <w:r w:rsidRPr="004A53F9">
        <w:rPr>
          <w:rFonts w:ascii="Times New Roman" w:hAnsi="Times New Roman"/>
          <w:sz w:val="28"/>
          <w:szCs w:val="28"/>
        </w:rPr>
        <w:t xml:space="preserve"> </w:t>
      </w:r>
      <w:r w:rsidRPr="004A53F9">
        <w:rPr>
          <w:rFonts w:ascii="Times New Roman" w:hAnsi="Times New Roman"/>
          <w:sz w:val="24"/>
          <w:szCs w:val="24"/>
        </w:rPr>
        <w:t>является неотъемлемым элементом социальной инфраструктуры государства.</w:t>
      </w:r>
    </w:p>
    <w:p w:rsidR="00DA2344" w:rsidRPr="004A53F9" w:rsidRDefault="00DA2344" w:rsidP="00DA2344">
      <w:pPr>
        <w:spacing w:after="0" w:line="240" w:lineRule="auto"/>
        <w:ind w:firstLine="709"/>
        <w:contextualSpacing/>
        <w:jc w:val="both"/>
        <w:rPr>
          <w:rFonts w:ascii="Times New Roman" w:hAnsi="Times New Roman"/>
          <w:sz w:val="24"/>
          <w:szCs w:val="24"/>
        </w:rPr>
      </w:pPr>
      <w:r w:rsidRPr="004A53F9">
        <w:rPr>
          <w:rFonts w:ascii="Times New Roman" w:hAnsi="Times New Roman"/>
          <w:sz w:val="24"/>
          <w:szCs w:val="24"/>
        </w:rPr>
        <w:t>На территории республики услуги почтовой связи оказывают следующие государственные унитарные предприятия почтовой связи:</w:t>
      </w:r>
    </w:p>
    <w:p w:rsidR="00DA2344" w:rsidRPr="004A53F9" w:rsidRDefault="00DA2344" w:rsidP="00DA2344">
      <w:pPr>
        <w:spacing w:after="0" w:line="240" w:lineRule="auto"/>
        <w:ind w:firstLine="709"/>
        <w:contextualSpacing/>
        <w:jc w:val="both"/>
        <w:rPr>
          <w:rFonts w:ascii="Times New Roman" w:hAnsi="Times New Roman"/>
          <w:sz w:val="24"/>
          <w:szCs w:val="24"/>
        </w:rPr>
      </w:pPr>
      <w:r w:rsidRPr="004A53F9">
        <w:rPr>
          <w:rFonts w:ascii="Times New Roman" w:hAnsi="Times New Roman"/>
          <w:sz w:val="24"/>
          <w:szCs w:val="24"/>
        </w:rPr>
        <w:t xml:space="preserve">- ГУП «Почта Приднестровья», в состав которого входят 6 дочерних предприятий, ГУП «Марка Приднестровья» и предприятия негосударственных форм собственности: </w:t>
      </w:r>
      <w:r>
        <w:rPr>
          <w:rFonts w:ascii="Times New Roman" w:hAnsi="Times New Roman"/>
          <w:sz w:val="24"/>
          <w:szCs w:val="24"/>
        </w:rPr>
        <w:t xml:space="preserve"> </w:t>
      </w:r>
      <w:r w:rsidRPr="004A53F9">
        <w:rPr>
          <w:rFonts w:ascii="Times New Roman" w:hAnsi="Times New Roman"/>
          <w:sz w:val="24"/>
          <w:szCs w:val="24"/>
        </w:rPr>
        <w:t>ООО «СПН» и ООО «Экспресс – Курьер».</w:t>
      </w:r>
    </w:p>
    <w:p w:rsidR="00DA2344" w:rsidRPr="004A53F9" w:rsidRDefault="00DA2344" w:rsidP="00DA2344">
      <w:pPr>
        <w:ind w:right="-1"/>
      </w:pPr>
      <w:r w:rsidRPr="004A53F9">
        <w:rPr>
          <w:noProof/>
        </w:rPr>
        <w:drawing>
          <wp:inline distT="0" distB="0" distL="0" distR="0">
            <wp:extent cx="6019800" cy="2428875"/>
            <wp:effectExtent l="0" t="0" r="0" b="0"/>
            <wp:docPr id="1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6031230" cy="2433487"/>
                    </a:xfrm>
                    <a:prstGeom prst="rect">
                      <a:avLst/>
                    </a:prstGeom>
                    <a:noFill/>
                    <a:ln w="9525">
                      <a:noFill/>
                      <a:miter lim="800000"/>
                      <a:headEnd/>
                      <a:tailEnd/>
                    </a:ln>
                  </pic:spPr>
                </pic:pic>
              </a:graphicData>
            </a:graphic>
          </wp:inline>
        </w:drawing>
      </w:r>
    </w:p>
    <w:p w:rsidR="00DA2344" w:rsidRPr="004A53F9" w:rsidRDefault="00DA2344" w:rsidP="00DA2344">
      <w:pPr>
        <w:spacing w:after="0" w:line="240" w:lineRule="auto"/>
        <w:ind w:firstLine="709"/>
        <w:contextualSpacing/>
        <w:jc w:val="both"/>
        <w:rPr>
          <w:rFonts w:ascii="Times New Roman" w:hAnsi="Times New Roman"/>
          <w:sz w:val="24"/>
          <w:szCs w:val="24"/>
        </w:rPr>
      </w:pPr>
      <w:r w:rsidRPr="004A53F9">
        <w:rPr>
          <w:rFonts w:ascii="Times New Roman" w:hAnsi="Times New Roman"/>
          <w:sz w:val="24"/>
          <w:szCs w:val="24"/>
        </w:rPr>
        <w:t xml:space="preserve">В </w:t>
      </w:r>
      <w:r w:rsidRPr="004A53F9">
        <w:rPr>
          <w:rFonts w:ascii="Times New Roman" w:hAnsi="Times New Roman"/>
          <w:sz w:val="24"/>
          <w:szCs w:val="24"/>
          <w:lang w:val="en-US"/>
        </w:rPr>
        <w:t>I</w:t>
      </w:r>
      <w:r w:rsidRPr="004A53F9">
        <w:rPr>
          <w:rFonts w:ascii="Times New Roman" w:hAnsi="Times New Roman"/>
          <w:sz w:val="24"/>
          <w:szCs w:val="24"/>
        </w:rPr>
        <w:t xml:space="preserve"> полугодии 2014 года</w:t>
      </w:r>
      <w:r w:rsidRPr="004A53F9">
        <w:t xml:space="preserve"> </w:t>
      </w:r>
      <w:r w:rsidRPr="004A53F9">
        <w:rPr>
          <w:rFonts w:ascii="Times New Roman" w:hAnsi="Times New Roman"/>
          <w:sz w:val="24"/>
          <w:szCs w:val="24"/>
        </w:rPr>
        <w:t>доходы, полученные от всех видов деятельности государственных предприятий почтовой связи (без учета стоимости товаров по цене поставщика) выросли на 3,9% и составили 4 661,9 тыс. руб.</w:t>
      </w:r>
    </w:p>
    <w:p w:rsidR="00DA2344" w:rsidRPr="004A53F9" w:rsidRDefault="00DA2344" w:rsidP="00DA2344">
      <w:pPr>
        <w:spacing w:after="0" w:line="240" w:lineRule="auto"/>
        <w:ind w:firstLine="709"/>
        <w:contextualSpacing/>
        <w:jc w:val="both"/>
        <w:rPr>
          <w:rFonts w:ascii="Times New Roman" w:hAnsi="Times New Roman"/>
          <w:sz w:val="24"/>
          <w:szCs w:val="24"/>
        </w:rPr>
      </w:pPr>
      <w:r w:rsidRPr="004A53F9">
        <w:rPr>
          <w:rFonts w:ascii="Times New Roman" w:hAnsi="Times New Roman"/>
          <w:sz w:val="24"/>
          <w:szCs w:val="24"/>
        </w:rPr>
        <w:t xml:space="preserve">Доходы от основной деятельности государственных предприятий почтовой связи увеличились на 7,0% и составили 2 363,0 тыс. руб. </w:t>
      </w:r>
    </w:p>
    <w:p w:rsidR="00DA2344" w:rsidRPr="004A53F9" w:rsidRDefault="00DA2344" w:rsidP="00DA2344">
      <w:pPr>
        <w:ind w:right="-1"/>
      </w:pPr>
      <w:r w:rsidRPr="004A53F9">
        <w:rPr>
          <w:noProof/>
        </w:rPr>
        <w:lastRenderedPageBreak/>
        <w:drawing>
          <wp:inline distT="0" distB="0" distL="0" distR="0">
            <wp:extent cx="6029325" cy="2143125"/>
            <wp:effectExtent l="0" t="0" r="0" b="0"/>
            <wp:docPr id="1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srcRect/>
                    <a:stretch>
                      <a:fillRect/>
                    </a:stretch>
                  </pic:blipFill>
                  <pic:spPr bwMode="auto">
                    <a:xfrm>
                      <a:off x="0" y="0"/>
                      <a:ext cx="6031230" cy="2143802"/>
                    </a:xfrm>
                    <a:prstGeom prst="rect">
                      <a:avLst/>
                    </a:prstGeom>
                    <a:noFill/>
                    <a:ln w="9525">
                      <a:noFill/>
                      <a:miter lim="800000"/>
                      <a:headEnd/>
                      <a:tailEnd/>
                    </a:ln>
                  </pic:spPr>
                </pic:pic>
              </a:graphicData>
            </a:graphic>
          </wp:inline>
        </w:drawing>
      </w:r>
    </w:p>
    <w:p w:rsidR="00DA2344" w:rsidRPr="004A53F9" w:rsidRDefault="00DA2344" w:rsidP="00DA2344">
      <w:pPr>
        <w:spacing w:after="0" w:line="240" w:lineRule="auto"/>
        <w:ind w:firstLine="709"/>
        <w:contextualSpacing/>
        <w:jc w:val="both"/>
        <w:rPr>
          <w:rFonts w:ascii="Times New Roman" w:hAnsi="Times New Roman"/>
          <w:sz w:val="24"/>
          <w:szCs w:val="24"/>
        </w:rPr>
      </w:pPr>
      <w:r w:rsidRPr="004A53F9">
        <w:rPr>
          <w:rFonts w:ascii="Times New Roman" w:hAnsi="Times New Roman"/>
          <w:sz w:val="24"/>
          <w:szCs w:val="24"/>
        </w:rPr>
        <w:t>Рост доходов от основной деятельности обеспечили следующие виды услуг:</w:t>
      </w:r>
    </w:p>
    <w:p w:rsidR="00DA2344" w:rsidRPr="004A53F9" w:rsidRDefault="00DA2344" w:rsidP="00DA2344">
      <w:pPr>
        <w:spacing w:after="0" w:line="240" w:lineRule="auto"/>
        <w:ind w:firstLine="539"/>
        <w:jc w:val="both"/>
        <w:rPr>
          <w:rFonts w:ascii="Times New Roman" w:hAnsi="Times New Roman"/>
          <w:sz w:val="24"/>
          <w:szCs w:val="24"/>
        </w:rPr>
      </w:pPr>
      <w:r w:rsidRPr="004A53F9">
        <w:rPr>
          <w:rFonts w:ascii="Times New Roman" w:hAnsi="Times New Roman"/>
          <w:sz w:val="24"/>
          <w:szCs w:val="24"/>
        </w:rPr>
        <w:t>- оказание услуг спецсвязи – на 22,4 %;</w:t>
      </w:r>
    </w:p>
    <w:p w:rsidR="00DA2344" w:rsidRPr="004A53F9" w:rsidRDefault="00DA2344" w:rsidP="00DA2344">
      <w:pPr>
        <w:spacing w:after="0" w:line="240" w:lineRule="auto"/>
        <w:ind w:firstLine="539"/>
        <w:jc w:val="both"/>
        <w:rPr>
          <w:rFonts w:ascii="Times New Roman" w:hAnsi="Times New Roman"/>
          <w:sz w:val="24"/>
          <w:szCs w:val="24"/>
        </w:rPr>
      </w:pPr>
      <w:r w:rsidRPr="004A53F9">
        <w:rPr>
          <w:rFonts w:ascii="Times New Roman" w:hAnsi="Times New Roman"/>
          <w:sz w:val="24"/>
          <w:szCs w:val="24"/>
        </w:rPr>
        <w:t>- подписка и распространение периодических печатных изданий – на 17,7 % и составили сумму в размере 761,3 тыс. руб.;</w:t>
      </w:r>
    </w:p>
    <w:p w:rsidR="00DA2344" w:rsidRPr="004A53F9" w:rsidRDefault="00DA2344" w:rsidP="00DA2344">
      <w:pPr>
        <w:spacing w:after="0" w:line="240" w:lineRule="auto"/>
        <w:ind w:firstLine="539"/>
        <w:jc w:val="both"/>
        <w:rPr>
          <w:rFonts w:ascii="Times New Roman" w:hAnsi="Times New Roman"/>
          <w:sz w:val="24"/>
          <w:szCs w:val="24"/>
        </w:rPr>
      </w:pPr>
      <w:r w:rsidRPr="004A53F9">
        <w:rPr>
          <w:rFonts w:ascii="Times New Roman" w:hAnsi="Times New Roman"/>
          <w:sz w:val="24"/>
          <w:szCs w:val="24"/>
        </w:rPr>
        <w:t>- отправления посылок – на 16,6%.</w:t>
      </w:r>
    </w:p>
    <w:p w:rsidR="00DA2344" w:rsidRPr="004A53F9" w:rsidRDefault="00DA2344" w:rsidP="00DA2344">
      <w:pPr>
        <w:spacing w:after="0" w:line="240" w:lineRule="auto"/>
        <w:ind w:firstLine="709"/>
        <w:jc w:val="both"/>
        <w:rPr>
          <w:rFonts w:ascii="Times New Roman" w:hAnsi="Times New Roman"/>
          <w:sz w:val="24"/>
          <w:szCs w:val="24"/>
        </w:rPr>
      </w:pPr>
      <w:r w:rsidRPr="004A53F9">
        <w:rPr>
          <w:rFonts w:ascii="Times New Roman" w:hAnsi="Times New Roman"/>
          <w:sz w:val="24"/>
          <w:szCs w:val="24"/>
        </w:rPr>
        <w:t>Увеличение доходов от основной деятельности в основном связано с увеличением тарифов на пересылку.</w:t>
      </w:r>
    </w:p>
    <w:p w:rsidR="00DA2344" w:rsidRPr="004A53F9" w:rsidRDefault="00DA2344" w:rsidP="00DA2344">
      <w:pPr>
        <w:spacing w:after="0" w:line="240" w:lineRule="auto"/>
        <w:ind w:firstLine="709"/>
        <w:jc w:val="both"/>
        <w:rPr>
          <w:rFonts w:ascii="Times New Roman" w:hAnsi="Times New Roman"/>
          <w:sz w:val="24"/>
          <w:szCs w:val="24"/>
        </w:rPr>
      </w:pPr>
      <w:r w:rsidRPr="004A53F9">
        <w:rPr>
          <w:rFonts w:ascii="Times New Roman" w:hAnsi="Times New Roman"/>
          <w:sz w:val="24"/>
          <w:szCs w:val="24"/>
        </w:rPr>
        <w:t xml:space="preserve">Текущие затраты государственных предприятий почтовой связи по основным видам деятельности за </w:t>
      </w:r>
      <w:r w:rsidRPr="004A53F9">
        <w:rPr>
          <w:rFonts w:ascii="Times New Roman" w:hAnsi="Times New Roman"/>
          <w:sz w:val="24"/>
          <w:szCs w:val="24"/>
          <w:lang w:val="en-US"/>
        </w:rPr>
        <w:t>I</w:t>
      </w:r>
      <w:r w:rsidRPr="004A53F9">
        <w:rPr>
          <w:rFonts w:ascii="Times New Roman" w:hAnsi="Times New Roman"/>
          <w:sz w:val="24"/>
          <w:szCs w:val="24"/>
        </w:rPr>
        <w:t xml:space="preserve"> полугодие 2014 года по сравнению с </w:t>
      </w:r>
      <w:r w:rsidRPr="004A53F9">
        <w:rPr>
          <w:rFonts w:ascii="Times New Roman" w:hAnsi="Times New Roman"/>
          <w:sz w:val="24"/>
          <w:szCs w:val="24"/>
          <w:lang w:val="en-US"/>
        </w:rPr>
        <w:t>I</w:t>
      </w:r>
      <w:r w:rsidRPr="004A53F9">
        <w:rPr>
          <w:rFonts w:ascii="Times New Roman" w:hAnsi="Times New Roman"/>
          <w:sz w:val="24"/>
          <w:szCs w:val="24"/>
        </w:rPr>
        <w:t xml:space="preserve"> полугодием 2013 года увеличились на 7,1 % и составили 11 726,0 тыс. руб.</w:t>
      </w:r>
    </w:p>
    <w:p w:rsidR="00DA2344" w:rsidRPr="004A53F9" w:rsidRDefault="00DA2344" w:rsidP="00381ABA">
      <w:pPr>
        <w:spacing w:after="0" w:line="240" w:lineRule="auto"/>
        <w:ind w:firstLine="709"/>
        <w:jc w:val="both"/>
        <w:rPr>
          <w:rFonts w:ascii="Times New Roman" w:hAnsi="Times New Roman"/>
          <w:sz w:val="24"/>
          <w:szCs w:val="24"/>
        </w:rPr>
      </w:pPr>
      <w:r w:rsidRPr="004A53F9">
        <w:rPr>
          <w:rFonts w:ascii="Times New Roman" w:hAnsi="Times New Roman"/>
          <w:sz w:val="24"/>
          <w:szCs w:val="24"/>
        </w:rPr>
        <w:t xml:space="preserve">Затраты на 1 рубль доходов от реализации услуг и товаров составляют 2,17 руб. и по сравнению </w:t>
      </w:r>
      <w:r w:rsidRPr="004A53F9">
        <w:rPr>
          <w:rFonts w:ascii="Times New Roman" w:hAnsi="Times New Roman"/>
          <w:sz w:val="24"/>
          <w:szCs w:val="24"/>
          <w:lang w:val="en-US"/>
        </w:rPr>
        <w:t>I</w:t>
      </w:r>
      <w:r w:rsidRPr="004A53F9">
        <w:rPr>
          <w:rFonts w:ascii="Times New Roman" w:hAnsi="Times New Roman"/>
          <w:sz w:val="24"/>
          <w:szCs w:val="24"/>
        </w:rPr>
        <w:t xml:space="preserve"> полугодием 2013 года повысились на 13 копеек.</w:t>
      </w:r>
    </w:p>
    <w:p w:rsidR="00DA2344" w:rsidRPr="004A53F9" w:rsidRDefault="00DA2344" w:rsidP="00381ABA">
      <w:pPr>
        <w:spacing w:after="0" w:line="240" w:lineRule="auto"/>
        <w:ind w:firstLine="709"/>
        <w:jc w:val="both"/>
        <w:rPr>
          <w:rFonts w:ascii="Times New Roman" w:hAnsi="Times New Roman"/>
          <w:sz w:val="24"/>
          <w:szCs w:val="24"/>
        </w:rPr>
      </w:pPr>
      <w:r w:rsidRPr="004A53F9">
        <w:rPr>
          <w:rFonts w:ascii="Times New Roman" w:hAnsi="Times New Roman"/>
          <w:sz w:val="24"/>
          <w:szCs w:val="24"/>
        </w:rPr>
        <w:t xml:space="preserve">Налоговая нагрузка на 1 рубль доходов увеличилась на 6,8 % и составила 0,38 руб. против 0,34 руб. в </w:t>
      </w:r>
      <w:r w:rsidRPr="004A53F9">
        <w:rPr>
          <w:rFonts w:ascii="Times New Roman" w:hAnsi="Times New Roman"/>
          <w:sz w:val="24"/>
          <w:szCs w:val="24"/>
          <w:lang w:val="en-US"/>
        </w:rPr>
        <w:t>I</w:t>
      </w:r>
      <w:r w:rsidRPr="004A53F9">
        <w:rPr>
          <w:rFonts w:ascii="Times New Roman" w:hAnsi="Times New Roman"/>
          <w:sz w:val="24"/>
          <w:szCs w:val="24"/>
        </w:rPr>
        <w:t xml:space="preserve"> полугодии 2013 года. </w:t>
      </w:r>
    </w:p>
    <w:p w:rsidR="00DA2344" w:rsidRPr="004A53F9" w:rsidRDefault="00DA2344" w:rsidP="00381ABA">
      <w:pPr>
        <w:spacing w:after="0" w:line="240" w:lineRule="auto"/>
        <w:ind w:firstLine="709"/>
        <w:jc w:val="both"/>
        <w:rPr>
          <w:rFonts w:ascii="Times New Roman" w:hAnsi="Times New Roman"/>
          <w:sz w:val="24"/>
          <w:szCs w:val="24"/>
        </w:rPr>
      </w:pPr>
      <w:r w:rsidRPr="004A53F9">
        <w:rPr>
          <w:rFonts w:ascii="Times New Roman" w:hAnsi="Times New Roman"/>
          <w:sz w:val="24"/>
          <w:szCs w:val="24"/>
        </w:rPr>
        <w:t xml:space="preserve">Результатом финансово-хозяйственной деятельности государственных предприятий почтовой связи за </w:t>
      </w:r>
      <w:r w:rsidRPr="004A53F9">
        <w:rPr>
          <w:rFonts w:ascii="Times New Roman" w:hAnsi="Times New Roman"/>
          <w:sz w:val="24"/>
          <w:szCs w:val="24"/>
          <w:lang w:val="en-US"/>
        </w:rPr>
        <w:t>I</w:t>
      </w:r>
      <w:r w:rsidRPr="004A53F9">
        <w:rPr>
          <w:rFonts w:ascii="Times New Roman" w:hAnsi="Times New Roman"/>
          <w:sz w:val="24"/>
          <w:szCs w:val="24"/>
        </w:rPr>
        <w:t xml:space="preserve"> полугодие 2014 года является убыток, на покрытие которого была выделена дотация из  Республиканского бюджета в сумме 9 534,0 тыс. руб. Непокрытый убыток составил 53,5 тыс. руб. и по сравнению с аналогичным периодом прошлого года снизился на 101,0 тыс. руб., что свидетельствует о повышении эффективности работы предприятий отрасли.</w:t>
      </w:r>
    </w:p>
    <w:p w:rsidR="00DA2344" w:rsidRPr="004A53F9" w:rsidRDefault="00DA2344" w:rsidP="00DA2344">
      <w:pPr>
        <w:spacing w:after="0" w:line="240" w:lineRule="auto"/>
        <w:ind w:firstLine="709"/>
        <w:jc w:val="both"/>
        <w:rPr>
          <w:rFonts w:ascii="Times New Roman" w:hAnsi="Times New Roman"/>
          <w:sz w:val="24"/>
          <w:szCs w:val="24"/>
        </w:rPr>
      </w:pPr>
      <w:r w:rsidRPr="004A53F9">
        <w:rPr>
          <w:rFonts w:ascii="Times New Roman" w:hAnsi="Times New Roman"/>
          <w:sz w:val="24"/>
          <w:szCs w:val="24"/>
        </w:rPr>
        <w:t>Одной из основных проблем государственных предприятий почтовой связи продолжает оставаться</w:t>
      </w:r>
      <w:r w:rsidRPr="004A53F9">
        <w:rPr>
          <w:rFonts w:ascii="Times New Roman" w:hAnsi="Times New Roman"/>
          <w:sz w:val="28"/>
          <w:szCs w:val="28"/>
        </w:rPr>
        <w:t xml:space="preserve"> </w:t>
      </w:r>
      <w:r w:rsidRPr="004A53F9">
        <w:rPr>
          <w:rFonts w:ascii="Times New Roman" w:hAnsi="Times New Roman"/>
          <w:sz w:val="24"/>
          <w:szCs w:val="24"/>
        </w:rPr>
        <w:t>отсутствие финансовых возможностей осуществлять необходимые работы по реконструкции и капитальному ремонту, приобретению автотранспорта и техническому перевооружению.</w:t>
      </w:r>
    </w:p>
    <w:p w:rsidR="00DA2344" w:rsidRPr="001973F5" w:rsidRDefault="00DA2344" w:rsidP="00DA2344">
      <w:pPr>
        <w:widowControl w:val="0"/>
        <w:spacing w:after="0" w:line="240" w:lineRule="auto"/>
        <w:ind w:right="-55" w:firstLine="709"/>
        <w:jc w:val="both"/>
        <w:rPr>
          <w:rFonts w:ascii="Times New Roman" w:hAnsi="Times New Roman"/>
          <w:sz w:val="24"/>
          <w:szCs w:val="24"/>
        </w:rPr>
      </w:pPr>
      <w:r w:rsidRPr="004A53F9">
        <w:rPr>
          <w:rFonts w:ascii="Times New Roman" w:hAnsi="Times New Roman"/>
          <w:sz w:val="24"/>
          <w:szCs w:val="24"/>
        </w:rPr>
        <w:t xml:space="preserve">В целом в отрасли связи в </w:t>
      </w:r>
      <w:r w:rsidRPr="004A53F9">
        <w:rPr>
          <w:rFonts w:ascii="Times New Roman" w:hAnsi="Times New Roman"/>
          <w:sz w:val="24"/>
          <w:szCs w:val="24"/>
          <w:lang w:val="en-US"/>
        </w:rPr>
        <w:t>I</w:t>
      </w:r>
      <w:r w:rsidRPr="004A53F9">
        <w:rPr>
          <w:rFonts w:ascii="Times New Roman" w:hAnsi="Times New Roman"/>
          <w:sz w:val="24"/>
          <w:szCs w:val="24"/>
        </w:rPr>
        <w:t xml:space="preserve"> полугодии 2014 года благодаря </w:t>
      </w:r>
      <w:r w:rsidRPr="004A53F9">
        <w:rPr>
          <w:rFonts w:ascii="Times New Roman" w:hAnsi="Times New Roman"/>
          <w:bCs/>
          <w:sz w:val="24"/>
          <w:szCs w:val="24"/>
        </w:rPr>
        <w:t xml:space="preserve">внедрению новых форм обслуживания населения, повышению качества и расширению спектра предоставляемых услуг, </w:t>
      </w:r>
      <w:r w:rsidRPr="004A53F9">
        <w:rPr>
          <w:rFonts w:ascii="Times New Roman" w:hAnsi="Times New Roman"/>
          <w:sz w:val="24"/>
          <w:szCs w:val="24"/>
        </w:rPr>
        <w:t>гибкой тарифной политики оператора,</w:t>
      </w:r>
      <w:r w:rsidRPr="004A53F9">
        <w:rPr>
          <w:rFonts w:ascii="Times New Roman" w:hAnsi="Times New Roman"/>
          <w:bCs/>
          <w:sz w:val="24"/>
          <w:szCs w:val="24"/>
        </w:rPr>
        <w:t xml:space="preserve"> </w:t>
      </w:r>
      <w:r w:rsidRPr="004A53F9">
        <w:rPr>
          <w:rFonts w:ascii="Times New Roman" w:hAnsi="Times New Roman"/>
          <w:sz w:val="24"/>
          <w:szCs w:val="24"/>
        </w:rPr>
        <w:t>удовлетворению возрастающего спроса населения на телекоммуникационные услуги удалось сохранить повышенный интерес населения к потреблению предоставляемых услуг.</w:t>
      </w:r>
    </w:p>
    <w:p w:rsidR="00DA2344" w:rsidRDefault="00DA2344" w:rsidP="008C3ECC">
      <w:pPr>
        <w:pStyle w:val="ae"/>
        <w:ind w:firstLine="709"/>
        <w:jc w:val="left"/>
        <w:rPr>
          <w:b/>
          <w:sz w:val="24"/>
          <w:szCs w:val="24"/>
        </w:rPr>
      </w:pPr>
    </w:p>
    <w:p w:rsidR="00DA2344" w:rsidRPr="00F75EB1" w:rsidRDefault="00DA2344" w:rsidP="00DA2344">
      <w:pPr>
        <w:pStyle w:val="ae"/>
        <w:ind w:firstLine="709"/>
        <w:jc w:val="left"/>
        <w:rPr>
          <w:b/>
          <w:sz w:val="24"/>
          <w:szCs w:val="24"/>
        </w:rPr>
      </w:pPr>
      <w:r w:rsidRPr="00EE6B2D">
        <w:rPr>
          <w:b/>
          <w:sz w:val="24"/>
          <w:szCs w:val="24"/>
        </w:rPr>
        <w:t>Потребительский рынок</w:t>
      </w:r>
    </w:p>
    <w:p w:rsidR="00DA2344" w:rsidRPr="00F75EB1" w:rsidRDefault="00DA2344" w:rsidP="00DA2344">
      <w:pPr>
        <w:pStyle w:val="20"/>
        <w:spacing w:after="0" w:line="240" w:lineRule="auto"/>
        <w:ind w:left="0" w:firstLine="709"/>
        <w:jc w:val="both"/>
      </w:pPr>
    </w:p>
    <w:p w:rsidR="00DA2344" w:rsidRPr="005423DE" w:rsidRDefault="00DA2344" w:rsidP="00DA2344">
      <w:pPr>
        <w:pStyle w:val="20"/>
        <w:spacing w:after="0" w:line="240" w:lineRule="auto"/>
        <w:ind w:left="0" w:firstLine="709"/>
        <w:jc w:val="both"/>
        <w:rPr>
          <w:rFonts w:ascii="Times New Roman" w:hAnsi="Times New Roman"/>
          <w:sz w:val="24"/>
          <w:szCs w:val="24"/>
        </w:rPr>
      </w:pPr>
      <w:r w:rsidRPr="005423DE">
        <w:rPr>
          <w:rFonts w:ascii="Times New Roman" w:hAnsi="Times New Roman"/>
          <w:sz w:val="24"/>
          <w:szCs w:val="24"/>
        </w:rPr>
        <w:t>В январе-июне текущего года на фоне умеренной динамики цен и потребительского спроса со стороны населения совокупный объем продаж товаров и услуг составил 4 675,4 млн. руб., превысив показатель первого полугодия 2013 года в текущих ценах на 1,0%. В сопоставимой оценке его объем сложился практически на уровне базового показателя минувшего года, увеличившись на 0,1%.</w:t>
      </w:r>
    </w:p>
    <w:p w:rsidR="00DA2344" w:rsidRPr="005423DE" w:rsidRDefault="00DA2344" w:rsidP="00DA2344">
      <w:pPr>
        <w:pStyle w:val="20"/>
        <w:spacing w:after="0" w:line="240" w:lineRule="auto"/>
        <w:ind w:left="0" w:firstLine="709"/>
        <w:jc w:val="both"/>
        <w:rPr>
          <w:rFonts w:ascii="Times New Roman" w:hAnsi="Times New Roman"/>
          <w:sz w:val="24"/>
          <w:szCs w:val="24"/>
        </w:rPr>
      </w:pPr>
      <w:r w:rsidRPr="005423DE">
        <w:rPr>
          <w:rFonts w:ascii="Times New Roman" w:hAnsi="Times New Roman"/>
          <w:sz w:val="24"/>
          <w:szCs w:val="24"/>
        </w:rPr>
        <w:t xml:space="preserve">При этом товарный рынок в первом полугодии текущего года демонстрировал </w:t>
      </w:r>
      <w:r w:rsidRPr="005423DE">
        <w:rPr>
          <w:rFonts w:ascii="Times New Roman" w:eastAsia="TimesNewRoman" w:hAnsi="Times New Roman"/>
          <w:sz w:val="24"/>
          <w:szCs w:val="24"/>
        </w:rPr>
        <w:t>понижательную динамику, сократив объемы розничных продаж</w:t>
      </w:r>
      <w:r w:rsidRPr="005423DE">
        <w:rPr>
          <w:rFonts w:ascii="Times New Roman" w:hAnsi="Times New Roman"/>
          <w:sz w:val="24"/>
          <w:szCs w:val="24"/>
        </w:rPr>
        <w:t xml:space="preserve"> на 1,2% (в сопоставимых </w:t>
      </w:r>
      <w:r w:rsidRPr="005423DE">
        <w:rPr>
          <w:rFonts w:ascii="Times New Roman" w:hAnsi="Times New Roman"/>
          <w:sz w:val="24"/>
          <w:szCs w:val="24"/>
        </w:rPr>
        <w:lastRenderedPageBreak/>
        <w:t xml:space="preserve">ценах), тогда как потребление услуг населением, напротив, расширилось по отношению к аналогичному периоду 2013 года на 4,5% (в сопоставимых ценах). </w:t>
      </w:r>
    </w:p>
    <w:p w:rsidR="00DA2344" w:rsidRDefault="00DA2344" w:rsidP="00DA2344">
      <w:pPr>
        <w:pStyle w:val="20"/>
        <w:spacing w:after="0" w:line="240" w:lineRule="auto"/>
        <w:ind w:left="0" w:hanging="567"/>
        <w:jc w:val="both"/>
      </w:pPr>
      <w:r w:rsidRPr="008B1B0A">
        <w:rPr>
          <w:noProof/>
        </w:rPr>
        <w:drawing>
          <wp:inline distT="0" distB="0" distL="0" distR="0">
            <wp:extent cx="6296025" cy="2476500"/>
            <wp:effectExtent l="0" t="0" r="0" b="0"/>
            <wp:docPr id="16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A2344" w:rsidRDefault="00DA2344" w:rsidP="00DA2344">
      <w:pPr>
        <w:pStyle w:val="20"/>
        <w:spacing w:after="0" w:line="240" w:lineRule="auto"/>
        <w:ind w:left="0" w:firstLine="709"/>
        <w:jc w:val="both"/>
      </w:pPr>
    </w:p>
    <w:p w:rsidR="00DA2344" w:rsidRPr="005423DE" w:rsidRDefault="00DA2344" w:rsidP="005423DE">
      <w:pPr>
        <w:pStyle w:val="ae"/>
        <w:tabs>
          <w:tab w:val="left" w:pos="709"/>
        </w:tabs>
        <w:ind w:firstLine="709"/>
        <w:rPr>
          <w:b/>
          <w:sz w:val="24"/>
          <w:szCs w:val="24"/>
        </w:rPr>
      </w:pPr>
      <w:r w:rsidRPr="005423DE">
        <w:rPr>
          <w:b/>
          <w:sz w:val="24"/>
          <w:szCs w:val="24"/>
        </w:rPr>
        <w:t>Розничная торговля</w:t>
      </w:r>
    </w:p>
    <w:p w:rsidR="00DA2344" w:rsidRPr="005423DE" w:rsidRDefault="00DA2344" w:rsidP="005423DE">
      <w:pPr>
        <w:tabs>
          <w:tab w:val="left" w:pos="709"/>
        </w:tabs>
        <w:spacing w:after="0" w:line="240" w:lineRule="auto"/>
        <w:ind w:firstLine="709"/>
        <w:jc w:val="both"/>
        <w:rPr>
          <w:rFonts w:ascii="Times New Roman" w:hAnsi="Times New Roman"/>
          <w:sz w:val="24"/>
          <w:szCs w:val="24"/>
        </w:rPr>
      </w:pPr>
      <w:r w:rsidRPr="005423DE">
        <w:rPr>
          <w:rFonts w:ascii="Times New Roman" w:hAnsi="Times New Roman"/>
          <w:sz w:val="24"/>
          <w:szCs w:val="24"/>
        </w:rPr>
        <w:t xml:space="preserve">В январе-июне 2014 года впервые за много лет сфера розничной торговли характеризовалась сжатием показателей. Так, суммарная стоимость приобретённых населением товаров в первом полугодии текущего года уступила базовому показателю минувшего года 0,3%, а с учетом уравновешивания динамики доходов населения и роста цен (в сопоставимых ценах) - 1,2%, составила 3 576,0 млн. руб. </w:t>
      </w:r>
    </w:p>
    <w:p w:rsidR="00776745" w:rsidRDefault="00776745" w:rsidP="00DA2344">
      <w:pPr>
        <w:jc w:val="center"/>
        <w:rPr>
          <w:rFonts w:ascii="Times New Roman" w:hAnsi="Times New Roman"/>
          <w:b/>
          <w:sz w:val="24"/>
          <w:szCs w:val="24"/>
        </w:rPr>
      </w:pPr>
    </w:p>
    <w:p w:rsidR="00DA2344" w:rsidRPr="005423DE" w:rsidRDefault="00DA2344" w:rsidP="00DA2344">
      <w:pPr>
        <w:jc w:val="center"/>
        <w:rPr>
          <w:rFonts w:ascii="Times New Roman" w:hAnsi="Times New Roman"/>
          <w:b/>
          <w:sz w:val="24"/>
          <w:szCs w:val="24"/>
        </w:rPr>
      </w:pPr>
      <w:r w:rsidRPr="005423DE">
        <w:rPr>
          <w:rFonts w:ascii="Times New Roman" w:hAnsi="Times New Roman"/>
          <w:b/>
          <w:sz w:val="24"/>
          <w:szCs w:val="24"/>
        </w:rPr>
        <w:t>Динамика розничного товарооборота,%</w:t>
      </w:r>
    </w:p>
    <w:p w:rsidR="00DA2344" w:rsidRDefault="00DA2344" w:rsidP="00DA2344">
      <w:r w:rsidRPr="002B6E02">
        <w:rPr>
          <w:noProof/>
        </w:rPr>
        <w:drawing>
          <wp:inline distT="0" distB="0" distL="0" distR="0">
            <wp:extent cx="5486400" cy="2295525"/>
            <wp:effectExtent l="19050" t="0" r="0" b="0"/>
            <wp:docPr id="16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A2344" w:rsidRPr="005423DE" w:rsidRDefault="00DA2344" w:rsidP="005423DE">
      <w:pPr>
        <w:spacing w:after="0" w:line="240" w:lineRule="auto"/>
        <w:ind w:firstLine="720"/>
        <w:jc w:val="both"/>
        <w:rPr>
          <w:rFonts w:ascii="Times New Roman" w:hAnsi="Times New Roman"/>
          <w:sz w:val="24"/>
          <w:szCs w:val="24"/>
        </w:rPr>
      </w:pPr>
      <w:r w:rsidRPr="005423DE">
        <w:rPr>
          <w:rFonts w:ascii="Times New Roman" w:hAnsi="Times New Roman"/>
          <w:noProof/>
          <w:sz w:val="24"/>
          <w:szCs w:val="24"/>
        </w:rPr>
        <w:t>На</w:t>
      </w:r>
      <w:r w:rsidRPr="005423DE">
        <w:rPr>
          <w:rFonts w:ascii="Times New Roman" w:hAnsi="Times New Roman"/>
          <w:sz w:val="24"/>
          <w:szCs w:val="24"/>
        </w:rPr>
        <w:t xml:space="preserve"> фоне ценовой дефляции в сегменте непродовольственных товаров </w:t>
      </w:r>
      <w:r w:rsidRPr="005423DE">
        <w:rPr>
          <w:rFonts w:ascii="Times New Roman" w:hAnsi="Times New Roman"/>
          <w:sz w:val="24"/>
          <w:szCs w:val="24"/>
        </w:rPr>
        <w:br/>
        <w:t xml:space="preserve">(«-»2,1%) объем приобретения их населением в сопоставимой оценке вырос на 1,8%, сформировав в товарной структуре 56,2% (2 008,0 млн. руб.) емкости товарного рынка. Вместе с этим, относительная ценовая стабильность на рынке продуктов питания обусловила снижение реализации продовольственных товаров на 4,9% до </w:t>
      </w:r>
      <w:r w:rsidRPr="005423DE">
        <w:rPr>
          <w:rFonts w:ascii="Times New Roman" w:hAnsi="Times New Roman"/>
          <w:sz w:val="24"/>
          <w:szCs w:val="24"/>
        </w:rPr>
        <w:br/>
        <w:t>1 568,0 млн. руб. и соответственно сократила представительство в структуре розничных продаж до 43,8%.</w:t>
      </w:r>
    </w:p>
    <w:p w:rsidR="00DA2344" w:rsidRDefault="00DA2344" w:rsidP="00DA2344">
      <w:pPr>
        <w:rPr>
          <w:sz w:val="24"/>
          <w:szCs w:val="24"/>
        </w:rPr>
      </w:pPr>
      <w:r>
        <w:rPr>
          <w:noProof/>
          <w:sz w:val="24"/>
          <w:szCs w:val="24"/>
        </w:rPr>
        <w:lastRenderedPageBreak/>
        <w:drawing>
          <wp:inline distT="0" distB="0" distL="0" distR="0">
            <wp:extent cx="5876925" cy="1743075"/>
            <wp:effectExtent l="0" t="0" r="0" b="0"/>
            <wp:docPr id="16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A2344" w:rsidRPr="005423DE" w:rsidRDefault="00DA2344" w:rsidP="005423DE">
      <w:pPr>
        <w:spacing w:after="0" w:line="240" w:lineRule="auto"/>
        <w:ind w:firstLine="709"/>
        <w:jc w:val="both"/>
        <w:rPr>
          <w:rFonts w:ascii="Times New Roman" w:hAnsi="Times New Roman"/>
          <w:sz w:val="24"/>
          <w:szCs w:val="24"/>
        </w:rPr>
      </w:pPr>
      <w:r w:rsidRPr="005423DE">
        <w:rPr>
          <w:rFonts w:ascii="Times New Roman" w:hAnsi="Times New Roman"/>
          <w:sz w:val="24"/>
          <w:szCs w:val="24"/>
        </w:rPr>
        <w:t>При этом, основная часть товарооборота (98,3%) была сформирована негосударственными организациями, включая физических лиц, в том числе на субъекты предпринимательства приходилось по оценке порядка 13,5% от общего объема розничных продаж.</w:t>
      </w:r>
    </w:p>
    <w:p w:rsidR="00DA2344" w:rsidRPr="005423DE" w:rsidRDefault="00DA2344" w:rsidP="00DA2344">
      <w:pPr>
        <w:autoSpaceDE w:val="0"/>
        <w:autoSpaceDN w:val="0"/>
        <w:adjustRightInd w:val="0"/>
        <w:ind w:firstLine="708"/>
        <w:rPr>
          <w:rFonts w:ascii="Times New Roman" w:hAnsi="Times New Roman"/>
          <w:b/>
          <w:spacing w:val="4"/>
          <w:sz w:val="24"/>
          <w:szCs w:val="24"/>
        </w:rPr>
      </w:pPr>
      <w:r w:rsidRPr="005423DE">
        <w:rPr>
          <w:rFonts w:ascii="Times New Roman" w:hAnsi="Times New Roman"/>
          <w:b/>
          <w:spacing w:val="4"/>
          <w:sz w:val="24"/>
          <w:szCs w:val="24"/>
        </w:rPr>
        <w:t xml:space="preserve">Структура розничного товарооборота по формам собственности, % </w:t>
      </w:r>
    </w:p>
    <w:p w:rsidR="00DA2344" w:rsidRDefault="00DA2344" w:rsidP="00DA2344">
      <w:pPr>
        <w:rPr>
          <w:sz w:val="24"/>
          <w:szCs w:val="24"/>
        </w:rPr>
      </w:pPr>
      <w:r>
        <w:rPr>
          <w:noProof/>
          <w:sz w:val="24"/>
          <w:szCs w:val="24"/>
        </w:rPr>
        <w:drawing>
          <wp:inline distT="0" distB="0" distL="0" distR="0">
            <wp:extent cx="2705100" cy="1676400"/>
            <wp:effectExtent l="19050" t="0" r="0" b="0"/>
            <wp:docPr id="16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F6709A">
        <w:rPr>
          <w:noProof/>
          <w:sz w:val="24"/>
          <w:szCs w:val="24"/>
        </w:rPr>
        <w:drawing>
          <wp:inline distT="0" distB="0" distL="0" distR="0">
            <wp:extent cx="2867025" cy="1714500"/>
            <wp:effectExtent l="19050" t="0" r="0" b="0"/>
            <wp:docPr id="16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A2344" w:rsidRPr="00DA2344" w:rsidRDefault="00DA2344" w:rsidP="005423DE">
      <w:pPr>
        <w:widowControl w:val="0"/>
        <w:spacing w:after="0" w:line="240" w:lineRule="auto"/>
        <w:ind w:firstLine="720"/>
        <w:jc w:val="both"/>
        <w:rPr>
          <w:rFonts w:ascii="Times New Roman" w:hAnsi="Times New Roman"/>
          <w:sz w:val="24"/>
          <w:szCs w:val="24"/>
        </w:rPr>
      </w:pPr>
      <w:r w:rsidRPr="00DA2344">
        <w:rPr>
          <w:rFonts w:ascii="Times New Roman" w:hAnsi="Times New Roman"/>
          <w:sz w:val="24"/>
          <w:szCs w:val="24"/>
        </w:rPr>
        <w:t xml:space="preserve">Ситуация в сегменте общественного питания в рассматриваемом периоде характеризовалась сужением спроса на услуги организаций отрасли. В результате абсолютная величина выручки </w:t>
      </w:r>
      <w:r w:rsidRPr="00DA2344">
        <w:rPr>
          <w:rFonts w:ascii="Times New Roman" w:hAnsi="Times New Roman"/>
          <w:b/>
          <w:sz w:val="24"/>
          <w:szCs w:val="24"/>
        </w:rPr>
        <w:t>организаций общественного питания</w:t>
      </w:r>
      <w:r w:rsidRPr="00DA2344">
        <w:rPr>
          <w:rFonts w:ascii="Times New Roman" w:hAnsi="Times New Roman"/>
          <w:sz w:val="24"/>
          <w:szCs w:val="24"/>
        </w:rPr>
        <w:t xml:space="preserve"> составила           98,1 млн. руб. («-»4,4% в сопоставимых ценах), треть доходов (35,5%) было получено субъектами малого бизнеса, объем которых вырос в текущих ценах на 11,3%. </w:t>
      </w:r>
    </w:p>
    <w:p w:rsidR="00DA2344" w:rsidRPr="00DA2344" w:rsidRDefault="00DA2344" w:rsidP="005423DE">
      <w:pPr>
        <w:widowControl w:val="0"/>
        <w:spacing w:after="0" w:line="240" w:lineRule="auto"/>
        <w:ind w:firstLine="709"/>
        <w:jc w:val="both"/>
        <w:rPr>
          <w:rFonts w:ascii="Times New Roman" w:hAnsi="Times New Roman"/>
          <w:sz w:val="24"/>
          <w:szCs w:val="24"/>
        </w:rPr>
      </w:pPr>
      <w:r w:rsidRPr="00DA2344">
        <w:rPr>
          <w:rFonts w:ascii="Times New Roman" w:hAnsi="Times New Roman"/>
          <w:sz w:val="24"/>
          <w:szCs w:val="24"/>
        </w:rPr>
        <w:t>Доминирующая доля емкости оборота организаций общественного питания (77,7%) в январе-июне 2014 года сформирована в организациях негосударственной формы собственности, объем реализации которой расширился на 2,4%. На долю государственных и муниципальных организаций в обозначенном периоде приходилось 22,3% товарооборота общественного питания, при этом его объем сократился на 8,3%.</w:t>
      </w:r>
    </w:p>
    <w:p w:rsidR="00DA2344" w:rsidRPr="00DA2344" w:rsidRDefault="00DA2344" w:rsidP="005423DE">
      <w:pPr>
        <w:pStyle w:val="20"/>
        <w:spacing w:after="0" w:line="240" w:lineRule="auto"/>
        <w:ind w:left="0" w:firstLine="709"/>
        <w:jc w:val="both"/>
        <w:rPr>
          <w:rFonts w:ascii="Times New Roman" w:hAnsi="Times New Roman"/>
          <w:sz w:val="24"/>
          <w:szCs w:val="24"/>
        </w:rPr>
      </w:pPr>
    </w:p>
    <w:p w:rsidR="00DA2344" w:rsidRPr="00DA2344" w:rsidRDefault="00DA2344" w:rsidP="005423DE">
      <w:pPr>
        <w:pStyle w:val="31"/>
        <w:spacing w:after="0" w:line="240" w:lineRule="auto"/>
        <w:ind w:left="0" w:firstLine="708"/>
        <w:rPr>
          <w:rFonts w:ascii="Times New Roman" w:hAnsi="Times New Roman"/>
          <w:b/>
          <w:sz w:val="24"/>
          <w:szCs w:val="24"/>
        </w:rPr>
      </w:pPr>
      <w:r w:rsidRPr="00DA2344">
        <w:rPr>
          <w:rFonts w:ascii="Times New Roman" w:hAnsi="Times New Roman"/>
          <w:b/>
          <w:sz w:val="24"/>
          <w:szCs w:val="24"/>
        </w:rPr>
        <w:t>Рынок платных услуг населению</w:t>
      </w:r>
    </w:p>
    <w:p w:rsidR="00DA2344" w:rsidRPr="00DA2344" w:rsidRDefault="00DA2344" w:rsidP="005423DE">
      <w:pPr>
        <w:pStyle w:val="20"/>
        <w:spacing w:after="0" w:line="240" w:lineRule="auto"/>
        <w:ind w:left="0" w:firstLine="709"/>
        <w:jc w:val="both"/>
        <w:rPr>
          <w:rFonts w:ascii="Times New Roman" w:hAnsi="Times New Roman"/>
          <w:sz w:val="24"/>
          <w:szCs w:val="24"/>
        </w:rPr>
      </w:pPr>
      <w:r w:rsidRPr="00DA2344">
        <w:rPr>
          <w:rFonts w:ascii="Times New Roman" w:hAnsi="Times New Roman"/>
          <w:sz w:val="24"/>
          <w:szCs w:val="24"/>
        </w:rPr>
        <w:t xml:space="preserve">Спрос населения на платные услуги, стимулируемый как изменениями в поведении населения в использовании денежных доходов, так и необходимостью потребления тех услуг, которые на бесплатной основе не оказываются (бытовые услуги, жилищные, коммунальные, услуги связи, культуры и т.д.) расширился в январе-июне текущего года по отношению к сопоставимому показателю минувшего года на 4,5%, при этом абсолютная стоимость услуг, оказанных населению через все каналы реализации составила 1 099,5 млн. руб. </w:t>
      </w:r>
    </w:p>
    <w:p w:rsidR="00CD535E" w:rsidRDefault="00CD535E" w:rsidP="00DA2344">
      <w:pPr>
        <w:jc w:val="center"/>
        <w:rPr>
          <w:rFonts w:ascii="Times New Roman" w:hAnsi="Times New Roman"/>
          <w:b/>
          <w:sz w:val="24"/>
          <w:szCs w:val="24"/>
        </w:rPr>
      </w:pPr>
    </w:p>
    <w:p w:rsidR="00CD535E" w:rsidRDefault="00CD535E" w:rsidP="00DA2344">
      <w:pPr>
        <w:jc w:val="center"/>
        <w:rPr>
          <w:rFonts w:ascii="Times New Roman" w:hAnsi="Times New Roman"/>
          <w:b/>
          <w:sz w:val="24"/>
          <w:szCs w:val="24"/>
        </w:rPr>
      </w:pPr>
    </w:p>
    <w:p w:rsidR="00CD535E" w:rsidRDefault="00CD535E" w:rsidP="00DA2344">
      <w:pPr>
        <w:jc w:val="center"/>
        <w:rPr>
          <w:rFonts w:ascii="Times New Roman" w:hAnsi="Times New Roman"/>
          <w:b/>
          <w:sz w:val="24"/>
          <w:szCs w:val="24"/>
        </w:rPr>
      </w:pPr>
    </w:p>
    <w:p w:rsidR="00DA2344" w:rsidRPr="00DA2344" w:rsidRDefault="00DA2344" w:rsidP="00DA2344">
      <w:pPr>
        <w:jc w:val="center"/>
        <w:rPr>
          <w:rFonts w:ascii="Times New Roman" w:hAnsi="Times New Roman"/>
          <w:b/>
          <w:sz w:val="24"/>
          <w:szCs w:val="24"/>
        </w:rPr>
      </w:pPr>
      <w:r w:rsidRPr="00DA2344">
        <w:rPr>
          <w:rFonts w:ascii="Times New Roman" w:hAnsi="Times New Roman"/>
          <w:b/>
          <w:sz w:val="24"/>
          <w:szCs w:val="24"/>
        </w:rPr>
        <w:lastRenderedPageBreak/>
        <w:t>Динамика платных услуг населению ( в процентах к предыдущему году)</w:t>
      </w:r>
    </w:p>
    <w:p w:rsidR="00DA2344" w:rsidRDefault="00DA2344" w:rsidP="00DA2344">
      <w:pPr>
        <w:jc w:val="center"/>
        <w:rPr>
          <w:b/>
          <w:sz w:val="24"/>
          <w:szCs w:val="24"/>
        </w:rPr>
      </w:pPr>
      <w:r w:rsidRPr="0019078B">
        <w:rPr>
          <w:b/>
          <w:noProof/>
          <w:sz w:val="24"/>
          <w:szCs w:val="24"/>
        </w:rPr>
        <w:drawing>
          <wp:inline distT="0" distB="0" distL="0" distR="0">
            <wp:extent cx="5295900" cy="1733550"/>
            <wp:effectExtent l="19050" t="0" r="0" b="0"/>
            <wp:docPr id="16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A2344" w:rsidRPr="00DA2344" w:rsidRDefault="00DA2344" w:rsidP="005423DE">
      <w:pPr>
        <w:spacing w:after="0" w:line="240" w:lineRule="auto"/>
        <w:ind w:firstLine="709"/>
        <w:rPr>
          <w:rFonts w:ascii="Times New Roman" w:hAnsi="Times New Roman"/>
          <w:sz w:val="24"/>
          <w:szCs w:val="24"/>
        </w:rPr>
      </w:pPr>
      <w:r w:rsidRPr="00DA2344">
        <w:rPr>
          <w:rFonts w:ascii="Times New Roman" w:hAnsi="Times New Roman"/>
          <w:sz w:val="24"/>
          <w:szCs w:val="24"/>
        </w:rPr>
        <w:t>Присутствие частных и государственных, муниципальных организаций в данном сегменте потребительского рынка в январе-июне текущего года оценивается практически равным соответственно 52,5% и 47,5%.</w:t>
      </w:r>
    </w:p>
    <w:p w:rsidR="00DA2344" w:rsidRPr="00DA2344" w:rsidRDefault="00DA2344" w:rsidP="00DA2344">
      <w:pPr>
        <w:widowControl w:val="0"/>
        <w:ind w:firstLine="720"/>
        <w:jc w:val="center"/>
        <w:rPr>
          <w:rFonts w:ascii="Times New Roman" w:hAnsi="Times New Roman"/>
          <w:b/>
          <w:sz w:val="24"/>
          <w:szCs w:val="24"/>
        </w:rPr>
      </w:pPr>
      <w:r w:rsidRPr="00DA2344">
        <w:rPr>
          <w:rFonts w:ascii="Times New Roman" w:hAnsi="Times New Roman"/>
          <w:b/>
          <w:sz w:val="24"/>
          <w:szCs w:val="24"/>
        </w:rPr>
        <w:t>Структура потребительских услуг по формам собственности</w:t>
      </w:r>
    </w:p>
    <w:p w:rsidR="00DA2344" w:rsidRDefault="00DA2344" w:rsidP="00DA2344">
      <w:pPr>
        <w:rPr>
          <w:b/>
          <w:sz w:val="24"/>
          <w:szCs w:val="24"/>
        </w:rPr>
      </w:pPr>
      <w:r w:rsidRPr="0019078B">
        <w:rPr>
          <w:b/>
          <w:noProof/>
          <w:sz w:val="24"/>
          <w:szCs w:val="24"/>
        </w:rPr>
        <w:drawing>
          <wp:inline distT="0" distB="0" distL="0" distR="0">
            <wp:extent cx="2743200" cy="1533525"/>
            <wp:effectExtent l="19050" t="0" r="0" b="0"/>
            <wp:docPr id="16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b/>
          <w:sz w:val="24"/>
          <w:szCs w:val="24"/>
        </w:rPr>
        <w:t xml:space="preserve"> </w:t>
      </w:r>
      <w:r w:rsidRPr="003B489C">
        <w:rPr>
          <w:b/>
          <w:noProof/>
          <w:sz w:val="24"/>
          <w:szCs w:val="24"/>
        </w:rPr>
        <w:drawing>
          <wp:inline distT="0" distB="0" distL="0" distR="0">
            <wp:extent cx="3009900" cy="1533525"/>
            <wp:effectExtent l="19050" t="0" r="0" b="0"/>
            <wp:docPr id="17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A2344" w:rsidRPr="00DA2344" w:rsidRDefault="00DA2344" w:rsidP="00DA2344">
      <w:pPr>
        <w:pStyle w:val="20"/>
        <w:widowControl w:val="0"/>
        <w:tabs>
          <w:tab w:val="left" w:pos="7088"/>
        </w:tabs>
        <w:spacing w:after="0" w:line="240" w:lineRule="auto"/>
        <w:ind w:left="0" w:firstLine="720"/>
        <w:jc w:val="both"/>
        <w:rPr>
          <w:rFonts w:ascii="Times New Roman" w:hAnsi="Times New Roman"/>
          <w:sz w:val="24"/>
          <w:szCs w:val="24"/>
        </w:rPr>
      </w:pPr>
      <w:r w:rsidRPr="00DA2344">
        <w:rPr>
          <w:rFonts w:ascii="Times New Roman" w:hAnsi="Times New Roman"/>
          <w:sz w:val="24"/>
          <w:szCs w:val="24"/>
        </w:rPr>
        <w:t>При этом доля реализации различных услуг субъектами малого бизнеса сузилась на  0,6 процентных пункта и оценивается на уровне 7,4% от общего объема оказанных услуг населению (80,9 млн. руб.).</w:t>
      </w:r>
    </w:p>
    <w:p w:rsidR="00DA2344" w:rsidRPr="00DA2344" w:rsidRDefault="00DA2344" w:rsidP="00DA2344">
      <w:pPr>
        <w:pStyle w:val="20"/>
        <w:widowControl w:val="0"/>
        <w:tabs>
          <w:tab w:val="left" w:pos="7088"/>
        </w:tabs>
        <w:spacing w:after="0" w:line="240" w:lineRule="auto"/>
        <w:ind w:left="0" w:firstLine="720"/>
        <w:jc w:val="both"/>
        <w:rPr>
          <w:rFonts w:ascii="Times New Roman" w:hAnsi="Times New Roman"/>
          <w:sz w:val="24"/>
          <w:szCs w:val="24"/>
        </w:rPr>
      </w:pPr>
      <w:r w:rsidRPr="00DA2344">
        <w:rPr>
          <w:rFonts w:ascii="Times New Roman" w:hAnsi="Times New Roman"/>
          <w:sz w:val="24"/>
          <w:szCs w:val="24"/>
        </w:rPr>
        <w:t xml:space="preserve">В январе-июне текущего года спрос населения к потреблению отдельных видов бытовых услуг сузился, что предопределило сокращение их объема на 2,2% и долевого участия в структуре потребительского рынка на 0,3 процентных пункта до 3,6%. </w:t>
      </w:r>
    </w:p>
    <w:p w:rsidR="00DA2344" w:rsidRPr="00DA2344" w:rsidRDefault="00DA2344" w:rsidP="00DA2344">
      <w:pPr>
        <w:widowControl w:val="0"/>
        <w:spacing w:after="0" w:line="240" w:lineRule="auto"/>
        <w:ind w:firstLine="720"/>
        <w:rPr>
          <w:rFonts w:ascii="Times New Roman" w:hAnsi="Times New Roman"/>
          <w:sz w:val="24"/>
          <w:szCs w:val="24"/>
        </w:rPr>
      </w:pPr>
      <w:r w:rsidRPr="00DA2344">
        <w:rPr>
          <w:rFonts w:ascii="Times New Roman" w:hAnsi="Times New Roman"/>
          <w:sz w:val="24"/>
          <w:szCs w:val="24"/>
        </w:rPr>
        <w:t>Таким образом, потребительский рынок, совершенствуя формы торговли и обслуживания населения, повышая уровень конкурентоспособности сегментов рынка, расширяя виды услуг, продолжает оказывать влияние на поддержание общеэкономической динамики в экономике республики.</w:t>
      </w:r>
    </w:p>
    <w:p w:rsidR="00DA2344" w:rsidRPr="00DA2344" w:rsidRDefault="00DA2344" w:rsidP="00DA2344">
      <w:pPr>
        <w:pStyle w:val="20"/>
        <w:widowControl w:val="0"/>
        <w:tabs>
          <w:tab w:val="left" w:pos="7088"/>
        </w:tabs>
        <w:spacing w:after="0" w:line="240" w:lineRule="auto"/>
        <w:ind w:left="0" w:firstLine="720"/>
        <w:jc w:val="both"/>
        <w:rPr>
          <w:rFonts w:ascii="Times New Roman" w:hAnsi="Times New Roman"/>
          <w:sz w:val="24"/>
          <w:szCs w:val="24"/>
        </w:rPr>
      </w:pPr>
      <w:r w:rsidRPr="00DA2344">
        <w:rPr>
          <w:rFonts w:ascii="Times New Roman" w:hAnsi="Times New Roman"/>
          <w:sz w:val="24"/>
          <w:szCs w:val="24"/>
        </w:rPr>
        <w:t xml:space="preserve">Вместе с этим, нестабильная внешнеполитическая и экономическая конъюнктура и возможные геополитические риски отражаются на потребительском поведении населения и сказываются на динамике развития потребительского рынка в целом. </w:t>
      </w:r>
    </w:p>
    <w:p w:rsidR="00DE2491" w:rsidRDefault="00DE2491" w:rsidP="00332793">
      <w:pPr>
        <w:shd w:val="clear" w:color="auto" w:fill="FFFFFF"/>
        <w:spacing w:after="0" w:line="240" w:lineRule="auto"/>
        <w:ind w:firstLine="709"/>
        <w:jc w:val="both"/>
        <w:rPr>
          <w:rFonts w:ascii="Times New Roman" w:hAnsi="Times New Roman"/>
          <w:sz w:val="24"/>
          <w:szCs w:val="24"/>
        </w:rPr>
      </w:pPr>
    </w:p>
    <w:p w:rsidR="005423DE" w:rsidRDefault="005423DE" w:rsidP="005423DE">
      <w:pPr>
        <w:spacing w:after="0" w:line="240" w:lineRule="auto"/>
        <w:ind w:firstLine="708"/>
        <w:contextualSpacing/>
        <w:rPr>
          <w:rFonts w:ascii="Times New Roman" w:hAnsi="Times New Roman"/>
          <w:b/>
          <w:sz w:val="24"/>
          <w:szCs w:val="24"/>
        </w:rPr>
      </w:pPr>
      <w:r w:rsidRPr="0013256B">
        <w:rPr>
          <w:rFonts w:ascii="Times New Roman" w:hAnsi="Times New Roman"/>
          <w:b/>
          <w:sz w:val="24"/>
          <w:szCs w:val="24"/>
        </w:rPr>
        <w:t>Ценовая и тарифная политика</w:t>
      </w:r>
    </w:p>
    <w:p w:rsidR="005423DE" w:rsidRDefault="005423DE" w:rsidP="005423DE">
      <w:pPr>
        <w:spacing w:after="0" w:line="240" w:lineRule="auto"/>
        <w:ind w:firstLine="708"/>
        <w:jc w:val="both"/>
        <w:rPr>
          <w:rFonts w:ascii="Times New Roman" w:hAnsi="Times New Roman"/>
          <w:sz w:val="24"/>
          <w:szCs w:val="24"/>
        </w:rPr>
      </w:pPr>
    </w:p>
    <w:p w:rsidR="005423DE" w:rsidRDefault="005423DE" w:rsidP="005423DE">
      <w:pPr>
        <w:spacing w:after="0" w:line="240" w:lineRule="auto"/>
        <w:ind w:firstLine="709"/>
        <w:jc w:val="both"/>
        <w:rPr>
          <w:rFonts w:ascii="Times New Roman" w:eastAsia="MS Mincho" w:hAnsi="Times New Roman"/>
          <w:sz w:val="24"/>
          <w:szCs w:val="24"/>
        </w:rPr>
      </w:pPr>
      <w:r>
        <w:rPr>
          <w:rFonts w:ascii="Times New Roman" w:eastAsia="MS Mincho" w:hAnsi="Times New Roman"/>
          <w:sz w:val="24"/>
          <w:szCs w:val="24"/>
        </w:rPr>
        <w:t>Государственная политика в области цен (тарифов) и ценообразования направлена на обеспечение устойчивого развития экономики Приднестровской Молдавской Республики и удовлетворение потребностей населения.</w:t>
      </w:r>
    </w:p>
    <w:p w:rsidR="005423DE" w:rsidRPr="00370D8B" w:rsidRDefault="005423DE" w:rsidP="005423DE">
      <w:pPr>
        <w:spacing w:after="0" w:line="240" w:lineRule="auto"/>
        <w:ind w:firstLine="708"/>
        <w:jc w:val="both"/>
        <w:rPr>
          <w:rFonts w:ascii="Times New Roman" w:hAnsi="Times New Roman"/>
          <w:b/>
          <w:sz w:val="24"/>
          <w:szCs w:val="24"/>
        </w:rPr>
      </w:pPr>
      <w:r w:rsidRPr="00370D8B">
        <w:rPr>
          <w:rFonts w:ascii="Times New Roman" w:hAnsi="Times New Roman"/>
          <w:b/>
          <w:sz w:val="24"/>
          <w:szCs w:val="24"/>
        </w:rPr>
        <w:t>Тарифная политика в сфере естественных монополий</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 xml:space="preserve">В 2014 году предельные уровни тарифов на услуги, оказываемые в сфере естественных монополий, установлены с учетом норм действующего законодательства в области ценообразования, а также следующих факторов: </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а) изменения цен на сырье и материалы, тарифов на энергоносители;</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б) влияния прогнозируемой инфляции;</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lastRenderedPageBreak/>
        <w:t>в) фактических результатов деятельности субъектов естественных монополий по итогам работы за прошедший расчетный период регулирования;</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г) сокращения разницы между контрактной ценой приобретения природного газа и ценой природного газа, учитываемой для внутреннего рынка Приднестровской Молдавской Республики.</w:t>
      </w:r>
    </w:p>
    <w:p w:rsidR="005423DE" w:rsidRPr="0000667E" w:rsidRDefault="005423DE" w:rsidP="005423DE">
      <w:pPr>
        <w:spacing w:after="0" w:line="240" w:lineRule="auto"/>
        <w:ind w:firstLine="708"/>
        <w:jc w:val="both"/>
        <w:rPr>
          <w:rFonts w:ascii="Times New Roman" w:hAnsi="Times New Roman"/>
          <w:bCs/>
          <w:sz w:val="24"/>
          <w:szCs w:val="24"/>
        </w:rPr>
      </w:pPr>
      <w:r>
        <w:rPr>
          <w:rFonts w:ascii="Times New Roman" w:hAnsi="Times New Roman"/>
          <w:sz w:val="24"/>
          <w:szCs w:val="24"/>
        </w:rPr>
        <w:t xml:space="preserve">В </w:t>
      </w:r>
      <w:r w:rsidRPr="0000667E">
        <w:rPr>
          <w:rFonts w:ascii="Times New Roman" w:hAnsi="Times New Roman"/>
          <w:bCs/>
          <w:sz w:val="24"/>
          <w:szCs w:val="24"/>
        </w:rPr>
        <w:t xml:space="preserve">целях поддержания уровня платежеспособности населения республики на </w:t>
      </w:r>
      <w:r>
        <w:rPr>
          <w:bCs/>
          <w:sz w:val="24"/>
          <w:szCs w:val="24"/>
        </w:rPr>
        <w:br/>
      </w:r>
      <w:r w:rsidRPr="0000667E">
        <w:rPr>
          <w:rFonts w:ascii="Times New Roman" w:hAnsi="Times New Roman"/>
          <w:bCs/>
          <w:sz w:val="24"/>
          <w:szCs w:val="24"/>
        </w:rPr>
        <w:t xml:space="preserve">I </w:t>
      </w:r>
      <w:r>
        <w:rPr>
          <w:rFonts w:ascii="Times New Roman" w:hAnsi="Times New Roman"/>
          <w:bCs/>
          <w:sz w:val="24"/>
          <w:szCs w:val="24"/>
        </w:rPr>
        <w:t xml:space="preserve">квартал </w:t>
      </w:r>
      <w:r w:rsidRPr="0000667E">
        <w:rPr>
          <w:rFonts w:ascii="Times New Roman" w:hAnsi="Times New Roman"/>
          <w:bCs/>
          <w:sz w:val="24"/>
          <w:szCs w:val="24"/>
        </w:rPr>
        <w:t>2014 года предельные уровни тарифов на услуги газоснабжения, электроснабжения и теплоснабжения установлены на уровне тарифов, действовавших в 2013 году.</w:t>
      </w:r>
    </w:p>
    <w:p w:rsidR="005423DE" w:rsidRPr="0000667E" w:rsidRDefault="005423DE" w:rsidP="005423DE">
      <w:pPr>
        <w:spacing w:after="0" w:line="240" w:lineRule="auto"/>
        <w:ind w:firstLine="708"/>
        <w:rPr>
          <w:rFonts w:ascii="Times New Roman" w:hAnsi="Times New Roman"/>
          <w:b/>
          <w:sz w:val="24"/>
          <w:szCs w:val="24"/>
        </w:rPr>
      </w:pPr>
      <w:r w:rsidRPr="0000667E">
        <w:rPr>
          <w:rFonts w:ascii="Times New Roman" w:hAnsi="Times New Roman"/>
          <w:b/>
          <w:sz w:val="24"/>
          <w:szCs w:val="24"/>
        </w:rPr>
        <w:t>Услуги газоснабжения</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С 1 января 2014 года предельные уровни тарифов на природный газ, транспортируемый по магистральным трубопроводам, распределительным сетям и отпускаемый различным категориям потребителей, увеличены:</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а) для промышленных и прочих потребителей, за исключением государственных коммерческих организаций и муниципальных унитарных предприятий – с 3 161,46 руб. за тыс. куб.м до 3 413,34 руб. за тыс. куб.м или на 8,0</w:t>
      </w:r>
      <w:r>
        <w:rPr>
          <w:rFonts w:ascii="Times New Roman" w:hAnsi="Times New Roman"/>
          <w:sz w:val="24"/>
          <w:szCs w:val="24"/>
        </w:rPr>
        <w:t>%</w:t>
      </w:r>
      <w:r w:rsidRPr="0000667E">
        <w:rPr>
          <w:rFonts w:ascii="Times New Roman" w:hAnsi="Times New Roman"/>
          <w:sz w:val="24"/>
          <w:szCs w:val="24"/>
        </w:rPr>
        <w:t xml:space="preserve"> в сравнении с предельным уровнем тарифа, установленным в 2013 году;</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б) для государственных коммерческих организаций – с 1 902,37 руб. за тыс. куб.м до 2 057,34 руб. за тыс. куб.м или на 8,2</w:t>
      </w:r>
      <w:r>
        <w:rPr>
          <w:rFonts w:ascii="Times New Roman" w:hAnsi="Times New Roman"/>
          <w:sz w:val="24"/>
          <w:szCs w:val="24"/>
        </w:rPr>
        <w:t>%</w:t>
      </w:r>
      <w:r w:rsidRPr="0000667E">
        <w:rPr>
          <w:rFonts w:ascii="Times New Roman" w:hAnsi="Times New Roman"/>
          <w:sz w:val="24"/>
          <w:szCs w:val="24"/>
        </w:rPr>
        <w:t xml:space="preserve"> в сравнении с предельным уровнем тарифа, установленным в 2013 году;</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в) для муниципальных коммерческих организаций – с 2 208,12 руб. за тыс. куб.м. до 2 490,12 руб. за тыс. куб.м. или на 12,8 процентов в сравнении с предельным уровнем тарифа, установленным в 2013 году;</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 xml:space="preserve">г) для организаций и учреждений, финансируемых из бюджетов всех уровней – с </w:t>
      </w:r>
      <w:r>
        <w:rPr>
          <w:rFonts w:ascii="Times New Roman" w:hAnsi="Times New Roman"/>
          <w:sz w:val="24"/>
          <w:szCs w:val="24"/>
        </w:rPr>
        <w:br/>
      </w:r>
      <w:r w:rsidRPr="0000667E">
        <w:rPr>
          <w:rFonts w:ascii="Times New Roman" w:hAnsi="Times New Roman"/>
          <w:sz w:val="24"/>
          <w:szCs w:val="24"/>
        </w:rPr>
        <w:t>1 787,33 руб. за тыс. куб.м до 1 931,92 руб. за тыс. куб.м или на 8,1</w:t>
      </w:r>
      <w:r>
        <w:rPr>
          <w:rFonts w:ascii="Times New Roman" w:hAnsi="Times New Roman"/>
          <w:sz w:val="24"/>
          <w:szCs w:val="24"/>
        </w:rPr>
        <w:t>%</w:t>
      </w:r>
      <w:r w:rsidRPr="0000667E">
        <w:rPr>
          <w:rFonts w:ascii="Times New Roman" w:hAnsi="Times New Roman"/>
          <w:sz w:val="24"/>
          <w:szCs w:val="24"/>
        </w:rPr>
        <w:t xml:space="preserve"> в сравнении с предельным уровнем тарифа, установленным в 2013 году;</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д) для населения</w:t>
      </w:r>
      <w:r w:rsidRPr="0000667E">
        <w:rPr>
          <w:rFonts w:ascii="Times New Roman" w:hAnsi="Times New Roman"/>
          <w:bCs/>
          <w:sz w:val="24"/>
          <w:szCs w:val="24"/>
        </w:rPr>
        <w:t xml:space="preserve"> на цели пищеприготовления, отопления жилых помещений от индивидуальных приборов теплоснабжения и подогрева воды с </w:t>
      </w:r>
      <w:r w:rsidRPr="0000667E">
        <w:rPr>
          <w:rFonts w:ascii="Times New Roman" w:hAnsi="Times New Roman"/>
          <w:sz w:val="24"/>
          <w:szCs w:val="24"/>
        </w:rPr>
        <w:t xml:space="preserve">1 января по 31 марта </w:t>
      </w:r>
      <w:r>
        <w:rPr>
          <w:rFonts w:ascii="Times New Roman" w:hAnsi="Times New Roman"/>
          <w:sz w:val="24"/>
          <w:szCs w:val="24"/>
        </w:rPr>
        <w:br/>
      </w:r>
      <w:r w:rsidRPr="0000667E">
        <w:rPr>
          <w:rFonts w:ascii="Times New Roman" w:hAnsi="Times New Roman"/>
          <w:sz w:val="24"/>
          <w:szCs w:val="24"/>
        </w:rPr>
        <w:t>2014 года:</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 xml:space="preserve">– за объем природного газа, потребленный </w:t>
      </w:r>
      <w:r w:rsidRPr="0000667E">
        <w:rPr>
          <w:rFonts w:ascii="Times New Roman" w:hAnsi="Times New Roman"/>
          <w:bCs/>
          <w:sz w:val="24"/>
          <w:szCs w:val="24"/>
        </w:rPr>
        <w:t>в пределах установленного лимита</w:t>
      </w:r>
      <w:r w:rsidRPr="0000667E">
        <w:rPr>
          <w:rFonts w:ascii="Times New Roman" w:hAnsi="Times New Roman"/>
          <w:sz w:val="24"/>
          <w:szCs w:val="24"/>
        </w:rPr>
        <w:t xml:space="preserve"> в месяц (включительно) – на уровне тарифа, действовавшего в 2013 году;</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 </w:t>
      </w:r>
      <w:r w:rsidRPr="0000667E">
        <w:rPr>
          <w:rFonts w:ascii="Times New Roman" w:hAnsi="Times New Roman"/>
          <w:bCs/>
          <w:sz w:val="24"/>
          <w:szCs w:val="24"/>
        </w:rPr>
        <w:t xml:space="preserve">за объем природного газа, потребленный свыше установленного лимита в месяц, </w:t>
      </w:r>
      <w:r w:rsidRPr="0000667E">
        <w:rPr>
          <w:rFonts w:ascii="Times New Roman" w:hAnsi="Times New Roman"/>
          <w:sz w:val="24"/>
          <w:szCs w:val="24"/>
        </w:rPr>
        <w:t>- на уровне тарифа, действовавшего в 2013 году</w:t>
      </w:r>
      <w:r>
        <w:rPr>
          <w:rFonts w:ascii="Times New Roman" w:hAnsi="Times New Roman"/>
          <w:sz w:val="24"/>
          <w:szCs w:val="24"/>
        </w:rPr>
        <w:t>;</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ж) для населения</w:t>
      </w:r>
      <w:r w:rsidRPr="0000667E">
        <w:rPr>
          <w:rFonts w:ascii="Times New Roman" w:hAnsi="Times New Roman"/>
          <w:bCs/>
          <w:sz w:val="24"/>
          <w:szCs w:val="24"/>
        </w:rPr>
        <w:t xml:space="preserve"> на цели пищеприготовления, отопления жилых помещений от индивидуальных приборов теплоснабжения и подогрева воды с </w:t>
      </w:r>
      <w:r w:rsidRPr="0000667E">
        <w:rPr>
          <w:rFonts w:ascii="Times New Roman" w:hAnsi="Times New Roman"/>
          <w:sz w:val="24"/>
          <w:szCs w:val="24"/>
        </w:rPr>
        <w:t>1 апреля по 31 декабря 2014 года:</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 xml:space="preserve">– за объем природного газа, потребленный </w:t>
      </w:r>
      <w:r w:rsidRPr="0000667E">
        <w:rPr>
          <w:rFonts w:ascii="Times New Roman" w:hAnsi="Times New Roman"/>
          <w:bCs/>
          <w:sz w:val="24"/>
          <w:szCs w:val="24"/>
        </w:rPr>
        <w:t>в пределах установленного лимита</w:t>
      </w:r>
      <w:r w:rsidRPr="0000667E">
        <w:rPr>
          <w:rFonts w:ascii="Times New Roman" w:hAnsi="Times New Roman"/>
          <w:sz w:val="24"/>
          <w:szCs w:val="24"/>
        </w:rPr>
        <w:t xml:space="preserve"> в месяц (включительно) – 0,87 руб. за 1 куб.м, что на 6,1</w:t>
      </w:r>
      <w:r>
        <w:rPr>
          <w:rFonts w:ascii="Times New Roman" w:hAnsi="Times New Roman"/>
          <w:sz w:val="24"/>
          <w:szCs w:val="24"/>
        </w:rPr>
        <w:t>%</w:t>
      </w:r>
      <w:r w:rsidRPr="0000667E">
        <w:rPr>
          <w:rFonts w:ascii="Times New Roman" w:hAnsi="Times New Roman"/>
          <w:sz w:val="24"/>
          <w:szCs w:val="24"/>
        </w:rPr>
        <w:t xml:space="preserve"> выше предельного уровня тарифа, действовавшего в 2013 году;</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 </w:t>
      </w:r>
      <w:r w:rsidRPr="0000667E">
        <w:rPr>
          <w:rFonts w:ascii="Times New Roman" w:hAnsi="Times New Roman"/>
          <w:bCs/>
          <w:sz w:val="24"/>
          <w:szCs w:val="24"/>
        </w:rPr>
        <w:t>за объем природного газа, потребленный свыше установленного лимита в месяц –</w:t>
      </w:r>
      <w:r w:rsidRPr="0000667E">
        <w:rPr>
          <w:rFonts w:ascii="Times New Roman" w:hAnsi="Times New Roman"/>
          <w:sz w:val="24"/>
          <w:szCs w:val="24"/>
        </w:rPr>
        <w:t xml:space="preserve"> 1,12 руб. за 1 куб.м, что на 12,0</w:t>
      </w:r>
      <w:r>
        <w:rPr>
          <w:rFonts w:ascii="Times New Roman" w:hAnsi="Times New Roman"/>
          <w:sz w:val="24"/>
          <w:szCs w:val="24"/>
        </w:rPr>
        <w:t>%</w:t>
      </w:r>
      <w:r w:rsidRPr="0000667E">
        <w:rPr>
          <w:rFonts w:ascii="Times New Roman" w:hAnsi="Times New Roman"/>
          <w:sz w:val="24"/>
          <w:szCs w:val="24"/>
        </w:rPr>
        <w:t xml:space="preserve"> выше предельного уровня тарифа, действовавшего в 2013 году.</w:t>
      </w:r>
    </w:p>
    <w:p w:rsidR="005423DE" w:rsidRPr="0000667E" w:rsidRDefault="005423DE" w:rsidP="005423DE">
      <w:pPr>
        <w:spacing w:after="0" w:line="240" w:lineRule="auto"/>
        <w:ind w:firstLine="708"/>
        <w:rPr>
          <w:rFonts w:ascii="Times New Roman" w:hAnsi="Times New Roman"/>
          <w:b/>
          <w:color w:val="000000"/>
          <w:sz w:val="24"/>
          <w:szCs w:val="24"/>
        </w:rPr>
      </w:pPr>
      <w:r w:rsidRPr="0000667E">
        <w:rPr>
          <w:rFonts w:ascii="Times New Roman" w:hAnsi="Times New Roman"/>
          <w:b/>
          <w:color w:val="000000"/>
          <w:sz w:val="24"/>
          <w:szCs w:val="24"/>
        </w:rPr>
        <w:t>Услуги по снабжению электрической энергией</w:t>
      </w:r>
    </w:p>
    <w:p w:rsidR="005423DE" w:rsidRPr="0000667E" w:rsidRDefault="005423DE" w:rsidP="005423DE">
      <w:pPr>
        <w:spacing w:after="0" w:line="240" w:lineRule="auto"/>
        <w:ind w:firstLine="708"/>
        <w:jc w:val="both"/>
        <w:rPr>
          <w:rFonts w:ascii="Times New Roman" w:hAnsi="Times New Roman"/>
          <w:color w:val="000000"/>
          <w:sz w:val="24"/>
          <w:szCs w:val="24"/>
        </w:rPr>
      </w:pPr>
      <w:r w:rsidRPr="0000667E">
        <w:rPr>
          <w:rFonts w:ascii="Times New Roman" w:hAnsi="Times New Roman"/>
          <w:color w:val="000000"/>
          <w:sz w:val="24"/>
          <w:szCs w:val="24"/>
        </w:rPr>
        <w:t>С 1 января 2014 года предельные уровни тарифов на электрическую энергию по категориям потребителей установлены в следующих размерах:</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а) </w:t>
      </w:r>
      <w:r w:rsidRPr="0000667E">
        <w:rPr>
          <w:rFonts w:ascii="Times New Roman" w:hAnsi="Times New Roman"/>
          <w:color w:val="000000"/>
          <w:sz w:val="24"/>
          <w:szCs w:val="24"/>
        </w:rPr>
        <w:t xml:space="preserve">тариф на электрическую энергию, отпускаемую промышленным и прочим потребителям, </w:t>
      </w:r>
      <w:r w:rsidRPr="0000667E">
        <w:rPr>
          <w:rFonts w:ascii="Times New Roman" w:hAnsi="Times New Roman"/>
          <w:sz w:val="24"/>
          <w:szCs w:val="24"/>
        </w:rPr>
        <w:t>за исключением государственных коммерческих организаций и муниципальных унитарных предприятий:</w:t>
      </w:r>
    </w:p>
    <w:p w:rsidR="005423DE" w:rsidRPr="0000667E" w:rsidRDefault="005423DE" w:rsidP="005423DE">
      <w:pPr>
        <w:spacing w:after="0" w:line="240" w:lineRule="auto"/>
        <w:ind w:firstLine="708"/>
        <w:jc w:val="both"/>
        <w:rPr>
          <w:rFonts w:ascii="Times New Roman" w:hAnsi="Times New Roman"/>
          <w:color w:val="000000"/>
          <w:sz w:val="24"/>
          <w:szCs w:val="24"/>
        </w:rPr>
      </w:pPr>
      <w:r w:rsidRPr="0000667E">
        <w:rPr>
          <w:rFonts w:ascii="Times New Roman" w:hAnsi="Times New Roman"/>
          <w:color w:val="000000"/>
          <w:sz w:val="24"/>
          <w:szCs w:val="24"/>
        </w:rPr>
        <w:t>– присоединенным к передающим сетям - 0,95 руб. за 1 кВт.ч, что на 17,3</w:t>
      </w:r>
      <w:r>
        <w:rPr>
          <w:rFonts w:ascii="Times New Roman" w:hAnsi="Times New Roman"/>
          <w:color w:val="000000"/>
          <w:sz w:val="24"/>
          <w:szCs w:val="24"/>
        </w:rPr>
        <w:t>%</w:t>
      </w:r>
      <w:r w:rsidRPr="0000667E">
        <w:rPr>
          <w:rFonts w:ascii="Times New Roman" w:hAnsi="Times New Roman"/>
          <w:color w:val="000000"/>
          <w:sz w:val="24"/>
          <w:szCs w:val="24"/>
        </w:rPr>
        <w:t xml:space="preserve"> выше предельного уровня тарифа, действовавшего в 2013 году;</w:t>
      </w:r>
    </w:p>
    <w:p w:rsidR="005423DE" w:rsidRPr="0000667E" w:rsidRDefault="005423DE" w:rsidP="005423DE">
      <w:pPr>
        <w:spacing w:after="0" w:line="240" w:lineRule="auto"/>
        <w:ind w:firstLine="708"/>
        <w:jc w:val="both"/>
        <w:rPr>
          <w:rFonts w:ascii="Times New Roman" w:hAnsi="Times New Roman"/>
          <w:color w:val="000000"/>
          <w:sz w:val="24"/>
          <w:szCs w:val="24"/>
        </w:rPr>
      </w:pPr>
      <w:r w:rsidRPr="0000667E">
        <w:rPr>
          <w:rFonts w:ascii="Times New Roman" w:hAnsi="Times New Roman"/>
          <w:color w:val="000000"/>
          <w:sz w:val="24"/>
          <w:szCs w:val="24"/>
        </w:rPr>
        <w:t>– присоединенным к распределительным сетям - 1,19 руб. за 1 кВт.ч, что на 11,2</w:t>
      </w:r>
      <w:r>
        <w:rPr>
          <w:rFonts w:ascii="Times New Roman" w:hAnsi="Times New Roman"/>
          <w:color w:val="000000"/>
          <w:sz w:val="24"/>
          <w:szCs w:val="24"/>
        </w:rPr>
        <w:t>%</w:t>
      </w:r>
      <w:r w:rsidRPr="0000667E">
        <w:rPr>
          <w:rFonts w:ascii="Times New Roman" w:hAnsi="Times New Roman"/>
          <w:color w:val="000000"/>
          <w:sz w:val="24"/>
          <w:szCs w:val="24"/>
        </w:rPr>
        <w:t xml:space="preserve"> выше предельного уровня тарифа, действовавшего в 2013 году;</w:t>
      </w:r>
    </w:p>
    <w:p w:rsidR="005423DE" w:rsidRPr="0000667E" w:rsidRDefault="005423DE" w:rsidP="005423DE">
      <w:pPr>
        <w:spacing w:after="0" w:line="240" w:lineRule="auto"/>
        <w:ind w:firstLine="708"/>
        <w:jc w:val="both"/>
        <w:rPr>
          <w:rFonts w:ascii="Times New Roman" w:hAnsi="Times New Roman"/>
          <w:color w:val="000000"/>
          <w:sz w:val="24"/>
          <w:szCs w:val="24"/>
        </w:rPr>
      </w:pPr>
      <w:r w:rsidRPr="0000667E">
        <w:rPr>
          <w:rFonts w:ascii="Times New Roman" w:hAnsi="Times New Roman"/>
          <w:sz w:val="24"/>
          <w:szCs w:val="24"/>
        </w:rPr>
        <w:lastRenderedPageBreak/>
        <w:t>б) </w:t>
      </w:r>
      <w:r w:rsidRPr="0000667E">
        <w:rPr>
          <w:rFonts w:ascii="Times New Roman" w:hAnsi="Times New Roman"/>
          <w:color w:val="000000"/>
          <w:sz w:val="24"/>
          <w:szCs w:val="24"/>
        </w:rPr>
        <w:t>тариф на электрическую энергию, отпускаемую</w:t>
      </w:r>
      <w:r w:rsidRPr="0000667E">
        <w:rPr>
          <w:rFonts w:ascii="Times New Roman" w:hAnsi="Times New Roman"/>
          <w:sz w:val="24"/>
          <w:szCs w:val="24"/>
        </w:rPr>
        <w:t xml:space="preserve"> государственным коммерческим организациям:</w:t>
      </w:r>
    </w:p>
    <w:p w:rsidR="005423DE" w:rsidRPr="0000667E" w:rsidRDefault="005423DE" w:rsidP="005423DE">
      <w:pPr>
        <w:spacing w:after="0" w:line="240" w:lineRule="auto"/>
        <w:ind w:firstLine="708"/>
        <w:jc w:val="both"/>
        <w:rPr>
          <w:rFonts w:ascii="Times New Roman" w:hAnsi="Times New Roman"/>
          <w:color w:val="000000"/>
          <w:sz w:val="24"/>
          <w:szCs w:val="24"/>
        </w:rPr>
      </w:pPr>
      <w:r w:rsidRPr="0000667E">
        <w:rPr>
          <w:rFonts w:ascii="Times New Roman" w:hAnsi="Times New Roman"/>
          <w:color w:val="000000"/>
          <w:sz w:val="24"/>
          <w:szCs w:val="24"/>
        </w:rPr>
        <w:t>– присоединенным к передающим сетям - 0,67 руб. за 1 кВт.ч, что на 17,5</w:t>
      </w:r>
      <w:r>
        <w:rPr>
          <w:rFonts w:ascii="Times New Roman" w:hAnsi="Times New Roman"/>
          <w:color w:val="000000"/>
          <w:sz w:val="24"/>
          <w:szCs w:val="24"/>
        </w:rPr>
        <w:t>%</w:t>
      </w:r>
      <w:r w:rsidRPr="0000667E">
        <w:rPr>
          <w:rFonts w:ascii="Times New Roman" w:hAnsi="Times New Roman"/>
          <w:color w:val="000000"/>
          <w:sz w:val="24"/>
          <w:szCs w:val="24"/>
        </w:rPr>
        <w:t xml:space="preserve"> выше предельного уровня тарифа, действовавшего в 2013 году;</w:t>
      </w:r>
    </w:p>
    <w:p w:rsidR="005423DE" w:rsidRPr="0000667E" w:rsidRDefault="005423DE" w:rsidP="005423DE">
      <w:pPr>
        <w:spacing w:after="0" w:line="240" w:lineRule="auto"/>
        <w:ind w:firstLine="708"/>
        <w:jc w:val="both"/>
        <w:rPr>
          <w:rFonts w:ascii="Times New Roman" w:hAnsi="Times New Roman"/>
          <w:color w:val="000000"/>
          <w:sz w:val="24"/>
          <w:szCs w:val="24"/>
        </w:rPr>
      </w:pPr>
      <w:r w:rsidRPr="0000667E">
        <w:rPr>
          <w:rFonts w:ascii="Times New Roman" w:hAnsi="Times New Roman"/>
          <w:color w:val="000000"/>
          <w:sz w:val="24"/>
          <w:szCs w:val="24"/>
        </w:rPr>
        <w:t xml:space="preserve">– присоединенным к распределительным сетям - 0,92 руб. за 1 кВт.ч, что на 12,2 </w:t>
      </w:r>
      <w:r>
        <w:rPr>
          <w:rFonts w:ascii="Times New Roman" w:hAnsi="Times New Roman"/>
          <w:color w:val="000000"/>
          <w:sz w:val="24"/>
          <w:szCs w:val="24"/>
        </w:rPr>
        <w:t>%</w:t>
      </w:r>
      <w:r w:rsidRPr="0000667E">
        <w:rPr>
          <w:rFonts w:ascii="Times New Roman" w:hAnsi="Times New Roman"/>
          <w:color w:val="000000"/>
          <w:sz w:val="24"/>
          <w:szCs w:val="24"/>
        </w:rPr>
        <w:t xml:space="preserve"> ниже предельного уровня тарифа, действовавшего в 2013 году;</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в)</w:t>
      </w:r>
      <w:r w:rsidRPr="0000667E">
        <w:rPr>
          <w:rFonts w:ascii="Times New Roman" w:hAnsi="Times New Roman"/>
          <w:color w:val="000000"/>
          <w:sz w:val="24"/>
          <w:szCs w:val="24"/>
        </w:rPr>
        <w:t> тариф на электрическую энергию, отпускаемую</w:t>
      </w:r>
      <w:r w:rsidRPr="0000667E">
        <w:rPr>
          <w:rFonts w:ascii="Times New Roman" w:hAnsi="Times New Roman"/>
          <w:sz w:val="24"/>
          <w:szCs w:val="24"/>
        </w:rPr>
        <w:t xml:space="preserve"> муниципальным коммерческим организациям:</w:t>
      </w:r>
    </w:p>
    <w:p w:rsidR="005423DE" w:rsidRPr="0000667E" w:rsidRDefault="005423DE" w:rsidP="005423DE">
      <w:pPr>
        <w:spacing w:after="0" w:line="240" w:lineRule="auto"/>
        <w:ind w:firstLine="708"/>
        <w:jc w:val="both"/>
        <w:rPr>
          <w:rFonts w:ascii="Times New Roman" w:hAnsi="Times New Roman"/>
          <w:color w:val="000000"/>
          <w:sz w:val="24"/>
          <w:szCs w:val="24"/>
        </w:rPr>
      </w:pPr>
      <w:r w:rsidRPr="0000667E">
        <w:rPr>
          <w:rFonts w:ascii="Times New Roman" w:hAnsi="Times New Roman"/>
          <w:color w:val="000000"/>
          <w:sz w:val="24"/>
          <w:szCs w:val="24"/>
        </w:rPr>
        <w:t>– присоединенным к передающим сетям - 0,76 руб. за 1 кВт.ч, что на 20,6</w:t>
      </w:r>
      <w:r>
        <w:rPr>
          <w:rFonts w:ascii="Times New Roman" w:hAnsi="Times New Roman"/>
          <w:color w:val="000000"/>
          <w:sz w:val="24"/>
          <w:szCs w:val="24"/>
        </w:rPr>
        <w:t>%</w:t>
      </w:r>
      <w:r w:rsidRPr="0000667E">
        <w:rPr>
          <w:rFonts w:ascii="Times New Roman" w:hAnsi="Times New Roman"/>
          <w:color w:val="000000"/>
          <w:sz w:val="24"/>
          <w:szCs w:val="24"/>
        </w:rPr>
        <w:t xml:space="preserve"> выше предельного уровня тарифа, действовавшего в 2013 году;</w:t>
      </w:r>
    </w:p>
    <w:p w:rsidR="005423DE" w:rsidRPr="0000667E" w:rsidRDefault="005423DE" w:rsidP="005423DE">
      <w:pPr>
        <w:spacing w:after="0" w:line="240" w:lineRule="auto"/>
        <w:ind w:firstLine="708"/>
        <w:jc w:val="both"/>
        <w:rPr>
          <w:rFonts w:ascii="Times New Roman" w:hAnsi="Times New Roman"/>
          <w:color w:val="000000"/>
          <w:sz w:val="24"/>
          <w:szCs w:val="24"/>
        </w:rPr>
      </w:pPr>
      <w:r w:rsidRPr="0000667E">
        <w:rPr>
          <w:rFonts w:ascii="Times New Roman" w:hAnsi="Times New Roman"/>
          <w:color w:val="000000"/>
          <w:sz w:val="24"/>
          <w:szCs w:val="24"/>
        </w:rPr>
        <w:t>– присоединенным к распределительным сетям - 1,01 руб. за 1 кВт.ч, что на 14,8</w:t>
      </w:r>
      <w:r>
        <w:rPr>
          <w:rFonts w:ascii="Times New Roman" w:hAnsi="Times New Roman"/>
          <w:color w:val="000000"/>
          <w:sz w:val="24"/>
          <w:szCs w:val="24"/>
        </w:rPr>
        <w:t>%</w:t>
      </w:r>
      <w:r w:rsidRPr="0000667E">
        <w:rPr>
          <w:rFonts w:ascii="Times New Roman" w:hAnsi="Times New Roman"/>
          <w:color w:val="000000"/>
          <w:sz w:val="24"/>
          <w:szCs w:val="24"/>
        </w:rPr>
        <w:t xml:space="preserve"> выше предельного уровня тарифа, действовавшего в 2013 году;</w:t>
      </w:r>
    </w:p>
    <w:p w:rsidR="005423DE" w:rsidRPr="0000667E" w:rsidRDefault="005423DE" w:rsidP="005423DE">
      <w:pPr>
        <w:spacing w:after="0" w:line="240" w:lineRule="auto"/>
        <w:ind w:firstLine="708"/>
        <w:jc w:val="both"/>
        <w:rPr>
          <w:rFonts w:ascii="Times New Roman" w:hAnsi="Times New Roman"/>
          <w:color w:val="000000"/>
          <w:sz w:val="24"/>
          <w:szCs w:val="24"/>
        </w:rPr>
      </w:pPr>
      <w:r w:rsidRPr="0000667E">
        <w:rPr>
          <w:rFonts w:ascii="Times New Roman" w:hAnsi="Times New Roman"/>
          <w:color w:val="000000"/>
          <w:sz w:val="24"/>
          <w:szCs w:val="24"/>
        </w:rPr>
        <w:t>г) тариф на электрическую энергию, отпускаемую организациям и учреждениям, финансируемым из бюджетов всех уровней, организациям городского электрического транспорта, - 0,53 руб. за 1 кВт.ч, что на 3,9</w:t>
      </w:r>
      <w:r>
        <w:rPr>
          <w:rFonts w:ascii="Times New Roman" w:hAnsi="Times New Roman"/>
          <w:color w:val="000000"/>
          <w:sz w:val="24"/>
          <w:szCs w:val="24"/>
        </w:rPr>
        <w:t>%</w:t>
      </w:r>
      <w:r w:rsidRPr="0000667E">
        <w:rPr>
          <w:rFonts w:ascii="Times New Roman" w:hAnsi="Times New Roman"/>
          <w:color w:val="000000"/>
          <w:sz w:val="24"/>
          <w:szCs w:val="24"/>
        </w:rPr>
        <w:t xml:space="preserve"> выше предельного уровня тарифа, действовавшего в 2013 году;</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 xml:space="preserve">д) тариф на электрическую энергию, отпускаемую населению на бытовые нужды с </w:t>
      </w:r>
      <w:r w:rsidRPr="0000667E">
        <w:rPr>
          <w:rFonts w:ascii="Times New Roman" w:hAnsi="Times New Roman"/>
          <w:sz w:val="24"/>
          <w:szCs w:val="24"/>
        </w:rPr>
        <w:br/>
        <w:t>1 января по 31 марта 2014 года:</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 xml:space="preserve">– за объем электрической энергии, потребленной </w:t>
      </w:r>
      <w:r w:rsidRPr="0000667E">
        <w:rPr>
          <w:rFonts w:ascii="Times New Roman" w:hAnsi="Times New Roman"/>
          <w:bCs/>
          <w:sz w:val="24"/>
          <w:szCs w:val="24"/>
        </w:rPr>
        <w:t>в пределах установленного лимита</w:t>
      </w:r>
      <w:r w:rsidRPr="0000667E">
        <w:rPr>
          <w:rFonts w:ascii="Times New Roman" w:hAnsi="Times New Roman"/>
          <w:sz w:val="24"/>
          <w:szCs w:val="24"/>
        </w:rPr>
        <w:t xml:space="preserve"> в месяц (включительно), - на уровне тарифа, действовавшего в 2013 году;</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 xml:space="preserve">– </w:t>
      </w:r>
      <w:r w:rsidRPr="0000667E">
        <w:rPr>
          <w:rFonts w:ascii="Times New Roman" w:hAnsi="Times New Roman"/>
          <w:bCs/>
          <w:sz w:val="24"/>
          <w:szCs w:val="24"/>
        </w:rPr>
        <w:t xml:space="preserve">за объем </w:t>
      </w:r>
      <w:r w:rsidRPr="0000667E">
        <w:rPr>
          <w:rFonts w:ascii="Times New Roman" w:hAnsi="Times New Roman"/>
          <w:sz w:val="24"/>
          <w:szCs w:val="24"/>
        </w:rPr>
        <w:t>электрической энергии</w:t>
      </w:r>
      <w:r w:rsidRPr="0000667E">
        <w:rPr>
          <w:rFonts w:ascii="Times New Roman" w:hAnsi="Times New Roman"/>
          <w:bCs/>
          <w:sz w:val="24"/>
          <w:szCs w:val="24"/>
        </w:rPr>
        <w:t xml:space="preserve">, потребленной свыше установленного лимита в месяц, - </w:t>
      </w:r>
      <w:r w:rsidRPr="0000667E">
        <w:rPr>
          <w:rFonts w:ascii="Times New Roman" w:hAnsi="Times New Roman"/>
          <w:sz w:val="24"/>
          <w:szCs w:val="24"/>
        </w:rPr>
        <w:t>на уровне тарифа, действовавшего в 2013 году;</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 xml:space="preserve">ж) тариф на электрическую энергию, отпускаемую населению на бытовые нужды с </w:t>
      </w:r>
      <w:r w:rsidRPr="0000667E">
        <w:rPr>
          <w:rFonts w:ascii="Times New Roman" w:hAnsi="Times New Roman"/>
          <w:sz w:val="24"/>
          <w:szCs w:val="24"/>
        </w:rPr>
        <w:br/>
        <w:t>1 апреля по 31 декабря 2014 года:</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 xml:space="preserve">– за объем электрической энергии, потребленной </w:t>
      </w:r>
      <w:r w:rsidRPr="0000667E">
        <w:rPr>
          <w:rFonts w:ascii="Times New Roman" w:hAnsi="Times New Roman"/>
          <w:bCs/>
          <w:sz w:val="24"/>
          <w:szCs w:val="24"/>
        </w:rPr>
        <w:t>в пределах установленного лимита</w:t>
      </w:r>
      <w:r w:rsidRPr="0000667E">
        <w:rPr>
          <w:rFonts w:ascii="Times New Roman" w:hAnsi="Times New Roman"/>
          <w:sz w:val="24"/>
          <w:szCs w:val="24"/>
        </w:rPr>
        <w:t xml:space="preserve"> в месяц (включительно </w:t>
      </w:r>
      <w:r w:rsidRPr="0000667E">
        <w:rPr>
          <w:rFonts w:ascii="Times New Roman" w:hAnsi="Times New Roman"/>
          <w:bCs/>
          <w:sz w:val="24"/>
          <w:szCs w:val="24"/>
        </w:rPr>
        <w:t xml:space="preserve">- </w:t>
      </w:r>
      <w:r w:rsidRPr="0000667E">
        <w:rPr>
          <w:rFonts w:ascii="Times New Roman" w:hAnsi="Times New Roman"/>
          <w:sz w:val="24"/>
          <w:szCs w:val="24"/>
        </w:rPr>
        <w:t>0,57 руб. за 1 кВт.ч, что на 9,6</w:t>
      </w:r>
      <w:r>
        <w:rPr>
          <w:rFonts w:ascii="Times New Roman" w:hAnsi="Times New Roman"/>
          <w:sz w:val="24"/>
          <w:szCs w:val="24"/>
        </w:rPr>
        <w:t>%</w:t>
      </w:r>
      <w:r w:rsidRPr="0000667E">
        <w:rPr>
          <w:rFonts w:ascii="Times New Roman" w:hAnsi="Times New Roman"/>
          <w:sz w:val="24"/>
          <w:szCs w:val="24"/>
        </w:rPr>
        <w:t xml:space="preserve"> выше предельного уровня тарифа, действовавшего в 2013 году;</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 xml:space="preserve">– </w:t>
      </w:r>
      <w:r w:rsidRPr="0000667E">
        <w:rPr>
          <w:rFonts w:ascii="Times New Roman" w:hAnsi="Times New Roman"/>
          <w:bCs/>
          <w:sz w:val="24"/>
          <w:szCs w:val="24"/>
        </w:rPr>
        <w:t xml:space="preserve">за объем </w:t>
      </w:r>
      <w:r w:rsidRPr="0000667E">
        <w:rPr>
          <w:rFonts w:ascii="Times New Roman" w:hAnsi="Times New Roman"/>
          <w:sz w:val="24"/>
          <w:szCs w:val="24"/>
        </w:rPr>
        <w:t>электрической энергии</w:t>
      </w:r>
      <w:r w:rsidRPr="0000667E">
        <w:rPr>
          <w:rFonts w:ascii="Times New Roman" w:hAnsi="Times New Roman"/>
          <w:bCs/>
          <w:sz w:val="24"/>
          <w:szCs w:val="24"/>
        </w:rPr>
        <w:t xml:space="preserve">, потребленной свыше установленного лимита в месяц, - </w:t>
      </w:r>
      <w:r w:rsidRPr="0000667E">
        <w:rPr>
          <w:rFonts w:ascii="Times New Roman" w:hAnsi="Times New Roman"/>
          <w:sz w:val="24"/>
          <w:szCs w:val="24"/>
        </w:rPr>
        <w:t>0,72 руб. за 1 кВт.ч, что на 28,6</w:t>
      </w:r>
      <w:r>
        <w:rPr>
          <w:rFonts w:ascii="Times New Roman" w:hAnsi="Times New Roman"/>
          <w:sz w:val="24"/>
          <w:szCs w:val="24"/>
        </w:rPr>
        <w:t>%</w:t>
      </w:r>
      <w:r w:rsidRPr="0000667E">
        <w:rPr>
          <w:rFonts w:ascii="Times New Roman" w:hAnsi="Times New Roman"/>
          <w:sz w:val="24"/>
          <w:szCs w:val="24"/>
        </w:rPr>
        <w:t xml:space="preserve"> выше предельного уровня тарифа, действовавшего в 2013 году;</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е) тариф на электрическую энергию, отпускаемую организациям, осуществляющим управление многоквартирным домом (общежитием), товариществам собственников жилья, жилищным и жилищно-строительным кооперативам на общедомовые нужды в жилищном фонде:</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 xml:space="preserve">– 1 января по 31 марта 2014 года </w:t>
      </w:r>
      <w:r w:rsidRPr="0000667E">
        <w:rPr>
          <w:rFonts w:ascii="Times New Roman" w:hAnsi="Times New Roman"/>
          <w:color w:val="C00000"/>
          <w:sz w:val="24"/>
          <w:szCs w:val="24"/>
        </w:rPr>
        <w:t xml:space="preserve">- </w:t>
      </w:r>
      <w:r w:rsidRPr="0000667E">
        <w:rPr>
          <w:rFonts w:ascii="Times New Roman" w:hAnsi="Times New Roman"/>
          <w:sz w:val="24"/>
          <w:szCs w:val="24"/>
        </w:rPr>
        <w:t>на уровне тарифа, действовавшего в 2013 году;</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 1 апреля по 31 декабря 2014 года</w:t>
      </w:r>
      <w:r w:rsidRPr="0000667E">
        <w:rPr>
          <w:rFonts w:ascii="Times New Roman" w:hAnsi="Times New Roman"/>
          <w:bCs/>
          <w:sz w:val="24"/>
          <w:szCs w:val="24"/>
        </w:rPr>
        <w:t xml:space="preserve">, - </w:t>
      </w:r>
      <w:r w:rsidRPr="0000667E">
        <w:rPr>
          <w:rFonts w:ascii="Times New Roman" w:hAnsi="Times New Roman"/>
          <w:sz w:val="24"/>
          <w:szCs w:val="24"/>
        </w:rPr>
        <w:t>0,72 руб. за 1 кВт.ч</w:t>
      </w:r>
      <w:r>
        <w:rPr>
          <w:rFonts w:ascii="Times New Roman" w:hAnsi="Times New Roman"/>
          <w:sz w:val="24"/>
          <w:szCs w:val="24"/>
        </w:rPr>
        <w:t>,</w:t>
      </w:r>
      <w:r w:rsidRPr="0000667E">
        <w:rPr>
          <w:rFonts w:ascii="Times New Roman" w:hAnsi="Times New Roman"/>
          <w:sz w:val="24"/>
          <w:szCs w:val="24"/>
        </w:rPr>
        <w:t xml:space="preserve"> что на 28,6</w:t>
      </w:r>
      <w:r>
        <w:rPr>
          <w:rFonts w:ascii="Times New Roman" w:hAnsi="Times New Roman"/>
          <w:sz w:val="24"/>
          <w:szCs w:val="24"/>
        </w:rPr>
        <w:t>%</w:t>
      </w:r>
      <w:r w:rsidRPr="0000667E">
        <w:rPr>
          <w:rFonts w:ascii="Times New Roman" w:hAnsi="Times New Roman"/>
          <w:sz w:val="24"/>
          <w:szCs w:val="24"/>
        </w:rPr>
        <w:t xml:space="preserve"> выше предельного уровня тарифа, действовавшего в 2013 году.</w:t>
      </w:r>
    </w:p>
    <w:p w:rsidR="005423DE" w:rsidRPr="0000667E" w:rsidRDefault="005423DE" w:rsidP="005423DE">
      <w:pPr>
        <w:spacing w:after="0" w:line="240" w:lineRule="auto"/>
        <w:jc w:val="center"/>
        <w:rPr>
          <w:rFonts w:ascii="Times New Roman" w:hAnsi="Times New Roman"/>
          <w:b/>
          <w:sz w:val="24"/>
          <w:szCs w:val="24"/>
        </w:rPr>
      </w:pPr>
      <w:r w:rsidRPr="0000667E">
        <w:rPr>
          <w:rFonts w:ascii="Times New Roman" w:hAnsi="Times New Roman"/>
          <w:b/>
          <w:sz w:val="24"/>
          <w:szCs w:val="24"/>
        </w:rPr>
        <w:t>Услуги по снабжению тепловой энергией (отопление и подогрев воды)</w:t>
      </w:r>
    </w:p>
    <w:p w:rsidR="005423DE" w:rsidRPr="0000667E" w:rsidRDefault="005423DE" w:rsidP="005423DE">
      <w:pPr>
        <w:spacing w:after="0" w:line="240" w:lineRule="auto"/>
        <w:ind w:firstLine="708"/>
        <w:jc w:val="both"/>
        <w:rPr>
          <w:rFonts w:ascii="Times New Roman" w:hAnsi="Times New Roman"/>
          <w:b/>
          <w:color w:val="000000"/>
          <w:sz w:val="24"/>
          <w:szCs w:val="24"/>
        </w:rPr>
      </w:pPr>
      <w:r w:rsidRPr="0000667E">
        <w:rPr>
          <w:rFonts w:ascii="Times New Roman" w:hAnsi="Times New Roman"/>
          <w:color w:val="000000"/>
          <w:sz w:val="24"/>
          <w:szCs w:val="24"/>
        </w:rPr>
        <w:t>В 2014 году изменение предельных уровней тарифов на услуги по снабжению тепловой энергией (отопление и подогрев воды) в сравнении с предельными уровнями тарифов, действовавшими в 2013 году, составляет:</w:t>
      </w:r>
    </w:p>
    <w:p w:rsidR="005423DE" w:rsidRPr="0000667E" w:rsidRDefault="005423DE" w:rsidP="005423DE">
      <w:pPr>
        <w:spacing w:after="0" w:line="240" w:lineRule="auto"/>
        <w:ind w:firstLine="708"/>
        <w:jc w:val="both"/>
        <w:rPr>
          <w:rFonts w:ascii="Times New Roman" w:hAnsi="Times New Roman"/>
          <w:color w:val="000000"/>
          <w:sz w:val="24"/>
          <w:szCs w:val="24"/>
        </w:rPr>
      </w:pPr>
      <w:r w:rsidRPr="0000667E">
        <w:rPr>
          <w:rFonts w:ascii="Times New Roman" w:hAnsi="Times New Roman"/>
          <w:color w:val="000000"/>
          <w:sz w:val="24"/>
          <w:szCs w:val="24"/>
        </w:rPr>
        <w:t>1</w:t>
      </w:r>
      <w:r>
        <w:rPr>
          <w:rFonts w:ascii="Times New Roman" w:hAnsi="Times New Roman"/>
          <w:color w:val="000000"/>
          <w:sz w:val="24"/>
          <w:szCs w:val="24"/>
        </w:rPr>
        <w:t xml:space="preserve">) </w:t>
      </w:r>
      <w:r w:rsidRPr="0000667E">
        <w:rPr>
          <w:rFonts w:ascii="Times New Roman" w:hAnsi="Times New Roman"/>
          <w:color w:val="000000"/>
          <w:sz w:val="24"/>
          <w:szCs w:val="24"/>
          <w:lang w:val="en-US"/>
        </w:rPr>
        <w:t> </w:t>
      </w:r>
      <w:r w:rsidRPr="0000667E">
        <w:rPr>
          <w:rFonts w:ascii="Times New Roman" w:hAnsi="Times New Roman"/>
          <w:color w:val="000000"/>
          <w:sz w:val="24"/>
          <w:szCs w:val="24"/>
        </w:rPr>
        <w:t xml:space="preserve">для потребителей по всем городам и районам Приднестровской Молдавской Республики, за исключением г. Бендеры: </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а)</w:t>
      </w:r>
      <w:r w:rsidRPr="0000667E">
        <w:rPr>
          <w:rFonts w:ascii="Times New Roman" w:hAnsi="Times New Roman"/>
          <w:sz w:val="24"/>
          <w:szCs w:val="24"/>
          <w:lang w:val="en-US"/>
        </w:rPr>
        <w:t> </w:t>
      </w:r>
      <w:r w:rsidRPr="0000667E">
        <w:rPr>
          <w:rFonts w:ascii="Times New Roman" w:hAnsi="Times New Roman"/>
          <w:sz w:val="24"/>
          <w:szCs w:val="24"/>
        </w:rPr>
        <w:t>для бюджетных организаций и прочих потребителей:</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w:t>
      </w:r>
      <w:r w:rsidRPr="0000667E">
        <w:rPr>
          <w:rFonts w:ascii="Times New Roman" w:hAnsi="Times New Roman"/>
          <w:sz w:val="24"/>
          <w:szCs w:val="24"/>
          <w:lang w:val="en-US"/>
        </w:rPr>
        <w:t> </w:t>
      </w:r>
      <w:r w:rsidRPr="0000667E">
        <w:rPr>
          <w:rFonts w:ascii="Times New Roman" w:hAnsi="Times New Roman"/>
          <w:sz w:val="24"/>
          <w:szCs w:val="24"/>
        </w:rPr>
        <w:t xml:space="preserve">тепловая энергия, отпускаемая в Гкал – рост на 6,4 </w:t>
      </w:r>
      <w:r>
        <w:rPr>
          <w:rFonts w:ascii="Times New Roman" w:hAnsi="Times New Roman"/>
          <w:sz w:val="24"/>
          <w:szCs w:val="24"/>
        </w:rPr>
        <w:t>%</w:t>
      </w:r>
      <w:r w:rsidRPr="0000667E">
        <w:rPr>
          <w:rFonts w:ascii="Times New Roman" w:hAnsi="Times New Roman"/>
          <w:sz w:val="24"/>
          <w:szCs w:val="24"/>
        </w:rPr>
        <w:t>;</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 xml:space="preserve">- выработка тепловой энергии – рост на 7,2 </w:t>
      </w:r>
      <w:r>
        <w:rPr>
          <w:rFonts w:ascii="Times New Roman" w:hAnsi="Times New Roman"/>
          <w:sz w:val="24"/>
          <w:szCs w:val="24"/>
        </w:rPr>
        <w:t>%</w:t>
      </w:r>
      <w:r w:rsidRPr="0000667E">
        <w:rPr>
          <w:rFonts w:ascii="Times New Roman" w:hAnsi="Times New Roman"/>
          <w:sz w:val="24"/>
          <w:szCs w:val="24"/>
        </w:rPr>
        <w:t>;</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w:t>
      </w:r>
      <w:r w:rsidRPr="0000667E">
        <w:rPr>
          <w:rFonts w:ascii="Times New Roman" w:hAnsi="Times New Roman"/>
          <w:sz w:val="24"/>
          <w:szCs w:val="24"/>
          <w:lang w:val="en-US"/>
        </w:rPr>
        <w:t> </w:t>
      </w:r>
      <w:r w:rsidRPr="0000667E">
        <w:rPr>
          <w:rFonts w:ascii="Times New Roman" w:hAnsi="Times New Roman"/>
          <w:sz w:val="24"/>
          <w:szCs w:val="24"/>
        </w:rPr>
        <w:t>транспортировка тепловой энергии – рост на 5,0</w:t>
      </w:r>
      <w:r>
        <w:rPr>
          <w:rFonts w:ascii="Times New Roman" w:hAnsi="Times New Roman"/>
          <w:sz w:val="24"/>
          <w:szCs w:val="24"/>
        </w:rPr>
        <w:t>%</w:t>
      </w:r>
      <w:r w:rsidRPr="0000667E">
        <w:rPr>
          <w:rFonts w:ascii="Times New Roman" w:hAnsi="Times New Roman"/>
          <w:sz w:val="24"/>
          <w:szCs w:val="24"/>
        </w:rPr>
        <w:t>;</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б)</w:t>
      </w:r>
      <w:r w:rsidRPr="0000667E">
        <w:rPr>
          <w:rFonts w:ascii="Times New Roman" w:hAnsi="Times New Roman"/>
          <w:sz w:val="24"/>
          <w:szCs w:val="24"/>
          <w:lang w:val="en-US"/>
        </w:rPr>
        <w:t> </w:t>
      </w:r>
      <w:r w:rsidRPr="0000667E">
        <w:rPr>
          <w:rFonts w:ascii="Times New Roman" w:hAnsi="Times New Roman"/>
          <w:sz w:val="24"/>
          <w:szCs w:val="24"/>
        </w:rPr>
        <w:t>для населения с 1 января по 31 марта 2014 года:</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w:t>
      </w:r>
      <w:r w:rsidRPr="0000667E">
        <w:rPr>
          <w:rFonts w:ascii="Times New Roman" w:hAnsi="Times New Roman"/>
          <w:sz w:val="24"/>
          <w:szCs w:val="24"/>
          <w:lang w:val="en-US"/>
        </w:rPr>
        <w:t> </w:t>
      </w:r>
      <w:r w:rsidRPr="0000667E">
        <w:rPr>
          <w:rFonts w:ascii="Times New Roman" w:hAnsi="Times New Roman"/>
          <w:sz w:val="24"/>
          <w:szCs w:val="24"/>
        </w:rPr>
        <w:t>тепловая энергия, отпускаемая в Гкал года - на уровне тарифа, действовавшего в 2013 году;</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w:t>
      </w:r>
      <w:r w:rsidRPr="0000667E">
        <w:rPr>
          <w:rFonts w:ascii="Times New Roman" w:hAnsi="Times New Roman"/>
          <w:sz w:val="24"/>
          <w:szCs w:val="24"/>
          <w:lang w:val="en-US"/>
        </w:rPr>
        <w:t> </w:t>
      </w:r>
      <w:r w:rsidRPr="0000667E">
        <w:rPr>
          <w:rFonts w:ascii="Times New Roman" w:hAnsi="Times New Roman"/>
          <w:sz w:val="24"/>
          <w:szCs w:val="24"/>
        </w:rPr>
        <w:t>выработка тепловой энергии в Гкал – рост на 1,6</w:t>
      </w:r>
      <w:r>
        <w:rPr>
          <w:rFonts w:ascii="Times New Roman" w:hAnsi="Times New Roman"/>
          <w:sz w:val="24"/>
          <w:szCs w:val="24"/>
        </w:rPr>
        <w:t>%</w:t>
      </w:r>
      <w:r w:rsidRPr="0000667E">
        <w:rPr>
          <w:rFonts w:ascii="Times New Roman" w:hAnsi="Times New Roman"/>
          <w:sz w:val="24"/>
          <w:szCs w:val="24"/>
        </w:rPr>
        <w:t>;</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 транспортировка тепловой энергии в Гкал – снижение на 1,5</w:t>
      </w:r>
      <w:r>
        <w:rPr>
          <w:rFonts w:ascii="Times New Roman" w:hAnsi="Times New Roman"/>
          <w:sz w:val="24"/>
          <w:szCs w:val="24"/>
        </w:rPr>
        <w:t>%</w:t>
      </w:r>
      <w:r w:rsidRPr="0000667E">
        <w:rPr>
          <w:rFonts w:ascii="Times New Roman" w:hAnsi="Times New Roman"/>
          <w:sz w:val="24"/>
          <w:szCs w:val="24"/>
        </w:rPr>
        <w:t>;</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lastRenderedPageBreak/>
        <w:t>в)</w:t>
      </w:r>
      <w:r w:rsidRPr="0000667E">
        <w:rPr>
          <w:rFonts w:ascii="Times New Roman" w:hAnsi="Times New Roman"/>
          <w:sz w:val="24"/>
          <w:szCs w:val="24"/>
          <w:lang w:val="en-US"/>
        </w:rPr>
        <w:t> </w:t>
      </w:r>
      <w:r w:rsidRPr="0000667E">
        <w:rPr>
          <w:rFonts w:ascii="Times New Roman" w:hAnsi="Times New Roman"/>
          <w:sz w:val="24"/>
          <w:szCs w:val="24"/>
        </w:rPr>
        <w:t>для населения с 1 апреля по 31 декабря 2014 года:</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w:t>
      </w:r>
      <w:r w:rsidRPr="0000667E">
        <w:rPr>
          <w:rFonts w:ascii="Times New Roman" w:hAnsi="Times New Roman"/>
          <w:sz w:val="24"/>
          <w:szCs w:val="24"/>
          <w:lang w:val="en-US"/>
        </w:rPr>
        <w:t> </w:t>
      </w:r>
      <w:r w:rsidRPr="0000667E">
        <w:rPr>
          <w:rFonts w:ascii="Times New Roman" w:hAnsi="Times New Roman"/>
          <w:sz w:val="24"/>
          <w:szCs w:val="24"/>
        </w:rPr>
        <w:t>тепловая энергия, отпускаемая в Гкал года – рост на 9,3</w:t>
      </w:r>
      <w:r>
        <w:rPr>
          <w:rFonts w:ascii="Times New Roman" w:hAnsi="Times New Roman"/>
          <w:sz w:val="24"/>
          <w:szCs w:val="24"/>
        </w:rPr>
        <w:t>%</w:t>
      </w:r>
      <w:r w:rsidRPr="0000667E">
        <w:rPr>
          <w:rFonts w:ascii="Times New Roman" w:hAnsi="Times New Roman"/>
          <w:sz w:val="24"/>
          <w:szCs w:val="24"/>
        </w:rPr>
        <w:t>;</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w:t>
      </w:r>
      <w:r w:rsidRPr="0000667E">
        <w:rPr>
          <w:rFonts w:ascii="Times New Roman" w:hAnsi="Times New Roman"/>
          <w:sz w:val="24"/>
          <w:szCs w:val="24"/>
          <w:lang w:val="en-US"/>
        </w:rPr>
        <w:t> </w:t>
      </w:r>
      <w:r w:rsidRPr="0000667E">
        <w:rPr>
          <w:rFonts w:ascii="Times New Roman" w:hAnsi="Times New Roman"/>
          <w:sz w:val="24"/>
          <w:szCs w:val="24"/>
        </w:rPr>
        <w:t>выработка тепловой энергии в Гкал – рост на 8,2</w:t>
      </w:r>
      <w:r>
        <w:rPr>
          <w:rFonts w:ascii="Times New Roman" w:hAnsi="Times New Roman"/>
          <w:sz w:val="24"/>
          <w:szCs w:val="24"/>
        </w:rPr>
        <w:t>%</w:t>
      </w:r>
      <w:r w:rsidRPr="0000667E">
        <w:rPr>
          <w:rFonts w:ascii="Times New Roman" w:hAnsi="Times New Roman"/>
          <w:sz w:val="24"/>
          <w:szCs w:val="24"/>
        </w:rPr>
        <w:t>;</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 транспортировка тепловой энергии в Гкал – рост на 10,4</w:t>
      </w:r>
      <w:r>
        <w:rPr>
          <w:rFonts w:ascii="Times New Roman" w:hAnsi="Times New Roman"/>
          <w:sz w:val="24"/>
          <w:szCs w:val="24"/>
        </w:rPr>
        <w:t>%</w:t>
      </w:r>
      <w:r w:rsidRPr="0000667E">
        <w:rPr>
          <w:rFonts w:ascii="Times New Roman" w:hAnsi="Times New Roman"/>
          <w:sz w:val="24"/>
          <w:szCs w:val="24"/>
        </w:rPr>
        <w:t>;</w:t>
      </w:r>
    </w:p>
    <w:p w:rsidR="005423DE" w:rsidRPr="0000667E" w:rsidRDefault="005423DE" w:rsidP="005423DE">
      <w:pPr>
        <w:spacing w:after="0" w:line="240" w:lineRule="auto"/>
        <w:ind w:firstLine="708"/>
        <w:jc w:val="both"/>
        <w:rPr>
          <w:rFonts w:ascii="Times New Roman" w:hAnsi="Times New Roman"/>
          <w:color w:val="000000"/>
          <w:sz w:val="24"/>
          <w:szCs w:val="24"/>
        </w:rPr>
      </w:pPr>
      <w:r w:rsidRPr="0000667E">
        <w:rPr>
          <w:rFonts w:ascii="Times New Roman" w:hAnsi="Times New Roman"/>
          <w:color w:val="000000"/>
          <w:sz w:val="24"/>
          <w:szCs w:val="24"/>
        </w:rPr>
        <w:t>2</w:t>
      </w:r>
      <w:r>
        <w:rPr>
          <w:rFonts w:ascii="Times New Roman" w:hAnsi="Times New Roman"/>
          <w:color w:val="000000"/>
          <w:sz w:val="24"/>
          <w:szCs w:val="24"/>
        </w:rPr>
        <w:t xml:space="preserve">) </w:t>
      </w:r>
      <w:r w:rsidRPr="0000667E">
        <w:rPr>
          <w:rFonts w:ascii="Times New Roman" w:hAnsi="Times New Roman"/>
          <w:color w:val="000000"/>
          <w:sz w:val="24"/>
          <w:szCs w:val="24"/>
          <w:lang w:val="en-US"/>
        </w:rPr>
        <w:t> </w:t>
      </w:r>
      <w:r w:rsidRPr="0000667E">
        <w:rPr>
          <w:rFonts w:ascii="Times New Roman" w:hAnsi="Times New Roman"/>
          <w:color w:val="000000"/>
          <w:sz w:val="24"/>
          <w:szCs w:val="24"/>
        </w:rPr>
        <w:t xml:space="preserve">для потребителей города Бендеры: </w:t>
      </w:r>
    </w:p>
    <w:p w:rsidR="005423DE" w:rsidRPr="0000667E" w:rsidRDefault="005423DE" w:rsidP="005423DE">
      <w:pPr>
        <w:spacing w:after="0" w:line="240" w:lineRule="auto"/>
        <w:ind w:firstLine="708"/>
        <w:jc w:val="both"/>
        <w:rPr>
          <w:rFonts w:ascii="Times New Roman" w:hAnsi="Times New Roman"/>
          <w:color w:val="000000"/>
          <w:sz w:val="24"/>
          <w:szCs w:val="24"/>
        </w:rPr>
      </w:pPr>
      <w:r w:rsidRPr="0000667E">
        <w:rPr>
          <w:rFonts w:ascii="Times New Roman" w:hAnsi="Times New Roman"/>
          <w:color w:val="000000"/>
          <w:sz w:val="24"/>
          <w:szCs w:val="24"/>
        </w:rPr>
        <w:t>а)</w:t>
      </w:r>
      <w:r w:rsidRPr="0000667E">
        <w:rPr>
          <w:rFonts w:ascii="Times New Roman" w:hAnsi="Times New Roman"/>
          <w:color w:val="000000"/>
          <w:sz w:val="24"/>
          <w:szCs w:val="24"/>
          <w:lang w:val="en-US"/>
        </w:rPr>
        <w:t> </w:t>
      </w:r>
      <w:r w:rsidRPr="0000667E">
        <w:rPr>
          <w:rFonts w:ascii="Times New Roman" w:hAnsi="Times New Roman"/>
          <w:color w:val="000000"/>
          <w:sz w:val="24"/>
          <w:szCs w:val="24"/>
        </w:rPr>
        <w:t>для бюджетных организаций и прочих потребителей:</w:t>
      </w:r>
    </w:p>
    <w:p w:rsidR="005423DE" w:rsidRPr="0000667E" w:rsidRDefault="005423DE" w:rsidP="005423DE">
      <w:pPr>
        <w:spacing w:after="0" w:line="240" w:lineRule="auto"/>
        <w:ind w:firstLine="708"/>
        <w:jc w:val="both"/>
        <w:rPr>
          <w:rFonts w:ascii="Times New Roman" w:hAnsi="Times New Roman"/>
          <w:color w:val="000000"/>
          <w:sz w:val="24"/>
          <w:szCs w:val="24"/>
        </w:rPr>
      </w:pPr>
      <w:r w:rsidRPr="0000667E">
        <w:rPr>
          <w:rFonts w:ascii="Times New Roman" w:hAnsi="Times New Roman"/>
          <w:color w:val="000000"/>
          <w:sz w:val="24"/>
          <w:szCs w:val="24"/>
        </w:rPr>
        <w:t>-</w:t>
      </w:r>
      <w:r w:rsidRPr="0000667E">
        <w:rPr>
          <w:rFonts w:ascii="Times New Roman" w:hAnsi="Times New Roman"/>
          <w:color w:val="000000"/>
          <w:sz w:val="24"/>
          <w:szCs w:val="24"/>
          <w:lang w:val="en-US"/>
        </w:rPr>
        <w:t> </w:t>
      </w:r>
      <w:r w:rsidRPr="0000667E">
        <w:rPr>
          <w:rFonts w:ascii="Times New Roman" w:hAnsi="Times New Roman"/>
          <w:color w:val="000000"/>
          <w:sz w:val="24"/>
          <w:szCs w:val="24"/>
        </w:rPr>
        <w:t>тепловая энергия, отпускаемая в Гкал – рост на 5,7</w:t>
      </w:r>
      <w:r>
        <w:rPr>
          <w:rFonts w:ascii="Times New Roman" w:hAnsi="Times New Roman"/>
          <w:color w:val="000000"/>
          <w:sz w:val="24"/>
          <w:szCs w:val="24"/>
        </w:rPr>
        <w:t>%</w:t>
      </w:r>
      <w:r w:rsidRPr="0000667E">
        <w:rPr>
          <w:rFonts w:ascii="Times New Roman" w:hAnsi="Times New Roman"/>
          <w:sz w:val="24"/>
          <w:szCs w:val="24"/>
        </w:rPr>
        <w:t>;</w:t>
      </w:r>
    </w:p>
    <w:p w:rsidR="005423DE" w:rsidRPr="0000667E" w:rsidRDefault="005423DE" w:rsidP="005423DE">
      <w:pPr>
        <w:spacing w:after="0" w:line="240" w:lineRule="auto"/>
        <w:ind w:firstLine="708"/>
        <w:jc w:val="both"/>
        <w:rPr>
          <w:rFonts w:ascii="Times New Roman" w:hAnsi="Times New Roman"/>
          <w:color w:val="000000"/>
          <w:sz w:val="24"/>
          <w:szCs w:val="24"/>
        </w:rPr>
      </w:pPr>
      <w:r w:rsidRPr="0000667E">
        <w:rPr>
          <w:rFonts w:ascii="Times New Roman" w:hAnsi="Times New Roman"/>
          <w:color w:val="000000"/>
          <w:sz w:val="24"/>
          <w:szCs w:val="24"/>
        </w:rPr>
        <w:t>- выработка тепловой энергии в Гкал – снижение на 12,1</w:t>
      </w:r>
      <w:r>
        <w:rPr>
          <w:rFonts w:ascii="Times New Roman" w:hAnsi="Times New Roman"/>
          <w:sz w:val="24"/>
          <w:szCs w:val="24"/>
        </w:rPr>
        <w:t>%</w:t>
      </w:r>
      <w:r w:rsidRPr="0000667E">
        <w:rPr>
          <w:rFonts w:ascii="Times New Roman" w:hAnsi="Times New Roman"/>
          <w:color w:val="000000"/>
          <w:sz w:val="24"/>
          <w:szCs w:val="24"/>
        </w:rPr>
        <w:t>;</w:t>
      </w:r>
    </w:p>
    <w:p w:rsidR="005423DE" w:rsidRPr="0000667E" w:rsidRDefault="005423DE" w:rsidP="005423DE">
      <w:pPr>
        <w:spacing w:after="0" w:line="240" w:lineRule="auto"/>
        <w:ind w:firstLine="708"/>
        <w:jc w:val="both"/>
        <w:rPr>
          <w:rFonts w:ascii="Times New Roman" w:hAnsi="Times New Roman"/>
          <w:color w:val="000000"/>
          <w:sz w:val="24"/>
          <w:szCs w:val="24"/>
        </w:rPr>
      </w:pPr>
      <w:r w:rsidRPr="0000667E">
        <w:rPr>
          <w:rFonts w:ascii="Times New Roman" w:hAnsi="Times New Roman"/>
          <w:color w:val="000000"/>
          <w:sz w:val="24"/>
          <w:szCs w:val="24"/>
        </w:rPr>
        <w:t>-</w:t>
      </w:r>
      <w:r w:rsidRPr="0000667E">
        <w:rPr>
          <w:rFonts w:ascii="Times New Roman" w:hAnsi="Times New Roman"/>
          <w:color w:val="000000"/>
          <w:sz w:val="24"/>
          <w:szCs w:val="24"/>
          <w:lang w:val="en-US"/>
        </w:rPr>
        <w:t> </w:t>
      </w:r>
      <w:r w:rsidRPr="0000667E">
        <w:rPr>
          <w:rFonts w:ascii="Times New Roman" w:hAnsi="Times New Roman"/>
          <w:color w:val="000000"/>
          <w:sz w:val="24"/>
          <w:szCs w:val="24"/>
        </w:rPr>
        <w:t>транспортировка тепловой энергии в Гкал – рост на 79,4</w:t>
      </w:r>
      <w:r>
        <w:rPr>
          <w:rFonts w:ascii="Times New Roman" w:hAnsi="Times New Roman"/>
          <w:color w:val="000000"/>
          <w:sz w:val="24"/>
          <w:szCs w:val="24"/>
        </w:rPr>
        <w:t>%</w:t>
      </w:r>
      <w:r w:rsidRPr="0000667E">
        <w:rPr>
          <w:rFonts w:ascii="Times New Roman" w:hAnsi="Times New Roman"/>
          <w:color w:val="000000"/>
          <w:sz w:val="24"/>
          <w:szCs w:val="24"/>
        </w:rPr>
        <w:t>;</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б)</w:t>
      </w:r>
      <w:r w:rsidRPr="0000667E">
        <w:rPr>
          <w:rFonts w:ascii="Times New Roman" w:hAnsi="Times New Roman"/>
          <w:sz w:val="24"/>
          <w:szCs w:val="24"/>
          <w:lang w:val="en-US"/>
        </w:rPr>
        <w:t> </w:t>
      </w:r>
      <w:r w:rsidRPr="0000667E">
        <w:rPr>
          <w:rFonts w:ascii="Times New Roman" w:hAnsi="Times New Roman"/>
          <w:sz w:val="24"/>
          <w:szCs w:val="24"/>
        </w:rPr>
        <w:t>для населения с 1 января по 31 марта 2014 года:</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w:t>
      </w:r>
      <w:r w:rsidRPr="0000667E">
        <w:rPr>
          <w:rFonts w:ascii="Times New Roman" w:hAnsi="Times New Roman"/>
          <w:sz w:val="24"/>
          <w:szCs w:val="24"/>
          <w:lang w:val="en-US"/>
        </w:rPr>
        <w:t> </w:t>
      </w:r>
      <w:r w:rsidRPr="0000667E">
        <w:rPr>
          <w:rFonts w:ascii="Times New Roman" w:hAnsi="Times New Roman"/>
          <w:sz w:val="24"/>
          <w:szCs w:val="24"/>
        </w:rPr>
        <w:t>тепловая энергия, отпускаемая в Гкал года - на уровне тарифа, действовавшего в 2013 году;</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w:t>
      </w:r>
      <w:r w:rsidRPr="0000667E">
        <w:rPr>
          <w:rFonts w:ascii="Times New Roman" w:hAnsi="Times New Roman"/>
          <w:sz w:val="24"/>
          <w:szCs w:val="24"/>
          <w:lang w:val="en-US"/>
        </w:rPr>
        <w:t> </w:t>
      </w:r>
      <w:r w:rsidRPr="0000667E">
        <w:rPr>
          <w:rFonts w:ascii="Times New Roman" w:hAnsi="Times New Roman"/>
          <w:sz w:val="24"/>
          <w:szCs w:val="24"/>
        </w:rPr>
        <w:t>выработка тепловой энергии в Гкал – снижение на 10,5</w:t>
      </w:r>
      <w:r>
        <w:rPr>
          <w:rFonts w:ascii="Times New Roman" w:hAnsi="Times New Roman"/>
          <w:sz w:val="24"/>
          <w:szCs w:val="24"/>
        </w:rPr>
        <w:t>%</w:t>
      </w:r>
      <w:r w:rsidRPr="0000667E">
        <w:rPr>
          <w:rFonts w:ascii="Times New Roman" w:hAnsi="Times New Roman"/>
          <w:sz w:val="24"/>
          <w:szCs w:val="24"/>
        </w:rPr>
        <w:t>;</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 транспортировка тепловой энергии в Гкал – рост на 17,8</w:t>
      </w:r>
      <w:r>
        <w:rPr>
          <w:rFonts w:ascii="Times New Roman" w:hAnsi="Times New Roman"/>
          <w:sz w:val="24"/>
          <w:szCs w:val="24"/>
        </w:rPr>
        <w:t>%</w:t>
      </w:r>
      <w:r w:rsidRPr="0000667E">
        <w:rPr>
          <w:rFonts w:ascii="Times New Roman" w:hAnsi="Times New Roman"/>
          <w:sz w:val="24"/>
          <w:szCs w:val="24"/>
        </w:rPr>
        <w:t>;</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в)</w:t>
      </w:r>
      <w:r w:rsidRPr="0000667E">
        <w:rPr>
          <w:rFonts w:ascii="Times New Roman" w:hAnsi="Times New Roman"/>
          <w:sz w:val="24"/>
          <w:szCs w:val="24"/>
          <w:lang w:val="en-US"/>
        </w:rPr>
        <w:t> </w:t>
      </w:r>
      <w:r w:rsidRPr="0000667E">
        <w:rPr>
          <w:rFonts w:ascii="Times New Roman" w:hAnsi="Times New Roman"/>
          <w:sz w:val="24"/>
          <w:szCs w:val="24"/>
        </w:rPr>
        <w:t>для населения с 1 апреля по 31 декабря 2014 года:</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w:t>
      </w:r>
      <w:r w:rsidRPr="0000667E">
        <w:rPr>
          <w:rFonts w:ascii="Times New Roman" w:hAnsi="Times New Roman"/>
          <w:sz w:val="24"/>
          <w:szCs w:val="24"/>
          <w:lang w:val="en-US"/>
        </w:rPr>
        <w:t> </w:t>
      </w:r>
      <w:r w:rsidRPr="0000667E">
        <w:rPr>
          <w:rFonts w:ascii="Times New Roman" w:hAnsi="Times New Roman"/>
          <w:sz w:val="24"/>
          <w:szCs w:val="24"/>
        </w:rPr>
        <w:t>тепловая энергия, отпускаемая в Гкал года – рост на 13,0</w:t>
      </w:r>
      <w:r>
        <w:rPr>
          <w:rFonts w:ascii="Times New Roman" w:hAnsi="Times New Roman"/>
          <w:sz w:val="24"/>
          <w:szCs w:val="24"/>
        </w:rPr>
        <w:t>%</w:t>
      </w:r>
      <w:r w:rsidRPr="0000667E">
        <w:rPr>
          <w:rFonts w:ascii="Times New Roman" w:hAnsi="Times New Roman"/>
          <w:sz w:val="24"/>
          <w:szCs w:val="24"/>
        </w:rPr>
        <w:t>;</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w:t>
      </w:r>
      <w:r w:rsidRPr="0000667E">
        <w:rPr>
          <w:rFonts w:ascii="Times New Roman" w:hAnsi="Times New Roman"/>
          <w:sz w:val="24"/>
          <w:szCs w:val="24"/>
          <w:lang w:val="en-US"/>
        </w:rPr>
        <w:t> </w:t>
      </w:r>
      <w:r w:rsidRPr="0000667E">
        <w:rPr>
          <w:rFonts w:ascii="Times New Roman" w:hAnsi="Times New Roman"/>
          <w:sz w:val="24"/>
          <w:szCs w:val="24"/>
        </w:rPr>
        <w:t>выработка тепловой энергии в Гкал – снижение на 2,0</w:t>
      </w:r>
      <w:r>
        <w:rPr>
          <w:rFonts w:ascii="Times New Roman" w:hAnsi="Times New Roman"/>
          <w:sz w:val="24"/>
          <w:szCs w:val="24"/>
        </w:rPr>
        <w:t>%</w:t>
      </w:r>
      <w:r w:rsidRPr="0000667E">
        <w:rPr>
          <w:rFonts w:ascii="Times New Roman" w:hAnsi="Times New Roman"/>
          <w:sz w:val="24"/>
          <w:szCs w:val="24"/>
        </w:rPr>
        <w:t>;</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 транспортировка тепловой энергии в Гкал – рост на 38,2</w:t>
      </w:r>
      <w:r>
        <w:rPr>
          <w:rFonts w:ascii="Times New Roman" w:hAnsi="Times New Roman"/>
          <w:sz w:val="24"/>
          <w:szCs w:val="24"/>
        </w:rPr>
        <w:t>%.</w:t>
      </w:r>
    </w:p>
    <w:p w:rsidR="005423DE" w:rsidRPr="0000667E" w:rsidRDefault="005423DE" w:rsidP="005423DE">
      <w:pPr>
        <w:spacing w:after="0" w:line="240" w:lineRule="auto"/>
        <w:ind w:firstLine="708"/>
        <w:rPr>
          <w:rFonts w:ascii="Times New Roman" w:hAnsi="Times New Roman"/>
          <w:b/>
          <w:sz w:val="24"/>
          <w:szCs w:val="24"/>
        </w:rPr>
      </w:pPr>
      <w:r w:rsidRPr="0000667E">
        <w:rPr>
          <w:rFonts w:ascii="Times New Roman" w:hAnsi="Times New Roman"/>
          <w:b/>
          <w:sz w:val="24"/>
          <w:szCs w:val="24"/>
        </w:rPr>
        <w:t>Услуги водоснабжения и водоотведения (канализация)</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С 1 января 2014 года предельные уровни тарифов на услуги водоснабжения и водоотведения (канализация), оказываемые государственным унитарным предприятием «Водоснабжение и водоотведение», на всей территории Приднестровской Молдавской Республики установлены на уровне тарифов, действовавших в 2013 году.</w:t>
      </w:r>
    </w:p>
    <w:p w:rsidR="005423DE" w:rsidRPr="0000667E" w:rsidRDefault="005423DE" w:rsidP="005423DE">
      <w:pPr>
        <w:spacing w:after="0" w:line="240" w:lineRule="auto"/>
        <w:ind w:firstLine="708"/>
        <w:jc w:val="both"/>
        <w:rPr>
          <w:rFonts w:ascii="Times New Roman" w:hAnsi="Times New Roman"/>
          <w:b/>
          <w:sz w:val="24"/>
          <w:szCs w:val="24"/>
        </w:rPr>
      </w:pPr>
      <w:r w:rsidRPr="0000667E">
        <w:rPr>
          <w:rFonts w:ascii="Times New Roman" w:hAnsi="Times New Roman"/>
          <w:b/>
          <w:sz w:val="24"/>
          <w:szCs w:val="24"/>
        </w:rPr>
        <w:t xml:space="preserve">Услуги на перевозку пассажиров электрическим транспортом и услуги </w:t>
      </w:r>
      <w:r>
        <w:rPr>
          <w:rFonts w:ascii="Times New Roman" w:hAnsi="Times New Roman"/>
          <w:b/>
          <w:sz w:val="24"/>
          <w:szCs w:val="24"/>
        </w:rPr>
        <w:t>ж</w:t>
      </w:r>
      <w:r w:rsidRPr="0000667E">
        <w:rPr>
          <w:rFonts w:ascii="Times New Roman" w:hAnsi="Times New Roman"/>
          <w:b/>
          <w:sz w:val="24"/>
          <w:szCs w:val="24"/>
        </w:rPr>
        <w:t>елезнодорожного транспорта в местном сообщении</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С 1 января 2014 года на услуги по перевозке пассажиров электрическим транспортом установлены предельные уровни тарифов и фиксированные тарифы на уровне тарифов, действовавших в 2013 году.</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sz w:val="24"/>
          <w:szCs w:val="24"/>
        </w:rPr>
        <w:t>Предельные уровни тарифов на услуги железнодорожного транспорта в местном сообщении с 1 января 2014 года по сравнению с предельными уровнями тарифов, утвержденными в 2013 году, увеличены на 9,0%.</w:t>
      </w:r>
    </w:p>
    <w:p w:rsidR="005423DE" w:rsidRPr="0000667E" w:rsidRDefault="005423DE" w:rsidP="005423DE">
      <w:pPr>
        <w:spacing w:after="0" w:line="240" w:lineRule="auto"/>
        <w:ind w:firstLine="708"/>
        <w:jc w:val="both"/>
        <w:rPr>
          <w:rFonts w:ascii="Times New Roman" w:hAnsi="Times New Roman"/>
          <w:b/>
          <w:bCs/>
          <w:sz w:val="24"/>
          <w:szCs w:val="24"/>
        </w:rPr>
      </w:pPr>
      <w:r w:rsidRPr="0000667E">
        <w:rPr>
          <w:rFonts w:ascii="Times New Roman" w:hAnsi="Times New Roman"/>
          <w:b/>
          <w:bCs/>
          <w:sz w:val="24"/>
          <w:szCs w:val="24"/>
        </w:rPr>
        <w:t>Ценовая (тарифная) политика в сфере социально</w:t>
      </w:r>
      <w:r>
        <w:rPr>
          <w:rFonts w:ascii="Times New Roman" w:hAnsi="Times New Roman"/>
          <w:b/>
          <w:bCs/>
          <w:sz w:val="24"/>
          <w:szCs w:val="24"/>
        </w:rPr>
        <w:t xml:space="preserve"> </w:t>
      </w:r>
      <w:r w:rsidRPr="0000667E">
        <w:rPr>
          <w:rFonts w:ascii="Times New Roman" w:hAnsi="Times New Roman"/>
          <w:b/>
          <w:bCs/>
          <w:sz w:val="24"/>
          <w:szCs w:val="24"/>
        </w:rPr>
        <w:t>значимых товаров (работ, услуг)</w:t>
      </w:r>
    </w:p>
    <w:p w:rsidR="005423DE" w:rsidRDefault="005423DE" w:rsidP="005423DE">
      <w:pPr>
        <w:spacing w:after="0" w:line="240" w:lineRule="auto"/>
        <w:ind w:firstLine="708"/>
        <w:jc w:val="both"/>
        <w:rPr>
          <w:rFonts w:ascii="Times New Roman" w:hAnsi="Times New Roman"/>
          <w:bCs/>
          <w:sz w:val="24"/>
          <w:szCs w:val="24"/>
        </w:rPr>
      </w:pPr>
      <w:r w:rsidRPr="0000667E">
        <w:rPr>
          <w:rFonts w:ascii="Times New Roman" w:hAnsi="Times New Roman"/>
          <w:bCs/>
          <w:sz w:val="24"/>
          <w:szCs w:val="24"/>
        </w:rPr>
        <w:t>Ценовая и тарифная политика на 2014 год в сфере социально значимых товаров (работ, услуг) сформирована с учетом норм действующего законодательства в области ценообразования и влиянием следующих факторов:</w:t>
      </w:r>
    </w:p>
    <w:p w:rsidR="005423DE" w:rsidRDefault="005423DE" w:rsidP="005423DE">
      <w:pPr>
        <w:spacing w:after="0" w:line="240" w:lineRule="auto"/>
        <w:ind w:firstLine="708"/>
        <w:jc w:val="both"/>
        <w:rPr>
          <w:rFonts w:ascii="Times New Roman" w:hAnsi="Times New Roman"/>
          <w:bCs/>
          <w:sz w:val="24"/>
          <w:szCs w:val="24"/>
        </w:rPr>
      </w:pPr>
      <w:r>
        <w:rPr>
          <w:rFonts w:ascii="Times New Roman" w:hAnsi="Times New Roman"/>
          <w:bCs/>
          <w:sz w:val="24"/>
          <w:szCs w:val="24"/>
        </w:rPr>
        <w:t>- и</w:t>
      </w:r>
      <w:r w:rsidRPr="0000667E">
        <w:rPr>
          <w:rFonts w:ascii="Times New Roman" w:hAnsi="Times New Roman"/>
          <w:bCs/>
          <w:sz w:val="24"/>
          <w:szCs w:val="24"/>
        </w:rPr>
        <w:t>зменение цен на сырье и материалы, тарифов на энергоносители;</w:t>
      </w:r>
    </w:p>
    <w:p w:rsidR="005423DE" w:rsidRDefault="005423DE" w:rsidP="005423DE">
      <w:pPr>
        <w:spacing w:after="0" w:line="240" w:lineRule="auto"/>
        <w:ind w:firstLine="708"/>
        <w:jc w:val="both"/>
        <w:rPr>
          <w:rFonts w:ascii="Times New Roman" w:hAnsi="Times New Roman"/>
          <w:bCs/>
          <w:sz w:val="24"/>
          <w:szCs w:val="24"/>
        </w:rPr>
      </w:pPr>
      <w:r>
        <w:rPr>
          <w:rFonts w:ascii="Times New Roman" w:hAnsi="Times New Roman"/>
          <w:bCs/>
          <w:sz w:val="24"/>
          <w:szCs w:val="24"/>
        </w:rPr>
        <w:t>-</w:t>
      </w:r>
      <w:r w:rsidRPr="0000667E">
        <w:rPr>
          <w:rFonts w:ascii="Times New Roman" w:hAnsi="Times New Roman"/>
          <w:bCs/>
          <w:sz w:val="24"/>
          <w:szCs w:val="24"/>
        </w:rPr>
        <w:t>влияние прогнозируемого уровня инфляции в размере 8</w:t>
      </w:r>
      <w:r>
        <w:rPr>
          <w:rFonts w:ascii="Times New Roman" w:hAnsi="Times New Roman"/>
          <w:bCs/>
          <w:sz w:val="24"/>
          <w:szCs w:val="24"/>
        </w:rPr>
        <w:t>%</w:t>
      </w:r>
      <w:r w:rsidRPr="0000667E">
        <w:rPr>
          <w:rFonts w:ascii="Times New Roman" w:hAnsi="Times New Roman"/>
          <w:bCs/>
          <w:sz w:val="24"/>
          <w:szCs w:val="24"/>
        </w:rPr>
        <w:t>;</w:t>
      </w:r>
    </w:p>
    <w:p w:rsidR="005423DE" w:rsidRPr="0000667E" w:rsidRDefault="005423DE" w:rsidP="005423DE">
      <w:pPr>
        <w:spacing w:after="0" w:line="240" w:lineRule="auto"/>
        <w:ind w:firstLine="708"/>
        <w:jc w:val="both"/>
        <w:rPr>
          <w:rFonts w:ascii="Times New Roman" w:hAnsi="Times New Roman"/>
          <w:bCs/>
          <w:sz w:val="24"/>
          <w:szCs w:val="24"/>
        </w:rPr>
      </w:pPr>
      <w:r>
        <w:rPr>
          <w:rFonts w:ascii="Times New Roman" w:hAnsi="Times New Roman"/>
          <w:bCs/>
          <w:sz w:val="24"/>
          <w:szCs w:val="24"/>
        </w:rPr>
        <w:t>-</w:t>
      </w:r>
      <w:r w:rsidRPr="0000667E">
        <w:rPr>
          <w:rFonts w:ascii="Times New Roman" w:hAnsi="Times New Roman"/>
          <w:bCs/>
          <w:sz w:val="24"/>
          <w:szCs w:val="24"/>
        </w:rPr>
        <w:t>фактические результаты деятельности хозяйствующих субъектов, производящих (осуществляющих, оказывающих) социально значимые товары (работы, услуги), по итогам работы за прошедший расчетный период регулирования.</w:t>
      </w:r>
    </w:p>
    <w:p w:rsidR="005423DE" w:rsidRPr="0000667E" w:rsidRDefault="005423DE" w:rsidP="005423DE">
      <w:pPr>
        <w:spacing w:after="0" w:line="240" w:lineRule="auto"/>
        <w:ind w:firstLine="708"/>
        <w:jc w:val="both"/>
        <w:rPr>
          <w:rFonts w:ascii="Times New Roman" w:hAnsi="Times New Roman"/>
          <w:bCs/>
          <w:sz w:val="24"/>
          <w:szCs w:val="24"/>
        </w:rPr>
      </w:pPr>
      <w:r w:rsidRPr="0000667E">
        <w:rPr>
          <w:rFonts w:ascii="Times New Roman" w:hAnsi="Times New Roman"/>
          <w:bCs/>
          <w:sz w:val="24"/>
          <w:szCs w:val="24"/>
        </w:rPr>
        <w:t>В 2014 году по сравнению с 2013 годом снижение цен (тарифов) на социально значимые товары (работы, услуги) составило в среднем 3,17</w:t>
      </w:r>
      <w:r>
        <w:rPr>
          <w:rFonts w:ascii="Times New Roman" w:hAnsi="Times New Roman"/>
          <w:bCs/>
          <w:sz w:val="24"/>
          <w:szCs w:val="24"/>
        </w:rPr>
        <w:t>%</w:t>
      </w:r>
      <w:r w:rsidRPr="0000667E">
        <w:rPr>
          <w:rFonts w:ascii="Times New Roman" w:hAnsi="Times New Roman"/>
          <w:bCs/>
          <w:sz w:val="24"/>
          <w:szCs w:val="24"/>
        </w:rPr>
        <w:t>.</w:t>
      </w:r>
    </w:p>
    <w:p w:rsidR="005423DE" w:rsidRDefault="005423DE" w:rsidP="005423DE">
      <w:pPr>
        <w:spacing w:after="0" w:line="240" w:lineRule="auto"/>
        <w:ind w:firstLine="708"/>
        <w:jc w:val="both"/>
        <w:rPr>
          <w:rFonts w:ascii="Times New Roman" w:hAnsi="Times New Roman"/>
          <w:bCs/>
          <w:sz w:val="24"/>
          <w:szCs w:val="24"/>
        </w:rPr>
      </w:pPr>
      <w:r w:rsidRPr="0000667E">
        <w:rPr>
          <w:rFonts w:ascii="Times New Roman" w:hAnsi="Times New Roman"/>
          <w:bCs/>
          <w:sz w:val="24"/>
          <w:szCs w:val="24"/>
        </w:rPr>
        <w:t>Предельные уровни (нормативы) рентабельности на товары (работы, услуги), производимые (осуществляемые, оказываемые) на территории Приднестровской Молдавской Республики, а также уровни торговых надбавок к отпускной цене или цене приобретения остаются на уровне 2013 года.</w:t>
      </w:r>
    </w:p>
    <w:p w:rsidR="005423DE" w:rsidRPr="0000667E" w:rsidRDefault="005423DE" w:rsidP="005423DE">
      <w:pPr>
        <w:spacing w:after="0" w:line="240" w:lineRule="auto"/>
        <w:ind w:firstLine="708"/>
        <w:jc w:val="both"/>
        <w:rPr>
          <w:rFonts w:ascii="Times New Roman" w:hAnsi="Times New Roman"/>
          <w:b/>
          <w:bCs/>
          <w:sz w:val="24"/>
          <w:szCs w:val="24"/>
        </w:rPr>
      </w:pPr>
      <w:r w:rsidRPr="009C7DE9">
        <w:rPr>
          <w:rFonts w:ascii="Times New Roman" w:hAnsi="Times New Roman"/>
          <w:b/>
          <w:bCs/>
          <w:sz w:val="24"/>
          <w:szCs w:val="24"/>
        </w:rPr>
        <w:t xml:space="preserve">Тарифная </w:t>
      </w:r>
      <w:r w:rsidRPr="0000667E">
        <w:rPr>
          <w:rFonts w:ascii="Times New Roman" w:hAnsi="Times New Roman"/>
          <w:b/>
          <w:bCs/>
          <w:sz w:val="24"/>
          <w:szCs w:val="24"/>
        </w:rPr>
        <w:t>политика в сфере услуг государственных и муниципальных учреждений</w:t>
      </w:r>
    </w:p>
    <w:p w:rsidR="005423DE" w:rsidRPr="0000667E" w:rsidRDefault="005423DE" w:rsidP="005423DE">
      <w:pPr>
        <w:spacing w:after="0" w:line="240" w:lineRule="auto"/>
        <w:ind w:firstLine="708"/>
        <w:jc w:val="both"/>
        <w:rPr>
          <w:rFonts w:ascii="Times New Roman" w:hAnsi="Times New Roman"/>
          <w:sz w:val="24"/>
          <w:szCs w:val="24"/>
        </w:rPr>
      </w:pPr>
      <w:r w:rsidRPr="0000667E">
        <w:rPr>
          <w:rFonts w:ascii="Times New Roman" w:hAnsi="Times New Roman"/>
          <w:bCs/>
          <w:sz w:val="24"/>
          <w:szCs w:val="24"/>
        </w:rPr>
        <w:t xml:space="preserve">Предельные уровни тарифов на услуги государственных и муниципальных учреждений в 2014 году по сравнению с предельными уровнями тарифов, </w:t>
      </w:r>
      <w:r w:rsidRPr="0000667E">
        <w:rPr>
          <w:rFonts w:ascii="Times New Roman" w:hAnsi="Times New Roman"/>
          <w:bCs/>
          <w:sz w:val="24"/>
          <w:szCs w:val="24"/>
        </w:rPr>
        <w:lastRenderedPageBreak/>
        <w:t>действовавшими в 2013 году, увеличены на уровень, не превышающий прогнозируемый на 2014 год коэффициент инфляции в размере 8</w:t>
      </w:r>
      <w:r>
        <w:rPr>
          <w:rFonts w:ascii="Times New Roman" w:hAnsi="Times New Roman"/>
          <w:bCs/>
          <w:sz w:val="24"/>
          <w:szCs w:val="24"/>
        </w:rPr>
        <w:t>%</w:t>
      </w:r>
      <w:r w:rsidRPr="0000667E">
        <w:rPr>
          <w:rFonts w:ascii="Times New Roman" w:hAnsi="Times New Roman"/>
          <w:bCs/>
          <w:sz w:val="24"/>
          <w:szCs w:val="24"/>
        </w:rPr>
        <w:t>.</w:t>
      </w:r>
    </w:p>
    <w:p w:rsidR="005423DE" w:rsidRPr="0000667E" w:rsidRDefault="005423DE" w:rsidP="005423DE">
      <w:pPr>
        <w:spacing w:after="0" w:line="240" w:lineRule="auto"/>
        <w:ind w:firstLine="708"/>
        <w:jc w:val="both"/>
        <w:rPr>
          <w:rFonts w:ascii="Times New Roman" w:hAnsi="Times New Roman"/>
          <w:b/>
          <w:bCs/>
          <w:sz w:val="24"/>
          <w:szCs w:val="24"/>
        </w:rPr>
      </w:pPr>
      <w:r w:rsidRPr="0000667E">
        <w:rPr>
          <w:rFonts w:ascii="Times New Roman" w:hAnsi="Times New Roman"/>
          <w:b/>
          <w:bCs/>
          <w:sz w:val="24"/>
          <w:szCs w:val="24"/>
        </w:rPr>
        <w:t>Тарифная политика в сфере работ, услуг по стандартизации, метрологии и обязательной сертификации продукции и услуг</w:t>
      </w:r>
    </w:p>
    <w:p w:rsidR="005423DE" w:rsidRPr="0000667E" w:rsidRDefault="005423DE" w:rsidP="005423DE">
      <w:pPr>
        <w:spacing w:after="0" w:line="240" w:lineRule="auto"/>
        <w:ind w:firstLine="708"/>
        <w:jc w:val="both"/>
        <w:rPr>
          <w:rFonts w:ascii="Times New Roman" w:hAnsi="Times New Roman"/>
          <w:bCs/>
          <w:sz w:val="24"/>
          <w:szCs w:val="24"/>
        </w:rPr>
      </w:pPr>
      <w:r w:rsidRPr="0000667E">
        <w:rPr>
          <w:rFonts w:ascii="Times New Roman" w:hAnsi="Times New Roman"/>
          <w:bCs/>
          <w:sz w:val="24"/>
          <w:szCs w:val="24"/>
        </w:rPr>
        <w:t>В 2014 году по сравнению с 2013 годом рост тарифов на работы, услуги по стандартизации, метрологии и обязательной сертификации продукции и услуг составил в среднем 6,9</w:t>
      </w:r>
      <w:r>
        <w:rPr>
          <w:rFonts w:ascii="Times New Roman" w:hAnsi="Times New Roman"/>
          <w:bCs/>
          <w:sz w:val="24"/>
          <w:szCs w:val="24"/>
        </w:rPr>
        <w:t>%</w:t>
      </w:r>
      <w:r w:rsidRPr="0000667E">
        <w:rPr>
          <w:rFonts w:ascii="Times New Roman" w:hAnsi="Times New Roman"/>
          <w:bCs/>
          <w:sz w:val="24"/>
          <w:szCs w:val="24"/>
        </w:rPr>
        <w:t>, что не превышает прогнозируемый на 2014 год уровень инфляции.</w:t>
      </w:r>
    </w:p>
    <w:p w:rsidR="005423DE" w:rsidRPr="009C7DE9" w:rsidRDefault="005423DE" w:rsidP="005423DE">
      <w:pPr>
        <w:spacing w:after="0" w:line="240" w:lineRule="auto"/>
        <w:jc w:val="both"/>
        <w:rPr>
          <w:rFonts w:ascii="Times New Roman" w:hAnsi="Times New Roman"/>
          <w:b/>
          <w:bCs/>
          <w:i/>
          <w:sz w:val="24"/>
          <w:szCs w:val="24"/>
        </w:rPr>
      </w:pPr>
      <w:r>
        <w:rPr>
          <w:rFonts w:ascii="Times New Roman" w:hAnsi="Times New Roman"/>
          <w:bCs/>
          <w:sz w:val="24"/>
          <w:szCs w:val="24"/>
        </w:rPr>
        <w:tab/>
      </w:r>
      <w:r w:rsidRPr="009C7DE9">
        <w:rPr>
          <w:rFonts w:ascii="Times New Roman" w:hAnsi="Times New Roman"/>
          <w:b/>
          <w:bCs/>
          <w:i/>
          <w:sz w:val="24"/>
          <w:szCs w:val="24"/>
        </w:rPr>
        <w:t>Инфляционные процессы</w:t>
      </w:r>
    </w:p>
    <w:p w:rsidR="005423DE" w:rsidRDefault="005423DE" w:rsidP="005423DE">
      <w:pPr>
        <w:pStyle w:val="ad"/>
        <w:spacing w:after="0"/>
        <w:ind w:firstLine="709"/>
        <w:jc w:val="both"/>
        <w:rPr>
          <w:rStyle w:val="af"/>
          <w:color w:val="000000"/>
          <w:sz w:val="24"/>
          <w:szCs w:val="24"/>
        </w:rPr>
      </w:pPr>
      <w:r w:rsidRPr="009753D1">
        <w:rPr>
          <w:rStyle w:val="af"/>
          <w:color w:val="000000"/>
          <w:sz w:val="24"/>
          <w:szCs w:val="24"/>
        </w:rPr>
        <w:t>В январе-июне 201</w:t>
      </w:r>
      <w:r>
        <w:rPr>
          <w:rStyle w:val="af"/>
          <w:color w:val="000000"/>
          <w:sz w:val="24"/>
          <w:szCs w:val="24"/>
        </w:rPr>
        <w:t>4</w:t>
      </w:r>
      <w:r w:rsidRPr="009753D1">
        <w:rPr>
          <w:rStyle w:val="af"/>
          <w:color w:val="000000"/>
          <w:sz w:val="24"/>
          <w:szCs w:val="24"/>
        </w:rPr>
        <w:t xml:space="preserve"> года на внутреннем потребительском рынке республики</w:t>
      </w:r>
      <w:r w:rsidRPr="00304D74">
        <w:rPr>
          <w:rStyle w:val="af"/>
          <w:color w:val="000000"/>
          <w:sz w:val="24"/>
          <w:szCs w:val="24"/>
        </w:rPr>
        <w:t xml:space="preserve"> </w:t>
      </w:r>
      <w:r>
        <w:rPr>
          <w:rStyle w:val="af"/>
          <w:color w:val="000000"/>
          <w:sz w:val="24"/>
          <w:szCs w:val="24"/>
        </w:rPr>
        <w:t xml:space="preserve">отмечалась тенденция существенного </w:t>
      </w:r>
      <w:r w:rsidRPr="009753D1">
        <w:rPr>
          <w:rStyle w:val="af"/>
          <w:color w:val="000000"/>
          <w:sz w:val="24"/>
          <w:szCs w:val="24"/>
        </w:rPr>
        <w:t>замедлени</w:t>
      </w:r>
      <w:r>
        <w:rPr>
          <w:rStyle w:val="af"/>
          <w:color w:val="000000"/>
          <w:sz w:val="24"/>
          <w:szCs w:val="24"/>
        </w:rPr>
        <w:t>я</w:t>
      </w:r>
      <w:r w:rsidRPr="009753D1">
        <w:rPr>
          <w:rStyle w:val="af"/>
          <w:color w:val="000000"/>
          <w:sz w:val="24"/>
          <w:szCs w:val="24"/>
        </w:rPr>
        <w:t xml:space="preserve"> динамики цен</w:t>
      </w:r>
      <w:r>
        <w:rPr>
          <w:rStyle w:val="af"/>
          <w:color w:val="000000"/>
          <w:sz w:val="24"/>
          <w:szCs w:val="24"/>
        </w:rPr>
        <w:t xml:space="preserve">. В целом инфляционный фон по итогам </w:t>
      </w:r>
      <w:r w:rsidRPr="00AD4290">
        <w:rPr>
          <w:sz w:val="24"/>
          <w:szCs w:val="24"/>
          <w:lang w:val="en-US"/>
        </w:rPr>
        <w:t>I</w:t>
      </w:r>
      <w:r w:rsidRPr="00080D59">
        <w:rPr>
          <w:sz w:val="28"/>
          <w:szCs w:val="28"/>
        </w:rPr>
        <w:t xml:space="preserve"> </w:t>
      </w:r>
      <w:r>
        <w:rPr>
          <w:rStyle w:val="af"/>
          <w:color w:val="000000"/>
          <w:sz w:val="24"/>
          <w:szCs w:val="24"/>
        </w:rPr>
        <w:t>полугодия 2014 года составил 1,96</w:t>
      </w:r>
      <w:r w:rsidRPr="009753D1">
        <w:rPr>
          <w:rStyle w:val="af"/>
          <w:color w:val="000000"/>
          <w:sz w:val="24"/>
          <w:szCs w:val="24"/>
        </w:rPr>
        <w:t xml:space="preserve">% против </w:t>
      </w:r>
      <w:r>
        <w:rPr>
          <w:rStyle w:val="af"/>
          <w:color w:val="000000"/>
          <w:sz w:val="24"/>
          <w:szCs w:val="24"/>
        </w:rPr>
        <w:t>3,42</w:t>
      </w:r>
      <w:r w:rsidRPr="009753D1">
        <w:rPr>
          <w:rStyle w:val="af"/>
          <w:color w:val="000000"/>
          <w:sz w:val="24"/>
          <w:szCs w:val="24"/>
        </w:rPr>
        <w:t>% в базовом периоде 201</w:t>
      </w:r>
      <w:r>
        <w:rPr>
          <w:rStyle w:val="af"/>
          <w:color w:val="000000"/>
          <w:sz w:val="24"/>
          <w:szCs w:val="24"/>
        </w:rPr>
        <w:t>3</w:t>
      </w:r>
      <w:r w:rsidRPr="009753D1">
        <w:rPr>
          <w:rStyle w:val="af"/>
          <w:color w:val="000000"/>
          <w:sz w:val="24"/>
          <w:szCs w:val="24"/>
        </w:rPr>
        <w:t xml:space="preserve"> года. </w:t>
      </w:r>
      <w:r>
        <w:rPr>
          <w:rStyle w:val="af"/>
          <w:color w:val="000000"/>
          <w:sz w:val="24"/>
          <w:szCs w:val="24"/>
        </w:rPr>
        <w:t>Генератором инфляционных процессов продолжали оставаться сфера административно регулируемых услуг и подверженные сезонному воздействию товары.</w:t>
      </w:r>
    </w:p>
    <w:p w:rsidR="005423DE" w:rsidRDefault="005423DE" w:rsidP="005423DE">
      <w:pPr>
        <w:pStyle w:val="ad"/>
        <w:spacing w:after="0"/>
        <w:jc w:val="both"/>
        <w:rPr>
          <w:rStyle w:val="af"/>
          <w:color w:val="000000"/>
          <w:sz w:val="24"/>
          <w:szCs w:val="24"/>
        </w:rPr>
      </w:pPr>
      <w:r w:rsidRPr="000620AD">
        <w:rPr>
          <w:rStyle w:val="afa"/>
          <w:rFonts w:eastAsia="Calibri"/>
          <w:noProof/>
          <w:color w:val="000000"/>
          <w:sz w:val="24"/>
          <w:szCs w:val="24"/>
        </w:rPr>
        <w:drawing>
          <wp:inline distT="0" distB="0" distL="0" distR="0">
            <wp:extent cx="5940425" cy="2532297"/>
            <wp:effectExtent l="0" t="0" r="0" b="0"/>
            <wp:docPr id="17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423DE" w:rsidRPr="005423DE" w:rsidRDefault="005423DE" w:rsidP="005423DE">
      <w:pPr>
        <w:pStyle w:val="35"/>
        <w:shd w:val="clear" w:color="auto" w:fill="auto"/>
        <w:spacing w:line="240" w:lineRule="auto"/>
        <w:ind w:firstLine="709"/>
        <w:rPr>
          <w:rStyle w:val="afa"/>
          <w:rFonts w:eastAsia="Calibri"/>
          <w:color w:val="000000"/>
          <w:sz w:val="24"/>
          <w:szCs w:val="24"/>
        </w:rPr>
      </w:pPr>
      <w:r w:rsidRPr="005423DE">
        <w:rPr>
          <w:rStyle w:val="afa"/>
          <w:rFonts w:eastAsia="Calibri"/>
          <w:color w:val="000000"/>
          <w:sz w:val="24"/>
          <w:szCs w:val="24"/>
        </w:rPr>
        <w:t xml:space="preserve">На фоне дефляции по большинству виду товаров в продовольственном сегменте потребительского рынка (удешевление яиц – на 38,04%, муки – на 2,83%, сахара – на 0,32%, молока и молочной продукции – на 3,65%, сыра – на 9,69%, макаронных и крупяных изделий – на 0,32%) в совокупности с сезонным повышением цен на плодоовощную продукцию, включая картофель – на 28,68%, общий инфляционный фон в продовольственном сегменте потребительского рынка в январе-июне 2014 года составил 2,94% (в январе-июне 2013 года – 4,47%). </w:t>
      </w:r>
    </w:p>
    <w:p w:rsidR="005423DE" w:rsidRDefault="005423DE" w:rsidP="005423DE">
      <w:pPr>
        <w:spacing w:after="0" w:line="240" w:lineRule="auto"/>
        <w:ind w:firstLine="708"/>
        <w:jc w:val="both"/>
        <w:rPr>
          <w:rFonts w:ascii="Times New Roman" w:hAnsi="Times New Roman"/>
          <w:sz w:val="24"/>
          <w:szCs w:val="24"/>
        </w:rPr>
      </w:pPr>
      <w:r>
        <w:rPr>
          <w:rFonts w:ascii="Times New Roman" w:hAnsi="Times New Roman"/>
          <w:sz w:val="24"/>
          <w:szCs w:val="24"/>
        </w:rPr>
        <w:t xml:space="preserve">Также отмечается ценовая стабильность в сфере непродовольственных товаров с дефляцией («-»1,99%), понижательный тренд потребительского рынка зафиксирован по следующим видам товаров: </w:t>
      </w:r>
      <w:r>
        <w:rPr>
          <w:rFonts w:ascii="Times New Roman" w:hAnsi="Times New Roman"/>
        </w:rPr>
        <w:t>вычислительная техника (-0,52%), телерадиотовары (-4,85%), медикаменты (-1,42%), топливо (бензин) (- 19,11%) и др.</w:t>
      </w:r>
    </w:p>
    <w:p w:rsidR="005423DE" w:rsidRDefault="005423DE" w:rsidP="005423DE">
      <w:pPr>
        <w:pStyle w:val="ad"/>
        <w:spacing w:after="0"/>
        <w:ind w:firstLine="709"/>
        <w:jc w:val="both"/>
        <w:rPr>
          <w:rStyle w:val="af"/>
          <w:color w:val="000000"/>
          <w:sz w:val="24"/>
          <w:szCs w:val="24"/>
        </w:rPr>
      </w:pPr>
      <w:r>
        <w:rPr>
          <w:rStyle w:val="af"/>
          <w:color w:val="000000"/>
          <w:sz w:val="24"/>
          <w:szCs w:val="24"/>
        </w:rPr>
        <w:t>При этом</w:t>
      </w:r>
      <w:r w:rsidRPr="009753D1">
        <w:rPr>
          <w:rStyle w:val="af"/>
          <w:color w:val="000000"/>
          <w:sz w:val="24"/>
          <w:szCs w:val="24"/>
        </w:rPr>
        <w:t xml:space="preserve"> в общем повышении стоимости потребительских товаров и услуг </w:t>
      </w:r>
      <w:r>
        <w:rPr>
          <w:rStyle w:val="af"/>
          <w:color w:val="000000"/>
          <w:sz w:val="24"/>
          <w:szCs w:val="24"/>
        </w:rPr>
        <w:t xml:space="preserve">наибольшее влияние оказала </w:t>
      </w:r>
      <w:r w:rsidRPr="009753D1">
        <w:rPr>
          <w:rStyle w:val="af"/>
          <w:color w:val="000000"/>
          <w:sz w:val="24"/>
          <w:szCs w:val="24"/>
        </w:rPr>
        <w:t>инфляци</w:t>
      </w:r>
      <w:r>
        <w:rPr>
          <w:rStyle w:val="af"/>
          <w:color w:val="000000"/>
          <w:sz w:val="24"/>
          <w:szCs w:val="24"/>
        </w:rPr>
        <w:t>я</w:t>
      </w:r>
      <w:r w:rsidRPr="009753D1">
        <w:rPr>
          <w:rStyle w:val="af"/>
          <w:color w:val="000000"/>
          <w:sz w:val="24"/>
          <w:szCs w:val="24"/>
        </w:rPr>
        <w:t xml:space="preserve"> в сегменте </w:t>
      </w:r>
      <w:r>
        <w:rPr>
          <w:rStyle w:val="af"/>
          <w:color w:val="000000"/>
          <w:sz w:val="24"/>
          <w:szCs w:val="24"/>
        </w:rPr>
        <w:t>услуг. Темпы прироста цен в данном сегменте потребительского рынка выросли до 7,18% в январе-июне</w:t>
      </w:r>
      <w:r>
        <w:rPr>
          <w:rStyle w:val="af"/>
          <w:color w:val="000000"/>
          <w:sz w:val="24"/>
          <w:szCs w:val="24"/>
        </w:rPr>
        <w:br/>
        <w:t>2014 года против 5,91% в январе-июне 2013 года.</w:t>
      </w:r>
    </w:p>
    <w:p w:rsidR="005423DE" w:rsidRDefault="005423DE" w:rsidP="005423DE">
      <w:pPr>
        <w:spacing w:after="0" w:line="240" w:lineRule="auto"/>
        <w:ind w:right="-42" w:firstLine="708"/>
        <w:jc w:val="both"/>
        <w:rPr>
          <w:rFonts w:ascii="Times New Roman" w:hAnsi="Times New Roman"/>
          <w:sz w:val="24"/>
          <w:szCs w:val="24"/>
        </w:rPr>
      </w:pPr>
      <w:r w:rsidRPr="008C69F7">
        <w:rPr>
          <w:rFonts w:ascii="Times New Roman" w:hAnsi="Times New Roman"/>
          <w:sz w:val="24"/>
          <w:szCs w:val="24"/>
        </w:rPr>
        <w:t xml:space="preserve">Основное влияние на определившейся инфляционный фон в сфере тарифов на услуги оказало в </w:t>
      </w:r>
      <w:r>
        <w:rPr>
          <w:rFonts w:ascii="Times New Roman" w:hAnsi="Times New Roman"/>
          <w:sz w:val="24"/>
          <w:szCs w:val="24"/>
        </w:rPr>
        <w:t xml:space="preserve">январе-июне </w:t>
      </w:r>
      <w:r w:rsidRPr="008C69F7">
        <w:rPr>
          <w:rFonts w:ascii="Times New Roman" w:hAnsi="Times New Roman"/>
          <w:sz w:val="24"/>
          <w:szCs w:val="24"/>
        </w:rPr>
        <w:t>201</w:t>
      </w:r>
      <w:r>
        <w:rPr>
          <w:rFonts w:ascii="Times New Roman" w:hAnsi="Times New Roman"/>
          <w:sz w:val="24"/>
          <w:szCs w:val="24"/>
        </w:rPr>
        <w:t>4</w:t>
      </w:r>
      <w:r w:rsidRPr="008C69F7">
        <w:rPr>
          <w:rFonts w:ascii="Times New Roman" w:hAnsi="Times New Roman"/>
          <w:sz w:val="24"/>
          <w:szCs w:val="24"/>
        </w:rPr>
        <w:t xml:space="preserve"> год</w:t>
      </w:r>
      <w:r>
        <w:rPr>
          <w:rFonts w:ascii="Times New Roman" w:hAnsi="Times New Roman"/>
          <w:sz w:val="24"/>
          <w:szCs w:val="24"/>
        </w:rPr>
        <w:t>а</w:t>
      </w:r>
      <w:r w:rsidRPr="008C69F7">
        <w:rPr>
          <w:rFonts w:ascii="Times New Roman" w:hAnsi="Times New Roman"/>
          <w:sz w:val="24"/>
          <w:szCs w:val="24"/>
        </w:rPr>
        <w:t xml:space="preserve"> повышение цен на жилищно-коммунальные услуги</w:t>
      </w:r>
      <w:r>
        <w:rPr>
          <w:rFonts w:ascii="Times New Roman" w:hAnsi="Times New Roman"/>
          <w:sz w:val="24"/>
          <w:szCs w:val="24"/>
        </w:rPr>
        <w:t xml:space="preserve"> - </w:t>
      </w:r>
      <w:r w:rsidRPr="008C69F7">
        <w:rPr>
          <w:rFonts w:ascii="Times New Roman" w:hAnsi="Times New Roman"/>
          <w:sz w:val="24"/>
          <w:szCs w:val="24"/>
        </w:rPr>
        <w:t>на 10,</w:t>
      </w:r>
      <w:r>
        <w:rPr>
          <w:rFonts w:ascii="Times New Roman" w:hAnsi="Times New Roman"/>
          <w:sz w:val="24"/>
          <w:szCs w:val="24"/>
        </w:rPr>
        <w:t>62</w:t>
      </w:r>
      <w:r w:rsidRPr="008C69F7">
        <w:rPr>
          <w:rFonts w:ascii="Times New Roman" w:hAnsi="Times New Roman"/>
          <w:sz w:val="24"/>
          <w:szCs w:val="24"/>
        </w:rPr>
        <w:t xml:space="preserve">% (в </w:t>
      </w:r>
      <w:r>
        <w:rPr>
          <w:rFonts w:ascii="Times New Roman" w:hAnsi="Times New Roman"/>
          <w:sz w:val="24"/>
          <w:szCs w:val="24"/>
        </w:rPr>
        <w:t xml:space="preserve">январе-июне 2013 года </w:t>
      </w:r>
      <w:r w:rsidRPr="008C69F7">
        <w:rPr>
          <w:rFonts w:ascii="Times New Roman" w:hAnsi="Times New Roman"/>
          <w:sz w:val="24"/>
          <w:szCs w:val="24"/>
        </w:rPr>
        <w:t>–</w:t>
      </w:r>
      <w:r>
        <w:rPr>
          <w:rFonts w:ascii="Times New Roman" w:hAnsi="Times New Roman"/>
          <w:sz w:val="24"/>
          <w:szCs w:val="24"/>
        </w:rPr>
        <w:t xml:space="preserve"> н</w:t>
      </w:r>
      <w:r w:rsidRPr="008C69F7">
        <w:rPr>
          <w:rFonts w:ascii="Times New Roman" w:hAnsi="Times New Roman"/>
          <w:sz w:val="24"/>
          <w:szCs w:val="24"/>
        </w:rPr>
        <w:t>а 1</w:t>
      </w:r>
      <w:r>
        <w:rPr>
          <w:rFonts w:ascii="Times New Roman" w:hAnsi="Times New Roman"/>
          <w:sz w:val="24"/>
          <w:szCs w:val="24"/>
        </w:rPr>
        <w:t>0,80</w:t>
      </w:r>
      <w:r w:rsidRPr="008C69F7">
        <w:rPr>
          <w:rFonts w:ascii="Times New Roman" w:hAnsi="Times New Roman"/>
          <w:sz w:val="24"/>
          <w:szCs w:val="24"/>
        </w:rPr>
        <w:t>%), тарифов на услуги пассажирского транспорта</w:t>
      </w:r>
      <w:r>
        <w:rPr>
          <w:rFonts w:ascii="Times New Roman" w:hAnsi="Times New Roman"/>
          <w:sz w:val="24"/>
          <w:szCs w:val="24"/>
        </w:rPr>
        <w:t xml:space="preserve"> - </w:t>
      </w:r>
      <w:r w:rsidRPr="008C69F7">
        <w:rPr>
          <w:rFonts w:ascii="Times New Roman" w:hAnsi="Times New Roman"/>
          <w:sz w:val="24"/>
          <w:szCs w:val="24"/>
        </w:rPr>
        <w:t xml:space="preserve">на </w:t>
      </w:r>
      <w:r>
        <w:rPr>
          <w:rFonts w:ascii="Times New Roman" w:hAnsi="Times New Roman"/>
          <w:sz w:val="24"/>
          <w:szCs w:val="24"/>
        </w:rPr>
        <w:t>4,82</w:t>
      </w:r>
      <w:r w:rsidRPr="008C69F7">
        <w:rPr>
          <w:rFonts w:ascii="Times New Roman" w:hAnsi="Times New Roman"/>
          <w:sz w:val="24"/>
          <w:szCs w:val="24"/>
        </w:rPr>
        <w:t>%</w:t>
      </w:r>
      <w:r>
        <w:rPr>
          <w:rFonts w:ascii="Times New Roman" w:hAnsi="Times New Roman"/>
          <w:sz w:val="24"/>
          <w:szCs w:val="24"/>
        </w:rPr>
        <w:t xml:space="preserve"> (в январе-июне 2013 года – 13,10%).</w:t>
      </w:r>
    </w:p>
    <w:p w:rsidR="005423DE" w:rsidRPr="005423DE" w:rsidRDefault="005423DE" w:rsidP="005423DE">
      <w:pPr>
        <w:pStyle w:val="Style26"/>
        <w:widowControl/>
        <w:spacing w:before="5" w:line="240" w:lineRule="auto"/>
        <w:ind w:firstLine="708"/>
        <w:rPr>
          <w:rStyle w:val="FontStyle183"/>
          <w:rFonts w:ascii="Times New Roman" w:eastAsia="Calibri" w:hAnsi="Times New Roman"/>
          <w:sz w:val="24"/>
          <w:szCs w:val="24"/>
        </w:rPr>
      </w:pPr>
      <w:r w:rsidRPr="005423DE">
        <w:rPr>
          <w:rStyle w:val="FontStyle183"/>
          <w:rFonts w:ascii="Times New Roman" w:eastAsia="Calibri" w:hAnsi="Times New Roman"/>
          <w:sz w:val="24"/>
          <w:szCs w:val="24"/>
        </w:rPr>
        <w:t>Кроме того, весомое инфляционное давление в сфере услуг в обозначенном периоде создало повышение стоимости услуг дошкольного воспитания (+21,28%), медицинских услуг (+ 12,69%), услуг образования (+3,55%). В то же время подешевели ритуальные услуги на 11,25%, а также услуги организаций банков - на 2,24%.</w:t>
      </w:r>
    </w:p>
    <w:p w:rsidR="005423DE" w:rsidRPr="005423DE" w:rsidRDefault="005423DE" w:rsidP="005423DE">
      <w:pPr>
        <w:spacing w:after="0" w:line="240" w:lineRule="auto"/>
        <w:ind w:firstLine="720"/>
        <w:jc w:val="both"/>
        <w:rPr>
          <w:rFonts w:ascii="Times New Roman" w:hAnsi="Times New Roman"/>
          <w:sz w:val="24"/>
          <w:szCs w:val="24"/>
        </w:rPr>
      </w:pPr>
      <w:r w:rsidRPr="005423DE">
        <w:rPr>
          <w:rFonts w:ascii="Times New Roman" w:hAnsi="Times New Roman"/>
          <w:sz w:val="24"/>
          <w:szCs w:val="24"/>
        </w:rPr>
        <w:lastRenderedPageBreak/>
        <w:t xml:space="preserve">Таким образом, благодаря эффективным мерам со стороны государства в области ценовой и тарифной политики в рассматриваемом периоде в республике продолжилось ослабление инфляционного давления. </w:t>
      </w:r>
    </w:p>
    <w:p w:rsidR="005423DE" w:rsidRDefault="005423DE" w:rsidP="005423DE">
      <w:pPr>
        <w:spacing w:after="0" w:line="240" w:lineRule="auto"/>
        <w:ind w:firstLine="720"/>
        <w:jc w:val="both"/>
        <w:rPr>
          <w:rFonts w:ascii="Times New Roman" w:hAnsi="Times New Roman"/>
          <w:sz w:val="24"/>
          <w:szCs w:val="24"/>
        </w:rPr>
      </w:pPr>
    </w:p>
    <w:p w:rsidR="005423DE" w:rsidRDefault="005423DE" w:rsidP="005423DE">
      <w:pPr>
        <w:widowControl w:val="0"/>
        <w:autoSpaceDE w:val="0"/>
        <w:autoSpaceDN w:val="0"/>
        <w:adjustRightInd w:val="0"/>
        <w:spacing w:after="0" w:line="240" w:lineRule="auto"/>
        <w:ind w:firstLine="720"/>
        <w:jc w:val="both"/>
        <w:rPr>
          <w:rFonts w:ascii="Times New Roman" w:hAnsi="Times New Roman"/>
          <w:b/>
          <w:sz w:val="24"/>
          <w:szCs w:val="24"/>
        </w:rPr>
      </w:pPr>
      <w:r w:rsidRPr="0013256B">
        <w:rPr>
          <w:rFonts w:ascii="Times New Roman" w:hAnsi="Times New Roman"/>
          <w:b/>
          <w:sz w:val="24"/>
          <w:szCs w:val="24"/>
        </w:rPr>
        <w:t>Малое предпринимательство</w:t>
      </w:r>
    </w:p>
    <w:p w:rsidR="005423DE" w:rsidRDefault="005423DE" w:rsidP="005423DE">
      <w:pPr>
        <w:widowControl w:val="0"/>
        <w:autoSpaceDE w:val="0"/>
        <w:autoSpaceDN w:val="0"/>
        <w:adjustRightInd w:val="0"/>
        <w:spacing w:after="0" w:line="240" w:lineRule="auto"/>
        <w:ind w:firstLine="720"/>
        <w:jc w:val="both"/>
        <w:rPr>
          <w:rFonts w:ascii="Times New Roman" w:hAnsi="Times New Roman"/>
          <w:b/>
          <w:sz w:val="24"/>
          <w:szCs w:val="24"/>
        </w:rPr>
      </w:pPr>
    </w:p>
    <w:p w:rsidR="005423DE" w:rsidRPr="008B6D9D" w:rsidRDefault="005423DE" w:rsidP="005423DE">
      <w:pPr>
        <w:widowControl w:val="0"/>
        <w:autoSpaceDE w:val="0"/>
        <w:autoSpaceDN w:val="0"/>
        <w:adjustRightInd w:val="0"/>
        <w:spacing w:after="0" w:line="240" w:lineRule="auto"/>
        <w:ind w:firstLine="720"/>
        <w:jc w:val="both"/>
        <w:rPr>
          <w:rFonts w:ascii="Times New Roman" w:hAnsi="Times New Roman"/>
          <w:b/>
          <w:sz w:val="24"/>
          <w:szCs w:val="24"/>
        </w:rPr>
      </w:pPr>
      <w:r w:rsidRPr="008B6D9D">
        <w:rPr>
          <w:rFonts w:ascii="Times New Roman" w:hAnsi="Times New Roman"/>
          <w:sz w:val="24"/>
          <w:szCs w:val="24"/>
        </w:rPr>
        <w:t xml:space="preserve">В </w:t>
      </w:r>
      <w:r>
        <w:rPr>
          <w:rFonts w:ascii="Times New Roman" w:hAnsi="Times New Roman"/>
          <w:sz w:val="24"/>
          <w:szCs w:val="24"/>
        </w:rPr>
        <w:t>рассматриваемом</w:t>
      </w:r>
      <w:r w:rsidRPr="008B6D9D">
        <w:rPr>
          <w:rFonts w:ascii="Times New Roman" w:hAnsi="Times New Roman"/>
          <w:sz w:val="24"/>
          <w:szCs w:val="24"/>
        </w:rPr>
        <w:t xml:space="preserve"> периоде наблюдалась </w:t>
      </w:r>
      <w:r>
        <w:rPr>
          <w:rFonts w:ascii="Times New Roman" w:hAnsi="Times New Roman"/>
          <w:sz w:val="24"/>
          <w:szCs w:val="24"/>
        </w:rPr>
        <w:t>тенденция</w:t>
      </w:r>
      <w:r w:rsidRPr="008B6D9D">
        <w:rPr>
          <w:rFonts w:ascii="Times New Roman" w:hAnsi="Times New Roman"/>
          <w:sz w:val="24"/>
          <w:szCs w:val="24"/>
        </w:rPr>
        <w:t xml:space="preserve"> сокращения количества организаций малого предпринимательства. По состоянию на 1 июля текущего года в республике функционировало 3</w:t>
      </w:r>
      <w:r w:rsidRPr="008B6D9D">
        <w:rPr>
          <w:rFonts w:ascii="Times New Roman" w:hAnsi="Times New Roman"/>
          <w:color w:val="000000"/>
          <w:sz w:val="24"/>
          <w:szCs w:val="24"/>
        </w:rPr>
        <w:t> </w:t>
      </w:r>
      <w:r w:rsidRPr="008B6D9D">
        <w:rPr>
          <w:rFonts w:ascii="Times New Roman" w:hAnsi="Times New Roman"/>
          <w:sz w:val="24"/>
          <w:szCs w:val="24"/>
        </w:rPr>
        <w:t>746 организаций</w:t>
      </w:r>
    </w:p>
    <w:p w:rsidR="005423DE" w:rsidRPr="008B6D9D" w:rsidRDefault="005423DE" w:rsidP="005423DE">
      <w:pPr>
        <w:spacing w:after="0" w:line="240" w:lineRule="auto"/>
        <w:ind w:firstLine="709"/>
        <w:jc w:val="both"/>
        <w:rPr>
          <w:rFonts w:ascii="Times New Roman" w:hAnsi="Times New Roman"/>
          <w:sz w:val="24"/>
          <w:szCs w:val="24"/>
        </w:rPr>
      </w:pPr>
      <w:r w:rsidRPr="008B6D9D">
        <w:rPr>
          <w:rFonts w:ascii="Times New Roman" w:hAnsi="Times New Roman"/>
          <w:sz w:val="24"/>
          <w:szCs w:val="24"/>
        </w:rPr>
        <w:t xml:space="preserve">В январе – июне 2014 года количество субъектов малого бизнеса составило </w:t>
      </w:r>
      <w:r w:rsidR="0013256B">
        <w:rPr>
          <w:rFonts w:ascii="Times New Roman" w:hAnsi="Times New Roman"/>
          <w:sz w:val="24"/>
          <w:szCs w:val="24"/>
        </w:rPr>
        <w:t xml:space="preserve">             </w:t>
      </w:r>
      <w:r w:rsidRPr="008B6D9D">
        <w:rPr>
          <w:rFonts w:ascii="Times New Roman" w:hAnsi="Times New Roman"/>
          <w:sz w:val="24"/>
          <w:szCs w:val="24"/>
        </w:rPr>
        <w:t>4 091 организаций, при этом порядка 88,4% (3 616 организаций) всех субъектов малого предпринимательства являются микропредприятиями.</w:t>
      </w:r>
    </w:p>
    <w:p w:rsidR="005423DE" w:rsidRPr="008B6D9D" w:rsidRDefault="005423DE" w:rsidP="005423DE">
      <w:pPr>
        <w:spacing w:after="0" w:line="240" w:lineRule="auto"/>
        <w:ind w:firstLine="709"/>
        <w:jc w:val="both"/>
        <w:rPr>
          <w:rFonts w:ascii="Times New Roman" w:hAnsi="Times New Roman"/>
          <w:sz w:val="24"/>
          <w:szCs w:val="24"/>
        </w:rPr>
      </w:pPr>
      <w:r w:rsidRPr="008B6D9D">
        <w:rPr>
          <w:rFonts w:ascii="Times New Roman" w:hAnsi="Times New Roman"/>
          <w:sz w:val="24"/>
          <w:szCs w:val="24"/>
        </w:rPr>
        <w:t>Наиболее привлекательной сферой малого бизнеса остается торговля и общепит (47,9% от общего количества). В промышленности, строительстве и сельском хозяйстве сосредоточено порядка 27,3% общего количества организаций малого бизнеса республики.</w:t>
      </w:r>
    </w:p>
    <w:p w:rsidR="005423DE" w:rsidRPr="008B6D9D" w:rsidRDefault="005423DE" w:rsidP="005423DE">
      <w:pPr>
        <w:spacing w:after="0" w:line="240" w:lineRule="auto"/>
        <w:ind w:firstLine="720"/>
        <w:jc w:val="center"/>
        <w:rPr>
          <w:rFonts w:ascii="Times New Roman" w:hAnsi="Times New Roman"/>
          <w:b/>
          <w:sz w:val="24"/>
          <w:szCs w:val="24"/>
        </w:rPr>
      </w:pPr>
      <w:r w:rsidRPr="008B6D9D">
        <w:rPr>
          <w:rFonts w:ascii="Times New Roman" w:hAnsi="Times New Roman"/>
          <w:b/>
          <w:sz w:val="24"/>
          <w:szCs w:val="24"/>
        </w:rPr>
        <w:t xml:space="preserve">Структура организаций малого предпринимательства в разрезе отраслей экономики </w:t>
      </w:r>
    </w:p>
    <w:p w:rsidR="005423DE" w:rsidRPr="00863997" w:rsidRDefault="005423DE" w:rsidP="005423DE">
      <w:pPr>
        <w:tabs>
          <w:tab w:val="left" w:pos="2160"/>
        </w:tabs>
        <w:spacing w:after="0" w:line="240" w:lineRule="auto"/>
        <w:ind w:firstLine="284"/>
        <w:contextualSpacing/>
        <w:rPr>
          <w:rFonts w:ascii="Times New Roman" w:hAnsi="Times New Roman"/>
          <w:b/>
          <w:sz w:val="24"/>
          <w:szCs w:val="24"/>
        </w:rPr>
      </w:pPr>
      <w:r w:rsidRPr="008B6D9D">
        <w:rPr>
          <w:rFonts w:ascii="Times New Roman" w:hAnsi="Times New Roman"/>
          <w:noProof/>
          <w:sz w:val="24"/>
          <w:szCs w:val="24"/>
        </w:rPr>
        <w:drawing>
          <wp:anchor distT="48768" distB="394843" distL="193548" distR="358013" simplePos="0" relativeHeight="251677696" behindDoc="0" locked="0" layoutInCell="1" allowOverlap="1">
            <wp:simplePos x="0" y="0"/>
            <wp:positionH relativeFrom="column">
              <wp:posOffset>-108585</wp:posOffset>
            </wp:positionH>
            <wp:positionV relativeFrom="paragraph">
              <wp:posOffset>287655</wp:posOffset>
            </wp:positionV>
            <wp:extent cx="3095625" cy="2457450"/>
            <wp:effectExtent l="19050" t="0" r="0" b="0"/>
            <wp:wrapSquare wrapText="right"/>
            <wp:docPr id="173"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r w:rsidRPr="008B6D9D">
        <w:rPr>
          <w:rFonts w:ascii="Times New Roman" w:hAnsi="Times New Roman"/>
          <w:sz w:val="24"/>
          <w:szCs w:val="24"/>
        </w:rPr>
        <w:tab/>
        <w:t>(количество организаций, удельный вес %)</w:t>
      </w:r>
    </w:p>
    <w:p w:rsidR="005423DE" w:rsidRPr="008B6D9D" w:rsidRDefault="0013256B" w:rsidP="005423DE">
      <w:pPr>
        <w:tabs>
          <w:tab w:val="left" w:pos="2160"/>
        </w:tabs>
        <w:spacing w:after="0" w:line="240" w:lineRule="auto"/>
        <w:ind w:firstLine="709"/>
        <w:contextualSpacing/>
        <w:jc w:val="both"/>
        <w:rPr>
          <w:rFonts w:ascii="Times New Roman" w:hAnsi="Times New Roman"/>
          <w:sz w:val="24"/>
          <w:szCs w:val="24"/>
        </w:rPr>
      </w:pPr>
      <w:r>
        <w:rPr>
          <w:rFonts w:ascii="Times New Roman" w:hAnsi="Times New Roman"/>
          <w:noProof/>
          <w:sz w:val="24"/>
          <w:szCs w:val="24"/>
        </w:rPr>
        <w:drawing>
          <wp:anchor distT="48768" distB="394843" distL="193548" distR="358013" simplePos="0" relativeHeight="251676672" behindDoc="0" locked="0" layoutInCell="1" allowOverlap="1">
            <wp:simplePos x="0" y="0"/>
            <wp:positionH relativeFrom="column">
              <wp:posOffset>-358140</wp:posOffset>
            </wp:positionH>
            <wp:positionV relativeFrom="paragraph">
              <wp:posOffset>112395</wp:posOffset>
            </wp:positionV>
            <wp:extent cx="3152775" cy="2571750"/>
            <wp:effectExtent l="19050" t="0" r="0" b="0"/>
            <wp:wrapSquare wrapText="right"/>
            <wp:docPr id="17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r w:rsidR="005423DE" w:rsidRPr="008B6D9D">
        <w:rPr>
          <w:rFonts w:ascii="Times New Roman" w:hAnsi="Times New Roman"/>
          <w:sz w:val="24"/>
          <w:szCs w:val="24"/>
        </w:rPr>
        <w:t>В соответствии со структурой распределения организаций малого предпринимательства по отраслям экономики наибольшее количество занятых приходится на следующие отрасли: торговля и общепит – 6 284 человека (</w:t>
      </w:r>
      <w:r w:rsidR="005423DE">
        <w:rPr>
          <w:rFonts w:ascii="Times New Roman" w:hAnsi="Times New Roman"/>
          <w:sz w:val="24"/>
          <w:szCs w:val="24"/>
        </w:rPr>
        <w:t xml:space="preserve">«+» </w:t>
      </w:r>
      <w:r w:rsidR="005423DE" w:rsidRPr="008B6D9D">
        <w:rPr>
          <w:rFonts w:ascii="Times New Roman" w:hAnsi="Times New Roman"/>
          <w:sz w:val="24"/>
          <w:szCs w:val="24"/>
        </w:rPr>
        <w:t xml:space="preserve">3,3% по сравнению с уровнем января – июня 2013 года); промышленность – 2 919 работников («+»0,9%); сельское хозяйство – 1 405 человек («+»6,8%); </w:t>
      </w:r>
      <w:r w:rsidR="005423DE">
        <w:rPr>
          <w:rFonts w:ascii="Times New Roman" w:hAnsi="Times New Roman"/>
          <w:sz w:val="24"/>
          <w:szCs w:val="24"/>
        </w:rPr>
        <w:t xml:space="preserve">строительство - </w:t>
      </w:r>
      <w:r>
        <w:rPr>
          <w:rFonts w:ascii="Times New Roman" w:hAnsi="Times New Roman"/>
          <w:sz w:val="24"/>
          <w:szCs w:val="24"/>
        </w:rPr>
        <w:t xml:space="preserve">                           </w:t>
      </w:r>
      <w:r w:rsidR="005423DE" w:rsidRPr="008B6D9D">
        <w:rPr>
          <w:rFonts w:ascii="Times New Roman" w:hAnsi="Times New Roman"/>
          <w:sz w:val="24"/>
          <w:szCs w:val="24"/>
        </w:rPr>
        <w:t>1 528 трудящихся («+»0,5%); операции с недвижимым имуществом – 705 занятых («+»1,3%).</w:t>
      </w:r>
    </w:p>
    <w:p w:rsidR="005423DE" w:rsidRPr="00863997" w:rsidRDefault="005423DE" w:rsidP="005423DE">
      <w:pPr>
        <w:spacing w:after="0" w:line="240" w:lineRule="auto"/>
        <w:ind w:firstLine="709"/>
        <w:jc w:val="both"/>
        <w:rPr>
          <w:rFonts w:ascii="Times New Roman" w:hAnsi="Times New Roman"/>
          <w:sz w:val="24"/>
          <w:szCs w:val="24"/>
        </w:rPr>
      </w:pPr>
      <w:r w:rsidRPr="008B6D9D">
        <w:rPr>
          <w:rFonts w:ascii="Times New Roman" w:hAnsi="Times New Roman"/>
          <w:sz w:val="24"/>
          <w:szCs w:val="24"/>
        </w:rPr>
        <w:t xml:space="preserve">В целом средняя численность работников списочного состава (без внешних совместителей) в </w:t>
      </w:r>
      <w:r w:rsidRPr="008B6D9D">
        <w:rPr>
          <w:rFonts w:ascii="Times New Roman" w:hAnsi="Times New Roman"/>
          <w:sz w:val="24"/>
          <w:szCs w:val="24"/>
          <w:lang w:val="en-US"/>
        </w:rPr>
        <w:t>I</w:t>
      </w:r>
      <w:r w:rsidRPr="008B6D9D">
        <w:rPr>
          <w:rFonts w:ascii="Times New Roman" w:hAnsi="Times New Roman"/>
          <w:sz w:val="24"/>
          <w:szCs w:val="24"/>
        </w:rPr>
        <w:t xml:space="preserve"> полугодии 2014 года снизилась на 128 человек или на 0,8% к уровню     </w:t>
      </w:r>
      <w:r w:rsidRPr="008B6D9D">
        <w:rPr>
          <w:rFonts w:ascii="Times New Roman" w:hAnsi="Times New Roman"/>
          <w:sz w:val="24"/>
          <w:szCs w:val="24"/>
          <w:lang w:val="en-US"/>
        </w:rPr>
        <w:t>I</w:t>
      </w:r>
      <w:r w:rsidRPr="008B6D9D">
        <w:rPr>
          <w:rFonts w:ascii="Times New Roman" w:hAnsi="Times New Roman"/>
          <w:sz w:val="24"/>
          <w:szCs w:val="24"/>
        </w:rPr>
        <w:t xml:space="preserve"> полугодия 2013 года и составила 16 269 человек</w:t>
      </w:r>
      <w:r w:rsidRPr="00012CAE">
        <w:rPr>
          <w:rFonts w:ascii="Times New Roman" w:hAnsi="Times New Roman"/>
          <w:sz w:val="24"/>
          <w:szCs w:val="24"/>
        </w:rPr>
        <w:t>, из них 52,9% (8 612 человек) работают на микропредприятиях, среднесписочная численность которых за рассматриваемый период выросла на 3,1%, и соответственно 47,1% (7 657 человек) всех занятых в малом бизнесе – малые предприятия («-»4,8% или 389 человек к уровню 2013 года).</w:t>
      </w:r>
      <w:r w:rsidRPr="00863997">
        <w:rPr>
          <w:rFonts w:ascii="Times New Roman" w:hAnsi="Times New Roman"/>
          <w:sz w:val="24"/>
          <w:szCs w:val="24"/>
        </w:rPr>
        <w:t xml:space="preserve"> </w:t>
      </w:r>
    </w:p>
    <w:p w:rsidR="005423DE" w:rsidRPr="008B6D9D" w:rsidRDefault="005423DE" w:rsidP="005423DE">
      <w:pPr>
        <w:spacing w:after="0" w:line="240" w:lineRule="auto"/>
        <w:ind w:firstLine="709"/>
        <w:jc w:val="both"/>
        <w:rPr>
          <w:rFonts w:ascii="Times New Roman" w:hAnsi="Times New Roman"/>
          <w:sz w:val="24"/>
          <w:szCs w:val="24"/>
        </w:rPr>
      </w:pPr>
      <w:r w:rsidRPr="008B6D9D">
        <w:rPr>
          <w:rFonts w:ascii="Times New Roman" w:hAnsi="Times New Roman"/>
          <w:sz w:val="24"/>
          <w:szCs w:val="24"/>
        </w:rPr>
        <w:t>Следует отметить, что в рассматриваемом периоде отмечается сокращение доли занятых в организациях малого предпринимательства в общей численности занятых в экономике с 15,0% в январе – июне 2013 года до 11,5% в январе – июне 2014 года.</w:t>
      </w:r>
    </w:p>
    <w:p w:rsidR="005423DE" w:rsidRPr="008B6D9D" w:rsidRDefault="005423DE" w:rsidP="005423DE">
      <w:pPr>
        <w:spacing w:after="0" w:line="240" w:lineRule="auto"/>
        <w:ind w:firstLine="709"/>
        <w:jc w:val="both"/>
        <w:rPr>
          <w:rFonts w:ascii="Times New Roman" w:hAnsi="Times New Roman"/>
          <w:sz w:val="24"/>
          <w:szCs w:val="24"/>
        </w:rPr>
      </w:pPr>
      <w:r w:rsidRPr="008B6D9D">
        <w:rPr>
          <w:rFonts w:ascii="Times New Roman" w:hAnsi="Times New Roman"/>
          <w:sz w:val="24"/>
          <w:szCs w:val="24"/>
        </w:rPr>
        <w:lastRenderedPageBreak/>
        <w:t xml:space="preserve">В рассматриваемом периоде номинальная среднемесячная начисленная заработная плата одного работника в организациях малого бизнеса сложилась на уровне 3 283,4 руб. (81,7% от общереспубликанской среднемесячной начисленной заработной платы на одного работника), превысив сопоставимый уровень 2013 года на 11,8%. При этом данные темпы роста оказались выше инфляционного фона, в результате реальная величина заработной платы в данном сегменте (с учетом индекса инфляции) возросла на 9,3%. Необходимо отметить, что заработная плата в сфере малого предпринимательства остается на низком уровне и составляет лишь 64,7% к средней величине заработной платы во внебюджетном секторе. </w:t>
      </w:r>
    </w:p>
    <w:p w:rsidR="005423DE" w:rsidRDefault="005423DE" w:rsidP="005423DE">
      <w:pPr>
        <w:spacing w:after="0" w:line="240" w:lineRule="auto"/>
        <w:ind w:firstLine="709"/>
        <w:jc w:val="both"/>
        <w:rPr>
          <w:rFonts w:ascii="Times New Roman" w:hAnsi="Times New Roman"/>
          <w:sz w:val="24"/>
          <w:szCs w:val="24"/>
        </w:rPr>
      </w:pPr>
      <w:r w:rsidRPr="008B6D9D">
        <w:rPr>
          <w:rFonts w:ascii="Times New Roman" w:hAnsi="Times New Roman"/>
          <w:sz w:val="24"/>
          <w:szCs w:val="24"/>
        </w:rPr>
        <w:t>Наиболее высокий уровень заработной платы отмечен в таких отраслях как: «Отдых и туризм (физкультура)», «Связь», «Информационно - вычислительное обслуживание», «Образование».</w:t>
      </w:r>
    </w:p>
    <w:p w:rsidR="005423DE" w:rsidRDefault="005423DE" w:rsidP="005423DE">
      <w:pPr>
        <w:spacing w:after="0" w:line="240" w:lineRule="auto"/>
        <w:jc w:val="both"/>
        <w:rPr>
          <w:rFonts w:ascii="Times New Roman" w:hAnsi="Times New Roman"/>
          <w:sz w:val="24"/>
          <w:szCs w:val="24"/>
        </w:rPr>
      </w:pPr>
      <w:r w:rsidRPr="002555FB">
        <w:rPr>
          <w:rFonts w:ascii="Times New Roman" w:hAnsi="Times New Roman"/>
          <w:noProof/>
          <w:sz w:val="24"/>
          <w:szCs w:val="24"/>
        </w:rPr>
        <w:drawing>
          <wp:inline distT="0" distB="0" distL="0" distR="0">
            <wp:extent cx="5940425" cy="4133850"/>
            <wp:effectExtent l="0" t="0" r="3175" b="0"/>
            <wp:docPr id="17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3256B" w:rsidRDefault="0013256B" w:rsidP="005423DE">
      <w:pPr>
        <w:spacing w:after="0" w:line="240" w:lineRule="auto"/>
        <w:ind w:firstLine="709"/>
        <w:jc w:val="both"/>
        <w:rPr>
          <w:rFonts w:ascii="Times New Roman" w:hAnsi="Times New Roman"/>
          <w:sz w:val="24"/>
          <w:szCs w:val="24"/>
        </w:rPr>
      </w:pPr>
    </w:p>
    <w:p w:rsidR="005423DE" w:rsidRPr="008B6D9D" w:rsidRDefault="005423DE" w:rsidP="005423DE">
      <w:pPr>
        <w:spacing w:after="0" w:line="240" w:lineRule="auto"/>
        <w:ind w:firstLine="709"/>
        <w:jc w:val="both"/>
        <w:rPr>
          <w:rFonts w:ascii="Times New Roman" w:hAnsi="Times New Roman"/>
          <w:sz w:val="24"/>
          <w:szCs w:val="24"/>
        </w:rPr>
      </w:pPr>
      <w:r w:rsidRPr="008B6D9D">
        <w:rPr>
          <w:rFonts w:ascii="Times New Roman" w:hAnsi="Times New Roman"/>
          <w:sz w:val="24"/>
          <w:szCs w:val="24"/>
        </w:rPr>
        <w:t xml:space="preserve">В </w:t>
      </w:r>
      <w:r w:rsidRPr="008B6D9D">
        <w:rPr>
          <w:rFonts w:ascii="Times New Roman" w:hAnsi="Times New Roman"/>
          <w:sz w:val="24"/>
          <w:szCs w:val="24"/>
          <w:lang w:val="en-US"/>
        </w:rPr>
        <w:t>I</w:t>
      </w:r>
      <w:r w:rsidRPr="008B6D9D">
        <w:rPr>
          <w:rFonts w:ascii="Times New Roman" w:hAnsi="Times New Roman"/>
          <w:sz w:val="24"/>
          <w:szCs w:val="24"/>
        </w:rPr>
        <w:t xml:space="preserve"> полугодии 2014 года субъекты малого предпринимательства демонстрируют увеличение капитальных вложений. По итогам отчетного периода инвестиции в основной капитал (в части новых и приобретенных по импорту основных средств) выросли по сравнению с соответствующим периодом 2013 года на 16,7% до 129,5 млн. руб. и сформировали 18,2% от общего объема инвестиций в основной капитал по республике </w:t>
      </w:r>
      <w:r w:rsidR="007B64D6">
        <w:rPr>
          <w:rFonts w:ascii="Times New Roman" w:hAnsi="Times New Roman"/>
          <w:sz w:val="24"/>
          <w:szCs w:val="24"/>
        </w:rPr>
        <w:t xml:space="preserve">   </w:t>
      </w:r>
      <w:r w:rsidRPr="008B6D9D">
        <w:rPr>
          <w:rFonts w:ascii="Times New Roman" w:hAnsi="Times New Roman"/>
          <w:sz w:val="24"/>
          <w:szCs w:val="24"/>
        </w:rPr>
        <w:t xml:space="preserve">(в </w:t>
      </w:r>
      <w:r w:rsidRPr="008B6D9D">
        <w:rPr>
          <w:rFonts w:ascii="Times New Roman" w:hAnsi="Times New Roman"/>
          <w:sz w:val="24"/>
          <w:szCs w:val="24"/>
          <w:lang w:val="en-US"/>
        </w:rPr>
        <w:t>I</w:t>
      </w:r>
      <w:r w:rsidRPr="008B6D9D">
        <w:rPr>
          <w:rFonts w:ascii="Times New Roman" w:hAnsi="Times New Roman"/>
          <w:sz w:val="24"/>
          <w:szCs w:val="24"/>
        </w:rPr>
        <w:t xml:space="preserve"> полугодии 2013 года – 32,9%).</w:t>
      </w:r>
    </w:p>
    <w:p w:rsidR="0013256B" w:rsidRPr="008B6D9D" w:rsidRDefault="0013256B" w:rsidP="0013256B">
      <w:pPr>
        <w:spacing w:after="0" w:line="240" w:lineRule="auto"/>
        <w:ind w:firstLine="709"/>
        <w:jc w:val="both"/>
        <w:rPr>
          <w:rFonts w:ascii="Times New Roman" w:hAnsi="Times New Roman"/>
          <w:sz w:val="24"/>
          <w:szCs w:val="24"/>
        </w:rPr>
      </w:pPr>
      <w:r w:rsidRPr="008B6D9D">
        <w:rPr>
          <w:rFonts w:ascii="Times New Roman" w:hAnsi="Times New Roman"/>
          <w:sz w:val="24"/>
          <w:szCs w:val="24"/>
        </w:rPr>
        <w:t xml:space="preserve">Положительная динамика была характерна для большинства направлений малого предпринимательства. В рассматриваемом периоде в результате строительства, проведения ремонтных работ и приобретения оборудования по организациям торговли и общепита </w:t>
      </w:r>
      <w:r>
        <w:rPr>
          <w:rFonts w:ascii="Times New Roman" w:hAnsi="Times New Roman"/>
          <w:sz w:val="24"/>
          <w:szCs w:val="24"/>
        </w:rPr>
        <w:t xml:space="preserve">отмечено увеличение инвестиционной активности </w:t>
      </w:r>
      <w:r w:rsidRPr="008B6D9D">
        <w:rPr>
          <w:rFonts w:ascii="Times New Roman" w:hAnsi="Times New Roman"/>
          <w:sz w:val="24"/>
          <w:szCs w:val="24"/>
        </w:rPr>
        <w:t xml:space="preserve">в 9,4 раза до 61,4 млн. руб. Увеличение инвестиционной активности отмечено по организациям здравоохранения и социального обеспечения, объем средств адресованных на долгосрочное развитие вырос в 3,8 раза до 0,7 млн. руб. Также </w:t>
      </w:r>
      <w:r>
        <w:rPr>
          <w:rFonts w:ascii="Times New Roman" w:hAnsi="Times New Roman"/>
          <w:sz w:val="24"/>
          <w:szCs w:val="24"/>
        </w:rPr>
        <w:t>существенный рост демонстрируют</w:t>
      </w:r>
      <w:r w:rsidRPr="008B6D9D">
        <w:rPr>
          <w:rFonts w:ascii="Times New Roman" w:hAnsi="Times New Roman"/>
          <w:sz w:val="24"/>
          <w:szCs w:val="24"/>
        </w:rPr>
        <w:t xml:space="preserve"> организаци</w:t>
      </w:r>
      <w:r>
        <w:rPr>
          <w:rFonts w:ascii="Times New Roman" w:hAnsi="Times New Roman"/>
          <w:sz w:val="24"/>
          <w:szCs w:val="24"/>
        </w:rPr>
        <w:t>и</w:t>
      </w:r>
      <w:r w:rsidRPr="008B6D9D">
        <w:rPr>
          <w:rFonts w:ascii="Times New Roman" w:hAnsi="Times New Roman"/>
          <w:sz w:val="24"/>
          <w:szCs w:val="24"/>
        </w:rPr>
        <w:t xml:space="preserve"> строительства</w:t>
      </w:r>
      <w:r>
        <w:rPr>
          <w:rFonts w:ascii="Times New Roman" w:hAnsi="Times New Roman"/>
          <w:sz w:val="24"/>
          <w:szCs w:val="24"/>
        </w:rPr>
        <w:t>:</w:t>
      </w:r>
      <w:r w:rsidRPr="008B6D9D">
        <w:rPr>
          <w:rFonts w:ascii="Times New Roman" w:hAnsi="Times New Roman"/>
          <w:sz w:val="24"/>
          <w:szCs w:val="24"/>
        </w:rPr>
        <w:t xml:space="preserve"> на 32,5% до 15,5 млн. руб. Объем капитальных вложений организаций сельского хозяйства по итогам </w:t>
      </w:r>
      <w:r w:rsidRPr="008B6D9D">
        <w:rPr>
          <w:rFonts w:ascii="Times New Roman" w:hAnsi="Times New Roman"/>
          <w:sz w:val="24"/>
          <w:szCs w:val="24"/>
          <w:lang w:val="en-US"/>
        </w:rPr>
        <w:t>I</w:t>
      </w:r>
      <w:r w:rsidRPr="008B6D9D">
        <w:rPr>
          <w:rFonts w:ascii="Times New Roman" w:hAnsi="Times New Roman"/>
          <w:sz w:val="24"/>
          <w:szCs w:val="24"/>
        </w:rPr>
        <w:t xml:space="preserve"> полугодия 2014 года вырос на 44,6% до 29,5 млн.</w:t>
      </w:r>
      <w:r w:rsidR="007B64D6">
        <w:rPr>
          <w:rFonts w:ascii="Times New Roman" w:hAnsi="Times New Roman"/>
          <w:sz w:val="24"/>
          <w:szCs w:val="24"/>
        </w:rPr>
        <w:t xml:space="preserve"> </w:t>
      </w:r>
      <w:r w:rsidRPr="008B6D9D">
        <w:rPr>
          <w:rFonts w:ascii="Times New Roman" w:hAnsi="Times New Roman"/>
          <w:sz w:val="24"/>
          <w:szCs w:val="24"/>
        </w:rPr>
        <w:t>руб.</w:t>
      </w:r>
    </w:p>
    <w:p w:rsidR="005423DE" w:rsidRDefault="005423DE" w:rsidP="005423DE">
      <w:pPr>
        <w:spacing w:after="0" w:line="240" w:lineRule="auto"/>
        <w:ind w:firstLine="709"/>
        <w:jc w:val="center"/>
        <w:rPr>
          <w:rFonts w:ascii="Times New Roman" w:hAnsi="Times New Roman"/>
          <w:sz w:val="24"/>
          <w:szCs w:val="24"/>
        </w:rPr>
      </w:pPr>
      <w:r w:rsidRPr="008B6D9D">
        <w:rPr>
          <w:rFonts w:ascii="Times New Roman" w:hAnsi="Times New Roman"/>
          <w:b/>
          <w:sz w:val="24"/>
          <w:szCs w:val="24"/>
        </w:rPr>
        <w:lastRenderedPageBreak/>
        <w:t>Инвестиции в основной капитал ( в части новых и приобретенных по импорту основных средств), млн.</w:t>
      </w:r>
      <w:r w:rsidR="00776745">
        <w:rPr>
          <w:rFonts w:ascii="Times New Roman" w:hAnsi="Times New Roman"/>
          <w:b/>
          <w:sz w:val="24"/>
          <w:szCs w:val="24"/>
        </w:rPr>
        <w:t xml:space="preserve"> </w:t>
      </w:r>
      <w:r w:rsidRPr="008B6D9D">
        <w:rPr>
          <w:rFonts w:ascii="Times New Roman" w:hAnsi="Times New Roman"/>
          <w:b/>
          <w:sz w:val="24"/>
          <w:szCs w:val="24"/>
        </w:rPr>
        <w:t>руб.</w:t>
      </w:r>
    </w:p>
    <w:p w:rsidR="005423DE" w:rsidRDefault="005423DE" w:rsidP="005423DE">
      <w:pPr>
        <w:spacing w:after="0" w:line="240" w:lineRule="auto"/>
        <w:jc w:val="both"/>
        <w:rPr>
          <w:rFonts w:ascii="Times New Roman" w:hAnsi="Times New Roman"/>
          <w:sz w:val="24"/>
          <w:szCs w:val="24"/>
        </w:rPr>
      </w:pPr>
      <w:r w:rsidRPr="00FA1767">
        <w:rPr>
          <w:rFonts w:ascii="Times New Roman" w:hAnsi="Times New Roman"/>
          <w:noProof/>
          <w:sz w:val="24"/>
          <w:szCs w:val="24"/>
        </w:rPr>
        <w:drawing>
          <wp:inline distT="0" distB="0" distL="0" distR="0">
            <wp:extent cx="5657850" cy="2228850"/>
            <wp:effectExtent l="19050" t="0" r="0" b="0"/>
            <wp:docPr id="17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423DE" w:rsidRPr="008B6D9D" w:rsidRDefault="005423DE" w:rsidP="005423DE">
      <w:pPr>
        <w:spacing w:after="0" w:line="240" w:lineRule="auto"/>
        <w:ind w:firstLine="709"/>
        <w:jc w:val="both"/>
        <w:rPr>
          <w:rFonts w:ascii="Times New Roman" w:hAnsi="Times New Roman"/>
          <w:sz w:val="24"/>
          <w:szCs w:val="24"/>
        </w:rPr>
      </w:pPr>
      <w:r w:rsidRPr="008B6D9D">
        <w:rPr>
          <w:rFonts w:ascii="Times New Roman" w:hAnsi="Times New Roman"/>
          <w:sz w:val="24"/>
          <w:szCs w:val="24"/>
        </w:rPr>
        <w:t>Сужение инвестиционных вложений отмечается по организациям отрасли «Операции с недвижимым имуществом» на 92,9% до 3,5 млн. руб., что объясняется замедлением строительства торговых площадей, сдаваемых в аренду, а также по организациям отрасли «Промышленность» на 39,8% до 7,5 млн. руб.</w:t>
      </w:r>
    </w:p>
    <w:p w:rsidR="005423DE" w:rsidRPr="008B6D9D" w:rsidRDefault="005423DE" w:rsidP="005423DE">
      <w:pPr>
        <w:spacing w:after="0" w:line="240" w:lineRule="auto"/>
        <w:ind w:firstLine="709"/>
        <w:jc w:val="both"/>
        <w:rPr>
          <w:rFonts w:ascii="Times New Roman" w:hAnsi="Times New Roman"/>
          <w:sz w:val="24"/>
          <w:szCs w:val="24"/>
        </w:rPr>
      </w:pPr>
      <w:r w:rsidRPr="008B6D9D">
        <w:rPr>
          <w:rFonts w:ascii="Times New Roman" w:hAnsi="Times New Roman"/>
          <w:sz w:val="24"/>
          <w:szCs w:val="24"/>
        </w:rPr>
        <w:t xml:space="preserve">Из общего объема инвестиционных вложений в основной капитал предприятий малого предпринимательства порядка 63,1% было осуществлено малыми предприятиями и соответственно 36,9% микропредприятиями. </w:t>
      </w:r>
    </w:p>
    <w:p w:rsidR="005423DE" w:rsidRPr="008B6D9D" w:rsidRDefault="005423DE" w:rsidP="005423DE">
      <w:pPr>
        <w:spacing w:after="0" w:line="240" w:lineRule="auto"/>
        <w:ind w:firstLine="709"/>
        <w:jc w:val="both"/>
        <w:rPr>
          <w:rFonts w:ascii="Times New Roman" w:hAnsi="Times New Roman"/>
          <w:sz w:val="24"/>
          <w:szCs w:val="24"/>
        </w:rPr>
      </w:pPr>
      <w:r w:rsidRPr="008B6D9D">
        <w:rPr>
          <w:rFonts w:ascii="Times New Roman" w:hAnsi="Times New Roman"/>
          <w:sz w:val="24"/>
          <w:szCs w:val="24"/>
        </w:rPr>
        <w:t>Объем произведенной продукции (работ, услуг) (в текущих ценах) организациями малого бизнеса за рассматриваемый период 2014 года составил 801,2 млн. руб., увеличившись по отношению к соответствующему показателю 2013 года на 11,5%, из него 57,7% произведено малыми предприятиями.</w:t>
      </w:r>
    </w:p>
    <w:p w:rsidR="005423DE" w:rsidRPr="008B6D9D" w:rsidRDefault="005423DE" w:rsidP="005423DE">
      <w:pPr>
        <w:spacing w:after="0" w:line="240" w:lineRule="auto"/>
        <w:ind w:firstLine="709"/>
        <w:jc w:val="both"/>
        <w:rPr>
          <w:rFonts w:ascii="Times New Roman" w:hAnsi="Times New Roman"/>
          <w:sz w:val="24"/>
          <w:szCs w:val="24"/>
        </w:rPr>
      </w:pPr>
      <w:r w:rsidRPr="008B6D9D">
        <w:rPr>
          <w:rFonts w:ascii="Times New Roman" w:hAnsi="Times New Roman"/>
          <w:sz w:val="24"/>
          <w:szCs w:val="24"/>
        </w:rPr>
        <w:t>В разрезе основных видов промышленной продукции отмечено увеличение производства таких видов продукции, как: текстильная галантерея – в 6,3 раза</w:t>
      </w:r>
      <w:r>
        <w:rPr>
          <w:rFonts w:ascii="Times New Roman" w:hAnsi="Times New Roman"/>
          <w:sz w:val="24"/>
          <w:szCs w:val="24"/>
        </w:rPr>
        <w:t>,</w:t>
      </w:r>
      <w:r w:rsidRPr="008B6D9D">
        <w:rPr>
          <w:rFonts w:ascii="Times New Roman" w:hAnsi="Times New Roman"/>
          <w:sz w:val="24"/>
          <w:szCs w:val="24"/>
        </w:rPr>
        <w:t xml:space="preserve"> сборные конструкции и изделия ж/бетон. – на 91,5%; мука всего – на 76,9%; швейные изделия – на 67,1%;</w:t>
      </w:r>
      <w:r w:rsidRPr="003D21CE">
        <w:rPr>
          <w:rFonts w:ascii="Times New Roman" w:hAnsi="Times New Roman"/>
          <w:sz w:val="24"/>
          <w:szCs w:val="24"/>
        </w:rPr>
        <w:t xml:space="preserve"> </w:t>
      </w:r>
      <w:r w:rsidRPr="008B6D9D">
        <w:rPr>
          <w:rFonts w:ascii="Times New Roman" w:hAnsi="Times New Roman"/>
          <w:sz w:val="24"/>
          <w:szCs w:val="24"/>
        </w:rPr>
        <w:t>товары бумажно - беловые – на 54,1</w:t>
      </w:r>
      <w:r>
        <w:rPr>
          <w:rFonts w:ascii="Times New Roman" w:hAnsi="Times New Roman"/>
          <w:sz w:val="24"/>
          <w:szCs w:val="24"/>
        </w:rPr>
        <w:t xml:space="preserve">%; </w:t>
      </w:r>
      <w:r w:rsidRPr="008B6D9D">
        <w:rPr>
          <w:rFonts w:ascii="Times New Roman" w:hAnsi="Times New Roman"/>
          <w:sz w:val="24"/>
          <w:szCs w:val="24"/>
        </w:rPr>
        <w:t>нерудные строительные материалы – на 39,9</w:t>
      </w:r>
      <w:r>
        <w:rPr>
          <w:rFonts w:ascii="Times New Roman" w:hAnsi="Times New Roman"/>
          <w:sz w:val="24"/>
          <w:szCs w:val="24"/>
        </w:rPr>
        <w:t>% и др.</w:t>
      </w:r>
    </w:p>
    <w:p w:rsidR="005423DE" w:rsidRPr="008B6D9D" w:rsidRDefault="005423DE" w:rsidP="005423DE">
      <w:pPr>
        <w:spacing w:after="0" w:line="240" w:lineRule="auto"/>
        <w:ind w:firstLine="709"/>
        <w:jc w:val="both"/>
        <w:rPr>
          <w:rFonts w:ascii="Times New Roman" w:hAnsi="Times New Roman"/>
          <w:sz w:val="24"/>
          <w:szCs w:val="24"/>
        </w:rPr>
      </w:pPr>
      <w:r w:rsidRPr="008B6D9D">
        <w:rPr>
          <w:rFonts w:ascii="Times New Roman" w:hAnsi="Times New Roman"/>
          <w:sz w:val="24"/>
          <w:szCs w:val="24"/>
        </w:rPr>
        <w:t>При этом если по крупным организациям республики по большинству указанных выше товарных позиций отмечен</w:t>
      </w:r>
      <w:r>
        <w:rPr>
          <w:rFonts w:ascii="Times New Roman" w:hAnsi="Times New Roman"/>
          <w:sz w:val="24"/>
          <w:szCs w:val="24"/>
        </w:rPr>
        <w:t xml:space="preserve"> умеренный прирост</w:t>
      </w:r>
      <w:r w:rsidRPr="008B6D9D">
        <w:rPr>
          <w:rFonts w:ascii="Times New Roman" w:hAnsi="Times New Roman"/>
          <w:sz w:val="24"/>
          <w:szCs w:val="24"/>
        </w:rPr>
        <w:t xml:space="preserve"> промышленного выпуска, то за счет более оперативного реагирования организаций малого предпринимательства на изменение конъюнктуры рынка и ориентации продукции преимущественно на внутренний рынок, малые предприятия демонстрируют </w:t>
      </w:r>
      <w:r>
        <w:rPr>
          <w:rFonts w:ascii="Times New Roman" w:hAnsi="Times New Roman"/>
          <w:sz w:val="24"/>
          <w:szCs w:val="24"/>
        </w:rPr>
        <w:t>более активные темпы роста</w:t>
      </w:r>
      <w:r w:rsidRPr="008B6D9D">
        <w:rPr>
          <w:rFonts w:ascii="Times New Roman" w:hAnsi="Times New Roman"/>
          <w:sz w:val="24"/>
          <w:szCs w:val="24"/>
        </w:rPr>
        <w:t xml:space="preserve"> выпуска готовой продукции. </w:t>
      </w:r>
    </w:p>
    <w:p w:rsidR="005423DE" w:rsidRPr="008B6D9D" w:rsidRDefault="005423DE" w:rsidP="005423DE">
      <w:pPr>
        <w:spacing w:after="0" w:line="240" w:lineRule="auto"/>
        <w:ind w:firstLine="720"/>
        <w:jc w:val="both"/>
        <w:rPr>
          <w:rFonts w:ascii="Times New Roman" w:hAnsi="Times New Roman"/>
          <w:sz w:val="24"/>
          <w:szCs w:val="24"/>
        </w:rPr>
      </w:pPr>
      <w:r w:rsidRPr="008B6D9D">
        <w:rPr>
          <w:rFonts w:ascii="Times New Roman" w:hAnsi="Times New Roman"/>
          <w:sz w:val="24"/>
          <w:szCs w:val="24"/>
        </w:rPr>
        <w:t xml:space="preserve">Доход от продаж, полученный организациями малого предпринимательства в                     </w:t>
      </w:r>
      <w:r w:rsidRPr="008B6D9D">
        <w:rPr>
          <w:rFonts w:ascii="Times New Roman" w:hAnsi="Times New Roman"/>
          <w:sz w:val="24"/>
          <w:szCs w:val="24"/>
          <w:lang w:val="en-US"/>
        </w:rPr>
        <w:t>I</w:t>
      </w:r>
      <w:r w:rsidRPr="008B6D9D">
        <w:rPr>
          <w:rFonts w:ascii="Times New Roman" w:hAnsi="Times New Roman"/>
          <w:sz w:val="24"/>
          <w:szCs w:val="24"/>
        </w:rPr>
        <w:t xml:space="preserve"> полугодии 2014 года, составил 1 988,9 млн. руб. (17,9% от общереспубликанского показателя), превысив сопоставимое значение </w:t>
      </w:r>
      <w:r w:rsidRPr="008B6D9D">
        <w:rPr>
          <w:rFonts w:ascii="Times New Roman" w:hAnsi="Times New Roman"/>
          <w:sz w:val="24"/>
          <w:szCs w:val="24"/>
          <w:lang w:val="en-US"/>
        </w:rPr>
        <w:t>I</w:t>
      </w:r>
      <w:r w:rsidRPr="008B6D9D">
        <w:rPr>
          <w:rFonts w:ascii="Times New Roman" w:hAnsi="Times New Roman"/>
          <w:sz w:val="24"/>
          <w:szCs w:val="24"/>
        </w:rPr>
        <w:t xml:space="preserve"> полугодия 2013 года на 23,0%. Стоит отметить, что на доход от продажи товаров приходится порядка 69,5% всех доходов или 1 382,1 млн. руб., базисный уровень в текущих ценах </w:t>
      </w:r>
      <w:r w:rsidR="007B64D6">
        <w:rPr>
          <w:rFonts w:ascii="Times New Roman" w:hAnsi="Times New Roman"/>
          <w:sz w:val="24"/>
          <w:szCs w:val="24"/>
        </w:rPr>
        <w:t>превышен</w:t>
      </w:r>
      <w:r w:rsidRPr="008B6D9D">
        <w:rPr>
          <w:rFonts w:ascii="Times New Roman" w:hAnsi="Times New Roman"/>
          <w:sz w:val="24"/>
          <w:szCs w:val="24"/>
        </w:rPr>
        <w:t xml:space="preserve"> на 27,7%.</w:t>
      </w:r>
    </w:p>
    <w:p w:rsidR="005423DE" w:rsidRPr="008B6D9D" w:rsidRDefault="005423DE" w:rsidP="005423DE">
      <w:pPr>
        <w:spacing w:after="0" w:line="240" w:lineRule="auto"/>
        <w:ind w:firstLine="720"/>
        <w:jc w:val="both"/>
        <w:rPr>
          <w:rFonts w:ascii="Times New Roman" w:hAnsi="Times New Roman"/>
          <w:sz w:val="24"/>
          <w:szCs w:val="24"/>
        </w:rPr>
      </w:pPr>
      <w:r w:rsidRPr="008B6D9D">
        <w:rPr>
          <w:rFonts w:ascii="Times New Roman" w:hAnsi="Times New Roman"/>
          <w:sz w:val="24"/>
          <w:szCs w:val="24"/>
        </w:rPr>
        <w:t>Результатом финансово-хозяйственной деятельности субъектов малого предпринимательства (без физических лиц) явилась сальдированная чистая прибыль в сумме 113,5 млн. руб., что превышает на 20,7% уровень января – июня 2013 года. При этом с прибылью сработали и малые предприятия (23,2 млн. руб. или 20,4% от совокупного показателя) и микропредприятия (90,3 млн. руб. или 79,6% от совокупного показателя).</w:t>
      </w:r>
    </w:p>
    <w:p w:rsidR="005423DE" w:rsidRPr="008B6D9D" w:rsidRDefault="005423DE" w:rsidP="005423DE">
      <w:pPr>
        <w:spacing w:after="0" w:line="240" w:lineRule="auto"/>
        <w:ind w:firstLine="720"/>
        <w:jc w:val="both"/>
        <w:rPr>
          <w:rFonts w:ascii="Times New Roman" w:hAnsi="Times New Roman"/>
          <w:sz w:val="24"/>
          <w:szCs w:val="24"/>
        </w:rPr>
      </w:pPr>
      <w:r w:rsidRPr="008B6D9D">
        <w:rPr>
          <w:rFonts w:ascii="Times New Roman" w:hAnsi="Times New Roman"/>
          <w:sz w:val="24"/>
          <w:szCs w:val="24"/>
        </w:rPr>
        <w:t xml:space="preserve">В январе – июне 2014 году с прибылью в сумме 210,1 млн. руб. сработали 39,8% (от общего числа) организаций малого бизнеса. Наибольший ее размер был сформирован в организациях торговли и общественного питания, сельского хозяйства </w:t>
      </w:r>
      <w:r>
        <w:rPr>
          <w:rFonts w:ascii="Times New Roman" w:hAnsi="Times New Roman"/>
          <w:sz w:val="24"/>
          <w:szCs w:val="24"/>
        </w:rPr>
        <w:t xml:space="preserve">и </w:t>
      </w:r>
      <w:r w:rsidRPr="008B6D9D">
        <w:rPr>
          <w:rFonts w:ascii="Times New Roman" w:hAnsi="Times New Roman"/>
          <w:sz w:val="24"/>
          <w:szCs w:val="24"/>
        </w:rPr>
        <w:t xml:space="preserve">промышленности: 30,9%, 17,9% и 11,6% совокупного объема чистой прибыли </w:t>
      </w:r>
      <w:r w:rsidRPr="008B6D9D">
        <w:rPr>
          <w:rFonts w:ascii="Times New Roman" w:hAnsi="Times New Roman"/>
          <w:sz w:val="24"/>
          <w:szCs w:val="24"/>
        </w:rPr>
        <w:lastRenderedPageBreak/>
        <w:t xml:space="preserve">соответственно. Вместе с тем, на эти отрасли приходятся и самые большие убытки (31,4%, 13,7% и 18,1% совокупного размера убытков соответственно). В целом суммарный убыток, полученный организациями малого предпринимательства, сложился в размере 96,6 млн. руб., а количество нерентабельных организаций составило 32,7% от общего числа. </w:t>
      </w:r>
      <w:r w:rsidRPr="008B6D9D">
        <w:rPr>
          <w:rFonts w:ascii="Times New Roman" w:hAnsi="Times New Roman"/>
          <w:color w:val="000000"/>
          <w:sz w:val="24"/>
          <w:szCs w:val="24"/>
        </w:rPr>
        <w:t xml:space="preserve">Не получили финансового результата 17,7% организации. </w:t>
      </w:r>
    </w:p>
    <w:p w:rsidR="005423DE" w:rsidRPr="008B6D9D" w:rsidRDefault="005423DE" w:rsidP="005423DE">
      <w:pPr>
        <w:spacing w:after="0" w:line="240" w:lineRule="auto"/>
        <w:ind w:firstLine="709"/>
        <w:jc w:val="both"/>
        <w:rPr>
          <w:rFonts w:ascii="Times New Roman" w:hAnsi="Times New Roman"/>
          <w:sz w:val="24"/>
          <w:szCs w:val="24"/>
        </w:rPr>
      </w:pPr>
      <w:r w:rsidRPr="008B6D9D">
        <w:rPr>
          <w:rFonts w:ascii="Times New Roman" w:hAnsi="Times New Roman"/>
          <w:sz w:val="24"/>
          <w:szCs w:val="24"/>
        </w:rPr>
        <w:t>В целом за январь – июнь 2014</w:t>
      </w:r>
      <w:r>
        <w:rPr>
          <w:rFonts w:ascii="Times New Roman" w:hAnsi="Times New Roman"/>
          <w:sz w:val="24"/>
          <w:szCs w:val="24"/>
        </w:rPr>
        <w:t xml:space="preserve"> </w:t>
      </w:r>
      <w:r w:rsidRPr="008B6D9D">
        <w:rPr>
          <w:rFonts w:ascii="Times New Roman" w:hAnsi="Times New Roman"/>
          <w:sz w:val="24"/>
          <w:szCs w:val="24"/>
        </w:rPr>
        <w:t>года организациями малого предпринимательства в бюджеты всех уровней и внебюджетные фонды фактически внесено налогов и платежей в сумме 165,1 млн. руб., что на 13,4% превышает сопоставимый показатель января – июня 2013 года, доля которых в общей сумме налоговых поступлений консолидированного бюджета за январь – июнь 2014 года составила 12,3%. При этом, удельный вес налоговых платежей, поступающих от малых предприятий составляет 57,8% (95,4 млн. руб.) от общего объема по предприятиям малого бизнеса, а их фактическая величина выросла на 12,6% по сравнению с уровнем января – июня 2013 года. Микропредприятиями за рассматриваемый период в бюджеты всех уровней и внебюджетные фонды фактически внесено 69,7 млн. руб. (42,2% общего объема налоговых платежей субъектов малого предпринимательства), что на 14,4% превышает базисный уровень прошлого года.</w:t>
      </w:r>
    </w:p>
    <w:p w:rsidR="005423DE" w:rsidRPr="008B6D9D" w:rsidRDefault="005423DE" w:rsidP="005423DE">
      <w:pPr>
        <w:spacing w:after="0" w:line="240" w:lineRule="auto"/>
        <w:ind w:firstLine="709"/>
        <w:jc w:val="both"/>
        <w:rPr>
          <w:rFonts w:ascii="Times New Roman" w:hAnsi="Times New Roman"/>
          <w:sz w:val="24"/>
          <w:szCs w:val="24"/>
        </w:rPr>
      </w:pPr>
      <w:r w:rsidRPr="008B6D9D">
        <w:rPr>
          <w:rFonts w:ascii="Times New Roman" w:hAnsi="Times New Roman"/>
          <w:sz w:val="24"/>
          <w:szCs w:val="24"/>
        </w:rPr>
        <w:t>Наибольший удельный вес в структуре налоговых поступлений обеспечивают:</w:t>
      </w:r>
    </w:p>
    <w:p w:rsidR="005423DE" w:rsidRPr="008B6D9D" w:rsidRDefault="005423DE" w:rsidP="005423DE">
      <w:pPr>
        <w:tabs>
          <w:tab w:val="left" w:pos="900"/>
        </w:tabs>
        <w:spacing w:after="0" w:line="240" w:lineRule="auto"/>
        <w:ind w:firstLine="709"/>
        <w:jc w:val="both"/>
        <w:rPr>
          <w:rFonts w:ascii="Times New Roman" w:hAnsi="Times New Roman"/>
          <w:sz w:val="24"/>
          <w:szCs w:val="24"/>
        </w:rPr>
      </w:pPr>
      <w:r w:rsidRPr="008B6D9D">
        <w:rPr>
          <w:rFonts w:ascii="Times New Roman" w:hAnsi="Times New Roman"/>
          <w:sz w:val="24"/>
          <w:szCs w:val="24"/>
        </w:rPr>
        <w:t>- налог на доходы организаций – 37,3% или 61,6 млн. руб.;</w:t>
      </w:r>
    </w:p>
    <w:p w:rsidR="005423DE" w:rsidRPr="008B6D9D" w:rsidRDefault="005423DE" w:rsidP="005423DE">
      <w:pPr>
        <w:tabs>
          <w:tab w:val="left" w:pos="900"/>
        </w:tabs>
        <w:spacing w:after="0" w:line="240" w:lineRule="auto"/>
        <w:ind w:firstLine="709"/>
        <w:jc w:val="both"/>
        <w:rPr>
          <w:rFonts w:ascii="Times New Roman" w:hAnsi="Times New Roman"/>
          <w:sz w:val="24"/>
          <w:szCs w:val="24"/>
        </w:rPr>
      </w:pPr>
      <w:r w:rsidRPr="008B6D9D">
        <w:rPr>
          <w:rFonts w:ascii="Times New Roman" w:hAnsi="Times New Roman"/>
          <w:sz w:val="24"/>
          <w:szCs w:val="24"/>
        </w:rPr>
        <w:t>- единый социальный налог – 33,6% или 55,5 млн. руб.;</w:t>
      </w:r>
    </w:p>
    <w:p w:rsidR="005423DE" w:rsidRPr="008B6D9D" w:rsidRDefault="005423DE" w:rsidP="005423DE">
      <w:pPr>
        <w:spacing w:after="0" w:line="240" w:lineRule="auto"/>
        <w:ind w:firstLine="720"/>
        <w:jc w:val="both"/>
        <w:rPr>
          <w:rFonts w:ascii="Times New Roman" w:hAnsi="Times New Roman"/>
          <w:sz w:val="24"/>
          <w:szCs w:val="24"/>
        </w:rPr>
      </w:pPr>
      <w:r w:rsidRPr="008B6D9D">
        <w:rPr>
          <w:rFonts w:ascii="Times New Roman" w:hAnsi="Times New Roman"/>
          <w:sz w:val="24"/>
          <w:szCs w:val="24"/>
        </w:rPr>
        <w:t xml:space="preserve">Кроме организаций негосударственной формы собственности малый бизнес представлен и индивидуальными предпринимателями, осуществляющими свою деятельность по патенту. </w:t>
      </w:r>
    </w:p>
    <w:p w:rsidR="005423DE" w:rsidRPr="008B6D9D" w:rsidRDefault="005423DE" w:rsidP="0013256B">
      <w:pPr>
        <w:spacing w:after="0" w:line="240" w:lineRule="auto"/>
        <w:ind w:firstLine="709"/>
        <w:jc w:val="both"/>
        <w:rPr>
          <w:rFonts w:ascii="Times New Roman" w:hAnsi="Times New Roman"/>
          <w:sz w:val="24"/>
          <w:szCs w:val="24"/>
        </w:rPr>
      </w:pPr>
      <w:r w:rsidRPr="008B6D9D">
        <w:rPr>
          <w:rFonts w:ascii="Times New Roman" w:hAnsi="Times New Roman"/>
          <w:color w:val="000000"/>
          <w:sz w:val="24"/>
          <w:szCs w:val="24"/>
        </w:rPr>
        <w:t xml:space="preserve">Количество индивидуальных предпринимателей за </w:t>
      </w:r>
      <w:r w:rsidRPr="008B6D9D">
        <w:rPr>
          <w:rFonts w:ascii="Times New Roman" w:hAnsi="Times New Roman"/>
          <w:color w:val="000000"/>
          <w:sz w:val="24"/>
          <w:szCs w:val="24"/>
          <w:lang w:val="en-US"/>
        </w:rPr>
        <w:t>I</w:t>
      </w:r>
      <w:r w:rsidRPr="008B6D9D">
        <w:rPr>
          <w:rFonts w:ascii="Times New Roman" w:hAnsi="Times New Roman"/>
          <w:color w:val="000000"/>
          <w:sz w:val="24"/>
          <w:szCs w:val="24"/>
        </w:rPr>
        <w:t xml:space="preserve"> полугодие 2014 года составило 20 630 чел</w:t>
      </w:r>
      <w:r w:rsidRPr="008B6D9D">
        <w:rPr>
          <w:rFonts w:ascii="Times New Roman" w:hAnsi="Times New Roman"/>
          <w:sz w:val="24"/>
          <w:szCs w:val="24"/>
        </w:rPr>
        <w:t xml:space="preserve">, что превышает сопоставимое значение </w:t>
      </w:r>
      <w:r w:rsidRPr="008B6D9D">
        <w:rPr>
          <w:rFonts w:ascii="Times New Roman" w:hAnsi="Times New Roman"/>
          <w:sz w:val="24"/>
          <w:szCs w:val="24"/>
          <w:lang w:val="en-US"/>
        </w:rPr>
        <w:t>I</w:t>
      </w:r>
      <w:r w:rsidRPr="008B6D9D">
        <w:rPr>
          <w:rFonts w:ascii="Times New Roman" w:hAnsi="Times New Roman"/>
          <w:sz w:val="24"/>
          <w:szCs w:val="24"/>
        </w:rPr>
        <w:t xml:space="preserve"> полугодия 2013 года на </w:t>
      </w:r>
      <w:r w:rsidR="00BA368A">
        <w:rPr>
          <w:rFonts w:ascii="Times New Roman" w:hAnsi="Times New Roman"/>
          <w:sz w:val="24"/>
          <w:szCs w:val="24"/>
        </w:rPr>
        <w:t xml:space="preserve">       </w:t>
      </w:r>
      <w:r w:rsidRPr="008B6D9D">
        <w:rPr>
          <w:rFonts w:ascii="Times New Roman" w:hAnsi="Times New Roman"/>
          <w:sz w:val="24"/>
          <w:szCs w:val="24"/>
        </w:rPr>
        <w:t>2 765 человек. Количество выданных патентов в рассматриваемом периоде превысило сопоставимый показатель 2013 года на 9 728 единиц, составив 74 312 патентов, совокупная стоимость которы</w:t>
      </w:r>
      <w:r w:rsidR="00BA368A">
        <w:rPr>
          <w:rFonts w:ascii="Times New Roman" w:hAnsi="Times New Roman"/>
          <w:sz w:val="24"/>
          <w:szCs w:val="24"/>
        </w:rPr>
        <w:t xml:space="preserve">х увеличилась на 9,6 млн. руб. до </w:t>
      </w:r>
      <w:r w:rsidRPr="008B6D9D">
        <w:rPr>
          <w:rFonts w:ascii="Times New Roman" w:hAnsi="Times New Roman"/>
          <w:sz w:val="24"/>
          <w:szCs w:val="24"/>
        </w:rPr>
        <w:t xml:space="preserve">36,3 млн. руб. </w:t>
      </w:r>
    </w:p>
    <w:p w:rsidR="005423DE" w:rsidRPr="008B6D9D" w:rsidRDefault="005423DE" w:rsidP="005423DE">
      <w:pPr>
        <w:spacing w:after="0" w:line="240" w:lineRule="auto"/>
        <w:ind w:firstLine="708"/>
        <w:jc w:val="both"/>
        <w:rPr>
          <w:rFonts w:ascii="Times New Roman" w:hAnsi="Times New Roman"/>
          <w:sz w:val="24"/>
          <w:szCs w:val="24"/>
        </w:rPr>
      </w:pPr>
      <w:r w:rsidRPr="008B6D9D">
        <w:rPr>
          <w:rFonts w:ascii="Times New Roman" w:hAnsi="Times New Roman"/>
          <w:sz w:val="24"/>
          <w:szCs w:val="24"/>
        </w:rPr>
        <w:t xml:space="preserve">Усредненная среднемесячная стоимость одного патента в отчетном периоде составила 629,83 руб., что выше уровня </w:t>
      </w:r>
      <w:r w:rsidRPr="008B6D9D">
        <w:rPr>
          <w:rFonts w:ascii="Times New Roman" w:hAnsi="Times New Roman"/>
          <w:sz w:val="24"/>
          <w:szCs w:val="24"/>
          <w:lang w:val="en-US"/>
        </w:rPr>
        <w:t>I</w:t>
      </w:r>
      <w:r w:rsidRPr="008B6D9D">
        <w:rPr>
          <w:rFonts w:ascii="Times New Roman" w:hAnsi="Times New Roman"/>
          <w:sz w:val="24"/>
          <w:szCs w:val="24"/>
        </w:rPr>
        <w:t xml:space="preserve"> полугодия 2013 года на 13,9%. </w:t>
      </w:r>
    </w:p>
    <w:p w:rsidR="005423DE" w:rsidRPr="008B6D9D" w:rsidRDefault="005423DE" w:rsidP="005423DE">
      <w:pPr>
        <w:spacing w:after="0" w:line="240" w:lineRule="auto"/>
        <w:jc w:val="right"/>
        <w:rPr>
          <w:rFonts w:ascii="Times New Roman" w:hAnsi="Times New Roman"/>
          <w:sz w:val="24"/>
          <w:szCs w:val="24"/>
        </w:rPr>
      </w:pPr>
      <w:r w:rsidRPr="008B6D9D">
        <w:rPr>
          <w:rFonts w:ascii="Times New Roman" w:hAnsi="Times New Roman"/>
          <w:sz w:val="24"/>
          <w:szCs w:val="24"/>
        </w:rPr>
        <w:t xml:space="preserve">Таблица № </w:t>
      </w:r>
      <w:r w:rsidR="007B64D6">
        <w:rPr>
          <w:rFonts w:ascii="Times New Roman" w:hAnsi="Times New Roman"/>
          <w:sz w:val="24"/>
          <w:szCs w:val="24"/>
        </w:rPr>
        <w:t>30</w:t>
      </w:r>
    </w:p>
    <w:p w:rsidR="005423DE" w:rsidRPr="008B6D9D" w:rsidRDefault="005423DE" w:rsidP="005423DE">
      <w:pPr>
        <w:spacing w:after="0" w:line="240" w:lineRule="auto"/>
        <w:jc w:val="center"/>
        <w:rPr>
          <w:rFonts w:ascii="Times New Roman" w:hAnsi="Times New Roman"/>
          <w:b/>
          <w:sz w:val="24"/>
          <w:szCs w:val="24"/>
        </w:rPr>
      </w:pPr>
      <w:r w:rsidRPr="008B6D9D">
        <w:rPr>
          <w:rFonts w:ascii="Times New Roman" w:hAnsi="Times New Roman"/>
          <w:b/>
          <w:sz w:val="24"/>
          <w:szCs w:val="24"/>
        </w:rPr>
        <w:t xml:space="preserve">Структура индивидуального предпринимательства ПМР </w:t>
      </w:r>
    </w:p>
    <w:p w:rsidR="005423DE" w:rsidRPr="008B6D9D" w:rsidRDefault="005423DE" w:rsidP="005423DE">
      <w:pPr>
        <w:spacing w:after="0" w:line="240" w:lineRule="auto"/>
        <w:jc w:val="center"/>
        <w:rPr>
          <w:rFonts w:ascii="Times New Roman" w:hAnsi="Times New Roman"/>
          <w:b/>
          <w:sz w:val="24"/>
          <w:szCs w:val="24"/>
        </w:rPr>
      </w:pPr>
      <w:r w:rsidRPr="008B6D9D">
        <w:rPr>
          <w:rFonts w:ascii="Times New Roman" w:hAnsi="Times New Roman"/>
          <w:b/>
          <w:sz w:val="24"/>
          <w:szCs w:val="24"/>
        </w:rPr>
        <w:t xml:space="preserve">за </w:t>
      </w:r>
      <w:r w:rsidRPr="008B6D9D">
        <w:rPr>
          <w:rFonts w:ascii="Times New Roman" w:hAnsi="Times New Roman"/>
          <w:b/>
        </w:rPr>
        <w:t xml:space="preserve">январь – июнь </w:t>
      </w:r>
      <w:r w:rsidRPr="008B6D9D">
        <w:rPr>
          <w:rFonts w:ascii="Times New Roman" w:hAnsi="Times New Roman"/>
          <w:b/>
          <w:sz w:val="24"/>
          <w:szCs w:val="24"/>
        </w:rPr>
        <w:t xml:space="preserve">2014 года в разрезе городов и районов </w:t>
      </w:r>
    </w:p>
    <w:tbl>
      <w:tblPr>
        <w:tblW w:w="10151" w:type="dxa"/>
        <w:tblInd w:w="-318" w:type="dxa"/>
        <w:tblLayout w:type="fixed"/>
        <w:tblLook w:val="00A0"/>
      </w:tblPr>
      <w:tblGrid>
        <w:gridCol w:w="4254"/>
        <w:gridCol w:w="999"/>
        <w:gridCol w:w="857"/>
        <w:gridCol w:w="1142"/>
        <w:gridCol w:w="858"/>
        <w:gridCol w:w="1300"/>
        <w:gridCol w:w="741"/>
      </w:tblGrid>
      <w:tr w:rsidR="005423DE" w:rsidRPr="008B6D9D" w:rsidTr="005261BD">
        <w:trPr>
          <w:trHeight w:val="1838"/>
        </w:trPr>
        <w:tc>
          <w:tcPr>
            <w:tcW w:w="4254" w:type="dxa"/>
            <w:tcBorders>
              <w:top w:val="single" w:sz="8" w:space="0" w:color="auto"/>
              <w:left w:val="single" w:sz="8" w:space="0" w:color="auto"/>
              <w:bottom w:val="single" w:sz="8" w:space="0" w:color="auto"/>
              <w:right w:val="single" w:sz="8" w:space="0" w:color="auto"/>
            </w:tcBorders>
            <w:vAlign w:val="center"/>
          </w:tcPr>
          <w:p w:rsidR="005423DE" w:rsidRPr="008B6D9D" w:rsidRDefault="005423DE" w:rsidP="005261BD">
            <w:pPr>
              <w:spacing w:after="0" w:line="240" w:lineRule="auto"/>
              <w:ind w:left="-391" w:firstLine="141"/>
              <w:contextualSpacing/>
              <w:jc w:val="center"/>
              <w:rPr>
                <w:rFonts w:ascii="Times New Roman" w:hAnsi="Times New Roman"/>
                <w:color w:val="000000"/>
                <w:sz w:val="24"/>
                <w:szCs w:val="24"/>
              </w:rPr>
            </w:pPr>
            <w:r w:rsidRPr="008B6D9D">
              <w:rPr>
                <w:rFonts w:ascii="Times New Roman" w:hAnsi="Times New Roman"/>
                <w:color w:val="000000"/>
                <w:sz w:val="24"/>
                <w:szCs w:val="24"/>
              </w:rPr>
              <w:t>Наименование  района</w:t>
            </w:r>
          </w:p>
        </w:tc>
        <w:tc>
          <w:tcPr>
            <w:tcW w:w="1856" w:type="dxa"/>
            <w:gridSpan w:val="2"/>
            <w:tcBorders>
              <w:top w:val="single" w:sz="8" w:space="0" w:color="auto"/>
              <w:left w:val="nil"/>
              <w:bottom w:val="single" w:sz="8" w:space="0" w:color="auto"/>
              <w:right w:val="single" w:sz="8" w:space="0" w:color="000000"/>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Кол-во  зарегистрированных  предпринимателей</w:t>
            </w:r>
          </w:p>
        </w:tc>
        <w:tc>
          <w:tcPr>
            <w:tcW w:w="2000" w:type="dxa"/>
            <w:gridSpan w:val="2"/>
            <w:tcBorders>
              <w:top w:val="single" w:sz="8" w:space="0" w:color="auto"/>
              <w:left w:val="nil"/>
              <w:bottom w:val="single" w:sz="8" w:space="0" w:color="auto"/>
              <w:right w:val="single" w:sz="8" w:space="0" w:color="000000"/>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Количество  выданных  патентов</w:t>
            </w:r>
          </w:p>
        </w:tc>
        <w:tc>
          <w:tcPr>
            <w:tcW w:w="2041" w:type="dxa"/>
            <w:gridSpan w:val="2"/>
            <w:tcBorders>
              <w:top w:val="single" w:sz="8" w:space="0" w:color="auto"/>
              <w:left w:val="nil"/>
              <w:bottom w:val="single" w:sz="8" w:space="0" w:color="auto"/>
              <w:right w:val="single" w:sz="8" w:space="0" w:color="000000"/>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Общая сумма поступлений от платы за патент, сумм обязательных страховых взносов</w:t>
            </w:r>
          </w:p>
        </w:tc>
      </w:tr>
      <w:tr w:rsidR="005423DE" w:rsidRPr="008B6D9D" w:rsidTr="005261BD">
        <w:trPr>
          <w:trHeight w:val="248"/>
        </w:trPr>
        <w:tc>
          <w:tcPr>
            <w:tcW w:w="4254" w:type="dxa"/>
            <w:tcBorders>
              <w:top w:val="nil"/>
              <w:left w:val="single" w:sz="8" w:space="0" w:color="auto"/>
              <w:bottom w:val="single" w:sz="4" w:space="0" w:color="auto"/>
              <w:right w:val="single" w:sz="8" w:space="0" w:color="auto"/>
            </w:tcBorders>
          </w:tcPr>
          <w:p w:rsidR="005423DE" w:rsidRPr="008B6D9D" w:rsidRDefault="005423DE" w:rsidP="005261BD">
            <w:pPr>
              <w:spacing w:after="0" w:line="240" w:lineRule="auto"/>
              <w:contextualSpacing/>
              <w:jc w:val="center"/>
              <w:rPr>
                <w:rFonts w:ascii="Times New Roman" w:hAnsi="Times New Roman"/>
                <w:color w:val="000000"/>
                <w:sz w:val="24"/>
                <w:szCs w:val="24"/>
              </w:rPr>
            </w:pPr>
          </w:p>
        </w:tc>
        <w:tc>
          <w:tcPr>
            <w:tcW w:w="999" w:type="dxa"/>
            <w:tcBorders>
              <w:top w:val="nil"/>
              <w:left w:val="nil"/>
              <w:bottom w:val="single" w:sz="4" w:space="0" w:color="auto"/>
              <w:right w:val="single" w:sz="8" w:space="0" w:color="auto"/>
            </w:tcBorders>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Чел.</w:t>
            </w:r>
          </w:p>
        </w:tc>
        <w:tc>
          <w:tcPr>
            <w:tcW w:w="857" w:type="dxa"/>
            <w:tcBorders>
              <w:top w:val="nil"/>
              <w:left w:val="nil"/>
              <w:bottom w:val="single" w:sz="4" w:space="0" w:color="auto"/>
              <w:right w:val="single" w:sz="8" w:space="0" w:color="auto"/>
            </w:tcBorders>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w:t>
            </w:r>
          </w:p>
        </w:tc>
        <w:tc>
          <w:tcPr>
            <w:tcW w:w="1142" w:type="dxa"/>
            <w:tcBorders>
              <w:top w:val="nil"/>
              <w:left w:val="nil"/>
              <w:bottom w:val="single" w:sz="4" w:space="0" w:color="auto"/>
              <w:right w:val="single" w:sz="8" w:space="0" w:color="auto"/>
            </w:tcBorders>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Ед.</w:t>
            </w:r>
          </w:p>
        </w:tc>
        <w:tc>
          <w:tcPr>
            <w:tcW w:w="858" w:type="dxa"/>
            <w:tcBorders>
              <w:top w:val="nil"/>
              <w:left w:val="nil"/>
              <w:bottom w:val="single" w:sz="4" w:space="0" w:color="auto"/>
              <w:right w:val="single" w:sz="8" w:space="0" w:color="auto"/>
            </w:tcBorders>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w:t>
            </w:r>
          </w:p>
        </w:tc>
        <w:tc>
          <w:tcPr>
            <w:tcW w:w="1300" w:type="dxa"/>
            <w:tcBorders>
              <w:top w:val="nil"/>
              <w:left w:val="nil"/>
              <w:bottom w:val="single" w:sz="4" w:space="0" w:color="auto"/>
              <w:right w:val="single" w:sz="8" w:space="0" w:color="auto"/>
            </w:tcBorders>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Руб.</w:t>
            </w:r>
          </w:p>
        </w:tc>
        <w:tc>
          <w:tcPr>
            <w:tcW w:w="741" w:type="dxa"/>
            <w:tcBorders>
              <w:top w:val="nil"/>
              <w:left w:val="nil"/>
              <w:bottom w:val="single" w:sz="4" w:space="0" w:color="auto"/>
              <w:right w:val="single" w:sz="8" w:space="0" w:color="auto"/>
            </w:tcBorders>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w:t>
            </w:r>
          </w:p>
        </w:tc>
      </w:tr>
      <w:tr w:rsidR="005423DE" w:rsidRPr="008B6D9D" w:rsidTr="005261BD">
        <w:trPr>
          <w:trHeight w:val="335"/>
        </w:trPr>
        <w:tc>
          <w:tcPr>
            <w:tcW w:w="4254"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rPr>
                <w:rFonts w:ascii="Times New Roman" w:hAnsi="Times New Roman"/>
                <w:color w:val="000000"/>
                <w:sz w:val="24"/>
                <w:szCs w:val="24"/>
              </w:rPr>
            </w:pPr>
            <w:r w:rsidRPr="008B6D9D">
              <w:rPr>
                <w:rFonts w:ascii="Times New Roman" w:hAnsi="Times New Roman"/>
                <w:color w:val="000000"/>
                <w:sz w:val="24"/>
                <w:szCs w:val="24"/>
              </w:rPr>
              <w:t>Всего  по  ПМР</w:t>
            </w:r>
          </w:p>
        </w:tc>
        <w:tc>
          <w:tcPr>
            <w:tcW w:w="999"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ind w:right="-101"/>
              <w:contextualSpacing/>
              <w:jc w:val="center"/>
              <w:rPr>
                <w:rFonts w:ascii="Times New Roman" w:hAnsi="Times New Roman"/>
                <w:b/>
                <w:color w:val="000000"/>
                <w:sz w:val="24"/>
                <w:szCs w:val="24"/>
              </w:rPr>
            </w:pPr>
            <w:r w:rsidRPr="008B6D9D">
              <w:rPr>
                <w:rFonts w:ascii="Times New Roman" w:hAnsi="Times New Roman"/>
                <w:b/>
                <w:color w:val="000000"/>
                <w:sz w:val="24"/>
                <w:szCs w:val="24"/>
              </w:rPr>
              <w:t>20 630</w:t>
            </w:r>
          </w:p>
        </w:tc>
        <w:tc>
          <w:tcPr>
            <w:tcW w:w="857"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ind w:right="-94"/>
              <w:contextualSpacing/>
              <w:jc w:val="center"/>
              <w:rPr>
                <w:rFonts w:ascii="Times New Roman" w:hAnsi="Times New Roman"/>
                <w:b/>
                <w:color w:val="000000"/>
                <w:sz w:val="24"/>
                <w:szCs w:val="24"/>
              </w:rPr>
            </w:pPr>
            <w:r w:rsidRPr="008B6D9D">
              <w:rPr>
                <w:rFonts w:ascii="Times New Roman" w:hAnsi="Times New Roman"/>
                <w:b/>
                <w:color w:val="000000"/>
                <w:sz w:val="24"/>
                <w:szCs w:val="24"/>
              </w:rPr>
              <w:t>100,00</w:t>
            </w:r>
          </w:p>
        </w:tc>
        <w:tc>
          <w:tcPr>
            <w:tcW w:w="1142"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ind w:right="-178" w:firstLine="162"/>
              <w:contextualSpacing/>
              <w:rPr>
                <w:rFonts w:ascii="Times New Roman" w:hAnsi="Times New Roman"/>
                <w:b/>
                <w:color w:val="000000"/>
                <w:sz w:val="24"/>
                <w:szCs w:val="24"/>
              </w:rPr>
            </w:pPr>
            <w:r w:rsidRPr="008B6D9D">
              <w:rPr>
                <w:rFonts w:ascii="Times New Roman" w:hAnsi="Times New Roman"/>
                <w:b/>
                <w:color w:val="000000"/>
                <w:sz w:val="24"/>
                <w:szCs w:val="24"/>
              </w:rPr>
              <w:t>74 312</w:t>
            </w:r>
          </w:p>
        </w:tc>
        <w:tc>
          <w:tcPr>
            <w:tcW w:w="858"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ind w:right="-79"/>
              <w:contextualSpacing/>
              <w:jc w:val="center"/>
              <w:rPr>
                <w:rFonts w:ascii="Times New Roman" w:hAnsi="Times New Roman"/>
                <w:b/>
                <w:color w:val="000000"/>
                <w:sz w:val="24"/>
                <w:szCs w:val="24"/>
              </w:rPr>
            </w:pPr>
            <w:r w:rsidRPr="008B6D9D">
              <w:rPr>
                <w:rFonts w:ascii="Times New Roman" w:hAnsi="Times New Roman"/>
                <w:b/>
                <w:color w:val="000000"/>
                <w:sz w:val="24"/>
                <w:szCs w:val="24"/>
              </w:rPr>
              <w:t>100,00</w:t>
            </w:r>
          </w:p>
        </w:tc>
        <w:tc>
          <w:tcPr>
            <w:tcW w:w="1300"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b/>
                <w:color w:val="000000"/>
                <w:sz w:val="24"/>
                <w:szCs w:val="24"/>
              </w:rPr>
            </w:pPr>
            <w:r w:rsidRPr="008B6D9D">
              <w:rPr>
                <w:rFonts w:ascii="Times New Roman" w:hAnsi="Times New Roman"/>
                <w:b/>
                <w:color w:val="000000"/>
                <w:sz w:val="24"/>
                <w:szCs w:val="24"/>
              </w:rPr>
              <w:t>36 326 401</w:t>
            </w:r>
          </w:p>
        </w:tc>
        <w:tc>
          <w:tcPr>
            <w:tcW w:w="741"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ind w:left="-161" w:right="-164"/>
              <w:contextualSpacing/>
              <w:jc w:val="center"/>
              <w:rPr>
                <w:rFonts w:ascii="Times New Roman" w:hAnsi="Times New Roman"/>
                <w:b/>
                <w:color w:val="000000"/>
                <w:sz w:val="24"/>
                <w:szCs w:val="24"/>
              </w:rPr>
            </w:pPr>
            <w:r w:rsidRPr="008B6D9D">
              <w:rPr>
                <w:rFonts w:ascii="Times New Roman" w:hAnsi="Times New Roman"/>
                <w:b/>
                <w:color w:val="000000"/>
                <w:sz w:val="24"/>
                <w:szCs w:val="24"/>
              </w:rPr>
              <w:t>100,00</w:t>
            </w:r>
          </w:p>
        </w:tc>
      </w:tr>
      <w:tr w:rsidR="005423DE" w:rsidRPr="008B6D9D" w:rsidTr="005261BD">
        <w:trPr>
          <w:trHeight w:val="254"/>
        </w:trPr>
        <w:tc>
          <w:tcPr>
            <w:tcW w:w="4254"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rPr>
                <w:rFonts w:ascii="Times New Roman" w:hAnsi="Times New Roman"/>
                <w:color w:val="000000"/>
                <w:sz w:val="24"/>
                <w:szCs w:val="24"/>
              </w:rPr>
            </w:pPr>
            <w:r w:rsidRPr="008B6D9D">
              <w:rPr>
                <w:rFonts w:ascii="Times New Roman" w:hAnsi="Times New Roman"/>
                <w:color w:val="000000"/>
                <w:sz w:val="24"/>
                <w:szCs w:val="24"/>
              </w:rPr>
              <w:t>г. Тирасполь</w:t>
            </w:r>
          </w:p>
        </w:tc>
        <w:tc>
          <w:tcPr>
            <w:tcW w:w="999"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ind w:right="-101"/>
              <w:contextualSpacing/>
              <w:jc w:val="center"/>
              <w:rPr>
                <w:rFonts w:ascii="Times New Roman" w:hAnsi="Times New Roman"/>
                <w:color w:val="000000"/>
                <w:sz w:val="24"/>
                <w:szCs w:val="24"/>
              </w:rPr>
            </w:pPr>
            <w:r w:rsidRPr="008B6D9D">
              <w:rPr>
                <w:rFonts w:ascii="Times New Roman" w:hAnsi="Times New Roman"/>
                <w:color w:val="000000"/>
                <w:sz w:val="24"/>
                <w:szCs w:val="24"/>
              </w:rPr>
              <w:t>6 098</w:t>
            </w:r>
          </w:p>
        </w:tc>
        <w:tc>
          <w:tcPr>
            <w:tcW w:w="857"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29,56</w:t>
            </w:r>
          </w:p>
        </w:tc>
        <w:tc>
          <w:tcPr>
            <w:tcW w:w="1142"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25 594</w:t>
            </w:r>
          </w:p>
        </w:tc>
        <w:tc>
          <w:tcPr>
            <w:tcW w:w="858"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34,44</w:t>
            </w:r>
          </w:p>
        </w:tc>
        <w:tc>
          <w:tcPr>
            <w:tcW w:w="1300"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12 376 508</w:t>
            </w:r>
          </w:p>
        </w:tc>
        <w:tc>
          <w:tcPr>
            <w:tcW w:w="741"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ind w:left="-161" w:right="-164"/>
              <w:contextualSpacing/>
              <w:jc w:val="center"/>
              <w:rPr>
                <w:rFonts w:ascii="Times New Roman" w:hAnsi="Times New Roman"/>
                <w:color w:val="000000"/>
                <w:sz w:val="24"/>
                <w:szCs w:val="24"/>
              </w:rPr>
            </w:pPr>
            <w:r w:rsidRPr="008B6D9D">
              <w:rPr>
                <w:rFonts w:ascii="Times New Roman" w:hAnsi="Times New Roman"/>
                <w:color w:val="000000"/>
                <w:sz w:val="24"/>
                <w:szCs w:val="24"/>
              </w:rPr>
              <w:t>34,1</w:t>
            </w:r>
          </w:p>
        </w:tc>
      </w:tr>
      <w:tr w:rsidR="005423DE" w:rsidRPr="008B6D9D" w:rsidTr="005261BD">
        <w:trPr>
          <w:trHeight w:val="248"/>
        </w:trPr>
        <w:tc>
          <w:tcPr>
            <w:tcW w:w="4254"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rPr>
                <w:rFonts w:ascii="Times New Roman" w:hAnsi="Times New Roman"/>
                <w:color w:val="000000"/>
                <w:sz w:val="24"/>
                <w:szCs w:val="24"/>
              </w:rPr>
            </w:pPr>
            <w:r w:rsidRPr="008B6D9D">
              <w:rPr>
                <w:rFonts w:ascii="Times New Roman" w:hAnsi="Times New Roman"/>
                <w:color w:val="000000"/>
                <w:sz w:val="24"/>
                <w:szCs w:val="24"/>
              </w:rPr>
              <w:t>г. Бендеры</w:t>
            </w:r>
          </w:p>
        </w:tc>
        <w:tc>
          <w:tcPr>
            <w:tcW w:w="999"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4 049</w:t>
            </w:r>
          </w:p>
        </w:tc>
        <w:tc>
          <w:tcPr>
            <w:tcW w:w="857"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19,63</w:t>
            </w:r>
          </w:p>
        </w:tc>
        <w:tc>
          <w:tcPr>
            <w:tcW w:w="1142"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16 724</w:t>
            </w:r>
          </w:p>
        </w:tc>
        <w:tc>
          <w:tcPr>
            <w:tcW w:w="858"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22,51</w:t>
            </w:r>
          </w:p>
        </w:tc>
        <w:tc>
          <w:tcPr>
            <w:tcW w:w="1300"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8 621 233</w:t>
            </w:r>
          </w:p>
        </w:tc>
        <w:tc>
          <w:tcPr>
            <w:tcW w:w="741"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23,7</w:t>
            </w:r>
          </w:p>
        </w:tc>
      </w:tr>
      <w:tr w:rsidR="005423DE" w:rsidRPr="008B6D9D" w:rsidTr="005261BD">
        <w:trPr>
          <w:trHeight w:val="248"/>
        </w:trPr>
        <w:tc>
          <w:tcPr>
            <w:tcW w:w="4254"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rPr>
                <w:rFonts w:ascii="Times New Roman" w:hAnsi="Times New Roman"/>
                <w:color w:val="000000"/>
                <w:sz w:val="24"/>
                <w:szCs w:val="24"/>
              </w:rPr>
            </w:pPr>
            <w:r w:rsidRPr="008B6D9D">
              <w:rPr>
                <w:rFonts w:ascii="Times New Roman" w:hAnsi="Times New Roman"/>
                <w:color w:val="000000"/>
                <w:sz w:val="24"/>
                <w:szCs w:val="24"/>
              </w:rPr>
              <w:t>г. Рыбница и Рыбницкий  район</w:t>
            </w:r>
          </w:p>
        </w:tc>
        <w:tc>
          <w:tcPr>
            <w:tcW w:w="999"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3 009</w:t>
            </w:r>
          </w:p>
        </w:tc>
        <w:tc>
          <w:tcPr>
            <w:tcW w:w="857"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14,59</w:t>
            </w:r>
          </w:p>
        </w:tc>
        <w:tc>
          <w:tcPr>
            <w:tcW w:w="1142"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9 854</w:t>
            </w:r>
          </w:p>
        </w:tc>
        <w:tc>
          <w:tcPr>
            <w:tcW w:w="858"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13,26</w:t>
            </w:r>
          </w:p>
        </w:tc>
        <w:tc>
          <w:tcPr>
            <w:tcW w:w="1300"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5 003 987</w:t>
            </w:r>
          </w:p>
        </w:tc>
        <w:tc>
          <w:tcPr>
            <w:tcW w:w="741"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13,8</w:t>
            </w:r>
          </w:p>
        </w:tc>
      </w:tr>
      <w:tr w:rsidR="005423DE" w:rsidRPr="008B6D9D" w:rsidTr="005261BD">
        <w:trPr>
          <w:trHeight w:val="248"/>
        </w:trPr>
        <w:tc>
          <w:tcPr>
            <w:tcW w:w="4254"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ind w:right="-108"/>
              <w:contextualSpacing/>
              <w:rPr>
                <w:rFonts w:ascii="Times New Roman" w:hAnsi="Times New Roman"/>
                <w:color w:val="000000"/>
                <w:sz w:val="24"/>
                <w:szCs w:val="24"/>
              </w:rPr>
            </w:pPr>
            <w:r w:rsidRPr="008B6D9D">
              <w:rPr>
                <w:rFonts w:ascii="Times New Roman" w:hAnsi="Times New Roman"/>
                <w:color w:val="000000"/>
                <w:sz w:val="24"/>
                <w:szCs w:val="24"/>
              </w:rPr>
              <w:t>г. Дубоссары и  Дубоссарский  район</w:t>
            </w:r>
          </w:p>
        </w:tc>
        <w:tc>
          <w:tcPr>
            <w:tcW w:w="999"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2 152</w:t>
            </w:r>
          </w:p>
        </w:tc>
        <w:tc>
          <w:tcPr>
            <w:tcW w:w="857"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10,43</w:t>
            </w:r>
          </w:p>
        </w:tc>
        <w:tc>
          <w:tcPr>
            <w:tcW w:w="1142"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6 756</w:t>
            </w:r>
          </w:p>
        </w:tc>
        <w:tc>
          <w:tcPr>
            <w:tcW w:w="858"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9,09</w:t>
            </w:r>
          </w:p>
        </w:tc>
        <w:tc>
          <w:tcPr>
            <w:tcW w:w="1300"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2 592 665</w:t>
            </w:r>
          </w:p>
        </w:tc>
        <w:tc>
          <w:tcPr>
            <w:tcW w:w="741"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7,1</w:t>
            </w:r>
          </w:p>
        </w:tc>
      </w:tr>
      <w:tr w:rsidR="005423DE" w:rsidRPr="008B6D9D" w:rsidTr="005261BD">
        <w:trPr>
          <w:trHeight w:val="248"/>
        </w:trPr>
        <w:tc>
          <w:tcPr>
            <w:tcW w:w="4254"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ind w:right="-108"/>
              <w:contextualSpacing/>
              <w:rPr>
                <w:rFonts w:ascii="Times New Roman" w:hAnsi="Times New Roman"/>
                <w:color w:val="000000"/>
                <w:sz w:val="24"/>
                <w:szCs w:val="24"/>
              </w:rPr>
            </w:pPr>
            <w:r w:rsidRPr="008B6D9D">
              <w:rPr>
                <w:rFonts w:ascii="Times New Roman" w:hAnsi="Times New Roman"/>
                <w:color w:val="000000"/>
                <w:sz w:val="24"/>
                <w:szCs w:val="24"/>
              </w:rPr>
              <w:t>г. Слободзея и Слободзейский  район</w:t>
            </w:r>
          </w:p>
        </w:tc>
        <w:tc>
          <w:tcPr>
            <w:tcW w:w="999"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2 537</w:t>
            </w:r>
          </w:p>
        </w:tc>
        <w:tc>
          <w:tcPr>
            <w:tcW w:w="857"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12,3</w:t>
            </w:r>
          </w:p>
        </w:tc>
        <w:tc>
          <w:tcPr>
            <w:tcW w:w="1142"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8 443</w:t>
            </w:r>
          </w:p>
        </w:tc>
        <w:tc>
          <w:tcPr>
            <w:tcW w:w="858"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11,36</w:t>
            </w:r>
          </w:p>
        </w:tc>
        <w:tc>
          <w:tcPr>
            <w:tcW w:w="1300"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5 205 366</w:t>
            </w:r>
          </w:p>
        </w:tc>
        <w:tc>
          <w:tcPr>
            <w:tcW w:w="741"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14,3</w:t>
            </w:r>
          </w:p>
        </w:tc>
      </w:tr>
      <w:tr w:rsidR="005423DE" w:rsidRPr="008B6D9D" w:rsidTr="005261BD">
        <w:trPr>
          <w:trHeight w:val="248"/>
        </w:trPr>
        <w:tc>
          <w:tcPr>
            <w:tcW w:w="4254"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rPr>
                <w:rFonts w:ascii="Times New Roman" w:hAnsi="Times New Roman"/>
                <w:color w:val="000000"/>
                <w:sz w:val="24"/>
                <w:szCs w:val="24"/>
              </w:rPr>
            </w:pPr>
            <w:r w:rsidRPr="008B6D9D">
              <w:rPr>
                <w:rFonts w:ascii="Times New Roman" w:hAnsi="Times New Roman"/>
                <w:color w:val="000000"/>
                <w:sz w:val="24"/>
                <w:szCs w:val="24"/>
              </w:rPr>
              <w:t>г. Григориополь и Григориопольский  район</w:t>
            </w:r>
          </w:p>
        </w:tc>
        <w:tc>
          <w:tcPr>
            <w:tcW w:w="999"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1 837</w:t>
            </w:r>
          </w:p>
        </w:tc>
        <w:tc>
          <w:tcPr>
            <w:tcW w:w="857"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8,9</w:t>
            </w:r>
          </w:p>
        </w:tc>
        <w:tc>
          <w:tcPr>
            <w:tcW w:w="1142"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4 182</w:t>
            </w:r>
          </w:p>
        </w:tc>
        <w:tc>
          <w:tcPr>
            <w:tcW w:w="858"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5,63</w:t>
            </w:r>
          </w:p>
        </w:tc>
        <w:tc>
          <w:tcPr>
            <w:tcW w:w="1300"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1 448 116</w:t>
            </w:r>
          </w:p>
        </w:tc>
        <w:tc>
          <w:tcPr>
            <w:tcW w:w="741"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4,0</w:t>
            </w:r>
          </w:p>
        </w:tc>
      </w:tr>
      <w:tr w:rsidR="005423DE" w:rsidRPr="008B6D9D" w:rsidTr="005261BD">
        <w:trPr>
          <w:trHeight w:val="321"/>
        </w:trPr>
        <w:tc>
          <w:tcPr>
            <w:tcW w:w="4254"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rPr>
                <w:rFonts w:ascii="Times New Roman" w:hAnsi="Times New Roman"/>
                <w:color w:val="000000"/>
                <w:sz w:val="24"/>
                <w:szCs w:val="24"/>
              </w:rPr>
            </w:pPr>
            <w:r w:rsidRPr="008B6D9D">
              <w:rPr>
                <w:rFonts w:ascii="Times New Roman" w:hAnsi="Times New Roman"/>
                <w:color w:val="000000"/>
                <w:sz w:val="24"/>
                <w:szCs w:val="24"/>
              </w:rPr>
              <w:t>г. Каменка и Каменский  район</w:t>
            </w:r>
          </w:p>
        </w:tc>
        <w:tc>
          <w:tcPr>
            <w:tcW w:w="999"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948</w:t>
            </w:r>
          </w:p>
        </w:tc>
        <w:tc>
          <w:tcPr>
            <w:tcW w:w="857"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4,6</w:t>
            </w:r>
          </w:p>
        </w:tc>
        <w:tc>
          <w:tcPr>
            <w:tcW w:w="1142"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2 759</w:t>
            </w:r>
          </w:p>
        </w:tc>
        <w:tc>
          <w:tcPr>
            <w:tcW w:w="858"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3,71</w:t>
            </w:r>
          </w:p>
        </w:tc>
        <w:tc>
          <w:tcPr>
            <w:tcW w:w="1300"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1 078 526</w:t>
            </w:r>
          </w:p>
        </w:tc>
        <w:tc>
          <w:tcPr>
            <w:tcW w:w="741" w:type="dxa"/>
            <w:tcBorders>
              <w:top w:val="single" w:sz="4" w:space="0" w:color="auto"/>
              <w:left w:val="single" w:sz="4" w:space="0" w:color="auto"/>
              <w:bottom w:val="single" w:sz="4" w:space="0" w:color="auto"/>
              <w:right w:val="single" w:sz="4" w:space="0" w:color="auto"/>
            </w:tcBorders>
            <w:vAlign w:val="center"/>
          </w:tcPr>
          <w:p w:rsidR="005423DE" w:rsidRPr="008B6D9D" w:rsidRDefault="005423DE" w:rsidP="005261BD">
            <w:pPr>
              <w:spacing w:after="0" w:line="240" w:lineRule="auto"/>
              <w:contextualSpacing/>
              <w:jc w:val="center"/>
              <w:rPr>
                <w:rFonts w:ascii="Times New Roman" w:hAnsi="Times New Roman"/>
                <w:color w:val="000000"/>
                <w:sz w:val="24"/>
                <w:szCs w:val="24"/>
              </w:rPr>
            </w:pPr>
            <w:r w:rsidRPr="008B6D9D">
              <w:rPr>
                <w:rFonts w:ascii="Times New Roman" w:hAnsi="Times New Roman"/>
                <w:color w:val="000000"/>
                <w:sz w:val="24"/>
                <w:szCs w:val="24"/>
              </w:rPr>
              <w:t>3,0</w:t>
            </w:r>
          </w:p>
        </w:tc>
      </w:tr>
    </w:tbl>
    <w:p w:rsidR="005423DE" w:rsidRPr="008B6D9D" w:rsidRDefault="005423DE" w:rsidP="005423DE">
      <w:pPr>
        <w:spacing w:after="0" w:line="240" w:lineRule="auto"/>
        <w:ind w:firstLine="709"/>
        <w:jc w:val="both"/>
        <w:rPr>
          <w:rFonts w:ascii="Times New Roman" w:hAnsi="Times New Roman"/>
          <w:sz w:val="24"/>
          <w:szCs w:val="24"/>
        </w:rPr>
      </w:pPr>
    </w:p>
    <w:p w:rsidR="005423DE" w:rsidRPr="00863997" w:rsidRDefault="005423DE" w:rsidP="005423DE">
      <w:pPr>
        <w:spacing w:after="0" w:line="240" w:lineRule="auto"/>
        <w:ind w:firstLine="709"/>
        <w:jc w:val="both"/>
        <w:rPr>
          <w:rFonts w:ascii="Times New Roman" w:hAnsi="Times New Roman"/>
          <w:sz w:val="24"/>
          <w:szCs w:val="24"/>
        </w:rPr>
      </w:pPr>
      <w:r w:rsidRPr="008B6D9D">
        <w:rPr>
          <w:rFonts w:ascii="Times New Roman" w:hAnsi="Times New Roman"/>
          <w:sz w:val="24"/>
          <w:szCs w:val="24"/>
        </w:rPr>
        <w:lastRenderedPageBreak/>
        <w:t>Традиционно наиболее привлекательной зоной развития индивидуального предпринимательства остается г. Тирасполь и г. Бендеры, обеспечивающие 57,8% всех поступлений от платы за предпринимательский патент и сумм обязательных страховых взносов.</w:t>
      </w:r>
    </w:p>
    <w:p w:rsidR="005423DE" w:rsidRPr="008B6D9D" w:rsidRDefault="005423DE" w:rsidP="005423DE">
      <w:pPr>
        <w:spacing w:after="0" w:line="240" w:lineRule="auto"/>
        <w:ind w:firstLine="709"/>
        <w:jc w:val="both"/>
        <w:rPr>
          <w:rFonts w:ascii="Times New Roman" w:hAnsi="Times New Roman"/>
          <w:sz w:val="24"/>
          <w:szCs w:val="24"/>
        </w:rPr>
      </w:pPr>
      <w:r w:rsidRPr="008B6D9D">
        <w:rPr>
          <w:rFonts w:ascii="Times New Roman" w:hAnsi="Times New Roman"/>
          <w:sz w:val="24"/>
          <w:szCs w:val="24"/>
        </w:rPr>
        <w:t xml:space="preserve">Основное количество индивидуальных предпринимателей, по-прежнему, задействовано в сфере торговли и общепита (16,8% от общей численности выданных патентов), </w:t>
      </w:r>
      <w:r w:rsidR="00BA368A">
        <w:rPr>
          <w:rFonts w:ascii="Times New Roman" w:hAnsi="Times New Roman"/>
          <w:sz w:val="24"/>
          <w:szCs w:val="24"/>
        </w:rPr>
        <w:t>суммарная стоимость которых составила</w:t>
      </w:r>
      <w:r w:rsidRPr="008B6D9D">
        <w:rPr>
          <w:rFonts w:ascii="Times New Roman" w:hAnsi="Times New Roman"/>
          <w:sz w:val="24"/>
          <w:szCs w:val="24"/>
        </w:rPr>
        <w:t xml:space="preserve"> 21,9 млн. руб. или 60,4% совокупной платы за патент.</w:t>
      </w:r>
    </w:p>
    <w:p w:rsidR="005423DE" w:rsidRPr="008B6D9D" w:rsidRDefault="005423DE" w:rsidP="005423DE">
      <w:pPr>
        <w:spacing w:after="0" w:line="240" w:lineRule="auto"/>
        <w:ind w:firstLine="709"/>
        <w:jc w:val="both"/>
        <w:rPr>
          <w:rFonts w:ascii="Times New Roman" w:hAnsi="Times New Roman"/>
          <w:sz w:val="24"/>
          <w:szCs w:val="24"/>
        </w:rPr>
      </w:pPr>
      <w:r w:rsidRPr="008B6D9D">
        <w:rPr>
          <w:rFonts w:ascii="Times New Roman" w:hAnsi="Times New Roman"/>
          <w:sz w:val="24"/>
          <w:szCs w:val="24"/>
        </w:rPr>
        <w:t>Для возможности выполнения и оказания различного рода работ и услуг в            январе – июне 2014 года было выдано 3 226 патентов (4,3% от общего числа) на сумму  5,7 млн. руб. или 15,6% от поступлений в государственную казну.</w:t>
      </w:r>
    </w:p>
    <w:p w:rsidR="005423DE" w:rsidRPr="008B6D9D" w:rsidRDefault="005423DE" w:rsidP="005423DE">
      <w:pPr>
        <w:spacing w:after="0" w:line="240" w:lineRule="auto"/>
        <w:ind w:firstLine="709"/>
        <w:jc w:val="both"/>
        <w:rPr>
          <w:rFonts w:ascii="Times New Roman" w:hAnsi="Times New Roman"/>
          <w:sz w:val="24"/>
          <w:szCs w:val="24"/>
        </w:rPr>
      </w:pPr>
      <w:r w:rsidRPr="008B6D9D">
        <w:rPr>
          <w:rFonts w:ascii="Times New Roman" w:hAnsi="Times New Roman"/>
          <w:sz w:val="24"/>
          <w:szCs w:val="24"/>
        </w:rPr>
        <w:t>В рассматриваемом периоде от деятельности индивидуальных предпринимателей в производственном секторе поступило 1,4 млн. руб. (4,0%), количество выданных патентов составило 815 единиц.</w:t>
      </w:r>
    </w:p>
    <w:p w:rsidR="005423DE" w:rsidRPr="008B6D9D" w:rsidRDefault="005423DE" w:rsidP="005423DE">
      <w:pPr>
        <w:spacing w:after="0" w:line="240" w:lineRule="auto"/>
        <w:ind w:firstLine="709"/>
        <w:jc w:val="both"/>
        <w:rPr>
          <w:rFonts w:ascii="Times New Roman" w:hAnsi="Times New Roman"/>
          <w:sz w:val="24"/>
          <w:szCs w:val="24"/>
        </w:rPr>
      </w:pPr>
      <w:r w:rsidRPr="008B6D9D">
        <w:rPr>
          <w:rFonts w:ascii="Times New Roman" w:hAnsi="Times New Roman"/>
          <w:sz w:val="24"/>
          <w:szCs w:val="24"/>
        </w:rPr>
        <w:t>Размер поступлений от индивидуальных предпринимателей, осуществляющих сельскохозяйственную деятельность, составил 4,0 млн. руб. и обеспечил 11,0% всех поступлений. Число патентов, выданных на осуществление данного вида деятельности, составило 2 264 единицы.</w:t>
      </w:r>
    </w:p>
    <w:p w:rsidR="005423DE" w:rsidRPr="008B6D9D" w:rsidRDefault="005423DE" w:rsidP="005423DE">
      <w:pPr>
        <w:spacing w:after="0" w:line="240" w:lineRule="auto"/>
        <w:ind w:firstLine="709"/>
        <w:jc w:val="both"/>
        <w:rPr>
          <w:rFonts w:ascii="Times New Roman" w:hAnsi="Times New Roman"/>
          <w:sz w:val="24"/>
          <w:szCs w:val="24"/>
        </w:rPr>
      </w:pPr>
      <w:r w:rsidRPr="008B6D9D">
        <w:rPr>
          <w:rFonts w:ascii="Times New Roman" w:hAnsi="Times New Roman"/>
          <w:sz w:val="24"/>
          <w:szCs w:val="24"/>
        </w:rPr>
        <w:t>С целью государственной поддержки предприятий малого бизнеса проводится работа по</w:t>
      </w:r>
      <w:r w:rsidRPr="008B6D9D">
        <w:rPr>
          <w:rFonts w:ascii="Times New Roman" w:hAnsi="Times New Roman"/>
          <w:color w:val="000000"/>
          <w:sz w:val="24"/>
          <w:szCs w:val="24"/>
        </w:rPr>
        <w:t xml:space="preserve"> упрощенной системе налогообложения, ведения бухгалтерского</w:t>
      </w:r>
      <w:r w:rsidRPr="008B6D9D">
        <w:rPr>
          <w:rFonts w:ascii="Times New Roman" w:hAnsi="Times New Roman"/>
          <w:sz w:val="24"/>
          <w:szCs w:val="24"/>
        </w:rPr>
        <w:t xml:space="preserve"> учета и отчетности  для отдельных категорий юридических лиц - субъектов малого предпринимательства. Количество организаций, перешедших на данную систему налогообложения за январь – июнь 2014 года, составило 85 единиц.</w:t>
      </w:r>
    </w:p>
    <w:p w:rsidR="005423DE" w:rsidRDefault="005423DE" w:rsidP="005423DE">
      <w:pPr>
        <w:spacing w:after="0" w:line="240" w:lineRule="auto"/>
        <w:ind w:firstLine="709"/>
        <w:jc w:val="both"/>
        <w:rPr>
          <w:rFonts w:ascii="Times New Roman" w:hAnsi="Times New Roman"/>
          <w:bCs/>
          <w:sz w:val="24"/>
          <w:szCs w:val="24"/>
        </w:rPr>
      </w:pPr>
      <w:r w:rsidRPr="008B6D9D">
        <w:rPr>
          <w:rFonts w:ascii="Times New Roman" w:hAnsi="Times New Roman"/>
          <w:sz w:val="24"/>
          <w:szCs w:val="24"/>
        </w:rPr>
        <w:t>На основании анализа выполнения мероприятий развития и поддержки малого предпринимательства, можно сделать вывод о том,</w:t>
      </w:r>
      <w:r w:rsidRPr="008B6D9D">
        <w:rPr>
          <w:rFonts w:ascii="Times New Roman" w:hAnsi="Times New Roman"/>
          <w:bCs/>
          <w:sz w:val="24"/>
          <w:szCs w:val="24"/>
        </w:rPr>
        <w:t xml:space="preserve"> что вклад малого предпринимательства в экономику республики с каждым годом становится более существенным: растет объем выпускаемой продукции, работ и услуг, улучшается их ассортимент, за счет внедрения новых технологий повышается качество, растет количество занятых, а также увеличиваются налоговые поступления в бюджеты всех уровней.</w:t>
      </w:r>
    </w:p>
    <w:p w:rsidR="00DE2491" w:rsidRDefault="00DE2491" w:rsidP="00332793">
      <w:pPr>
        <w:shd w:val="clear" w:color="auto" w:fill="FFFFFF"/>
        <w:spacing w:after="0" w:line="240" w:lineRule="auto"/>
        <w:ind w:firstLine="709"/>
        <w:jc w:val="both"/>
        <w:rPr>
          <w:rFonts w:ascii="Times New Roman" w:hAnsi="Times New Roman"/>
          <w:sz w:val="24"/>
          <w:szCs w:val="24"/>
        </w:rPr>
      </w:pPr>
    </w:p>
    <w:p w:rsidR="00984667" w:rsidRPr="00AC358B" w:rsidRDefault="00984667" w:rsidP="00984667">
      <w:pPr>
        <w:spacing w:after="0" w:line="240" w:lineRule="auto"/>
        <w:ind w:firstLine="709"/>
        <w:rPr>
          <w:rFonts w:ascii="Times New Roman" w:hAnsi="Times New Roman"/>
          <w:b/>
          <w:sz w:val="24"/>
          <w:szCs w:val="24"/>
        </w:rPr>
      </w:pPr>
      <w:r w:rsidRPr="00C258D9">
        <w:rPr>
          <w:rFonts w:ascii="Times New Roman" w:hAnsi="Times New Roman"/>
          <w:b/>
          <w:sz w:val="24"/>
          <w:szCs w:val="24"/>
        </w:rPr>
        <w:t>Экология</w:t>
      </w:r>
    </w:p>
    <w:p w:rsidR="00984667" w:rsidRPr="00AC358B" w:rsidRDefault="00984667" w:rsidP="00984667">
      <w:pPr>
        <w:spacing w:after="0" w:line="240" w:lineRule="auto"/>
        <w:ind w:firstLine="709"/>
        <w:rPr>
          <w:rFonts w:ascii="Times New Roman" w:hAnsi="Times New Roman"/>
          <w:b/>
          <w:sz w:val="24"/>
          <w:szCs w:val="24"/>
        </w:rPr>
      </w:pPr>
    </w:p>
    <w:p w:rsidR="00984667" w:rsidRPr="00AC358B" w:rsidRDefault="00984667" w:rsidP="00984667">
      <w:pPr>
        <w:spacing w:after="0" w:line="240" w:lineRule="auto"/>
        <w:ind w:firstLine="709"/>
        <w:jc w:val="both"/>
        <w:rPr>
          <w:rFonts w:ascii="Times New Roman" w:hAnsi="Times New Roman"/>
          <w:sz w:val="24"/>
          <w:szCs w:val="24"/>
        </w:rPr>
      </w:pPr>
      <w:r w:rsidRPr="00AC358B">
        <w:rPr>
          <w:rFonts w:ascii="Times New Roman" w:hAnsi="Times New Roman"/>
          <w:sz w:val="24"/>
          <w:szCs w:val="24"/>
        </w:rPr>
        <w:t>Экологическая ситуация, сложившаяся на территории Приднестровской Молдавской Республики, и специфика проблем окружающей среды в каждом из ее районов определяются особенностью местных природно-климатических условий, а также характером и масштабами воздействия промышленности, транспорта, сельского и коммунального хозяйства на окружающую природную среду.</w:t>
      </w:r>
    </w:p>
    <w:p w:rsidR="00984667" w:rsidRPr="00AC358B" w:rsidRDefault="00984667" w:rsidP="00984667">
      <w:pPr>
        <w:spacing w:after="0" w:line="240" w:lineRule="auto"/>
        <w:ind w:firstLine="709"/>
        <w:jc w:val="both"/>
        <w:rPr>
          <w:rFonts w:ascii="Times New Roman" w:hAnsi="Times New Roman"/>
          <w:spacing w:val="6"/>
          <w:sz w:val="24"/>
          <w:szCs w:val="24"/>
        </w:rPr>
      </w:pPr>
      <w:r w:rsidRPr="00AC358B">
        <w:rPr>
          <w:rFonts w:ascii="Times New Roman" w:hAnsi="Times New Roman"/>
          <w:sz w:val="24"/>
          <w:szCs w:val="24"/>
        </w:rPr>
        <w:t xml:space="preserve">По итогам </w:t>
      </w:r>
      <w:r w:rsidRPr="00AC358B">
        <w:rPr>
          <w:rFonts w:ascii="Times New Roman" w:hAnsi="Times New Roman"/>
          <w:sz w:val="24"/>
          <w:szCs w:val="24"/>
          <w:lang w:val="en-US"/>
        </w:rPr>
        <w:t>I</w:t>
      </w:r>
      <w:r w:rsidRPr="00AC358B">
        <w:rPr>
          <w:rFonts w:ascii="Times New Roman" w:hAnsi="Times New Roman"/>
          <w:sz w:val="24"/>
          <w:szCs w:val="24"/>
        </w:rPr>
        <w:t xml:space="preserve"> полугодия 2014 года анализ данных загрязнения воздуха свидетельствует о тенденции снижения вредных выбросов в атмосферный воздух в результате перехода ЗАО «Молдавская ГРЭС» на потребление газообразного топлива вместо твердого (угля). </w:t>
      </w:r>
      <w:r w:rsidRPr="00AC358B">
        <w:rPr>
          <w:rFonts w:ascii="Times New Roman" w:hAnsi="Times New Roman"/>
          <w:spacing w:val="7"/>
          <w:sz w:val="24"/>
          <w:szCs w:val="24"/>
        </w:rPr>
        <w:t xml:space="preserve">В целом по республике </w:t>
      </w:r>
      <w:r w:rsidRPr="00AC358B">
        <w:rPr>
          <w:rFonts w:ascii="Times New Roman" w:hAnsi="Times New Roman"/>
          <w:b/>
          <w:i/>
          <w:spacing w:val="12"/>
          <w:sz w:val="24"/>
          <w:szCs w:val="24"/>
        </w:rPr>
        <w:t xml:space="preserve">валовой </w:t>
      </w:r>
      <w:r w:rsidRPr="00AC358B">
        <w:rPr>
          <w:rFonts w:ascii="Times New Roman" w:hAnsi="Times New Roman"/>
          <w:b/>
          <w:i/>
          <w:sz w:val="24"/>
          <w:szCs w:val="24"/>
        </w:rPr>
        <w:t>выброс загрязняющих веществ</w:t>
      </w:r>
      <w:r w:rsidRPr="00AC358B">
        <w:rPr>
          <w:rFonts w:ascii="Times New Roman" w:hAnsi="Times New Roman"/>
          <w:sz w:val="24"/>
          <w:szCs w:val="24"/>
        </w:rPr>
        <w:t xml:space="preserve"> в январе - июне 2014 года снизился</w:t>
      </w:r>
      <w:r w:rsidRPr="00AC358B">
        <w:rPr>
          <w:rFonts w:ascii="Times New Roman" w:hAnsi="Times New Roman"/>
          <w:spacing w:val="3"/>
          <w:sz w:val="24"/>
          <w:szCs w:val="24"/>
        </w:rPr>
        <w:t xml:space="preserve"> по отношению к показателю 2013 года </w:t>
      </w:r>
      <w:r w:rsidRPr="00AC358B">
        <w:rPr>
          <w:rFonts w:ascii="Times New Roman" w:hAnsi="Times New Roman"/>
          <w:spacing w:val="2"/>
          <w:sz w:val="24"/>
          <w:szCs w:val="24"/>
        </w:rPr>
        <w:t xml:space="preserve">на 23,3% и достиг </w:t>
      </w:r>
      <w:r w:rsidRPr="00AC358B">
        <w:rPr>
          <w:rFonts w:ascii="Times New Roman" w:hAnsi="Times New Roman"/>
          <w:b/>
          <w:spacing w:val="2"/>
          <w:sz w:val="24"/>
          <w:szCs w:val="24"/>
        </w:rPr>
        <w:t>26 090,8</w:t>
      </w:r>
      <w:r w:rsidRPr="00AC358B">
        <w:rPr>
          <w:rFonts w:ascii="Times New Roman" w:hAnsi="Times New Roman"/>
          <w:b/>
          <w:spacing w:val="6"/>
          <w:sz w:val="24"/>
          <w:szCs w:val="24"/>
        </w:rPr>
        <w:t xml:space="preserve"> тонн.</w:t>
      </w:r>
    </w:p>
    <w:p w:rsidR="00106C3D" w:rsidRPr="00AC358B" w:rsidRDefault="00106C3D" w:rsidP="00106C3D">
      <w:pPr>
        <w:spacing w:after="0" w:line="240" w:lineRule="auto"/>
        <w:ind w:firstLine="720"/>
        <w:jc w:val="both"/>
        <w:rPr>
          <w:rFonts w:ascii="Times New Roman" w:hAnsi="Times New Roman"/>
          <w:spacing w:val="6"/>
          <w:sz w:val="24"/>
          <w:szCs w:val="24"/>
        </w:rPr>
      </w:pPr>
      <w:r w:rsidRPr="00AC358B">
        <w:rPr>
          <w:rFonts w:ascii="Times New Roman" w:hAnsi="Times New Roman"/>
          <w:spacing w:val="6"/>
          <w:sz w:val="24"/>
          <w:szCs w:val="24"/>
        </w:rPr>
        <w:t xml:space="preserve">Выбросы вредных веществ </w:t>
      </w:r>
      <w:r w:rsidRPr="00AC358B">
        <w:rPr>
          <w:rFonts w:ascii="Times New Roman" w:hAnsi="Times New Roman"/>
          <w:i/>
          <w:spacing w:val="6"/>
          <w:sz w:val="24"/>
          <w:szCs w:val="24"/>
        </w:rPr>
        <w:t xml:space="preserve">от стационарных источников </w:t>
      </w:r>
      <w:r w:rsidRPr="00AC358B">
        <w:rPr>
          <w:rFonts w:ascii="Times New Roman" w:hAnsi="Times New Roman"/>
          <w:spacing w:val="6"/>
          <w:sz w:val="24"/>
          <w:szCs w:val="24"/>
        </w:rPr>
        <w:t xml:space="preserve">в целом по республике снизились на 55,4% к соответствующему периоду 2013 года до </w:t>
      </w:r>
      <w:r>
        <w:rPr>
          <w:rFonts w:ascii="Times New Roman" w:hAnsi="Times New Roman"/>
          <w:spacing w:val="6"/>
          <w:sz w:val="24"/>
          <w:szCs w:val="24"/>
        </w:rPr>
        <w:t xml:space="preserve">       </w:t>
      </w:r>
      <w:r w:rsidRPr="00AC358B">
        <w:rPr>
          <w:rFonts w:ascii="Times New Roman" w:hAnsi="Times New Roman"/>
          <w:spacing w:val="6"/>
          <w:sz w:val="24"/>
          <w:szCs w:val="24"/>
        </w:rPr>
        <w:t>6 602,7 тонн. По всем городам и районам, за исключением г. Рыбница</w:t>
      </w:r>
      <w:r w:rsidRPr="003E2D91">
        <w:rPr>
          <w:rFonts w:ascii="Times New Roman" w:hAnsi="Times New Roman"/>
          <w:spacing w:val="6"/>
          <w:sz w:val="24"/>
          <w:szCs w:val="24"/>
        </w:rPr>
        <w:t xml:space="preserve"> </w:t>
      </w:r>
      <w:r w:rsidRPr="00AC358B">
        <w:rPr>
          <w:rFonts w:ascii="Times New Roman" w:hAnsi="Times New Roman"/>
          <w:spacing w:val="6"/>
          <w:sz w:val="24"/>
          <w:szCs w:val="24"/>
        </w:rPr>
        <w:t>и Рыбницкий район</w:t>
      </w:r>
      <w:r>
        <w:rPr>
          <w:rFonts w:ascii="Times New Roman" w:hAnsi="Times New Roman"/>
          <w:spacing w:val="6"/>
          <w:sz w:val="24"/>
          <w:szCs w:val="24"/>
        </w:rPr>
        <w:t>,</w:t>
      </w:r>
      <w:r w:rsidRPr="00AC358B">
        <w:rPr>
          <w:rFonts w:ascii="Times New Roman" w:hAnsi="Times New Roman"/>
          <w:spacing w:val="6"/>
          <w:sz w:val="24"/>
          <w:szCs w:val="24"/>
        </w:rPr>
        <w:t xml:space="preserve"> г. Слободзея Слободзейского и </w:t>
      </w:r>
      <w:r w:rsidRPr="00AC358B">
        <w:rPr>
          <w:rFonts w:ascii="Times New Roman" w:hAnsi="Times New Roman"/>
          <w:sz w:val="24"/>
          <w:szCs w:val="24"/>
        </w:rPr>
        <w:t>г. Григориополь и Григориопольск</w:t>
      </w:r>
      <w:r>
        <w:rPr>
          <w:rFonts w:ascii="Times New Roman" w:hAnsi="Times New Roman"/>
          <w:sz w:val="24"/>
          <w:szCs w:val="24"/>
        </w:rPr>
        <w:t>ий</w:t>
      </w:r>
      <w:r w:rsidRPr="00AC358B">
        <w:rPr>
          <w:rFonts w:ascii="Times New Roman" w:hAnsi="Times New Roman"/>
          <w:sz w:val="24"/>
          <w:szCs w:val="24"/>
        </w:rPr>
        <w:t xml:space="preserve"> район</w:t>
      </w:r>
      <w:r w:rsidRPr="00AC358B">
        <w:rPr>
          <w:rFonts w:ascii="Times New Roman" w:hAnsi="Times New Roman"/>
          <w:spacing w:val="6"/>
          <w:sz w:val="24"/>
          <w:szCs w:val="24"/>
        </w:rPr>
        <w:t>, отмечено уменьшение выбросов вредных веществ от стационарных источников. Основную долю в загрязнение атмосферного воздуха республики стационарными источниками, как и в предыдущие годы, вносят объекты теплоэнергетического комплекса.</w:t>
      </w:r>
    </w:p>
    <w:p w:rsidR="00984667" w:rsidRPr="00AC358B" w:rsidRDefault="00984667" w:rsidP="00984667">
      <w:pPr>
        <w:spacing w:after="0" w:line="240" w:lineRule="auto"/>
        <w:ind w:firstLine="720"/>
        <w:jc w:val="both"/>
        <w:rPr>
          <w:rFonts w:ascii="Times New Roman" w:hAnsi="Times New Roman"/>
          <w:sz w:val="24"/>
          <w:szCs w:val="24"/>
        </w:rPr>
      </w:pPr>
      <w:r w:rsidRPr="00AC358B">
        <w:rPr>
          <w:rFonts w:ascii="Times New Roman" w:hAnsi="Times New Roman"/>
          <w:spacing w:val="6"/>
          <w:sz w:val="24"/>
          <w:szCs w:val="24"/>
        </w:rPr>
        <w:lastRenderedPageBreak/>
        <w:t xml:space="preserve">Вместе с этим, в результате ритмичной работы в январе - июне 2014 года </w:t>
      </w:r>
      <w:r>
        <w:rPr>
          <w:rFonts w:ascii="Times New Roman" w:hAnsi="Times New Roman"/>
          <w:spacing w:val="6"/>
          <w:sz w:val="24"/>
          <w:szCs w:val="24"/>
        </w:rPr>
        <w:t xml:space="preserve">       </w:t>
      </w:r>
      <w:r w:rsidRPr="00AC358B">
        <w:rPr>
          <w:rFonts w:ascii="Times New Roman" w:hAnsi="Times New Roman"/>
          <w:spacing w:val="6"/>
          <w:sz w:val="24"/>
          <w:szCs w:val="24"/>
        </w:rPr>
        <w:t xml:space="preserve">ОАО «Молдавский металлургический завод» и ЗАО «Рыбницкий цементный комбинат» основная доля выбросов вредных веществ от стационарных источников (37,8% или 2 554,1 тонн) пришлась на г. Рыбница и Рыбницкий район. </w:t>
      </w:r>
      <w:r w:rsidRPr="00AC358B">
        <w:rPr>
          <w:rFonts w:ascii="Times New Roman" w:hAnsi="Times New Roman"/>
          <w:sz w:val="24"/>
          <w:szCs w:val="24"/>
        </w:rPr>
        <w:t>Так</w:t>
      </w:r>
      <w:r w:rsidR="00B84C3B">
        <w:rPr>
          <w:rFonts w:ascii="Times New Roman" w:hAnsi="Times New Roman"/>
          <w:sz w:val="24"/>
          <w:szCs w:val="24"/>
        </w:rPr>
        <w:t>,</w:t>
      </w:r>
      <w:r w:rsidRPr="00AC358B">
        <w:rPr>
          <w:rFonts w:ascii="Times New Roman" w:hAnsi="Times New Roman"/>
          <w:sz w:val="24"/>
          <w:szCs w:val="24"/>
        </w:rPr>
        <w:t xml:space="preserve"> выбросы веществ в атмосферу от </w:t>
      </w:r>
      <w:r w:rsidRPr="00AC358B">
        <w:rPr>
          <w:rFonts w:ascii="Times New Roman" w:hAnsi="Times New Roman"/>
          <w:spacing w:val="6"/>
          <w:sz w:val="24"/>
          <w:szCs w:val="24"/>
        </w:rPr>
        <w:t xml:space="preserve">ОАО «Молдавский металлургический завод» увеличились в </w:t>
      </w:r>
      <w:r>
        <w:rPr>
          <w:rFonts w:ascii="Times New Roman" w:hAnsi="Times New Roman"/>
          <w:spacing w:val="6"/>
          <w:sz w:val="24"/>
          <w:szCs w:val="24"/>
        </w:rPr>
        <w:t xml:space="preserve"> </w:t>
      </w:r>
      <w:r w:rsidRPr="00AC358B">
        <w:rPr>
          <w:rFonts w:ascii="Times New Roman" w:hAnsi="Times New Roman"/>
          <w:spacing w:val="6"/>
          <w:sz w:val="24"/>
          <w:szCs w:val="24"/>
        </w:rPr>
        <w:t>74 раза, а выбросы загрязняющих веществ ЗАО «Рыбницкий цементный комбинат» увеличились на 120%.</w:t>
      </w:r>
    </w:p>
    <w:p w:rsidR="00984667" w:rsidRDefault="00984667" w:rsidP="00984667">
      <w:pPr>
        <w:spacing w:after="0" w:line="240" w:lineRule="auto"/>
        <w:ind w:firstLine="720"/>
        <w:jc w:val="right"/>
        <w:rPr>
          <w:rFonts w:ascii="Times New Roman" w:hAnsi="Times New Roman"/>
          <w:b/>
          <w:sz w:val="24"/>
          <w:szCs w:val="24"/>
        </w:rPr>
      </w:pPr>
      <w:r>
        <w:rPr>
          <w:rFonts w:ascii="Times New Roman" w:hAnsi="Times New Roman"/>
          <w:sz w:val="24"/>
          <w:szCs w:val="24"/>
        </w:rPr>
        <w:t>Таблица №</w:t>
      </w:r>
      <w:r w:rsidR="00C258D9">
        <w:rPr>
          <w:rFonts w:ascii="Times New Roman" w:hAnsi="Times New Roman"/>
          <w:sz w:val="24"/>
          <w:szCs w:val="24"/>
        </w:rPr>
        <w:t xml:space="preserve"> </w:t>
      </w:r>
      <w:r w:rsidR="007B64D6">
        <w:rPr>
          <w:rFonts w:ascii="Times New Roman" w:hAnsi="Times New Roman"/>
          <w:sz w:val="24"/>
          <w:szCs w:val="24"/>
        </w:rPr>
        <w:t>31</w:t>
      </w:r>
    </w:p>
    <w:p w:rsidR="00984667" w:rsidRDefault="00984667" w:rsidP="00984667">
      <w:pPr>
        <w:spacing w:after="0" w:line="240" w:lineRule="auto"/>
        <w:ind w:firstLine="720"/>
        <w:jc w:val="center"/>
        <w:rPr>
          <w:rFonts w:ascii="Times New Roman" w:hAnsi="Times New Roman"/>
          <w:b/>
          <w:sz w:val="24"/>
          <w:szCs w:val="24"/>
        </w:rPr>
      </w:pPr>
      <w:r>
        <w:rPr>
          <w:rFonts w:ascii="Times New Roman" w:hAnsi="Times New Roman"/>
          <w:b/>
          <w:sz w:val="24"/>
          <w:szCs w:val="24"/>
        </w:rPr>
        <w:t>Выбросы вредных веществ в атмосферный воздух в разрезе городов и районов январь - июнь 2014 года</w:t>
      </w:r>
    </w:p>
    <w:p w:rsidR="00984667" w:rsidRDefault="00984667" w:rsidP="00984667">
      <w:pPr>
        <w:spacing w:after="0" w:line="240" w:lineRule="auto"/>
        <w:ind w:firstLine="720"/>
        <w:jc w:val="right"/>
        <w:rPr>
          <w:rFonts w:ascii="Times New Roman" w:hAnsi="Times New Roman"/>
          <w:i/>
          <w:sz w:val="24"/>
          <w:szCs w:val="24"/>
        </w:rPr>
      </w:pPr>
      <w:r>
        <w:rPr>
          <w:rFonts w:ascii="Times New Roman" w:hAnsi="Times New Roman"/>
          <w:i/>
          <w:sz w:val="24"/>
          <w:szCs w:val="24"/>
        </w:rPr>
        <w:t>(тонн, %)</w:t>
      </w:r>
    </w:p>
    <w:tbl>
      <w:tblPr>
        <w:tblW w:w="9911" w:type="dxa"/>
        <w:jc w:val="center"/>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9"/>
        <w:gridCol w:w="1232"/>
        <w:gridCol w:w="967"/>
        <w:gridCol w:w="1232"/>
        <w:gridCol w:w="968"/>
        <w:gridCol w:w="1232"/>
        <w:gridCol w:w="921"/>
      </w:tblGrid>
      <w:tr w:rsidR="00984667" w:rsidTr="005261BD">
        <w:trPr>
          <w:trHeight w:val="468"/>
          <w:jc w:val="center"/>
        </w:trPr>
        <w:tc>
          <w:tcPr>
            <w:tcW w:w="3804" w:type="dxa"/>
            <w:vMerge w:val="restart"/>
            <w:tcBorders>
              <w:top w:val="single" w:sz="4" w:space="0" w:color="auto"/>
              <w:left w:val="single" w:sz="4" w:space="0" w:color="auto"/>
              <w:bottom w:val="single" w:sz="4" w:space="0" w:color="auto"/>
              <w:right w:val="single" w:sz="4" w:space="0" w:color="auto"/>
            </w:tcBorders>
            <w:vAlign w:val="center"/>
            <w:hideMark/>
          </w:tcPr>
          <w:p w:rsidR="00984667" w:rsidRPr="00FE53FC" w:rsidRDefault="00984667" w:rsidP="005261BD">
            <w:pPr>
              <w:spacing w:after="0" w:line="240" w:lineRule="auto"/>
              <w:jc w:val="center"/>
              <w:rPr>
                <w:rFonts w:ascii="Times New Roman" w:hAnsi="Times New Roman"/>
                <w:b/>
              </w:rPr>
            </w:pPr>
            <w:r w:rsidRPr="00FE53FC">
              <w:rPr>
                <w:rFonts w:ascii="Times New Roman" w:hAnsi="Times New Roman"/>
                <w:b/>
              </w:rPr>
              <w:t>Город, район</w:t>
            </w:r>
          </w:p>
        </w:tc>
        <w:tc>
          <w:tcPr>
            <w:tcW w:w="2009" w:type="dxa"/>
            <w:gridSpan w:val="2"/>
            <w:tcBorders>
              <w:top w:val="single" w:sz="4" w:space="0" w:color="auto"/>
              <w:left w:val="single" w:sz="4" w:space="0" w:color="auto"/>
              <w:bottom w:val="single" w:sz="4" w:space="0" w:color="auto"/>
              <w:right w:val="single" w:sz="4" w:space="0" w:color="auto"/>
            </w:tcBorders>
            <w:vAlign w:val="center"/>
            <w:hideMark/>
          </w:tcPr>
          <w:p w:rsidR="00984667" w:rsidRPr="00FE53FC" w:rsidRDefault="00984667" w:rsidP="005261BD">
            <w:pPr>
              <w:spacing w:after="0" w:line="240" w:lineRule="auto"/>
              <w:jc w:val="center"/>
              <w:rPr>
                <w:rFonts w:ascii="Times New Roman" w:hAnsi="Times New Roman"/>
                <w:b/>
              </w:rPr>
            </w:pPr>
            <w:r w:rsidRPr="00FE53FC">
              <w:rPr>
                <w:rFonts w:ascii="Times New Roman" w:hAnsi="Times New Roman"/>
                <w:b/>
              </w:rPr>
              <w:t>Всего</w:t>
            </w:r>
          </w:p>
        </w:tc>
        <w:tc>
          <w:tcPr>
            <w:tcW w:w="2080" w:type="dxa"/>
            <w:gridSpan w:val="2"/>
            <w:tcBorders>
              <w:top w:val="single" w:sz="4" w:space="0" w:color="auto"/>
              <w:left w:val="single" w:sz="4" w:space="0" w:color="auto"/>
              <w:bottom w:val="single" w:sz="4" w:space="0" w:color="auto"/>
              <w:right w:val="single" w:sz="4" w:space="0" w:color="auto"/>
            </w:tcBorders>
            <w:vAlign w:val="center"/>
            <w:hideMark/>
          </w:tcPr>
          <w:p w:rsidR="00984667" w:rsidRPr="00FE53FC" w:rsidRDefault="00984667" w:rsidP="005261BD">
            <w:pPr>
              <w:spacing w:after="0" w:line="240" w:lineRule="auto"/>
              <w:jc w:val="center"/>
              <w:rPr>
                <w:rFonts w:ascii="Times New Roman" w:hAnsi="Times New Roman"/>
                <w:b/>
              </w:rPr>
            </w:pPr>
            <w:r w:rsidRPr="00FE53FC">
              <w:rPr>
                <w:rFonts w:ascii="Times New Roman" w:hAnsi="Times New Roman"/>
                <w:b/>
              </w:rPr>
              <w:t>От стационарных источников</w:t>
            </w:r>
          </w:p>
        </w:tc>
        <w:tc>
          <w:tcPr>
            <w:tcW w:w="2018" w:type="dxa"/>
            <w:gridSpan w:val="2"/>
            <w:tcBorders>
              <w:top w:val="single" w:sz="4" w:space="0" w:color="auto"/>
              <w:left w:val="single" w:sz="4" w:space="0" w:color="auto"/>
              <w:bottom w:val="single" w:sz="4" w:space="0" w:color="auto"/>
              <w:right w:val="single" w:sz="4" w:space="0" w:color="auto"/>
            </w:tcBorders>
            <w:vAlign w:val="center"/>
            <w:hideMark/>
          </w:tcPr>
          <w:p w:rsidR="00984667" w:rsidRPr="00FE53FC" w:rsidRDefault="00984667" w:rsidP="005261BD">
            <w:pPr>
              <w:spacing w:after="0" w:line="240" w:lineRule="auto"/>
              <w:jc w:val="center"/>
              <w:rPr>
                <w:rFonts w:ascii="Times New Roman" w:hAnsi="Times New Roman"/>
                <w:b/>
                <w:sz w:val="24"/>
                <w:szCs w:val="24"/>
              </w:rPr>
            </w:pPr>
            <w:r w:rsidRPr="00FE53FC">
              <w:rPr>
                <w:rFonts w:ascii="Times New Roman" w:hAnsi="Times New Roman"/>
                <w:b/>
              </w:rPr>
              <w:t>От передвижных источников</w:t>
            </w:r>
          </w:p>
        </w:tc>
      </w:tr>
      <w:tr w:rsidR="00984667" w:rsidTr="005261BD">
        <w:trPr>
          <w:trHeight w:val="1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rPr>
                <w:rFonts w:ascii="Times New Roman" w:hAnsi="Times New Roman"/>
                <w:b/>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center"/>
              <w:rPr>
                <w:rFonts w:ascii="Times New Roman" w:hAnsi="Times New Roman"/>
                <w:b/>
              </w:rPr>
            </w:pPr>
            <w:r>
              <w:rPr>
                <w:rFonts w:ascii="Times New Roman" w:hAnsi="Times New Roman"/>
                <w:b/>
                <w:lang w:val="en-US"/>
              </w:rPr>
              <w:t xml:space="preserve">I полугодие </w:t>
            </w:r>
            <w:r>
              <w:rPr>
                <w:rFonts w:ascii="Times New Roman" w:hAnsi="Times New Roman"/>
                <w:b/>
              </w:rPr>
              <w:t>2014г.</w:t>
            </w:r>
          </w:p>
        </w:tc>
        <w:tc>
          <w:tcPr>
            <w:tcW w:w="1018"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center"/>
              <w:rPr>
                <w:rFonts w:ascii="Times New Roman" w:hAnsi="Times New Roman"/>
                <w:b/>
              </w:rPr>
            </w:pPr>
            <w:r>
              <w:rPr>
                <w:rFonts w:ascii="Times New Roman" w:hAnsi="Times New Roman"/>
                <w:b/>
              </w:rPr>
              <w:t>в % к 2013г.</w:t>
            </w:r>
          </w:p>
        </w:tc>
        <w:tc>
          <w:tcPr>
            <w:tcW w:w="106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center"/>
              <w:rPr>
                <w:rFonts w:ascii="Times New Roman" w:hAnsi="Times New Roman"/>
                <w:b/>
              </w:rPr>
            </w:pPr>
            <w:r>
              <w:rPr>
                <w:rFonts w:ascii="Times New Roman" w:hAnsi="Times New Roman"/>
                <w:b/>
                <w:lang w:val="en-US"/>
              </w:rPr>
              <w:t xml:space="preserve">I полугодие </w:t>
            </w:r>
            <w:r>
              <w:rPr>
                <w:rFonts w:ascii="Times New Roman" w:hAnsi="Times New Roman"/>
                <w:b/>
              </w:rPr>
              <w:t>2014г.</w:t>
            </w:r>
          </w:p>
        </w:tc>
        <w:tc>
          <w:tcPr>
            <w:tcW w:w="1019"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center"/>
              <w:rPr>
                <w:rFonts w:ascii="Times New Roman" w:hAnsi="Times New Roman"/>
                <w:b/>
              </w:rPr>
            </w:pPr>
            <w:r>
              <w:rPr>
                <w:rFonts w:ascii="Times New Roman" w:hAnsi="Times New Roman"/>
                <w:b/>
              </w:rPr>
              <w:t>в % к 2013г.</w:t>
            </w:r>
          </w:p>
        </w:tc>
        <w:tc>
          <w:tcPr>
            <w:tcW w:w="106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center"/>
              <w:rPr>
                <w:rFonts w:ascii="Times New Roman" w:hAnsi="Times New Roman"/>
                <w:b/>
              </w:rPr>
            </w:pPr>
            <w:r>
              <w:rPr>
                <w:rFonts w:ascii="Times New Roman" w:hAnsi="Times New Roman"/>
                <w:b/>
                <w:lang w:val="en-US"/>
              </w:rPr>
              <w:t xml:space="preserve">I полугодие </w:t>
            </w:r>
            <w:r>
              <w:rPr>
                <w:rFonts w:ascii="Times New Roman" w:hAnsi="Times New Roman"/>
                <w:b/>
              </w:rPr>
              <w:t>2014г.</w:t>
            </w:r>
          </w:p>
        </w:tc>
        <w:tc>
          <w:tcPr>
            <w:tcW w:w="957"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center"/>
              <w:rPr>
                <w:rFonts w:ascii="Times New Roman" w:hAnsi="Times New Roman"/>
                <w:b/>
              </w:rPr>
            </w:pPr>
            <w:r>
              <w:rPr>
                <w:rFonts w:ascii="Times New Roman" w:hAnsi="Times New Roman"/>
                <w:b/>
              </w:rPr>
              <w:t>в % к. 2013г.</w:t>
            </w:r>
          </w:p>
        </w:tc>
      </w:tr>
      <w:tr w:rsidR="00984667" w:rsidTr="005261BD">
        <w:trPr>
          <w:trHeight w:val="241"/>
          <w:jc w:val="center"/>
        </w:trPr>
        <w:tc>
          <w:tcPr>
            <w:tcW w:w="3804"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rPr>
                <w:rFonts w:ascii="Times New Roman" w:hAnsi="Times New Roman"/>
              </w:rPr>
            </w:pPr>
            <w:r>
              <w:rPr>
                <w:rFonts w:ascii="Times New Roman" w:hAnsi="Times New Roman"/>
              </w:rPr>
              <w:t>г. Тирасполь</w:t>
            </w:r>
          </w:p>
        </w:tc>
        <w:tc>
          <w:tcPr>
            <w:tcW w:w="99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5 315,7</w:t>
            </w:r>
          </w:p>
        </w:tc>
        <w:tc>
          <w:tcPr>
            <w:tcW w:w="1018"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118,7</w:t>
            </w:r>
          </w:p>
        </w:tc>
        <w:tc>
          <w:tcPr>
            <w:tcW w:w="106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831,6</w:t>
            </w:r>
          </w:p>
        </w:tc>
        <w:tc>
          <w:tcPr>
            <w:tcW w:w="1019"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89,2</w:t>
            </w:r>
          </w:p>
        </w:tc>
        <w:tc>
          <w:tcPr>
            <w:tcW w:w="106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4 484,1</w:t>
            </w:r>
          </w:p>
        </w:tc>
        <w:tc>
          <w:tcPr>
            <w:tcW w:w="957"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126,4</w:t>
            </w:r>
          </w:p>
        </w:tc>
      </w:tr>
      <w:tr w:rsidR="00984667" w:rsidTr="005261BD">
        <w:trPr>
          <w:trHeight w:val="241"/>
          <w:jc w:val="center"/>
        </w:trPr>
        <w:tc>
          <w:tcPr>
            <w:tcW w:w="3804"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rPr>
                <w:rFonts w:ascii="Times New Roman" w:hAnsi="Times New Roman"/>
              </w:rPr>
            </w:pPr>
            <w:r>
              <w:rPr>
                <w:rFonts w:ascii="Times New Roman" w:hAnsi="Times New Roman"/>
              </w:rPr>
              <w:t>г. Днестровск</w:t>
            </w:r>
          </w:p>
        </w:tc>
        <w:tc>
          <w:tcPr>
            <w:tcW w:w="99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2 193,0</w:t>
            </w:r>
          </w:p>
        </w:tc>
        <w:tc>
          <w:tcPr>
            <w:tcW w:w="1018"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18,2</w:t>
            </w:r>
          </w:p>
        </w:tc>
        <w:tc>
          <w:tcPr>
            <w:tcW w:w="1061" w:type="dxa"/>
            <w:tcBorders>
              <w:top w:val="single" w:sz="4" w:space="0" w:color="auto"/>
              <w:left w:val="single" w:sz="4" w:space="0" w:color="auto"/>
              <w:bottom w:val="single" w:sz="4" w:space="0" w:color="auto"/>
              <w:right w:val="single" w:sz="4" w:space="0" w:color="auto"/>
            </w:tcBorders>
            <w:vAlign w:val="center"/>
            <w:hideMark/>
          </w:tcPr>
          <w:p w:rsidR="00984667" w:rsidRPr="00345CDA" w:rsidRDefault="00984667" w:rsidP="005261BD">
            <w:pPr>
              <w:spacing w:after="0" w:line="240" w:lineRule="auto"/>
              <w:jc w:val="right"/>
              <w:rPr>
                <w:rFonts w:ascii="Times New Roman" w:hAnsi="Times New Roman"/>
                <w:bCs/>
                <w:highlight w:val="yellow"/>
              </w:rPr>
            </w:pPr>
            <w:r w:rsidRPr="00F4692A">
              <w:rPr>
                <w:rFonts w:ascii="Times New Roman" w:hAnsi="Times New Roman"/>
                <w:bCs/>
              </w:rPr>
              <w:t>2 130,0</w:t>
            </w:r>
          </w:p>
        </w:tc>
        <w:tc>
          <w:tcPr>
            <w:tcW w:w="1019" w:type="dxa"/>
            <w:tcBorders>
              <w:top w:val="single" w:sz="4" w:space="0" w:color="auto"/>
              <w:left w:val="single" w:sz="4" w:space="0" w:color="auto"/>
              <w:bottom w:val="single" w:sz="4" w:space="0" w:color="auto"/>
              <w:right w:val="single" w:sz="4" w:space="0" w:color="auto"/>
            </w:tcBorders>
            <w:vAlign w:val="center"/>
            <w:hideMark/>
          </w:tcPr>
          <w:p w:rsidR="00984667" w:rsidRPr="00E355EE" w:rsidRDefault="00984667" w:rsidP="005261BD">
            <w:pPr>
              <w:spacing w:after="0" w:line="240" w:lineRule="auto"/>
              <w:jc w:val="right"/>
              <w:rPr>
                <w:rFonts w:ascii="Times New Roman" w:hAnsi="Times New Roman"/>
                <w:bCs/>
              </w:rPr>
            </w:pPr>
            <w:r w:rsidRPr="00E355EE">
              <w:rPr>
                <w:rFonts w:ascii="Times New Roman" w:hAnsi="Times New Roman"/>
                <w:bCs/>
              </w:rPr>
              <w:t>1</w:t>
            </w:r>
            <w:r>
              <w:rPr>
                <w:rFonts w:ascii="Times New Roman" w:hAnsi="Times New Roman"/>
                <w:bCs/>
              </w:rPr>
              <w:t>7</w:t>
            </w:r>
            <w:r w:rsidRPr="00E355EE">
              <w:rPr>
                <w:rFonts w:ascii="Times New Roman" w:hAnsi="Times New Roman"/>
                <w:bCs/>
              </w:rPr>
              <w:t>,</w:t>
            </w:r>
            <w:r>
              <w:rPr>
                <w:rFonts w:ascii="Times New Roman" w:hAnsi="Times New Roman"/>
                <w:bCs/>
              </w:rPr>
              <w:t>8</w:t>
            </w:r>
          </w:p>
        </w:tc>
        <w:tc>
          <w:tcPr>
            <w:tcW w:w="1061" w:type="dxa"/>
            <w:tcBorders>
              <w:top w:val="single" w:sz="4" w:space="0" w:color="auto"/>
              <w:left w:val="single" w:sz="4" w:space="0" w:color="auto"/>
              <w:bottom w:val="single" w:sz="4" w:space="0" w:color="auto"/>
              <w:right w:val="single" w:sz="4" w:space="0" w:color="auto"/>
            </w:tcBorders>
            <w:vAlign w:val="center"/>
            <w:hideMark/>
          </w:tcPr>
          <w:p w:rsidR="00984667" w:rsidRPr="00E355EE" w:rsidRDefault="00984667" w:rsidP="005261BD">
            <w:pPr>
              <w:spacing w:after="0" w:line="240" w:lineRule="auto"/>
              <w:jc w:val="right"/>
              <w:rPr>
                <w:rFonts w:ascii="Times New Roman" w:hAnsi="Times New Roman"/>
                <w:bCs/>
              </w:rPr>
            </w:pPr>
            <w:r w:rsidRPr="00E355EE">
              <w:rPr>
                <w:rFonts w:ascii="Times New Roman" w:hAnsi="Times New Roman"/>
                <w:bCs/>
              </w:rPr>
              <w:t>63,0</w:t>
            </w:r>
          </w:p>
        </w:tc>
        <w:tc>
          <w:tcPr>
            <w:tcW w:w="957" w:type="dxa"/>
            <w:tcBorders>
              <w:top w:val="single" w:sz="4" w:space="0" w:color="auto"/>
              <w:left w:val="single" w:sz="4" w:space="0" w:color="auto"/>
              <w:bottom w:val="single" w:sz="4" w:space="0" w:color="auto"/>
              <w:right w:val="single" w:sz="4" w:space="0" w:color="auto"/>
            </w:tcBorders>
            <w:vAlign w:val="center"/>
            <w:hideMark/>
          </w:tcPr>
          <w:p w:rsidR="00984667" w:rsidRPr="00345CDA" w:rsidRDefault="00984667" w:rsidP="005261BD">
            <w:pPr>
              <w:spacing w:after="0" w:line="240" w:lineRule="auto"/>
              <w:jc w:val="right"/>
              <w:rPr>
                <w:rFonts w:ascii="Times New Roman" w:hAnsi="Times New Roman"/>
                <w:bCs/>
                <w:highlight w:val="yellow"/>
              </w:rPr>
            </w:pPr>
            <w:r w:rsidRPr="00E355EE">
              <w:rPr>
                <w:rFonts w:ascii="Times New Roman" w:hAnsi="Times New Roman"/>
                <w:bCs/>
              </w:rPr>
              <w:t>67,1</w:t>
            </w:r>
          </w:p>
        </w:tc>
      </w:tr>
      <w:tr w:rsidR="00984667" w:rsidTr="005261BD">
        <w:trPr>
          <w:trHeight w:val="468"/>
          <w:jc w:val="center"/>
        </w:trPr>
        <w:tc>
          <w:tcPr>
            <w:tcW w:w="3804"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ind w:left="368"/>
              <w:rPr>
                <w:rFonts w:ascii="Times New Roman" w:hAnsi="Times New Roman"/>
                <w:i/>
              </w:rPr>
            </w:pPr>
            <w:r>
              <w:rPr>
                <w:rFonts w:ascii="Times New Roman" w:hAnsi="Times New Roman"/>
                <w:i/>
              </w:rPr>
              <w:t>в том числе:</w:t>
            </w:r>
          </w:p>
          <w:p w:rsidR="00984667" w:rsidRDefault="00984667" w:rsidP="005261BD">
            <w:pPr>
              <w:spacing w:after="0" w:line="240" w:lineRule="auto"/>
              <w:ind w:left="368"/>
              <w:rPr>
                <w:rFonts w:ascii="Times New Roman" w:hAnsi="Times New Roman"/>
              </w:rPr>
            </w:pPr>
            <w:r>
              <w:rPr>
                <w:rFonts w:ascii="Times New Roman" w:hAnsi="Times New Roman"/>
              </w:rPr>
              <w:t>ЗАО «Молдавская ГРЭС"</w:t>
            </w:r>
          </w:p>
        </w:tc>
        <w:tc>
          <w:tcPr>
            <w:tcW w:w="991" w:type="dxa"/>
            <w:tcBorders>
              <w:top w:val="single" w:sz="4" w:space="0" w:color="auto"/>
              <w:left w:val="single" w:sz="4" w:space="0" w:color="auto"/>
              <w:bottom w:val="single" w:sz="4" w:space="0" w:color="auto"/>
              <w:right w:val="single" w:sz="4" w:space="0" w:color="auto"/>
            </w:tcBorders>
            <w:vAlign w:val="center"/>
            <w:hideMark/>
          </w:tcPr>
          <w:p w:rsidR="00984667" w:rsidRPr="00EF1BA9" w:rsidRDefault="00984667" w:rsidP="005261BD">
            <w:pPr>
              <w:spacing w:after="0" w:line="240" w:lineRule="auto"/>
              <w:jc w:val="right"/>
              <w:rPr>
                <w:rFonts w:ascii="Times New Roman" w:hAnsi="Times New Roman"/>
                <w:bCs/>
                <w:highlight w:val="yellow"/>
              </w:rPr>
            </w:pPr>
            <w:r w:rsidRPr="00006A68">
              <w:rPr>
                <w:rFonts w:ascii="Times New Roman" w:hAnsi="Times New Roman"/>
                <w:bCs/>
              </w:rPr>
              <w:t>2 189,4</w:t>
            </w:r>
          </w:p>
        </w:tc>
        <w:tc>
          <w:tcPr>
            <w:tcW w:w="1018" w:type="dxa"/>
            <w:tcBorders>
              <w:top w:val="single" w:sz="4" w:space="0" w:color="auto"/>
              <w:left w:val="single" w:sz="4" w:space="0" w:color="auto"/>
              <w:bottom w:val="single" w:sz="4" w:space="0" w:color="auto"/>
              <w:right w:val="single" w:sz="4" w:space="0" w:color="auto"/>
            </w:tcBorders>
            <w:vAlign w:val="center"/>
            <w:hideMark/>
          </w:tcPr>
          <w:p w:rsidR="00984667" w:rsidRPr="00EF1BA9" w:rsidRDefault="00984667" w:rsidP="005261BD">
            <w:pPr>
              <w:spacing w:after="0" w:line="240" w:lineRule="auto"/>
              <w:jc w:val="right"/>
              <w:rPr>
                <w:rFonts w:ascii="Times New Roman" w:hAnsi="Times New Roman"/>
                <w:bCs/>
                <w:highlight w:val="yellow"/>
              </w:rPr>
            </w:pPr>
            <w:r w:rsidRPr="00006A68">
              <w:rPr>
                <w:rFonts w:ascii="Times New Roman" w:hAnsi="Times New Roman"/>
                <w:bCs/>
              </w:rPr>
              <w:t>1</w:t>
            </w:r>
            <w:r>
              <w:rPr>
                <w:rFonts w:ascii="Times New Roman" w:hAnsi="Times New Roman"/>
                <w:bCs/>
              </w:rPr>
              <w:t>8</w:t>
            </w:r>
            <w:r w:rsidRPr="00006A68">
              <w:rPr>
                <w:rFonts w:ascii="Times New Roman" w:hAnsi="Times New Roman"/>
                <w:bCs/>
              </w:rPr>
              <w:t>,</w:t>
            </w:r>
            <w:r>
              <w:rPr>
                <w:rFonts w:ascii="Times New Roman" w:hAnsi="Times New Roman"/>
                <w:bCs/>
              </w:rPr>
              <w:t>1</w:t>
            </w:r>
          </w:p>
        </w:tc>
        <w:tc>
          <w:tcPr>
            <w:tcW w:w="1061" w:type="dxa"/>
            <w:tcBorders>
              <w:top w:val="single" w:sz="4" w:space="0" w:color="auto"/>
              <w:left w:val="single" w:sz="4" w:space="0" w:color="auto"/>
              <w:bottom w:val="single" w:sz="4" w:space="0" w:color="auto"/>
              <w:right w:val="single" w:sz="4" w:space="0" w:color="auto"/>
            </w:tcBorders>
            <w:vAlign w:val="center"/>
            <w:hideMark/>
          </w:tcPr>
          <w:p w:rsidR="00984667" w:rsidRPr="00EF1BA9" w:rsidRDefault="00984667" w:rsidP="005261BD">
            <w:pPr>
              <w:spacing w:after="0" w:line="240" w:lineRule="auto"/>
              <w:jc w:val="right"/>
              <w:rPr>
                <w:rFonts w:ascii="Times New Roman" w:hAnsi="Times New Roman"/>
                <w:bCs/>
              </w:rPr>
            </w:pPr>
            <w:r w:rsidRPr="00EF1BA9">
              <w:rPr>
                <w:rFonts w:ascii="Times New Roman" w:hAnsi="Times New Roman"/>
                <w:bCs/>
              </w:rPr>
              <w:t>2 126,4</w:t>
            </w:r>
          </w:p>
        </w:tc>
        <w:tc>
          <w:tcPr>
            <w:tcW w:w="1019" w:type="dxa"/>
            <w:tcBorders>
              <w:top w:val="single" w:sz="4" w:space="0" w:color="auto"/>
              <w:left w:val="single" w:sz="4" w:space="0" w:color="auto"/>
              <w:bottom w:val="single" w:sz="4" w:space="0" w:color="auto"/>
              <w:right w:val="single" w:sz="4" w:space="0" w:color="auto"/>
            </w:tcBorders>
            <w:vAlign w:val="center"/>
            <w:hideMark/>
          </w:tcPr>
          <w:p w:rsidR="00984667" w:rsidRPr="00EF1BA9" w:rsidRDefault="00984667" w:rsidP="005261BD">
            <w:pPr>
              <w:spacing w:after="0" w:line="240" w:lineRule="auto"/>
              <w:jc w:val="right"/>
              <w:rPr>
                <w:rFonts w:ascii="Times New Roman" w:hAnsi="Times New Roman"/>
                <w:bCs/>
              </w:rPr>
            </w:pPr>
            <w:r w:rsidRPr="00EF1BA9">
              <w:rPr>
                <w:rFonts w:ascii="Times New Roman" w:hAnsi="Times New Roman"/>
                <w:bCs/>
              </w:rPr>
              <w:t>17,8.</w:t>
            </w:r>
          </w:p>
        </w:tc>
        <w:tc>
          <w:tcPr>
            <w:tcW w:w="1061" w:type="dxa"/>
            <w:tcBorders>
              <w:top w:val="single" w:sz="4" w:space="0" w:color="auto"/>
              <w:left w:val="single" w:sz="4" w:space="0" w:color="auto"/>
              <w:bottom w:val="single" w:sz="4" w:space="0" w:color="auto"/>
              <w:right w:val="single" w:sz="4" w:space="0" w:color="auto"/>
            </w:tcBorders>
            <w:vAlign w:val="center"/>
            <w:hideMark/>
          </w:tcPr>
          <w:p w:rsidR="00984667" w:rsidRPr="00813EED" w:rsidRDefault="00984667" w:rsidP="005261BD">
            <w:pPr>
              <w:spacing w:after="0" w:line="240" w:lineRule="auto"/>
              <w:jc w:val="right"/>
              <w:rPr>
                <w:rFonts w:ascii="Times New Roman" w:hAnsi="Times New Roman"/>
                <w:bCs/>
              </w:rPr>
            </w:pPr>
            <w:r w:rsidRPr="00813EED">
              <w:rPr>
                <w:rFonts w:ascii="Times New Roman" w:hAnsi="Times New Roman"/>
                <w:bCs/>
              </w:rPr>
              <w:t>63,0</w:t>
            </w:r>
          </w:p>
        </w:tc>
        <w:tc>
          <w:tcPr>
            <w:tcW w:w="957" w:type="dxa"/>
            <w:tcBorders>
              <w:top w:val="single" w:sz="4" w:space="0" w:color="auto"/>
              <w:left w:val="single" w:sz="4" w:space="0" w:color="auto"/>
              <w:bottom w:val="single" w:sz="4" w:space="0" w:color="auto"/>
              <w:right w:val="single" w:sz="4" w:space="0" w:color="auto"/>
            </w:tcBorders>
            <w:vAlign w:val="center"/>
            <w:hideMark/>
          </w:tcPr>
          <w:p w:rsidR="00984667" w:rsidRPr="00813EED" w:rsidRDefault="00984667" w:rsidP="005261BD">
            <w:pPr>
              <w:spacing w:after="0" w:line="240" w:lineRule="auto"/>
              <w:jc w:val="right"/>
              <w:rPr>
                <w:rFonts w:ascii="Times New Roman" w:hAnsi="Times New Roman"/>
                <w:bCs/>
              </w:rPr>
            </w:pPr>
            <w:r w:rsidRPr="00813EED">
              <w:rPr>
                <w:rFonts w:ascii="Times New Roman" w:hAnsi="Times New Roman"/>
                <w:bCs/>
              </w:rPr>
              <w:t>67,1</w:t>
            </w:r>
          </w:p>
        </w:tc>
      </w:tr>
      <w:tr w:rsidR="00984667" w:rsidTr="005261BD">
        <w:trPr>
          <w:trHeight w:val="227"/>
          <w:jc w:val="center"/>
        </w:trPr>
        <w:tc>
          <w:tcPr>
            <w:tcW w:w="3804"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rPr>
                <w:rFonts w:ascii="Times New Roman" w:hAnsi="Times New Roman"/>
              </w:rPr>
            </w:pPr>
            <w:r>
              <w:rPr>
                <w:rFonts w:ascii="Times New Roman" w:hAnsi="Times New Roman"/>
              </w:rPr>
              <w:t>г. Бендеры</w:t>
            </w:r>
          </w:p>
        </w:tc>
        <w:tc>
          <w:tcPr>
            <w:tcW w:w="99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3 459,4</w:t>
            </w:r>
          </w:p>
        </w:tc>
        <w:tc>
          <w:tcPr>
            <w:tcW w:w="1018"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102,0</w:t>
            </w:r>
          </w:p>
        </w:tc>
        <w:tc>
          <w:tcPr>
            <w:tcW w:w="106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318,3</w:t>
            </w:r>
          </w:p>
        </w:tc>
        <w:tc>
          <w:tcPr>
            <w:tcW w:w="1019"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91,0</w:t>
            </w:r>
          </w:p>
        </w:tc>
        <w:tc>
          <w:tcPr>
            <w:tcW w:w="106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3 141,1</w:t>
            </w:r>
          </w:p>
        </w:tc>
        <w:tc>
          <w:tcPr>
            <w:tcW w:w="957"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103,3</w:t>
            </w:r>
          </w:p>
        </w:tc>
      </w:tr>
      <w:tr w:rsidR="00984667" w:rsidTr="005261BD">
        <w:trPr>
          <w:trHeight w:val="241"/>
          <w:jc w:val="center"/>
        </w:trPr>
        <w:tc>
          <w:tcPr>
            <w:tcW w:w="3804"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rPr>
                <w:rFonts w:ascii="Times New Roman" w:hAnsi="Times New Roman"/>
              </w:rPr>
            </w:pPr>
            <w:r>
              <w:rPr>
                <w:rFonts w:ascii="Times New Roman" w:hAnsi="Times New Roman"/>
              </w:rPr>
              <w:t>г. Рыбница и Рыбницкий р-н</w:t>
            </w:r>
          </w:p>
        </w:tc>
        <w:tc>
          <w:tcPr>
            <w:tcW w:w="99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5 756,6</w:t>
            </w:r>
          </w:p>
        </w:tc>
        <w:tc>
          <w:tcPr>
            <w:tcW w:w="1018"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115,6</w:t>
            </w:r>
          </w:p>
        </w:tc>
        <w:tc>
          <w:tcPr>
            <w:tcW w:w="106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2 554,1</w:t>
            </w:r>
          </w:p>
        </w:tc>
        <w:tc>
          <w:tcPr>
            <w:tcW w:w="1019"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297,6</w:t>
            </w:r>
          </w:p>
        </w:tc>
        <w:tc>
          <w:tcPr>
            <w:tcW w:w="106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3 202,5</w:t>
            </w:r>
          </w:p>
        </w:tc>
        <w:tc>
          <w:tcPr>
            <w:tcW w:w="957"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77,7</w:t>
            </w:r>
          </w:p>
        </w:tc>
      </w:tr>
      <w:tr w:rsidR="00984667" w:rsidTr="005261BD">
        <w:trPr>
          <w:trHeight w:val="241"/>
          <w:jc w:val="center"/>
        </w:trPr>
        <w:tc>
          <w:tcPr>
            <w:tcW w:w="3804"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rPr>
                <w:rFonts w:ascii="Times New Roman" w:hAnsi="Times New Roman"/>
              </w:rPr>
            </w:pPr>
            <w:r>
              <w:rPr>
                <w:rFonts w:ascii="Times New Roman" w:hAnsi="Times New Roman"/>
              </w:rPr>
              <w:t>г. Дубоссары и Дубоссарский р-н</w:t>
            </w:r>
          </w:p>
        </w:tc>
        <w:tc>
          <w:tcPr>
            <w:tcW w:w="99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3 368,0</w:t>
            </w:r>
          </w:p>
        </w:tc>
        <w:tc>
          <w:tcPr>
            <w:tcW w:w="1018"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92,8</w:t>
            </w:r>
          </w:p>
        </w:tc>
        <w:tc>
          <w:tcPr>
            <w:tcW w:w="106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87,0</w:t>
            </w:r>
          </w:p>
        </w:tc>
        <w:tc>
          <w:tcPr>
            <w:tcW w:w="1019"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82,1</w:t>
            </w:r>
          </w:p>
        </w:tc>
        <w:tc>
          <w:tcPr>
            <w:tcW w:w="106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3 281,0</w:t>
            </w:r>
          </w:p>
        </w:tc>
        <w:tc>
          <w:tcPr>
            <w:tcW w:w="957"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93,1</w:t>
            </w:r>
          </w:p>
        </w:tc>
      </w:tr>
      <w:tr w:rsidR="00984667" w:rsidTr="005261BD">
        <w:trPr>
          <w:trHeight w:val="468"/>
          <w:jc w:val="center"/>
        </w:trPr>
        <w:tc>
          <w:tcPr>
            <w:tcW w:w="3804"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rPr>
                <w:rFonts w:ascii="Times New Roman" w:hAnsi="Times New Roman"/>
              </w:rPr>
            </w:pPr>
            <w:r>
              <w:rPr>
                <w:rFonts w:ascii="Times New Roman" w:hAnsi="Times New Roman"/>
              </w:rPr>
              <w:t xml:space="preserve">г. Григориополь и Григориопольский р-н </w:t>
            </w:r>
          </w:p>
        </w:tc>
        <w:tc>
          <w:tcPr>
            <w:tcW w:w="99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1 277,4</w:t>
            </w:r>
          </w:p>
        </w:tc>
        <w:tc>
          <w:tcPr>
            <w:tcW w:w="1018"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318,5</w:t>
            </w:r>
          </w:p>
        </w:tc>
        <w:tc>
          <w:tcPr>
            <w:tcW w:w="106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61,4</w:t>
            </w:r>
          </w:p>
        </w:tc>
        <w:tc>
          <w:tcPr>
            <w:tcW w:w="1019"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122,6</w:t>
            </w:r>
          </w:p>
        </w:tc>
        <w:tc>
          <w:tcPr>
            <w:tcW w:w="106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1 216,0</w:t>
            </w:r>
          </w:p>
        </w:tc>
        <w:tc>
          <w:tcPr>
            <w:tcW w:w="957"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346,4</w:t>
            </w:r>
          </w:p>
        </w:tc>
      </w:tr>
      <w:tr w:rsidR="00984667" w:rsidTr="005261BD">
        <w:trPr>
          <w:trHeight w:val="227"/>
          <w:jc w:val="center"/>
        </w:trPr>
        <w:tc>
          <w:tcPr>
            <w:tcW w:w="3804"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rPr>
                <w:rFonts w:ascii="Times New Roman" w:hAnsi="Times New Roman"/>
              </w:rPr>
            </w:pPr>
            <w:r>
              <w:rPr>
                <w:rFonts w:ascii="Times New Roman" w:hAnsi="Times New Roman"/>
              </w:rPr>
              <w:t>г. Слободзея и Слободзейский р-н</w:t>
            </w:r>
          </w:p>
        </w:tc>
        <w:tc>
          <w:tcPr>
            <w:tcW w:w="99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4 211,9</w:t>
            </w:r>
          </w:p>
        </w:tc>
        <w:tc>
          <w:tcPr>
            <w:tcW w:w="1018"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87,8</w:t>
            </w:r>
          </w:p>
        </w:tc>
        <w:tc>
          <w:tcPr>
            <w:tcW w:w="106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603,3</w:t>
            </w:r>
          </w:p>
        </w:tc>
        <w:tc>
          <w:tcPr>
            <w:tcW w:w="1019"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116,1</w:t>
            </w:r>
          </w:p>
        </w:tc>
        <w:tc>
          <w:tcPr>
            <w:tcW w:w="106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3 608,6</w:t>
            </w:r>
          </w:p>
        </w:tc>
        <w:tc>
          <w:tcPr>
            <w:tcW w:w="957"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84,4</w:t>
            </w:r>
          </w:p>
        </w:tc>
      </w:tr>
      <w:tr w:rsidR="00984667" w:rsidTr="005261BD">
        <w:trPr>
          <w:trHeight w:val="241"/>
          <w:jc w:val="center"/>
        </w:trPr>
        <w:tc>
          <w:tcPr>
            <w:tcW w:w="3804"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rPr>
                <w:rFonts w:ascii="Times New Roman" w:hAnsi="Times New Roman"/>
              </w:rPr>
            </w:pPr>
            <w:r>
              <w:rPr>
                <w:rFonts w:ascii="Times New Roman" w:hAnsi="Times New Roman"/>
              </w:rPr>
              <w:t>г. Каменка и Каменский р-н</w:t>
            </w:r>
          </w:p>
        </w:tc>
        <w:tc>
          <w:tcPr>
            <w:tcW w:w="99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508,8</w:t>
            </w:r>
          </w:p>
        </w:tc>
        <w:tc>
          <w:tcPr>
            <w:tcW w:w="1018"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ind w:right="57"/>
              <w:jc w:val="right"/>
              <w:rPr>
                <w:rFonts w:ascii="Times New Roman" w:hAnsi="Times New Roman"/>
              </w:rPr>
            </w:pPr>
            <w:r>
              <w:rPr>
                <w:rFonts w:ascii="Times New Roman" w:hAnsi="Times New Roman"/>
              </w:rPr>
              <w:t>195,6</w:t>
            </w:r>
          </w:p>
        </w:tc>
        <w:tc>
          <w:tcPr>
            <w:tcW w:w="106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rPr>
            </w:pPr>
            <w:r>
              <w:rPr>
                <w:rFonts w:ascii="Times New Roman" w:hAnsi="Times New Roman"/>
              </w:rPr>
              <w:t>17,0</w:t>
            </w:r>
          </w:p>
        </w:tc>
        <w:tc>
          <w:tcPr>
            <w:tcW w:w="1019"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ind w:right="57"/>
              <w:jc w:val="right"/>
              <w:rPr>
                <w:rFonts w:ascii="Times New Roman" w:hAnsi="Times New Roman"/>
              </w:rPr>
            </w:pPr>
            <w:r>
              <w:rPr>
                <w:rFonts w:ascii="Times New Roman" w:hAnsi="Times New Roman"/>
              </w:rPr>
              <w:t>62,3</w:t>
            </w:r>
          </w:p>
        </w:tc>
        <w:tc>
          <w:tcPr>
            <w:tcW w:w="106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rPr>
            </w:pPr>
            <w:r>
              <w:rPr>
                <w:rFonts w:ascii="Times New Roman" w:hAnsi="Times New Roman"/>
              </w:rPr>
              <w:t>491,8</w:t>
            </w:r>
          </w:p>
        </w:tc>
        <w:tc>
          <w:tcPr>
            <w:tcW w:w="957"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ind w:right="57"/>
              <w:jc w:val="right"/>
              <w:rPr>
                <w:rFonts w:ascii="Times New Roman" w:hAnsi="Times New Roman"/>
              </w:rPr>
            </w:pPr>
            <w:r>
              <w:rPr>
                <w:rFonts w:ascii="Times New Roman" w:hAnsi="Times New Roman"/>
              </w:rPr>
              <w:t>211,3</w:t>
            </w:r>
          </w:p>
        </w:tc>
      </w:tr>
      <w:tr w:rsidR="00984667" w:rsidRPr="00A02F66" w:rsidTr="005261BD">
        <w:trPr>
          <w:trHeight w:val="148"/>
          <w:jc w:val="center"/>
        </w:trPr>
        <w:tc>
          <w:tcPr>
            <w:tcW w:w="3804" w:type="dxa"/>
            <w:tcBorders>
              <w:top w:val="single" w:sz="4" w:space="0" w:color="auto"/>
              <w:left w:val="single" w:sz="4" w:space="0" w:color="auto"/>
              <w:bottom w:val="single" w:sz="4" w:space="0" w:color="auto"/>
              <w:right w:val="single" w:sz="4" w:space="0" w:color="auto"/>
            </w:tcBorders>
            <w:hideMark/>
          </w:tcPr>
          <w:p w:rsidR="00984667" w:rsidRPr="00A02F66" w:rsidRDefault="00984667" w:rsidP="005261BD">
            <w:pPr>
              <w:spacing w:after="0" w:line="240" w:lineRule="auto"/>
              <w:rPr>
                <w:rFonts w:ascii="Times New Roman" w:hAnsi="Times New Roman"/>
                <w:b/>
              </w:rPr>
            </w:pPr>
            <w:r w:rsidRPr="00A02F66">
              <w:rPr>
                <w:rFonts w:ascii="Times New Roman" w:hAnsi="Times New Roman"/>
                <w:b/>
              </w:rPr>
              <w:t>Всего</w:t>
            </w:r>
          </w:p>
        </w:tc>
        <w:tc>
          <w:tcPr>
            <w:tcW w:w="991" w:type="dxa"/>
            <w:tcBorders>
              <w:top w:val="single" w:sz="4" w:space="0" w:color="auto"/>
              <w:left w:val="single" w:sz="4" w:space="0" w:color="auto"/>
              <w:bottom w:val="single" w:sz="4" w:space="0" w:color="auto"/>
              <w:right w:val="single" w:sz="4" w:space="0" w:color="auto"/>
            </w:tcBorders>
            <w:vAlign w:val="center"/>
            <w:hideMark/>
          </w:tcPr>
          <w:p w:rsidR="00984667" w:rsidRPr="00A02F66" w:rsidRDefault="00984667" w:rsidP="005261BD">
            <w:pPr>
              <w:spacing w:after="0" w:line="240" w:lineRule="auto"/>
              <w:jc w:val="right"/>
              <w:rPr>
                <w:rFonts w:ascii="Times New Roman" w:hAnsi="Times New Roman"/>
                <w:b/>
                <w:bCs/>
              </w:rPr>
            </w:pPr>
            <w:r w:rsidRPr="00A02F66">
              <w:rPr>
                <w:rFonts w:ascii="Times New Roman" w:hAnsi="Times New Roman"/>
                <w:b/>
                <w:bCs/>
              </w:rPr>
              <w:t>26 090,8</w:t>
            </w:r>
          </w:p>
        </w:tc>
        <w:tc>
          <w:tcPr>
            <w:tcW w:w="1018" w:type="dxa"/>
            <w:tcBorders>
              <w:top w:val="single" w:sz="4" w:space="0" w:color="auto"/>
              <w:left w:val="single" w:sz="4" w:space="0" w:color="auto"/>
              <w:bottom w:val="single" w:sz="4" w:space="0" w:color="auto"/>
              <w:right w:val="single" w:sz="4" w:space="0" w:color="auto"/>
            </w:tcBorders>
            <w:vAlign w:val="center"/>
            <w:hideMark/>
          </w:tcPr>
          <w:p w:rsidR="00984667" w:rsidRPr="00A02F66" w:rsidRDefault="00984667" w:rsidP="005261BD">
            <w:pPr>
              <w:spacing w:after="0" w:line="240" w:lineRule="auto"/>
              <w:ind w:right="57"/>
              <w:jc w:val="right"/>
              <w:rPr>
                <w:rFonts w:ascii="Times New Roman" w:hAnsi="Times New Roman"/>
                <w:b/>
              </w:rPr>
            </w:pPr>
            <w:r w:rsidRPr="00A02F66">
              <w:rPr>
                <w:rFonts w:ascii="Times New Roman" w:hAnsi="Times New Roman"/>
                <w:b/>
              </w:rPr>
              <w:t>76,7</w:t>
            </w:r>
          </w:p>
        </w:tc>
        <w:tc>
          <w:tcPr>
            <w:tcW w:w="1061" w:type="dxa"/>
            <w:tcBorders>
              <w:top w:val="single" w:sz="4" w:space="0" w:color="auto"/>
              <w:left w:val="single" w:sz="4" w:space="0" w:color="auto"/>
              <w:bottom w:val="single" w:sz="4" w:space="0" w:color="auto"/>
              <w:right w:val="single" w:sz="4" w:space="0" w:color="auto"/>
            </w:tcBorders>
            <w:vAlign w:val="center"/>
            <w:hideMark/>
          </w:tcPr>
          <w:p w:rsidR="00984667" w:rsidRPr="00A02F66" w:rsidRDefault="00984667" w:rsidP="005261BD">
            <w:pPr>
              <w:spacing w:after="0" w:line="240" w:lineRule="auto"/>
              <w:jc w:val="right"/>
              <w:rPr>
                <w:rFonts w:ascii="Times New Roman" w:hAnsi="Times New Roman"/>
                <w:b/>
              </w:rPr>
            </w:pPr>
            <w:r w:rsidRPr="00A02F66">
              <w:rPr>
                <w:rFonts w:ascii="Times New Roman" w:hAnsi="Times New Roman"/>
                <w:b/>
              </w:rPr>
              <w:t>6 602,7</w:t>
            </w:r>
          </w:p>
        </w:tc>
        <w:tc>
          <w:tcPr>
            <w:tcW w:w="1019" w:type="dxa"/>
            <w:tcBorders>
              <w:top w:val="single" w:sz="4" w:space="0" w:color="auto"/>
              <w:left w:val="single" w:sz="4" w:space="0" w:color="auto"/>
              <w:bottom w:val="single" w:sz="4" w:space="0" w:color="auto"/>
              <w:right w:val="single" w:sz="4" w:space="0" w:color="auto"/>
            </w:tcBorders>
            <w:vAlign w:val="center"/>
            <w:hideMark/>
          </w:tcPr>
          <w:p w:rsidR="00984667" w:rsidRPr="00A02F66" w:rsidRDefault="00984667" w:rsidP="005261BD">
            <w:pPr>
              <w:spacing w:after="0" w:line="240" w:lineRule="auto"/>
              <w:ind w:right="57"/>
              <w:jc w:val="right"/>
              <w:rPr>
                <w:rFonts w:ascii="Times New Roman" w:hAnsi="Times New Roman"/>
                <w:b/>
              </w:rPr>
            </w:pPr>
            <w:r w:rsidRPr="00A02F66">
              <w:rPr>
                <w:rFonts w:ascii="Times New Roman" w:hAnsi="Times New Roman"/>
                <w:b/>
              </w:rPr>
              <w:t>44,6</w:t>
            </w:r>
          </w:p>
        </w:tc>
        <w:tc>
          <w:tcPr>
            <w:tcW w:w="1061" w:type="dxa"/>
            <w:tcBorders>
              <w:top w:val="single" w:sz="4" w:space="0" w:color="auto"/>
              <w:left w:val="single" w:sz="4" w:space="0" w:color="auto"/>
              <w:bottom w:val="single" w:sz="4" w:space="0" w:color="auto"/>
              <w:right w:val="single" w:sz="4" w:space="0" w:color="auto"/>
            </w:tcBorders>
            <w:vAlign w:val="center"/>
            <w:hideMark/>
          </w:tcPr>
          <w:p w:rsidR="00984667" w:rsidRPr="00A02F66" w:rsidRDefault="00984667" w:rsidP="005261BD">
            <w:pPr>
              <w:spacing w:after="0" w:line="240" w:lineRule="auto"/>
              <w:jc w:val="right"/>
              <w:rPr>
                <w:rFonts w:ascii="Times New Roman" w:hAnsi="Times New Roman"/>
                <w:b/>
              </w:rPr>
            </w:pPr>
            <w:r w:rsidRPr="00A02F66">
              <w:rPr>
                <w:rFonts w:ascii="Times New Roman" w:hAnsi="Times New Roman"/>
                <w:b/>
              </w:rPr>
              <w:t>19 488,0</w:t>
            </w:r>
          </w:p>
        </w:tc>
        <w:tc>
          <w:tcPr>
            <w:tcW w:w="957" w:type="dxa"/>
            <w:tcBorders>
              <w:top w:val="single" w:sz="4" w:space="0" w:color="auto"/>
              <w:left w:val="single" w:sz="4" w:space="0" w:color="auto"/>
              <w:bottom w:val="single" w:sz="4" w:space="0" w:color="auto"/>
              <w:right w:val="single" w:sz="4" w:space="0" w:color="auto"/>
            </w:tcBorders>
            <w:vAlign w:val="center"/>
            <w:hideMark/>
          </w:tcPr>
          <w:p w:rsidR="00984667" w:rsidRPr="00A02F66" w:rsidRDefault="00984667" w:rsidP="005261BD">
            <w:pPr>
              <w:spacing w:after="0" w:line="240" w:lineRule="auto"/>
              <w:ind w:right="57"/>
              <w:jc w:val="right"/>
              <w:rPr>
                <w:rFonts w:ascii="Times New Roman" w:hAnsi="Times New Roman"/>
                <w:b/>
              </w:rPr>
            </w:pPr>
            <w:r w:rsidRPr="00A02F66">
              <w:rPr>
                <w:rFonts w:ascii="Times New Roman" w:hAnsi="Times New Roman"/>
                <w:b/>
              </w:rPr>
              <w:t>101,6</w:t>
            </w:r>
          </w:p>
        </w:tc>
      </w:tr>
    </w:tbl>
    <w:p w:rsidR="00984667" w:rsidRPr="00A02F66" w:rsidRDefault="00984667" w:rsidP="00984667">
      <w:pPr>
        <w:spacing w:after="0" w:line="240" w:lineRule="auto"/>
        <w:ind w:firstLine="720"/>
        <w:jc w:val="both"/>
        <w:rPr>
          <w:rFonts w:ascii="Times New Roman" w:hAnsi="Times New Roman"/>
          <w:spacing w:val="6"/>
          <w:sz w:val="24"/>
          <w:szCs w:val="24"/>
        </w:rPr>
      </w:pPr>
    </w:p>
    <w:p w:rsidR="00984667" w:rsidRPr="00AC358B" w:rsidRDefault="00984667" w:rsidP="00984667">
      <w:pPr>
        <w:spacing w:after="0" w:line="240" w:lineRule="auto"/>
        <w:ind w:firstLine="709"/>
        <w:jc w:val="both"/>
        <w:rPr>
          <w:rFonts w:ascii="Times New Roman" w:hAnsi="Times New Roman"/>
          <w:sz w:val="24"/>
          <w:szCs w:val="24"/>
        </w:rPr>
      </w:pPr>
      <w:r w:rsidRPr="00AC358B">
        <w:rPr>
          <w:rFonts w:ascii="Times New Roman" w:hAnsi="Times New Roman"/>
          <w:spacing w:val="6"/>
          <w:sz w:val="24"/>
          <w:szCs w:val="24"/>
        </w:rPr>
        <w:t xml:space="preserve">По </w:t>
      </w:r>
      <w:r w:rsidRPr="00AC358B">
        <w:rPr>
          <w:rFonts w:ascii="Times New Roman" w:hAnsi="Times New Roman"/>
          <w:sz w:val="24"/>
          <w:szCs w:val="24"/>
        </w:rPr>
        <w:t>г. Григориополь и Григориопольскому району рост выбросов загрязняющих веществ в атмосферу составил 22,6%. Основными стационарными источниками загрязнения атмосферы в районе являются котельные МГУП «Тирастеплоэнерго», котельные МУ «Главное управление просвещения района», котельные и ГРС «Тираспольтрансгаз – Приднестровье».</w:t>
      </w:r>
    </w:p>
    <w:p w:rsidR="00984667" w:rsidRPr="00AC358B" w:rsidRDefault="00984667" w:rsidP="00984667">
      <w:pPr>
        <w:spacing w:after="0" w:line="240" w:lineRule="auto"/>
        <w:ind w:firstLine="709"/>
        <w:jc w:val="both"/>
        <w:rPr>
          <w:rFonts w:ascii="Times New Roman" w:hAnsi="Times New Roman"/>
          <w:spacing w:val="6"/>
          <w:sz w:val="24"/>
          <w:szCs w:val="24"/>
        </w:rPr>
      </w:pPr>
      <w:r w:rsidRPr="00AC358B">
        <w:rPr>
          <w:rFonts w:ascii="Times New Roman" w:hAnsi="Times New Roman"/>
          <w:spacing w:val="6"/>
          <w:sz w:val="24"/>
          <w:szCs w:val="24"/>
        </w:rPr>
        <w:t>Кроме того, существенный рост выбросов загрязняющих веществ отмечен по г. Слободзея и Слободзейскому району (+16,1%) за счет   ООО «Тираспольтрансгаз-Приднестровье», выбросы которого составили 91,2% (550,0 тонн) от общего количества выбросов загрязняющих веществ, поступивших в атмосферу от стационарных источников по району.</w:t>
      </w:r>
    </w:p>
    <w:p w:rsidR="00984667" w:rsidRPr="00AC358B" w:rsidRDefault="00984667" w:rsidP="00984667">
      <w:pPr>
        <w:spacing w:after="0" w:line="240" w:lineRule="auto"/>
        <w:ind w:firstLine="720"/>
        <w:jc w:val="both"/>
        <w:rPr>
          <w:rFonts w:ascii="Times New Roman" w:hAnsi="Times New Roman"/>
          <w:sz w:val="24"/>
          <w:szCs w:val="24"/>
        </w:rPr>
      </w:pPr>
      <w:r w:rsidRPr="00AC358B">
        <w:rPr>
          <w:rFonts w:ascii="Times New Roman" w:hAnsi="Times New Roman"/>
          <w:sz w:val="24"/>
          <w:szCs w:val="24"/>
        </w:rPr>
        <w:t>При этом сокращение выбросов фиксируется в г.Тирасполь (-10,8%) за счет когенерационной электростанции ООО «Тиротекс-Энерго».</w:t>
      </w:r>
    </w:p>
    <w:p w:rsidR="00984667" w:rsidRPr="00AC358B" w:rsidRDefault="00984667" w:rsidP="00984667">
      <w:pPr>
        <w:spacing w:after="0" w:line="240" w:lineRule="auto"/>
        <w:ind w:firstLine="709"/>
        <w:jc w:val="both"/>
        <w:rPr>
          <w:rFonts w:ascii="Times New Roman" w:hAnsi="Times New Roman"/>
          <w:spacing w:val="6"/>
          <w:sz w:val="24"/>
          <w:szCs w:val="24"/>
        </w:rPr>
      </w:pPr>
      <w:r w:rsidRPr="00AC358B">
        <w:rPr>
          <w:rFonts w:ascii="Times New Roman" w:hAnsi="Times New Roman"/>
          <w:spacing w:val="6"/>
          <w:sz w:val="24"/>
          <w:szCs w:val="24"/>
        </w:rPr>
        <w:t xml:space="preserve">Существенный спад выбросов загрязняющих веществ отмечен по г. Каменка и Каменскому району (-37,7%) за счет </w:t>
      </w:r>
      <w:r w:rsidRPr="00AC358B">
        <w:rPr>
          <w:rFonts w:ascii="Times New Roman" w:hAnsi="Times New Roman"/>
          <w:sz w:val="24"/>
          <w:szCs w:val="24"/>
        </w:rPr>
        <w:t>сокращения выбросов на ЗАО «Каменский консервный завод» и МУП «Тирастеплоэнерго».</w:t>
      </w:r>
    </w:p>
    <w:p w:rsidR="00984667" w:rsidRPr="00AC358B" w:rsidRDefault="00984667" w:rsidP="00984667">
      <w:pPr>
        <w:spacing w:after="0" w:line="240" w:lineRule="auto"/>
        <w:ind w:firstLine="709"/>
        <w:jc w:val="both"/>
        <w:rPr>
          <w:rFonts w:ascii="Times New Roman" w:hAnsi="Times New Roman"/>
          <w:spacing w:val="6"/>
          <w:sz w:val="24"/>
          <w:szCs w:val="24"/>
        </w:rPr>
      </w:pPr>
      <w:r w:rsidRPr="00AC358B">
        <w:rPr>
          <w:rFonts w:ascii="Times New Roman" w:hAnsi="Times New Roman"/>
          <w:spacing w:val="6"/>
          <w:sz w:val="24"/>
          <w:szCs w:val="24"/>
        </w:rPr>
        <w:t>Основное влияние на уровень загрязнения атмосферы городов и районам республики оказывают выбросы от передвижных источников (74,7% от общего количества выбросов по республике).</w:t>
      </w:r>
    </w:p>
    <w:p w:rsidR="00984667" w:rsidRPr="00AC358B" w:rsidRDefault="00984667" w:rsidP="00984667">
      <w:pPr>
        <w:spacing w:after="0" w:line="240" w:lineRule="auto"/>
        <w:ind w:firstLine="709"/>
        <w:jc w:val="both"/>
        <w:rPr>
          <w:rFonts w:ascii="Times New Roman" w:hAnsi="Times New Roman"/>
          <w:spacing w:val="6"/>
          <w:sz w:val="24"/>
          <w:szCs w:val="24"/>
        </w:rPr>
      </w:pPr>
      <w:r w:rsidRPr="00AC358B">
        <w:rPr>
          <w:rFonts w:ascii="Times New Roman" w:hAnsi="Times New Roman"/>
          <w:spacing w:val="6"/>
          <w:sz w:val="24"/>
          <w:szCs w:val="24"/>
        </w:rPr>
        <w:t xml:space="preserve">Количество выбросов </w:t>
      </w:r>
      <w:r w:rsidRPr="00AC358B">
        <w:rPr>
          <w:rFonts w:ascii="Times New Roman" w:hAnsi="Times New Roman"/>
          <w:i/>
          <w:spacing w:val="6"/>
          <w:sz w:val="24"/>
          <w:szCs w:val="24"/>
        </w:rPr>
        <w:t>от передвижных источников</w:t>
      </w:r>
      <w:r w:rsidRPr="00AC358B">
        <w:rPr>
          <w:rFonts w:ascii="Times New Roman" w:hAnsi="Times New Roman"/>
          <w:spacing w:val="6"/>
          <w:sz w:val="24"/>
          <w:szCs w:val="24"/>
        </w:rPr>
        <w:t xml:space="preserve"> (автотранспорт) в целом по республике составило 19 488,1 тонн, что на 1,6% больше аналогичного показателя прошлого года.</w:t>
      </w:r>
    </w:p>
    <w:p w:rsidR="00984667" w:rsidRPr="00AC358B" w:rsidRDefault="00984667" w:rsidP="00984667">
      <w:pPr>
        <w:spacing w:after="0" w:line="240" w:lineRule="auto"/>
        <w:ind w:firstLine="720"/>
        <w:jc w:val="both"/>
        <w:rPr>
          <w:rFonts w:ascii="Times New Roman" w:hAnsi="Times New Roman"/>
          <w:sz w:val="24"/>
          <w:szCs w:val="24"/>
        </w:rPr>
      </w:pPr>
      <w:r w:rsidRPr="00AC358B">
        <w:rPr>
          <w:rFonts w:ascii="Times New Roman" w:hAnsi="Times New Roman"/>
          <w:sz w:val="24"/>
          <w:szCs w:val="24"/>
        </w:rPr>
        <w:t xml:space="preserve">Увеличение объемов вредных выбросов </w:t>
      </w:r>
      <w:r w:rsidRPr="00AC358B">
        <w:rPr>
          <w:rFonts w:ascii="Times New Roman" w:hAnsi="Times New Roman"/>
          <w:spacing w:val="6"/>
          <w:sz w:val="24"/>
          <w:szCs w:val="24"/>
        </w:rPr>
        <w:t xml:space="preserve">от передвижных источников </w:t>
      </w:r>
      <w:r w:rsidRPr="00AC358B">
        <w:rPr>
          <w:rFonts w:ascii="Times New Roman" w:hAnsi="Times New Roman"/>
          <w:sz w:val="24"/>
          <w:szCs w:val="24"/>
        </w:rPr>
        <w:t xml:space="preserve">в отчетном периоде зафиксировано: г.Каменка и Каменскому району (в 2 раза), г.Григориополь и </w:t>
      </w:r>
      <w:r w:rsidRPr="00AC358B">
        <w:rPr>
          <w:rFonts w:ascii="Times New Roman" w:hAnsi="Times New Roman"/>
          <w:sz w:val="24"/>
          <w:szCs w:val="24"/>
        </w:rPr>
        <w:lastRenderedPageBreak/>
        <w:t xml:space="preserve">Григориопольскому району (в 3 раза), г.Тирасполь (+26,4%), г.Бендеры (+3,3%), на что повлияло увеличение вредных выбросов от автотранспорта по республике. Учет загрязняющих веществ </w:t>
      </w:r>
      <w:r w:rsidRPr="00AC358B">
        <w:rPr>
          <w:rFonts w:ascii="Times New Roman" w:hAnsi="Times New Roman"/>
          <w:spacing w:val="5"/>
          <w:sz w:val="24"/>
          <w:szCs w:val="24"/>
        </w:rPr>
        <w:t>производится на основании количества топлива, реализованного через сеть автозаправочных станций (автомобильных газокомпрессорных насосных станций) предприятий городов и районов республики.</w:t>
      </w:r>
    </w:p>
    <w:p w:rsidR="00984667" w:rsidRPr="00AC358B" w:rsidRDefault="00984667" w:rsidP="00984667">
      <w:pPr>
        <w:spacing w:after="0" w:line="240" w:lineRule="auto"/>
        <w:ind w:firstLine="720"/>
        <w:jc w:val="center"/>
        <w:rPr>
          <w:rFonts w:ascii="Times New Roman" w:hAnsi="Times New Roman"/>
          <w:b/>
          <w:sz w:val="24"/>
          <w:szCs w:val="24"/>
        </w:rPr>
      </w:pPr>
    </w:p>
    <w:p w:rsidR="00984667" w:rsidRDefault="00984667" w:rsidP="00984667">
      <w:pPr>
        <w:spacing w:after="0" w:line="240" w:lineRule="auto"/>
        <w:ind w:firstLine="720"/>
        <w:jc w:val="center"/>
        <w:rPr>
          <w:rFonts w:ascii="Times New Roman" w:hAnsi="Times New Roman"/>
          <w:b/>
          <w:sz w:val="24"/>
          <w:szCs w:val="24"/>
        </w:rPr>
      </w:pPr>
      <w:r>
        <w:rPr>
          <w:rFonts w:ascii="Times New Roman" w:hAnsi="Times New Roman"/>
          <w:b/>
          <w:sz w:val="24"/>
          <w:szCs w:val="24"/>
        </w:rPr>
        <w:t>Структура выбросов вредных веществ в атмосферный воздух (тонн; %)</w:t>
      </w:r>
    </w:p>
    <w:p w:rsidR="00984667" w:rsidRDefault="00984667" w:rsidP="00984667">
      <w:pPr>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2924175" cy="1895475"/>
            <wp:effectExtent l="19050" t="0" r="0" b="0"/>
            <wp:docPr id="17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Pr>
          <w:rFonts w:ascii="Times New Roman" w:hAnsi="Times New Roman"/>
          <w:b/>
          <w:noProof/>
          <w:sz w:val="24"/>
          <w:szCs w:val="24"/>
        </w:rPr>
        <w:drawing>
          <wp:inline distT="0" distB="0" distL="0" distR="0">
            <wp:extent cx="2924175" cy="1847850"/>
            <wp:effectExtent l="19050" t="0" r="0" b="0"/>
            <wp:docPr id="177"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84667" w:rsidRDefault="00984667" w:rsidP="00984667">
      <w:pPr>
        <w:spacing w:after="0" w:line="240" w:lineRule="auto"/>
        <w:ind w:firstLine="709"/>
        <w:jc w:val="both"/>
        <w:rPr>
          <w:rFonts w:ascii="Times New Roman" w:hAnsi="Times New Roman"/>
          <w:sz w:val="24"/>
          <w:szCs w:val="24"/>
        </w:rPr>
      </w:pPr>
    </w:p>
    <w:p w:rsidR="00984667" w:rsidRPr="00AC358B" w:rsidRDefault="00984667" w:rsidP="00984667">
      <w:pPr>
        <w:spacing w:after="0" w:line="240" w:lineRule="auto"/>
        <w:ind w:firstLine="709"/>
        <w:jc w:val="both"/>
        <w:rPr>
          <w:rFonts w:ascii="Times New Roman" w:hAnsi="Times New Roman"/>
          <w:sz w:val="24"/>
          <w:szCs w:val="24"/>
        </w:rPr>
      </w:pPr>
      <w:r w:rsidRPr="00AC358B">
        <w:rPr>
          <w:rFonts w:ascii="Times New Roman" w:hAnsi="Times New Roman"/>
          <w:sz w:val="24"/>
          <w:szCs w:val="24"/>
        </w:rPr>
        <w:t xml:space="preserve">Одним из направлений деятельности в сфере охраны окружающей среды в </w:t>
      </w:r>
      <w:r w:rsidR="00C258D9">
        <w:rPr>
          <w:rFonts w:ascii="Times New Roman" w:hAnsi="Times New Roman"/>
          <w:sz w:val="24"/>
          <w:szCs w:val="24"/>
        </w:rPr>
        <w:t xml:space="preserve">               </w:t>
      </w:r>
      <w:r w:rsidRPr="00AC358B">
        <w:rPr>
          <w:rFonts w:ascii="Times New Roman" w:hAnsi="Times New Roman"/>
          <w:sz w:val="24"/>
          <w:szCs w:val="24"/>
          <w:lang w:val="en-US"/>
        </w:rPr>
        <w:t>I</w:t>
      </w:r>
      <w:r w:rsidRPr="00AC358B">
        <w:rPr>
          <w:rFonts w:ascii="Times New Roman" w:hAnsi="Times New Roman"/>
          <w:sz w:val="24"/>
          <w:szCs w:val="24"/>
        </w:rPr>
        <w:t xml:space="preserve"> полугодии 2014 года являлось планирование рационального использования, </w:t>
      </w:r>
      <w:r w:rsidRPr="00AC358B">
        <w:rPr>
          <w:rFonts w:ascii="Times New Roman" w:hAnsi="Times New Roman"/>
          <w:b/>
          <w:sz w:val="24"/>
          <w:szCs w:val="24"/>
        </w:rPr>
        <w:t>восстановления и охраны водных и рыбных ресурсов</w:t>
      </w:r>
      <w:r w:rsidRPr="00AC358B">
        <w:rPr>
          <w:rFonts w:ascii="Times New Roman" w:hAnsi="Times New Roman"/>
          <w:sz w:val="24"/>
          <w:szCs w:val="24"/>
        </w:rPr>
        <w:t>. Государственным учетом были охвачены:</w:t>
      </w:r>
    </w:p>
    <w:p w:rsidR="00984667" w:rsidRPr="00AC358B" w:rsidRDefault="00984667" w:rsidP="00984667">
      <w:pPr>
        <w:spacing w:after="0" w:line="240" w:lineRule="auto"/>
        <w:ind w:firstLine="709"/>
        <w:jc w:val="both"/>
        <w:rPr>
          <w:rFonts w:ascii="Times New Roman" w:hAnsi="Times New Roman"/>
          <w:sz w:val="24"/>
          <w:szCs w:val="24"/>
        </w:rPr>
      </w:pPr>
      <w:r w:rsidRPr="00AC358B">
        <w:rPr>
          <w:rFonts w:ascii="Times New Roman" w:hAnsi="Times New Roman"/>
          <w:sz w:val="24"/>
          <w:szCs w:val="24"/>
        </w:rPr>
        <w:t xml:space="preserve"> - первичные водопользователи (выдача разрешений на спецводопользование);</w:t>
      </w:r>
    </w:p>
    <w:p w:rsidR="00984667" w:rsidRPr="00AC358B" w:rsidRDefault="00984667" w:rsidP="00984667">
      <w:pPr>
        <w:spacing w:after="0" w:line="240" w:lineRule="auto"/>
        <w:ind w:firstLine="709"/>
        <w:jc w:val="both"/>
        <w:rPr>
          <w:rFonts w:ascii="Times New Roman" w:hAnsi="Times New Roman"/>
          <w:sz w:val="24"/>
          <w:szCs w:val="24"/>
        </w:rPr>
      </w:pPr>
      <w:r w:rsidRPr="00AC358B">
        <w:rPr>
          <w:rFonts w:ascii="Times New Roman" w:hAnsi="Times New Roman"/>
          <w:sz w:val="24"/>
          <w:szCs w:val="24"/>
        </w:rPr>
        <w:t xml:space="preserve"> - вторичные водопользователи (установление лимитов водопользования). </w:t>
      </w:r>
    </w:p>
    <w:p w:rsidR="00984667" w:rsidRPr="00AC358B" w:rsidRDefault="00984667" w:rsidP="00984667">
      <w:pPr>
        <w:spacing w:after="0" w:line="240" w:lineRule="auto"/>
        <w:ind w:firstLine="709"/>
        <w:jc w:val="both"/>
        <w:rPr>
          <w:rFonts w:ascii="Times New Roman" w:hAnsi="Times New Roman"/>
          <w:sz w:val="24"/>
          <w:szCs w:val="24"/>
        </w:rPr>
      </w:pPr>
      <w:r w:rsidRPr="00AC358B">
        <w:rPr>
          <w:rFonts w:ascii="Times New Roman" w:hAnsi="Times New Roman"/>
          <w:sz w:val="24"/>
          <w:szCs w:val="24"/>
        </w:rPr>
        <w:t xml:space="preserve">За январь – июнь 2014 года было установлено 713 лимитов водопользования, что на 7,7% больше, чем за аналогичный период 2013 года. Выдано разрешений на специальное водопользование 22 объектам, что меньше по сравнению с </w:t>
      </w:r>
      <w:r w:rsidR="00C258D9">
        <w:rPr>
          <w:rFonts w:ascii="Times New Roman" w:hAnsi="Times New Roman"/>
          <w:sz w:val="24"/>
          <w:szCs w:val="24"/>
        </w:rPr>
        <w:t xml:space="preserve">                                         </w:t>
      </w:r>
      <w:r w:rsidRPr="00AC358B">
        <w:rPr>
          <w:rFonts w:ascii="Times New Roman" w:hAnsi="Times New Roman"/>
          <w:sz w:val="24"/>
          <w:szCs w:val="24"/>
          <w:lang w:val="en-US"/>
        </w:rPr>
        <w:t>I</w:t>
      </w:r>
      <w:r w:rsidRPr="00AC358B">
        <w:rPr>
          <w:rFonts w:ascii="Times New Roman" w:hAnsi="Times New Roman"/>
          <w:sz w:val="24"/>
          <w:szCs w:val="24"/>
        </w:rPr>
        <w:t xml:space="preserve"> полугодием 2013 года на 64,5 %.</w:t>
      </w:r>
    </w:p>
    <w:p w:rsidR="00984667" w:rsidRPr="00AC358B" w:rsidRDefault="00984667" w:rsidP="00984667">
      <w:pPr>
        <w:spacing w:after="0" w:line="240" w:lineRule="auto"/>
        <w:ind w:firstLine="709"/>
        <w:jc w:val="both"/>
        <w:rPr>
          <w:rFonts w:ascii="Times New Roman" w:hAnsi="Times New Roman"/>
          <w:sz w:val="24"/>
          <w:szCs w:val="24"/>
        </w:rPr>
      </w:pPr>
      <w:r w:rsidRPr="00AC358B">
        <w:rPr>
          <w:rFonts w:ascii="Times New Roman" w:hAnsi="Times New Roman"/>
          <w:sz w:val="24"/>
          <w:szCs w:val="24"/>
        </w:rPr>
        <w:t>В I полугодии 2014 года была проведена государственная экспертиза предпроектной и проектной документации на строительство и</w:t>
      </w:r>
      <w:r w:rsidRPr="002D3EEB">
        <w:rPr>
          <w:rFonts w:ascii="Times New Roman" w:hAnsi="Times New Roman"/>
          <w:sz w:val="28"/>
          <w:szCs w:val="28"/>
        </w:rPr>
        <w:t xml:space="preserve"> </w:t>
      </w:r>
      <w:r w:rsidRPr="00AC358B">
        <w:rPr>
          <w:rFonts w:ascii="Times New Roman" w:hAnsi="Times New Roman"/>
          <w:sz w:val="24"/>
          <w:szCs w:val="24"/>
        </w:rPr>
        <w:t>реконструкцию хозяйственных и других объектов, влияющих на состояние водных объектов по 55 объектам, опломбировано было 19 объектов первичных приборов учета забираемой воды водопользователей.</w:t>
      </w:r>
    </w:p>
    <w:p w:rsidR="00984667" w:rsidRPr="00AC358B" w:rsidRDefault="00984667" w:rsidP="00C258D9">
      <w:pPr>
        <w:spacing w:after="0" w:line="240" w:lineRule="auto"/>
        <w:ind w:firstLine="709"/>
        <w:jc w:val="both"/>
        <w:rPr>
          <w:rFonts w:ascii="Times New Roman" w:hAnsi="Times New Roman"/>
          <w:color w:val="000000"/>
          <w:sz w:val="24"/>
          <w:szCs w:val="24"/>
        </w:rPr>
      </w:pPr>
      <w:r w:rsidRPr="00AC358B">
        <w:rPr>
          <w:rFonts w:ascii="Times New Roman" w:hAnsi="Times New Roman"/>
          <w:color w:val="000000"/>
          <w:sz w:val="24"/>
          <w:szCs w:val="24"/>
        </w:rPr>
        <w:t xml:space="preserve">В целях защиты водоносных горизонтов от истощения и загрязнения  осуществляется  наблюдение за водозаборными сооружениями подземных вод, по результатам которого выполняются работы по ликвидационному тампонажу неэксплуатируемых скважин. </w:t>
      </w:r>
      <w:r w:rsidRPr="00AC358B">
        <w:rPr>
          <w:rFonts w:ascii="Times New Roman" w:hAnsi="Times New Roman"/>
          <w:sz w:val="24"/>
          <w:szCs w:val="24"/>
        </w:rPr>
        <w:t xml:space="preserve">За отчетный период ликвидировано </w:t>
      </w:r>
      <w:r w:rsidRPr="00AC358B">
        <w:rPr>
          <w:rFonts w:ascii="Times New Roman" w:hAnsi="Times New Roman"/>
          <w:color w:val="000000"/>
          <w:sz w:val="24"/>
          <w:szCs w:val="24"/>
        </w:rPr>
        <w:t>5 с</w:t>
      </w:r>
      <w:r w:rsidRPr="00AC358B">
        <w:rPr>
          <w:rFonts w:ascii="Times New Roman" w:hAnsi="Times New Roman"/>
          <w:sz w:val="24"/>
          <w:szCs w:val="24"/>
        </w:rPr>
        <w:t>кважин.</w:t>
      </w:r>
    </w:p>
    <w:p w:rsidR="00984667" w:rsidRPr="00AC358B" w:rsidRDefault="00106C3D" w:rsidP="00C258D9">
      <w:pPr>
        <w:spacing w:after="0" w:line="240" w:lineRule="auto"/>
        <w:ind w:firstLine="709"/>
        <w:jc w:val="both"/>
        <w:rPr>
          <w:rFonts w:ascii="Times New Roman" w:hAnsi="Times New Roman"/>
          <w:sz w:val="24"/>
          <w:szCs w:val="24"/>
        </w:rPr>
      </w:pPr>
      <w:r>
        <w:rPr>
          <w:rFonts w:ascii="Times New Roman" w:hAnsi="Times New Roman"/>
          <w:sz w:val="24"/>
          <w:szCs w:val="24"/>
        </w:rPr>
        <w:t>Согласована</w:t>
      </w:r>
      <w:r w:rsidR="00984667" w:rsidRPr="00AC358B">
        <w:rPr>
          <w:rFonts w:ascii="Times New Roman" w:hAnsi="Times New Roman"/>
          <w:sz w:val="24"/>
          <w:szCs w:val="24"/>
        </w:rPr>
        <w:t xml:space="preserve"> выдача Разрешения на спецводопользование </w:t>
      </w:r>
      <w:r w:rsidR="00984667" w:rsidRPr="00AC358B">
        <w:rPr>
          <w:rFonts w:ascii="Times New Roman" w:hAnsi="Times New Roman"/>
          <w:color w:val="000000"/>
          <w:sz w:val="24"/>
          <w:szCs w:val="24"/>
        </w:rPr>
        <w:t xml:space="preserve">17 </w:t>
      </w:r>
      <w:r w:rsidR="00984667" w:rsidRPr="00AC358B">
        <w:rPr>
          <w:rFonts w:ascii="Times New Roman" w:hAnsi="Times New Roman"/>
          <w:sz w:val="24"/>
          <w:szCs w:val="24"/>
        </w:rPr>
        <w:t>организациям, эксплуатирующи</w:t>
      </w:r>
      <w:r>
        <w:rPr>
          <w:rFonts w:ascii="Times New Roman" w:hAnsi="Times New Roman"/>
          <w:sz w:val="24"/>
          <w:szCs w:val="24"/>
        </w:rPr>
        <w:t>м</w:t>
      </w:r>
      <w:r w:rsidR="00984667" w:rsidRPr="00AC358B">
        <w:rPr>
          <w:rFonts w:ascii="Times New Roman" w:hAnsi="Times New Roman"/>
          <w:sz w:val="24"/>
          <w:szCs w:val="24"/>
        </w:rPr>
        <w:t xml:space="preserve"> водозаборные сооружения подземных вод.</w:t>
      </w:r>
    </w:p>
    <w:p w:rsidR="00984667" w:rsidRPr="00AC358B" w:rsidRDefault="00984667" w:rsidP="00C258D9">
      <w:pPr>
        <w:spacing w:after="0" w:line="240" w:lineRule="auto"/>
        <w:ind w:firstLine="709"/>
        <w:jc w:val="both"/>
        <w:rPr>
          <w:rFonts w:ascii="Times New Roman" w:hAnsi="Times New Roman"/>
          <w:sz w:val="24"/>
          <w:szCs w:val="24"/>
        </w:rPr>
      </w:pPr>
      <w:r w:rsidRPr="00AC358B">
        <w:rPr>
          <w:rFonts w:ascii="Times New Roman" w:hAnsi="Times New Roman"/>
          <w:sz w:val="24"/>
          <w:szCs w:val="24"/>
        </w:rPr>
        <w:t>Осуществлялись выезды по обследованию и выбора участков под заложения артскважин в рамках Программы «Строительство, ремонт и реконструкция систем питьевого водоснабжения сел и поселков  ПМР».</w:t>
      </w:r>
    </w:p>
    <w:p w:rsidR="00984667" w:rsidRPr="00AC358B" w:rsidRDefault="00984667" w:rsidP="00984667">
      <w:pPr>
        <w:spacing w:after="0" w:line="240" w:lineRule="auto"/>
        <w:ind w:firstLine="709"/>
        <w:jc w:val="both"/>
        <w:rPr>
          <w:rFonts w:ascii="Times New Roman" w:hAnsi="Times New Roman"/>
          <w:sz w:val="24"/>
          <w:szCs w:val="24"/>
        </w:rPr>
      </w:pPr>
      <w:r w:rsidRPr="00AC358B">
        <w:rPr>
          <w:rFonts w:ascii="Times New Roman" w:hAnsi="Times New Roman"/>
          <w:sz w:val="24"/>
          <w:szCs w:val="24"/>
        </w:rPr>
        <w:t>В рамках действующей Государственной программы развития минерально-сырьевой базы на 2012-2015 годы проводились работы по изучению режима и баланса подземных вод на территории ПМР, целью которых является систематизация и составление перечней водных объектов, обобщение ежегодных данных об эксплуатационных запасах подземных вод, сбор материалов для составления карт фактического материала, составление каталогов водоносных горизонтов. Работы выполняются подведомственным предприятием  ГУП «Геологоразведка».</w:t>
      </w:r>
    </w:p>
    <w:p w:rsidR="00984667" w:rsidRPr="00AC358B" w:rsidRDefault="00984667" w:rsidP="00984667">
      <w:pPr>
        <w:spacing w:after="0" w:line="240" w:lineRule="auto"/>
        <w:ind w:firstLine="709"/>
        <w:jc w:val="both"/>
        <w:rPr>
          <w:rFonts w:ascii="Times New Roman" w:hAnsi="Times New Roman"/>
          <w:sz w:val="24"/>
          <w:szCs w:val="24"/>
        </w:rPr>
      </w:pPr>
      <w:r w:rsidRPr="00AC358B">
        <w:rPr>
          <w:rFonts w:ascii="Times New Roman" w:hAnsi="Times New Roman"/>
          <w:sz w:val="24"/>
          <w:szCs w:val="24"/>
        </w:rPr>
        <w:t xml:space="preserve">Работы по изучению режима и баланса подземных вод повышают эффективность контроля за охраной подземных вод и достоверность прогноза опасных геологических </w:t>
      </w:r>
      <w:r w:rsidRPr="00AC358B">
        <w:rPr>
          <w:rFonts w:ascii="Times New Roman" w:hAnsi="Times New Roman"/>
          <w:sz w:val="24"/>
          <w:szCs w:val="24"/>
        </w:rPr>
        <w:lastRenderedPageBreak/>
        <w:t>процессов, позволяют улучшить санитарно-эпидемиологическую и социально-экономическую обстановку в Республике.</w:t>
      </w:r>
    </w:p>
    <w:p w:rsidR="00984667" w:rsidRPr="00AC358B" w:rsidRDefault="00984667" w:rsidP="00984667">
      <w:pPr>
        <w:spacing w:after="0" w:line="240" w:lineRule="auto"/>
        <w:ind w:firstLine="709"/>
        <w:jc w:val="both"/>
        <w:rPr>
          <w:rFonts w:ascii="Times New Roman" w:hAnsi="Times New Roman"/>
          <w:sz w:val="24"/>
          <w:szCs w:val="24"/>
        </w:rPr>
      </w:pPr>
      <w:r w:rsidRPr="00AC358B">
        <w:rPr>
          <w:rFonts w:ascii="Times New Roman" w:hAnsi="Times New Roman"/>
          <w:sz w:val="24"/>
          <w:szCs w:val="24"/>
        </w:rPr>
        <w:t>Проводятся работы по изучению и прогнозированию оползневых процессов на территории Республики. Всего на территории Республики зарегистрировано 542 оползня, по которым ведутся систематические наблюдения.</w:t>
      </w:r>
    </w:p>
    <w:p w:rsidR="00984667" w:rsidRPr="00AC358B" w:rsidRDefault="00984667" w:rsidP="00984667">
      <w:pPr>
        <w:spacing w:after="0" w:line="240" w:lineRule="auto"/>
        <w:ind w:firstLine="709"/>
        <w:jc w:val="both"/>
        <w:rPr>
          <w:rFonts w:ascii="Times New Roman" w:hAnsi="Times New Roman"/>
          <w:sz w:val="24"/>
          <w:szCs w:val="24"/>
        </w:rPr>
      </w:pPr>
      <w:r w:rsidRPr="00AC358B">
        <w:rPr>
          <w:rFonts w:ascii="Times New Roman" w:hAnsi="Times New Roman"/>
          <w:sz w:val="24"/>
          <w:szCs w:val="24"/>
        </w:rPr>
        <w:t xml:space="preserve">В целях сохранения, восстановления и увеличения рыбных запасов в </w:t>
      </w:r>
      <w:r w:rsidRPr="00AC358B">
        <w:rPr>
          <w:rFonts w:ascii="Times New Roman" w:hAnsi="Times New Roman"/>
          <w:sz w:val="24"/>
          <w:szCs w:val="24"/>
          <w:lang w:val="en-US"/>
        </w:rPr>
        <w:t>I</w:t>
      </w:r>
      <w:r w:rsidRPr="00AC358B">
        <w:rPr>
          <w:rFonts w:ascii="Times New Roman" w:hAnsi="Times New Roman"/>
          <w:sz w:val="24"/>
          <w:szCs w:val="24"/>
        </w:rPr>
        <w:t xml:space="preserve"> полугодии 2014 года были проведены мероприятия по зарыблению рыбохозяйственных водоемов разновозрастными группами промысловых видов рыб (белый и пестрый толстолобик, белый амур, карп карась, судак, лещ, тарань) общим весом 8 896,6 кг и количеством 13 302,8 тыс. шт. В рассматриваемом периоде пользователями, осуществляющими рыболовство, во исполнение договорных обязательств, проведены работы по компенсационному зарыблению (под квоту вылова) реки Днестр, протока Турунчук и Дубоссарского водохранилища годовиком и двухговдовиком промысловых видов рыб общим весом 8 857,8 кг. и количеством 192,8 тыс. шт.</w:t>
      </w:r>
    </w:p>
    <w:p w:rsidR="00984667" w:rsidRPr="00AC358B" w:rsidRDefault="00984667" w:rsidP="00984667">
      <w:pPr>
        <w:spacing w:after="0" w:line="240" w:lineRule="auto"/>
        <w:ind w:firstLine="709"/>
        <w:jc w:val="both"/>
        <w:rPr>
          <w:rFonts w:ascii="Times New Roman" w:hAnsi="Times New Roman"/>
          <w:sz w:val="24"/>
          <w:szCs w:val="24"/>
        </w:rPr>
      </w:pPr>
      <w:r w:rsidRPr="00AC358B">
        <w:rPr>
          <w:rFonts w:ascii="Times New Roman" w:hAnsi="Times New Roman"/>
          <w:sz w:val="24"/>
          <w:szCs w:val="24"/>
        </w:rPr>
        <w:t xml:space="preserve">В I полугодии 2014 года работа в области </w:t>
      </w:r>
      <w:r w:rsidRPr="00AC358B">
        <w:rPr>
          <w:rFonts w:ascii="Times New Roman" w:hAnsi="Times New Roman"/>
          <w:b/>
          <w:sz w:val="24"/>
          <w:szCs w:val="24"/>
        </w:rPr>
        <w:t>геологического изучения недр</w:t>
      </w:r>
      <w:r w:rsidRPr="00AC358B">
        <w:rPr>
          <w:rFonts w:ascii="Times New Roman" w:hAnsi="Times New Roman"/>
          <w:sz w:val="24"/>
          <w:szCs w:val="24"/>
        </w:rPr>
        <w:t xml:space="preserve"> была направлена на обеспечение реализации государственной политики в сфере геологического изучения и рационального использования недр.</w:t>
      </w:r>
    </w:p>
    <w:p w:rsidR="00984667" w:rsidRPr="00AC358B" w:rsidRDefault="00984667" w:rsidP="00984667">
      <w:pPr>
        <w:spacing w:after="0" w:line="240" w:lineRule="auto"/>
        <w:ind w:firstLine="709"/>
        <w:jc w:val="both"/>
        <w:rPr>
          <w:rFonts w:ascii="Times New Roman" w:hAnsi="Times New Roman"/>
          <w:color w:val="000000"/>
          <w:sz w:val="24"/>
          <w:szCs w:val="24"/>
        </w:rPr>
      </w:pPr>
      <w:r w:rsidRPr="00AC358B">
        <w:rPr>
          <w:rFonts w:ascii="Times New Roman" w:hAnsi="Times New Roman"/>
          <w:sz w:val="24"/>
          <w:szCs w:val="24"/>
          <w:lang w:val="en-US"/>
        </w:rPr>
        <w:t>C</w:t>
      </w:r>
      <w:r w:rsidRPr="00AC358B">
        <w:rPr>
          <w:rFonts w:ascii="Times New Roman" w:hAnsi="Times New Roman"/>
          <w:sz w:val="24"/>
          <w:szCs w:val="24"/>
        </w:rPr>
        <w:t xml:space="preserve">водным отчетным балансом запасов полезных ископаемых по Республике зарегистрировано 94 </w:t>
      </w:r>
      <w:r w:rsidRPr="00AC358B">
        <w:rPr>
          <w:rFonts w:ascii="Times New Roman" w:hAnsi="Times New Roman"/>
          <w:color w:val="000000"/>
          <w:sz w:val="24"/>
          <w:szCs w:val="24"/>
        </w:rPr>
        <w:t>месторождений, из них:</w:t>
      </w:r>
    </w:p>
    <w:p w:rsidR="00984667" w:rsidRPr="002D3EEB" w:rsidRDefault="00984667" w:rsidP="00984667">
      <w:pPr>
        <w:spacing w:after="0" w:line="240" w:lineRule="auto"/>
        <w:ind w:firstLine="709"/>
        <w:jc w:val="both"/>
        <w:rPr>
          <w:rFonts w:ascii="Times New Roman" w:hAnsi="Times New Roman"/>
          <w:sz w:val="28"/>
          <w:szCs w:val="28"/>
        </w:rPr>
      </w:pPr>
    </w:p>
    <w:tbl>
      <w:tblPr>
        <w:tblStyle w:val="af4"/>
        <w:tblW w:w="0" w:type="auto"/>
        <w:tblLook w:val="01E0"/>
      </w:tblPr>
      <w:tblGrid>
        <w:gridCol w:w="645"/>
        <w:gridCol w:w="4708"/>
        <w:gridCol w:w="1985"/>
        <w:gridCol w:w="2012"/>
      </w:tblGrid>
      <w:tr w:rsidR="00984667" w:rsidTr="005261BD">
        <w:trPr>
          <w:trHeight w:val="757"/>
        </w:trPr>
        <w:tc>
          <w:tcPr>
            <w:tcW w:w="645" w:type="dxa"/>
          </w:tcPr>
          <w:p w:rsidR="00984667" w:rsidRPr="0024320D" w:rsidRDefault="00984667" w:rsidP="00984667">
            <w:pPr>
              <w:pStyle w:val="af8"/>
              <w:spacing w:after="0" w:line="240" w:lineRule="auto"/>
              <w:ind w:left="0"/>
              <w:jc w:val="both"/>
              <w:rPr>
                <w:rFonts w:ascii="Times New Roman" w:hAnsi="Times New Roman"/>
                <w:b/>
                <w:color w:val="000000"/>
                <w:sz w:val="24"/>
                <w:szCs w:val="24"/>
              </w:rPr>
            </w:pPr>
            <w:r w:rsidRPr="0024320D">
              <w:rPr>
                <w:rFonts w:ascii="Times New Roman" w:hAnsi="Times New Roman"/>
                <w:b/>
                <w:color w:val="000000"/>
                <w:sz w:val="24"/>
                <w:szCs w:val="24"/>
              </w:rPr>
              <w:t>№</w:t>
            </w:r>
          </w:p>
          <w:p w:rsidR="00984667" w:rsidRPr="0024320D" w:rsidRDefault="00984667" w:rsidP="00984667">
            <w:pPr>
              <w:pStyle w:val="af8"/>
              <w:spacing w:after="0" w:line="240" w:lineRule="auto"/>
              <w:ind w:left="0"/>
              <w:jc w:val="both"/>
              <w:rPr>
                <w:rFonts w:ascii="Times New Roman" w:hAnsi="Times New Roman"/>
                <w:b/>
                <w:color w:val="000000"/>
                <w:sz w:val="24"/>
                <w:szCs w:val="24"/>
              </w:rPr>
            </w:pPr>
            <w:r w:rsidRPr="0024320D">
              <w:rPr>
                <w:rFonts w:ascii="Times New Roman" w:hAnsi="Times New Roman"/>
                <w:b/>
                <w:color w:val="000000"/>
                <w:sz w:val="24"/>
                <w:szCs w:val="24"/>
              </w:rPr>
              <w:t>п/п</w:t>
            </w:r>
          </w:p>
        </w:tc>
        <w:tc>
          <w:tcPr>
            <w:tcW w:w="4708" w:type="dxa"/>
          </w:tcPr>
          <w:p w:rsidR="00984667" w:rsidRPr="0024320D" w:rsidRDefault="00984667" w:rsidP="00984667">
            <w:pPr>
              <w:pStyle w:val="af8"/>
              <w:spacing w:after="0" w:line="240" w:lineRule="auto"/>
              <w:ind w:left="0"/>
              <w:jc w:val="center"/>
              <w:rPr>
                <w:rFonts w:ascii="Times New Roman" w:hAnsi="Times New Roman"/>
                <w:b/>
                <w:color w:val="000000"/>
                <w:sz w:val="24"/>
                <w:szCs w:val="24"/>
              </w:rPr>
            </w:pPr>
            <w:r w:rsidRPr="0024320D">
              <w:rPr>
                <w:rFonts w:ascii="Times New Roman" w:hAnsi="Times New Roman"/>
                <w:b/>
                <w:color w:val="000000"/>
                <w:sz w:val="24"/>
                <w:szCs w:val="24"/>
              </w:rPr>
              <w:t>Наименование полезного ископаемого</w:t>
            </w:r>
          </w:p>
        </w:tc>
        <w:tc>
          <w:tcPr>
            <w:tcW w:w="1985" w:type="dxa"/>
          </w:tcPr>
          <w:p w:rsidR="00984667" w:rsidRPr="0024320D" w:rsidRDefault="00984667" w:rsidP="00984667">
            <w:pPr>
              <w:pStyle w:val="af8"/>
              <w:spacing w:after="0" w:line="240" w:lineRule="auto"/>
              <w:ind w:left="0"/>
              <w:jc w:val="center"/>
              <w:rPr>
                <w:rFonts w:ascii="Times New Roman" w:hAnsi="Times New Roman"/>
                <w:b/>
                <w:color w:val="000000"/>
                <w:sz w:val="24"/>
                <w:szCs w:val="24"/>
              </w:rPr>
            </w:pPr>
            <w:r w:rsidRPr="0024320D">
              <w:rPr>
                <w:rFonts w:ascii="Times New Roman" w:hAnsi="Times New Roman"/>
                <w:b/>
                <w:color w:val="000000"/>
                <w:sz w:val="24"/>
                <w:szCs w:val="24"/>
              </w:rPr>
              <w:t>Количество месторождений</w:t>
            </w:r>
          </w:p>
        </w:tc>
        <w:tc>
          <w:tcPr>
            <w:tcW w:w="2012" w:type="dxa"/>
          </w:tcPr>
          <w:p w:rsidR="00984667" w:rsidRPr="0024320D" w:rsidRDefault="00984667" w:rsidP="00984667">
            <w:pPr>
              <w:pStyle w:val="af8"/>
              <w:spacing w:after="0" w:line="240" w:lineRule="auto"/>
              <w:ind w:left="0"/>
              <w:jc w:val="center"/>
              <w:rPr>
                <w:rFonts w:ascii="Times New Roman" w:hAnsi="Times New Roman"/>
                <w:b/>
                <w:color w:val="000000"/>
                <w:sz w:val="24"/>
                <w:szCs w:val="24"/>
              </w:rPr>
            </w:pPr>
            <w:r w:rsidRPr="0024320D">
              <w:rPr>
                <w:rFonts w:ascii="Times New Roman" w:hAnsi="Times New Roman"/>
                <w:b/>
                <w:color w:val="000000"/>
                <w:sz w:val="24"/>
                <w:szCs w:val="24"/>
              </w:rPr>
              <w:t>Запасы</w:t>
            </w:r>
          </w:p>
          <w:p w:rsidR="00984667" w:rsidRPr="0024320D" w:rsidRDefault="00984667" w:rsidP="00984667">
            <w:pPr>
              <w:pStyle w:val="af8"/>
              <w:spacing w:after="0" w:line="240" w:lineRule="auto"/>
              <w:ind w:left="0"/>
              <w:jc w:val="center"/>
              <w:rPr>
                <w:rFonts w:ascii="Times New Roman" w:hAnsi="Times New Roman"/>
                <w:b/>
                <w:color w:val="000000"/>
                <w:sz w:val="24"/>
                <w:szCs w:val="24"/>
                <w:vertAlign w:val="superscript"/>
              </w:rPr>
            </w:pPr>
            <w:r w:rsidRPr="0024320D">
              <w:rPr>
                <w:rFonts w:ascii="Times New Roman" w:hAnsi="Times New Roman"/>
                <w:b/>
                <w:color w:val="000000"/>
                <w:sz w:val="24"/>
                <w:szCs w:val="24"/>
              </w:rPr>
              <w:t>тыс.м</w:t>
            </w:r>
            <w:r w:rsidRPr="0024320D">
              <w:rPr>
                <w:rFonts w:ascii="Times New Roman" w:hAnsi="Times New Roman"/>
                <w:b/>
                <w:color w:val="000000"/>
                <w:sz w:val="24"/>
                <w:szCs w:val="24"/>
                <w:vertAlign w:val="superscript"/>
              </w:rPr>
              <w:t>3</w:t>
            </w:r>
          </w:p>
        </w:tc>
      </w:tr>
      <w:tr w:rsidR="00984667" w:rsidTr="00984667">
        <w:trPr>
          <w:trHeight w:val="156"/>
        </w:trPr>
        <w:tc>
          <w:tcPr>
            <w:tcW w:w="645" w:type="dxa"/>
          </w:tcPr>
          <w:p w:rsidR="00984667" w:rsidRPr="0024320D" w:rsidRDefault="00984667" w:rsidP="00984667">
            <w:pPr>
              <w:pStyle w:val="af8"/>
              <w:spacing w:after="0" w:line="240" w:lineRule="auto"/>
              <w:ind w:left="0"/>
              <w:jc w:val="both"/>
              <w:rPr>
                <w:rFonts w:ascii="Times New Roman" w:hAnsi="Times New Roman"/>
                <w:color w:val="000000"/>
                <w:sz w:val="24"/>
                <w:szCs w:val="24"/>
              </w:rPr>
            </w:pPr>
            <w:r w:rsidRPr="0024320D">
              <w:rPr>
                <w:rFonts w:ascii="Times New Roman" w:hAnsi="Times New Roman"/>
                <w:color w:val="000000"/>
                <w:sz w:val="24"/>
                <w:szCs w:val="24"/>
              </w:rPr>
              <w:t>1</w:t>
            </w:r>
          </w:p>
        </w:tc>
        <w:tc>
          <w:tcPr>
            <w:tcW w:w="4708" w:type="dxa"/>
          </w:tcPr>
          <w:p w:rsidR="00984667" w:rsidRPr="0024320D" w:rsidRDefault="00984667" w:rsidP="00984667">
            <w:pPr>
              <w:pStyle w:val="af8"/>
              <w:spacing w:after="0" w:line="240" w:lineRule="auto"/>
              <w:ind w:left="0"/>
              <w:jc w:val="both"/>
              <w:rPr>
                <w:rFonts w:ascii="Times New Roman" w:hAnsi="Times New Roman"/>
                <w:color w:val="000000"/>
                <w:sz w:val="24"/>
                <w:szCs w:val="24"/>
              </w:rPr>
            </w:pPr>
            <w:r>
              <w:rPr>
                <w:rFonts w:ascii="Times New Roman" w:hAnsi="Times New Roman"/>
                <w:sz w:val="24"/>
                <w:szCs w:val="24"/>
              </w:rPr>
              <w:t xml:space="preserve">пильный </w:t>
            </w:r>
            <w:r w:rsidRPr="0024320D">
              <w:rPr>
                <w:rFonts w:ascii="Times New Roman" w:hAnsi="Times New Roman"/>
                <w:sz w:val="24"/>
                <w:szCs w:val="24"/>
              </w:rPr>
              <w:t>известняк</w:t>
            </w:r>
          </w:p>
        </w:tc>
        <w:tc>
          <w:tcPr>
            <w:tcW w:w="1985" w:type="dxa"/>
          </w:tcPr>
          <w:p w:rsidR="00984667" w:rsidRPr="0024320D" w:rsidRDefault="00984667" w:rsidP="00984667">
            <w:pPr>
              <w:pStyle w:val="af8"/>
              <w:spacing w:after="0" w:line="240" w:lineRule="auto"/>
              <w:ind w:left="0"/>
              <w:jc w:val="center"/>
              <w:rPr>
                <w:rFonts w:ascii="Times New Roman" w:hAnsi="Times New Roman"/>
                <w:color w:val="000000"/>
                <w:sz w:val="24"/>
                <w:szCs w:val="24"/>
              </w:rPr>
            </w:pPr>
            <w:r w:rsidRPr="0024320D">
              <w:rPr>
                <w:rFonts w:ascii="Times New Roman" w:hAnsi="Times New Roman"/>
                <w:color w:val="000000"/>
                <w:sz w:val="24"/>
                <w:szCs w:val="24"/>
              </w:rPr>
              <w:t>14</w:t>
            </w:r>
          </w:p>
        </w:tc>
        <w:tc>
          <w:tcPr>
            <w:tcW w:w="2012" w:type="dxa"/>
          </w:tcPr>
          <w:p w:rsidR="00984667" w:rsidRPr="0024320D" w:rsidRDefault="00984667" w:rsidP="00984667">
            <w:pPr>
              <w:pStyle w:val="af8"/>
              <w:spacing w:after="0" w:line="240" w:lineRule="auto"/>
              <w:ind w:left="0"/>
              <w:jc w:val="center"/>
              <w:rPr>
                <w:rFonts w:ascii="Times New Roman" w:hAnsi="Times New Roman"/>
                <w:color w:val="000000"/>
                <w:sz w:val="24"/>
                <w:szCs w:val="24"/>
              </w:rPr>
            </w:pPr>
            <w:r w:rsidRPr="0024320D">
              <w:rPr>
                <w:rFonts w:ascii="Times New Roman" w:hAnsi="Times New Roman"/>
                <w:b/>
                <w:sz w:val="24"/>
                <w:szCs w:val="24"/>
              </w:rPr>
              <w:t>89</w:t>
            </w:r>
            <w:r>
              <w:rPr>
                <w:rFonts w:ascii="Times New Roman" w:hAnsi="Times New Roman"/>
                <w:b/>
                <w:sz w:val="24"/>
                <w:szCs w:val="24"/>
              </w:rPr>
              <w:t xml:space="preserve"> </w:t>
            </w:r>
            <w:r w:rsidRPr="0024320D">
              <w:rPr>
                <w:rFonts w:ascii="Times New Roman" w:hAnsi="Times New Roman"/>
                <w:b/>
                <w:sz w:val="24"/>
                <w:szCs w:val="24"/>
              </w:rPr>
              <w:t>992</w:t>
            </w:r>
          </w:p>
        </w:tc>
      </w:tr>
      <w:tr w:rsidR="00984667" w:rsidTr="005261BD">
        <w:trPr>
          <w:trHeight w:val="378"/>
        </w:trPr>
        <w:tc>
          <w:tcPr>
            <w:tcW w:w="645" w:type="dxa"/>
          </w:tcPr>
          <w:p w:rsidR="00984667" w:rsidRPr="0024320D" w:rsidRDefault="00984667" w:rsidP="00984667">
            <w:pPr>
              <w:pStyle w:val="af8"/>
              <w:spacing w:after="0" w:line="240" w:lineRule="auto"/>
              <w:ind w:left="0"/>
              <w:jc w:val="both"/>
              <w:rPr>
                <w:rFonts w:ascii="Times New Roman" w:hAnsi="Times New Roman"/>
                <w:color w:val="000000"/>
                <w:sz w:val="24"/>
                <w:szCs w:val="24"/>
              </w:rPr>
            </w:pPr>
            <w:r w:rsidRPr="0024320D">
              <w:rPr>
                <w:rFonts w:ascii="Times New Roman" w:hAnsi="Times New Roman"/>
                <w:color w:val="000000"/>
                <w:sz w:val="24"/>
                <w:szCs w:val="24"/>
              </w:rPr>
              <w:t>2</w:t>
            </w:r>
          </w:p>
        </w:tc>
        <w:tc>
          <w:tcPr>
            <w:tcW w:w="4708" w:type="dxa"/>
          </w:tcPr>
          <w:p w:rsidR="00984667" w:rsidRPr="0024320D" w:rsidRDefault="00984667" w:rsidP="00984667">
            <w:pPr>
              <w:pStyle w:val="af8"/>
              <w:spacing w:after="0" w:line="240" w:lineRule="auto"/>
              <w:ind w:left="0"/>
              <w:jc w:val="both"/>
              <w:rPr>
                <w:rFonts w:ascii="Times New Roman" w:hAnsi="Times New Roman"/>
                <w:color w:val="000000"/>
                <w:sz w:val="24"/>
                <w:szCs w:val="24"/>
              </w:rPr>
            </w:pPr>
            <w:r w:rsidRPr="0024320D">
              <w:rPr>
                <w:rFonts w:ascii="Times New Roman" w:hAnsi="Times New Roman"/>
                <w:sz w:val="24"/>
                <w:szCs w:val="24"/>
              </w:rPr>
              <w:t>известняки на бут и щебень</w:t>
            </w:r>
          </w:p>
        </w:tc>
        <w:tc>
          <w:tcPr>
            <w:tcW w:w="1985" w:type="dxa"/>
          </w:tcPr>
          <w:p w:rsidR="00984667" w:rsidRPr="0024320D" w:rsidRDefault="00984667" w:rsidP="00984667">
            <w:pPr>
              <w:pStyle w:val="af8"/>
              <w:spacing w:after="0" w:line="240" w:lineRule="auto"/>
              <w:ind w:left="0"/>
              <w:jc w:val="center"/>
              <w:rPr>
                <w:rFonts w:ascii="Times New Roman" w:hAnsi="Times New Roman"/>
                <w:color w:val="000000"/>
                <w:sz w:val="24"/>
                <w:szCs w:val="24"/>
              </w:rPr>
            </w:pPr>
            <w:r w:rsidRPr="0024320D">
              <w:rPr>
                <w:rFonts w:ascii="Times New Roman" w:hAnsi="Times New Roman"/>
                <w:color w:val="000000"/>
                <w:sz w:val="24"/>
                <w:szCs w:val="24"/>
              </w:rPr>
              <w:t>6</w:t>
            </w:r>
          </w:p>
        </w:tc>
        <w:tc>
          <w:tcPr>
            <w:tcW w:w="2012" w:type="dxa"/>
          </w:tcPr>
          <w:p w:rsidR="00984667" w:rsidRPr="0024320D" w:rsidRDefault="00984667" w:rsidP="00984667">
            <w:pPr>
              <w:pStyle w:val="af8"/>
              <w:spacing w:after="0" w:line="240" w:lineRule="auto"/>
              <w:ind w:left="0"/>
              <w:jc w:val="center"/>
              <w:rPr>
                <w:rFonts w:ascii="Times New Roman" w:hAnsi="Times New Roman"/>
                <w:color w:val="000000"/>
                <w:sz w:val="24"/>
                <w:szCs w:val="24"/>
              </w:rPr>
            </w:pPr>
            <w:r w:rsidRPr="0024320D">
              <w:rPr>
                <w:rFonts w:ascii="Times New Roman" w:hAnsi="Times New Roman"/>
                <w:b/>
                <w:sz w:val="24"/>
                <w:szCs w:val="24"/>
              </w:rPr>
              <w:t>25</w:t>
            </w:r>
            <w:r>
              <w:rPr>
                <w:rFonts w:ascii="Times New Roman" w:hAnsi="Times New Roman"/>
                <w:b/>
                <w:sz w:val="24"/>
                <w:szCs w:val="24"/>
              </w:rPr>
              <w:t xml:space="preserve"> </w:t>
            </w:r>
            <w:r w:rsidRPr="0024320D">
              <w:rPr>
                <w:rFonts w:ascii="Times New Roman" w:hAnsi="Times New Roman"/>
                <w:b/>
                <w:sz w:val="24"/>
                <w:szCs w:val="24"/>
              </w:rPr>
              <w:t>548</w:t>
            </w:r>
          </w:p>
        </w:tc>
      </w:tr>
      <w:tr w:rsidR="00984667" w:rsidTr="005261BD">
        <w:trPr>
          <w:trHeight w:val="378"/>
        </w:trPr>
        <w:tc>
          <w:tcPr>
            <w:tcW w:w="645" w:type="dxa"/>
          </w:tcPr>
          <w:p w:rsidR="00984667" w:rsidRPr="0024320D" w:rsidRDefault="00984667" w:rsidP="00984667">
            <w:pPr>
              <w:pStyle w:val="af8"/>
              <w:spacing w:after="0" w:line="240" w:lineRule="auto"/>
              <w:ind w:left="0"/>
              <w:jc w:val="both"/>
              <w:rPr>
                <w:rFonts w:ascii="Times New Roman" w:hAnsi="Times New Roman"/>
                <w:color w:val="000000"/>
                <w:sz w:val="24"/>
                <w:szCs w:val="24"/>
              </w:rPr>
            </w:pPr>
            <w:r w:rsidRPr="0024320D">
              <w:rPr>
                <w:rFonts w:ascii="Times New Roman" w:hAnsi="Times New Roman"/>
                <w:color w:val="000000"/>
                <w:sz w:val="24"/>
                <w:szCs w:val="24"/>
              </w:rPr>
              <w:t>3</w:t>
            </w:r>
          </w:p>
        </w:tc>
        <w:tc>
          <w:tcPr>
            <w:tcW w:w="4708" w:type="dxa"/>
          </w:tcPr>
          <w:p w:rsidR="00984667" w:rsidRPr="0024320D" w:rsidRDefault="00984667" w:rsidP="00984667">
            <w:pPr>
              <w:pStyle w:val="af8"/>
              <w:spacing w:after="0" w:line="240" w:lineRule="auto"/>
              <w:ind w:left="0"/>
              <w:jc w:val="both"/>
              <w:rPr>
                <w:rFonts w:ascii="Times New Roman" w:hAnsi="Times New Roman"/>
                <w:color w:val="000000"/>
                <w:sz w:val="24"/>
                <w:szCs w:val="24"/>
              </w:rPr>
            </w:pPr>
            <w:r w:rsidRPr="0024320D">
              <w:rPr>
                <w:rFonts w:ascii="Times New Roman" w:hAnsi="Times New Roman"/>
                <w:color w:val="000000"/>
                <w:sz w:val="24"/>
                <w:szCs w:val="24"/>
              </w:rPr>
              <w:t>известняки цементные</w:t>
            </w:r>
          </w:p>
        </w:tc>
        <w:tc>
          <w:tcPr>
            <w:tcW w:w="1985" w:type="dxa"/>
          </w:tcPr>
          <w:p w:rsidR="00984667" w:rsidRPr="0024320D" w:rsidRDefault="00984667" w:rsidP="00984667">
            <w:pPr>
              <w:pStyle w:val="af8"/>
              <w:spacing w:after="0" w:line="240" w:lineRule="auto"/>
              <w:ind w:left="0"/>
              <w:jc w:val="center"/>
              <w:rPr>
                <w:rFonts w:ascii="Times New Roman" w:hAnsi="Times New Roman"/>
                <w:color w:val="000000"/>
                <w:sz w:val="24"/>
                <w:szCs w:val="24"/>
              </w:rPr>
            </w:pPr>
            <w:r w:rsidRPr="0024320D">
              <w:rPr>
                <w:rFonts w:ascii="Times New Roman" w:hAnsi="Times New Roman"/>
                <w:color w:val="000000"/>
                <w:sz w:val="24"/>
                <w:szCs w:val="24"/>
              </w:rPr>
              <w:t>3</w:t>
            </w:r>
          </w:p>
        </w:tc>
        <w:tc>
          <w:tcPr>
            <w:tcW w:w="2012" w:type="dxa"/>
          </w:tcPr>
          <w:p w:rsidR="00984667" w:rsidRPr="0024320D" w:rsidRDefault="00984667" w:rsidP="00984667">
            <w:pPr>
              <w:pStyle w:val="af8"/>
              <w:spacing w:after="0" w:line="240" w:lineRule="auto"/>
              <w:ind w:left="0"/>
              <w:jc w:val="center"/>
              <w:rPr>
                <w:rFonts w:ascii="Times New Roman" w:hAnsi="Times New Roman"/>
                <w:b/>
                <w:sz w:val="24"/>
                <w:szCs w:val="24"/>
              </w:rPr>
            </w:pPr>
            <w:r w:rsidRPr="0024320D">
              <w:rPr>
                <w:rFonts w:ascii="Times New Roman" w:hAnsi="Times New Roman"/>
                <w:b/>
                <w:sz w:val="24"/>
                <w:szCs w:val="24"/>
              </w:rPr>
              <w:t>132</w:t>
            </w:r>
            <w:r>
              <w:rPr>
                <w:rFonts w:ascii="Times New Roman" w:hAnsi="Times New Roman"/>
                <w:b/>
                <w:sz w:val="24"/>
                <w:szCs w:val="24"/>
              </w:rPr>
              <w:t xml:space="preserve"> </w:t>
            </w:r>
            <w:r w:rsidRPr="0024320D">
              <w:rPr>
                <w:rFonts w:ascii="Times New Roman" w:hAnsi="Times New Roman"/>
                <w:b/>
                <w:sz w:val="24"/>
                <w:szCs w:val="24"/>
              </w:rPr>
              <w:t>525</w:t>
            </w:r>
          </w:p>
        </w:tc>
      </w:tr>
      <w:tr w:rsidR="00984667" w:rsidTr="005261BD">
        <w:trPr>
          <w:trHeight w:val="507"/>
        </w:trPr>
        <w:tc>
          <w:tcPr>
            <w:tcW w:w="645" w:type="dxa"/>
          </w:tcPr>
          <w:p w:rsidR="00984667" w:rsidRPr="0024320D" w:rsidRDefault="00984667" w:rsidP="00984667">
            <w:pPr>
              <w:pStyle w:val="af8"/>
              <w:spacing w:after="0" w:line="240" w:lineRule="auto"/>
              <w:ind w:left="0"/>
              <w:jc w:val="both"/>
              <w:rPr>
                <w:rFonts w:ascii="Times New Roman" w:hAnsi="Times New Roman"/>
                <w:color w:val="000000"/>
                <w:sz w:val="24"/>
                <w:szCs w:val="24"/>
              </w:rPr>
            </w:pPr>
            <w:r w:rsidRPr="0024320D">
              <w:rPr>
                <w:rFonts w:ascii="Times New Roman" w:hAnsi="Times New Roman"/>
                <w:color w:val="000000"/>
                <w:sz w:val="24"/>
                <w:szCs w:val="24"/>
              </w:rPr>
              <w:t>4</w:t>
            </w:r>
          </w:p>
        </w:tc>
        <w:tc>
          <w:tcPr>
            <w:tcW w:w="4708" w:type="dxa"/>
          </w:tcPr>
          <w:p w:rsidR="00984667" w:rsidRPr="0024320D" w:rsidRDefault="00984667" w:rsidP="00984667">
            <w:pPr>
              <w:pStyle w:val="af8"/>
              <w:spacing w:after="0" w:line="240" w:lineRule="auto"/>
              <w:ind w:left="0"/>
              <w:jc w:val="both"/>
              <w:rPr>
                <w:rFonts w:ascii="Times New Roman" w:hAnsi="Times New Roman"/>
                <w:color w:val="000000"/>
                <w:sz w:val="24"/>
                <w:szCs w:val="24"/>
              </w:rPr>
            </w:pPr>
            <w:r w:rsidRPr="0024320D">
              <w:rPr>
                <w:rFonts w:ascii="Times New Roman" w:hAnsi="Times New Roman"/>
                <w:color w:val="000000"/>
                <w:sz w:val="24"/>
                <w:szCs w:val="24"/>
              </w:rPr>
              <w:t>известняк для сахарного сырья и производства извести</w:t>
            </w:r>
          </w:p>
        </w:tc>
        <w:tc>
          <w:tcPr>
            <w:tcW w:w="1985" w:type="dxa"/>
          </w:tcPr>
          <w:p w:rsidR="00984667" w:rsidRPr="0024320D" w:rsidRDefault="00984667" w:rsidP="00984667">
            <w:pPr>
              <w:pStyle w:val="af8"/>
              <w:spacing w:after="0" w:line="240" w:lineRule="auto"/>
              <w:ind w:left="0"/>
              <w:jc w:val="center"/>
              <w:rPr>
                <w:rFonts w:ascii="Times New Roman" w:hAnsi="Times New Roman"/>
                <w:color w:val="000000"/>
                <w:sz w:val="24"/>
                <w:szCs w:val="24"/>
              </w:rPr>
            </w:pPr>
            <w:r w:rsidRPr="0024320D">
              <w:rPr>
                <w:rFonts w:ascii="Times New Roman" w:hAnsi="Times New Roman"/>
                <w:color w:val="000000"/>
                <w:sz w:val="24"/>
                <w:szCs w:val="24"/>
              </w:rPr>
              <w:t>1</w:t>
            </w:r>
          </w:p>
        </w:tc>
        <w:tc>
          <w:tcPr>
            <w:tcW w:w="2012" w:type="dxa"/>
          </w:tcPr>
          <w:p w:rsidR="00984667" w:rsidRPr="0024320D" w:rsidRDefault="00984667" w:rsidP="00984667">
            <w:pPr>
              <w:pStyle w:val="af8"/>
              <w:spacing w:after="0" w:line="240" w:lineRule="auto"/>
              <w:ind w:left="0"/>
              <w:jc w:val="center"/>
              <w:rPr>
                <w:rFonts w:ascii="Times New Roman" w:hAnsi="Times New Roman"/>
                <w:color w:val="000000"/>
                <w:sz w:val="24"/>
                <w:szCs w:val="24"/>
              </w:rPr>
            </w:pPr>
            <w:r w:rsidRPr="0024320D">
              <w:rPr>
                <w:rFonts w:ascii="Times New Roman" w:hAnsi="Times New Roman"/>
                <w:b/>
                <w:sz w:val="24"/>
                <w:szCs w:val="24"/>
              </w:rPr>
              <w:t>7</w:t>
            </w:r>
            <w:r>
              <w:rPr>
                <w:rFonts w:ascii="Times New Roman" w:hAnsi="Times New Roman"/>
                <w:b/>
                <w:sz w:val="24"/>
                <w:szCs w:val="24"/>
              </w:rPr>
              <w:t xml:space="preserve"> </w:t>
            </w:r>
            <w:r w:rsidRPr="0024320D">
              <w:rPr>
                <w:rFonts w:ascii="Times New Roman" w:hAnsi="Times New Roman"/>
                <w:b/>
                <w:sz w:val="24"/>
                <w:szCs w:val="24"/>
              </w:rPr>
              <w:t>151</w:t>
            </w:r>
          </w:p>
        </w:tc>
      </w:tr>
      <w:tr w:rsidR="00984667" w:rsidTr="005261BD">
        <w:trPr>
          <w:trHeight w:val="378"/>
        </w:trPr>
        <w:tc>
          <w:tcPr>
            <w:tcW w:w="645" w:type="dxa"/>
          </w:tcPr>
          <w:p w:rsidR="00984667" w:rsidRPr="0024320D" w:rsidRDefault="00984667" w:rsidP="00984667">
            <w:pPr>
              <w:pStyle w:val="af8"/>
              <w:spacing w:after="0" w:line="240" w:lineRule="auto"/>
              <w:ind w:left="0"/>
              <w:jc w:val="both"/>
              <w:rPr>
                <w:rFonts w:ascii="Times New Roman" w:hAnsi="Times New Roman"/>
                <w:color w:val="000000"/>
                <w:sz w:val="24"/>
                <w:szCs w:val="24"/>
              </w:rPr>
            </w:pPr>
            <w:r w:rsidRPr="0024320D">
              <w:rPr>
                <w:rFonts w:ascii="Times New Roman" w:hAnsi="Times New Roman"/>
                <w:color w:val="000000"/>
                <w:sz w:val="24"/>
                <w:szCs w:val="24"/>
              </w:rPr>
              <w:t>5</w:t>
            </w:r>
          </w:p>
        </w:tc>
        <w:tc>
          <w:tcPr>
            <w:tcW w:w="4708" w:type="dxa"/>
          </w:tcPr>
          <w:p w:rsidR="00984667" w:rsidRPr="0024320D" w:rsidRDefault="00984667" w:rsidP="00984667">
            <w:pPr>
              <w:pStyle w:val="af8"/>
              <w:spacing w:after="0" w:line="240" w:lineRule="auto"/>
              <w:ind w:left="0"/>
              <w:jc w:val="both"/>
              <w:rPr>
                <w:rFonts w:ascii="Times New Roman" w:hAnsi="Times New Roman"/>
                <w:color w:val="000000"/>
                <w:sz w:val="24"/>
                <w:szCs w:val="24"/>
              </w:rPr>
            </w:pPr>
            <w:r w:rsidRPr="0024320D">
              <w:rPr>
                <w:rFonts w:ascii="Times New Roman" w:hAnsi="Times New Roman"/>
                <w:color w:val="000000"/>
                <w:sz w:val="24"/>
                <w:szCs w:val="24"/>
              </w:rPr>
              <w:t xml:space="preserve">суглинки </w:t>
            </w:r>
            <w:r w:rsidRPr="0024320D">
              <w:rPr>
                <w:rFonts w:ascii="Times New Roman" w:hAnsi="Times New Roman"/>
                <w:sz w:val="24"/>
                <w:szCs w:val="24"/>
              </w:rPr>
              <w:t>для производства цемента</w:t>
            </w:r>
          </w:p>
        </w:tc>
        <w:tc>
          <w:tcPr>
            <w:tcW w:w="1985" w:type="dxa"/>
          </w:tcPr>
          <w:p w:rsidR="00984667" w:rsidRPr="0024320D" w:rsidRDefault="00984667" w:rsidP="00984667">
            <w:pPr>
              <w:pStyle w:val="af8"/>
              <w:spacing w:after="0" w:line="240" w:lineRule="auto"/>
              <w:ind w:left="0"/>
              <w:jc w:val="center"/>
              <w:rPr>
                <w:rFonts w:ascii="Times New Roman" w:hAnsi="Times New Roman"/>
                <w:color w:val="000000"/>
                <w:sz w:val="24"/>
                <w:szCs w:val="24"/>
              </w:rPr>
            </w:pPr>
            <w:r w:rsidRPr="0024320D">
              <w:rPr>
                <w:rFonts w:ascii="Times New Roman" w:hAnsi="Times New Roman"/>
                <w:color w:val="000000"/>
                <w:sz w:val="24"/>
                <w:szCs w:val="24"/>
              </w:rPr>
              <w:t>4</w:t>
            </w:r>
          </w:p>
        </w:tc>
        <w:tc>
          <w:tcPr>
            <w:tcW w:w="2012" w:type="dxa"/>
          </w:tcPr>
          <w:p w:rsidR="00984667" w:rsidRPr="0024320D" w:rsidRDefault="00984667" w:rsidP="00984667">
            <w:pPr>
              <w:pStyle w:val="af8"/>
              <w:spacing w:after="0" w:line="240" w:lineRule="auto"/>
              <w:ind w:left="0"/>
              <w:jc w:val="center"/>
              <w:rPr>
                <w:rFonts w:ascii="Times New Roman" w:hAnsi="Times New Roman"/>
                <w:color w:val="000000"/>
                <w:sz w:val="24"/>
                <w:szCs w:val="24"/>
              </w:rPr>
            </w:pPr>
            <w:r w:rsidRPr="0024320D">
              <w:rPr>
                <w:rFonts w:ascii="Times New Roman" w:hAnsi="Times New Roman"/>
                <w:b/>
                <w:sz w:val="24"/>
                <w:szCs w:val="24"/>
              </w:rPr>
              <w:t>35</w:t>
            </w:r>
            <w:r>
              <w:rPr>
                <w:rFonts w:ascii="Times New Roman" w:hAnsi="Times New Roman"/>
                <w:b/>
                <w:sz w:val="24"/>
                <w:szCs w:val="24"/>
              </w:rPr>
              <w:t xml:space="preserve"> </w:t>
            </w:r>
            <w:r w:rsidRPr="0024320D">
              <w:rPr>
                <w:rFonts w:ascii="Times New Roman" w:hAnsi="Times New Roman"/>
                <w:b/>
                <w:sz w:val="24"/>
                <w:szCs w:val="24"/>
              </w:rPr>
              <w:t>473</w:t>
            </w:r>
          </w:p>
        </w:tc>
      </w:tr>
      <w:tr w:rsidR="00984667" w:rsidTr="005261BD">
        <w:trPr>
          <w:trHeight w:val="378"/>
        </w:trPr>
        <w:tc>
          <w:tcPr>
            <w:tcW w:w="645" w:type="dxa"/>
          </w:tcPr>
          <w:p w:rsidR="00984667" w:rsidRPr="0024320D" w:rsidRDefault="00984667" w:rsidP="00984667">
            <w:pPr>
              <w:pStyle w:val="af8"/>
              <w:spacing w:after="0" w:line="240" w:lineRule="auto"/>
              <w:ind w:left="0"/>
              <w:jc w:val="both"/>
              <w:rPr>
                <w:rFonts w:ascii="Times New Roman" w:hAnsi="Times New Roman"/>
                <w:color w:val="000000"/>
                <w:sz w:val="24"/>
                <w:szCs w:val="24"/>
              </w:rPr>
            </w:pPr>
            <w:r w:rsidRPr="0024320D">
              <w:rPr>
                <w:rFonts w:ascii="Times New Roman" w:hAnsi="Times New Roman"/>
                <w:color w:val="000000"/>
                <w:sz w:val="24"/>
                <w:szCs w:val="24"/>
              </w:rPr>
              <w:t>6</w:t>
            </w:r>
          </w:p>
        </w:tc>
        <w:tc>
          <w:tcPr>
            <w:tcW w:w="4708" w:type="dxa"/>
          </w:tcPr>
          <w:p w:rsidR="00984667" w:rsidRPr="0024320D" w:rsidRDefault="00984667" w:rsidP="00984667">
            <w:pPr>
              <w:pStyle w:val="af8"/>
              <w:spacing w:after="0" w:line="240" w:lineRule="auto"/>
              <w:ind w:left="0"/>
              <w:jc w:val="both"/>
              <w:rPr>
                <w:rFonts w:ascii="Times New Roman" w:hAnsi="Times New Roman"/>
                <w:color w:val="000000"/>
                <w:sz w:val="24"/>
                <w:szCs w:val="24"/>
              </w:rPr>
            </w:pPr>
            <w:r w:rsidRPr="0024320D">
              <w:rPr>
                <w:rFonts w:ascii="Times New Roman" w:hAnsi="Times New Roman"/>
                <w:bCs/>
                <w:sz w:val="24"/>
                <w:szCs w:val="24"/>
              </w:rPr>
              <w:t>кремнеземистые породы</w:t>
            </w:r>
          </w:p>
        </w:tc>
        <w:tc>
          <w:tcPr>
            <w:tcW w:w="1985" w:type="dxa"/>
          </w:tcPr>
          <w:p w:rsidR="00984667" w:rsidRPr="0024320D" w:rsidRDefault="00984667" w:rsidP="00984667">
            <w:pPr>
              <w:pStyle w:val="af8"/>
              <w:spacing w:after="0" w:line="240" w:lineRule="auto"/>
              <w:ind w:left="0"/>
              <w:jc w:val="center"/>
              <w:rPr>
                <w:rFonts w:ascii="Times New Roman" w:hAnsi="Times New Roman"/>
                <w:color w:val="000000"/>
                <w:sz w:val="24"/>
                <w:szCs w:val="24"/>
              </w:rPr>
            </w:pPr>
            <w:r w:rsidRPr="0024320D">
              <w:rPr>
                <w:rFonts w:ascii="Times New Roman" w:hAnsi="Times New Roman"/>
                <w:color w:val="000000"/>
                <w:sz w:val="24"/>
                <w:szCs w:val="24"/>
              </w:rPr>
              <w:t>7</w:t>
            </w:r>
          </w:p>
        </w:tc>
        <w:tc>
          <w:tcPr>
            <w:tcW w:w="2012" w:type="dxa"/>
          </w:tcPr>
          <w:p w:rsidR="00984667" w:rsidRPr="0024320D" w:rsidRDefault="00984667" w:rsidP="00984667">
            <w:pPr>
              <w:pStyle w:val="af8"/>
              <w:spacing w:after="0" w:line="240" w:lineRule="auto"/>
              <w:ind w:left="0"/>
              <w:jc w:val="center"/>
              <w:rPr>
                <w:rFonts w:ascii="Times New Roman" w:hAnsi="Times New Roman"/>
                <w:color w:val="000000"/>
                <w:sz w:val="24"/>
                <w:szCs w:val="24"/>
              </w:rPr>
            </w:pPr>
            <w:r w:rsidRPr="0024320D">
              <w:rPr>
                <w:rFonts w:ascii="Times New Roman" w:hAnsi="Times New Roman"/>
                <w:b/>
                <w:sz w:val="24"/>
                <w:szCs w:val="24"/>
              </w:rPr>
              <w:t>16</w:t>
            </w:r>
            <w:r>
              <w:rPr>
                <w:rFonts w:ascii="Times New Roman" w:hAnsi="Times New Roman"/>
                <w:b/>
                <w:sz w:val="24"/>
                <w:szCs w:val="24"/>
              </w:rPr>
              <w:t xml:space="preserve"> </w:t>
            </w:r>
            <w:r w:rsidRPr="0024320D">
              <w:rPr>
                <w:rFonts w:ascii="Times New Roman" w:hAnsi="Times New Roman"/>
                <w:b/>
                <w:sz w:val="24"/>
                <w:szCs w:val="24"/>
              </w:rPr>
              <w:t>493</w:t>
            </w:r>
          </w:p>
        </w:tc>
      </w:tr>
      <w:tr w:rsidR="00984667" w:rsidTr="005261BD">
        <w:trPr>
          <w:trHeight w:val="378"/>
        </w:trPr>
        <w:tc>
          <w:tcPr>
            <w:tcW w:w="645" w:type="dxa"/>
          </w:tcPr>
          <w:p w:rsidR="00984667" w:rsidRPr="0024320D" w:rsidRDefault="00984667" w:rsidP="00984667">
            <w:pPr>
              <w:pStyle w:val="af8"/>
              <w:spacing w:after="0" w:line="240" w:lineRule="auto"/>
              <w:ind w:left="0"/>
              <w:jc w:val="both"/>
              <w:rPr>
                <w:rFonts w:ascii="Times New Roman" w:hAnsi="Times New Roman"/>
                <w:color w:val="000000"/>
                <w:sz w:val="24"/>
                <w:szCs w:val="24"/>
              </w:rPr>
            </w:pPr>
            <w:r w:rsidRPr="0024320D">
              <w:rPr>
                <w:rFonts w:ascii="Times New Roman" w:hAnsi="Times New Roman"/>
                <w:color w:val="000000"/>
                <w:sz w:val="24"/>
                <w:szCs w:val="24"/>
              </w:rPr>
              <w:t>7</w:t>
            </w:r>
          </w:p>
        </w:tc>
        <w:tc>
          <w:tcPr>
            <w:tcW w:w="4708" w:type="dxa"/>
          </w:tcPr>
          <w:p w:rsidR="00984667" w:rsidRPr="0024320D" w:rsidRDefault="00984667" w:rsidP="00984667">
            <w:pPr>
              <w:pStyle w:val="af8"/>
              <w:spacing w:after="0" w:line="240" w:lineRule="auto"/>
              <w:ind w:left="0"/>
              <w:jc w:val="both"/>
              <w:rPr>
                <w:rFonts w:ascii="Times New Roman" w:hAnsi="Times New Roman"/>
                <w:color w:val="000000"/>
                <w:sz w:val="24"/>
                <w:szCs w:val="24"/>
              </w:rPr>
            </w:pPr>
            <w:r w:rsidRPr="0024320D">
              <w:rPr>
                <w:rFonts w:ascii="Times New Roman" w:hAnsi="Times New Roman"/>
                <w:sz w:val="24"/>
                <w:szCs w:val="24"/>
              </w:rPr>
              <w:t>песчано-гравийных пород</w:t>
            </w:r>
          </w:p>
        </w:tc>
        <w:tc>
          <w:tcPr>
            <w:tcW w:w="1985" w:type="dxa"/>
          </w:tcPr>
          <w:p w:rsidR="00984667" w:rsidRPr="0024320D" w:rsidRDefault="00984667" w:rsidP="00984667">
            <w:pPr>
              <w:pStyle w:val="af8"/>
              <w:spacing w:after="0" w:line="240" w:lineRule="auto"/>
              <w:ind w:left="0"/>
              <w:jc w:val="center"/>
              <w:rPr>
                <w:rFonts w:ascii="Times New Roman" w:hAnsi="Times New Roman"/>
                <w:color w:val="000000"/>
                <w:sz w:val="24"/>
                <w:szCs w:val="24"/>
              </w:rPr>
            </w:pPr>
            <w:r w:rsidRPr="0024320D">
              <w:rPr>
                <w:rFonts w:ascii="Times New Roman" w:hAnsi="Times New Roman"/>
                <w:color w:val="000000"/>
                <w:sz w:val="24"/>
                <w:szCs w:val="24"/>
              </w:rPr>
              <w:t>40</w:t>
            </w:r>
          </w:p>
        </w:tc>
        <w:tc>
          <w:tcPr>
            <w:tcW w:w="2012" w:type="dxa"/>
          </w:tcPr>
          <w:p w:rsidR="00984667" w:rsidRPr="0024320D" w:rsidRDefault="00984667" w:rsidP="00984667">
            <w:pPr>
              <w:pStyle w:val="af8"/>
              <w:spacing w:after="0" w:line="240" w:lineRule="auto"/>
              <w:ind w:left="0"/>
              <w:jc w:val="center"/>
              <w:rPr>
                <w:rFonts w:ascii="Times New Roman" w:hAnsi="Times New Roman"/>
                <w:color w:val="000000"/>
                <w:sz w:val="24"/>
                <w:szCs w:val="24"/>
              </w:rPr>
            </w:pPr>
            <w:r w:rsidRPr="0024320D">
              <w:rPr>
                <w:rFonts w:ascii="Times New Roman" w:hAnsi="Times New Roman"/>
                <w:b/>
                <w:sz w:val="24"/>
                <w:szCs w:val="24"/>
              </w:rPr>
              <w:t>193</w:t>
            </w:r>
            <w:r>
              <w:rPr>
                <w:rFonts w:ascii="Times New Roman" w:hAnsi="Times New Roman"/>
                <w:b/>
                <w:sz w:val="24"/>
                <w:szCs w:val="24"/>
              </w:rPr>
              <w:t xml:space="preserve"> </w:t>
            </w:r>
            <w:r w:rsidRPr="0024320D">
              <w:rPr>
                <w:rFonts w:ascii="Times New Roman" w:hAnsi="Times New Roman"/>
                <w:b/>
                <w:sz w:val="24"/>
                <w:szCs w:val="24"/>
              </w:rPr>
              <w:t>296</w:t>
            </w:r>
          </w:p>
        </w:tc>
      </w:tr>
      <w:tr w:rsidR="00984667" w:rsidTr="005261BD">
        <w:trPr>
          <w:trHeight w:val="378"/>
        </w:trPr>
        <w:tc>
          <w:tcPr>
            <w:tcW w:w="645" w:type="dxa"/>
          </w:tcPr>
          <w:p w:rsidR="00984667" w:rsidRPr="0024320D" w:rsidRDefault="00984667" w:rsidP="00984667">
            <w:pPr>
              <w:pStyle w:val="af8"/>
              <w:spacing w:after="0" w:line="240" w:lineRule="auto"/>
              <w:ind w:left="0"/>
              <w:jc w:val="both"/>
              <w:rPr>
                <w:rFonts w:ascii="Times New Roman" w:hAnsi="Times New Roman"/>
                <w:color w:val="000000"/>
                <w:sz w:val="24"/>
                <w:szCs w:val="24"/>
              </w:rPr>
            </w:pPr>
            <w:r w:rsidRPr="0024320D">
              <w:rPr>
                <w:rFonts w:ascii="Times New Roman" w:hAnsi="Times New Roman"/>
                <w:color w:val="000000"/>
                <w:sz w:val="24"/>
                <w:szCs w:val="24"/>
              </w:rPr>
              <w:t>8</w:t>
            </w:r>
          </w:p>
        </w:tc>
        <w:tc>
          <w:tcPr>
            <w:tcW w:w="4708" w:type="dxa"/>
          </w:tcPr>
          <w:p w:rsidR="00984667" w:rsidRPr="0024320D" w:rsidRDefault="00984667" w:rsidP="00984667">
            <w:pPr>
              <w:pStyle w:val="af8"/>
              <w:spacing w:after="0" w:line="240" w:lineRule="auto"/>
              <w:ind w:left="0"/>
              <w:jc w:val="both"/>
              <w:rPr>
                <w:rFonts w:ascii="Times New Roman" w:hAnsi="Times New Roman"/>
                <w:color w:val="000000"/>
                <w:sz w:val="24"/>
                <w:szCs w:val="24"/>
              </w:rPr>
            </w:pPr>
            <w:r w:rsidRPr="0024320D">
              <w:rPr>
                <w:rFonts w:ascii="Times New Roman" w:hAnsi="Times New Roman"/>
                <w:sz w:val="24"/>
                <w:szCs w:val="24"/>
              </w:rPr>
              <w:t>кирпичное сырье</w:t>
            </w:r>
          </w:p>
        </w:tc>
        <w:tc>
          <w:tcPr>
            <w:tcW w:w="1985" w:type="dxa"/>
          </w:tcPr>
          <w:p w:rsidR="00984667" w:rsidRPr="0024320D" w:rsidRDefault="00984667" w:rsidP="00984667">
            <w:pPr>
              <w:pStyle w:val="af8"/>
              <w:spacing w:after="0" w:line="240" w:lineRule="auto"/>
              <w:ind w:left="0"/>
              <w:jc w:val="center"/>
              <w:rPr>
                <w:rFonts w:ascii="Times New Roman" w:hAnsi="Times New Roman"/>
                <w:color w:val="000000"/>
                <w:sz w:val="24"/>
                <w:szCs w:val="24"/>
              </w:rPr>
            </w:pPr>
            <w:r w:rsidRPr="0024320D">
              <w:rPr>
                <w:rFonts w:ascii="Times New Roman" w:hAnsi="Times New Roman"/>
                <w:color w:val="000000"/>
                <w:sz w:val="24"/>
                <w:szCs w:val="24"/>
              </w:rPr>
              <w:t>17</w:t>
            </w:r>
          </w:p>
        </w:tc>
        <w:tc>
          <w:tcPr>
            <w:tcW w:w="2012" w:type="dxa"/>
          </w:tcPr>
          <w:p w:rsidR="00984667" w:rsidRPr="0024320D" w:rsidRDefault="00984667" w:rsidP="00984667">
            <w:pPr>
              <w:pStyle w:val="af8"/>
              <w:spacing w:after="0" w:line="240" w:lineRule="auto"/>
              <w:ind w:left="0"/>
              <w:jc w:val="center"/>
              <w:rPr>
                <w:rFonts w:ascii="Times New Roman" w:hAnsi="Times New Roman"/>
                <w:color w:val="000000"/>
                <w:sz w:val="24"/>
                <w:szCs w:val="24"/>
              </w:rPr>
            </w:pPr>
            <w:r w:rsidRPr="0024320D">
              <w:rPr>
                <w:rFonts w:ascii="Times New Roman" w:hAnsi="Times New Roman"/>
                <w:b/>
                <w:sz w:val="24"/>
                <w:szCs w:val="24"/>
              </w:rPr>
              <w:t>36</w:t>
            </w:r>
            <w:r>
              <w:rPr>
                <w:rFonts w:ascii="Times New Roman" w:hAnsi="Times New Roman"/>
                <w:b/>
                <w:sz w:val="24"/>
                <w:szCs w:val="24"/>
              </w:rPr>
              <w:t xml:space="preserve"> </w:t>
            </w:r>
            <w:r w:rsidRPr="0024320D">
              <w:rPr>
                <w:rFonts w:ascii="Times New Roman" w:hAnsi="Times New Roman"/>
                <w:b/>
                <w:sz w:val="24"/>
                <w:szCs w:val="24"/>
              </w:rPr>
              <w:t>839</w:t>
            </w:r>
          </w:p>
        </w:tc>
      </w:tr>
      <w:tr w:rsidR="00984667" w:rsidTr="005261BD">
        <w:trPr>
          <w:trHeight w:val="378"/>
        </w:trPr>
        <w:tc>
          <w:tcPr>
            <w:tcW w:w="645" w:type="dxa"/>
          </w:tcPr>
          <w:p w:rsidR="00984667" w:rsidRPr="0024320D" w:rsidRDefault="00984667" w:rsidP="00984667">
            <w:pPr>
              <w:pStyle w:val="af8"/>
              <w:spacing w:after="0" w:line="240" w:lineRule="auto"/>
              <w:ind w:left="0"/>
              <w:jc w:val="both"/>
              <w:rPr>
                <w:rFonts w:ascii="Times New Roman" w:hAnsi="Times New Roman"/>
                <w:color w:val="000000"/>
                <w:sz w:val="24"/>
                <w:szCs w:val="24"/>
              </w:rPr>
            </w:pPr>
            <w:r w:rsidRPr="0024320D">
              <w:rPr>
                <w:rFonts w:ascii="Times New Roman" w:hAnsi="Times New Roman"/>
                <w:color w:val="000000"/>
                <w:sz w:val="24"/>
                <w:szCs w:val="24"/>
              </w:rPr>
              <w:t>9</w:t>
            </w:r>
          </w:p>
        </w:tc>
        <w:tc>
          <w:tcPr>
            <w:tcW w:w="4708" w:type="dxa"/>
          </w:tcPr>
          <w:p w:rsidR="00984667" w:rsidRPr="0024320D" w:rsidRDefault="00984667" w:rsidP="00984667">
            <w:pPr>
              <w:pStyle w:val="af8"/>
              <w:spacing w:after="0" w:line="240" w:lineRule="auto"/>
              <w:ind w:left="0"/>
              <w:jc w:val="both"/>
              <w:rPr>
                <w:rFonts w:ascii="Times New Roman" w:hAnsi="Times New Roman"/>
                <w:color w:val="000000"/>
                <w:sz w:val="24"/>
                <w:szCs w:val="24"/>
              </w:rPr>
            </w:pPr>
            <w:r w:rsidRPr="0024320D">
              <w:rPr>
                <w:rFonts w:ascii="Times New Roman" w:hAnsi="Times New Roman"/>
                <w:bCs/>
                <w:sz w:val="24"/>
                <w:szCs w:val="24"/>
              </w:rPr>
              <w:t>стекольное сырье</w:t>
            </w:r>
          </w:p>
        </w:tc>
        <w:tc>
          <w:tcPr>
            <w:tcW w:w="1985" w:type="dxa"/>
          </w:tcPr>
          <w:p w:rsidR="00984667" w:rsidRPr="0024320D" w:rsidRDefault="00984667" w:rsidP="00984667">
            <w:pPr>
              <w:pStyle w:val="af8"/>
              <w:spacing w:after="0" w:line="240" w:lineRule="auto"/>
              <w:ind w:left="0"/>
              <w:jc w:val="center"/>
              <w:rPr>
                <w:rFonts w:ascii="Times New Roman" w:hAnsi="Times New Roman"/>
                <w:color w:val="000000"/>
                <w:sz w:val="24"/>
                <w:szCs w:val="24"/>
              </w:rPr>
            </w:pPr>
            <w:r w:rsidRPr="0024320D">
              <w:rPr>
                <w:rFonts w:ascii="Times New Roman" w:hAnsi="Times New Roman"/>
                <w:color w:val="000000"/>
                <w:sz w:val="24"/>
                <w:szCs w:val="24"/>
              </w:rPr>
              <w:t>1</w:t>
            </w:r>
          </w:p>
        </w:tc>
        <w:tc>
          <w:tcPr>
            <w:tcW w:w="2012" w:type="dxa"/>
          </w:tcPr>
          <w:p w:rsidR="00984667" w:rsidRPr="0024320D" w:rsidRDefault="00984667" w:rsidP="00984667">
            <w:pPr>
              <w:pStyle w:val="af8"/>
              <w:spacing w:after="0" w:line="240" w:lineRule="auto"/>
              <w:ind w:left="0"/>
              <w:jc w:val="center"/>
              <w:rPr>
                <w:rFonts w:ascii="Times New Roman" w:hAnsi="Times New Roman"/>
                <w:color w:val="000000"/>
                <w:sz w:val="24"/>
                <w:szCs w:val="24"/>
              </w:rPr>
            </w:pPr>
            <w:r w:rsidRPr="0024320D">
              <w:rPr>
                <w:rFonts w:ascii="Times New Roman" w:hAnsi="Times New Roman"/>
                <w:b/>
                <w:sz w:val="24"/>
                <w:szCs w:val="24"/>
              </w:rPr>
              <w:t>1</w:t>
            </w:r>
            <w:r>
              <w:rPr>
                <w:rFonts w:ascii="Times New Roman" w:hAnsi="Times New Roman"/>
                <w:b/>
                <w:sz w:val="24"/>
                <w:szCs w:val="24"/>
              </w:rPr>
              <w:t xml:space="preserve"> </w:t>
            </w:r>
            <w:r w:rsidRPr="0024320D">
              <w:rPr>
                <w:rFonts w:ascii="Times New Roman" w:hAnsi="Times New Roman"/>
                <w:b/>
                <w:sz w:val="24"/>
                <w:szCs w:val="24"/>
              </w:rPr>
              <w:t>304</w:t>
            </w:r>
          </w:p>
        </w:tc>
      </w:tr>
      <w:tr w:rsidR="00984667" w:rsidTr="005261BD">
        <w:trPr>
          <w:trHeight w:val="378"/>
        </w:trPr>
        <w:tc>
          <w:tcPr>
            <w:tcW w:w="645" w:type="dxa"/>
          </w:tcPr>
          <w:p w:rsidR="00984667" w:rsidRPr="0024320D" w:rsidRDefault="00984667" w:rsidP="00984667">
            <w:pPr>
              <w:pStyle w:val="af8"/>
              <w:spacing w:after="0" w:line="240" w:lineRule="auto"/>
              <w:ind w:left="0"/>
              <w:jc w:val="both"/>
              <w:rPr>
                <w:rFonts w:ascii="Times New Roman" w:hAnsi="Times New Roman"/>
                <w:color w:val="000000"/>
                <w:sz w:val="24"/>
                <w:szCs w:val="24"/>
              </w:rPr>
            </w:pPr>
            <w:r w:rsidRPr="0024320D">
              <w:rPr>
                <w:rFonts w:ascii="Times New Roman" w:hAnsi="Times New Roman"/>
                <w:color w:val="000000"/>
                <w:sz w:val="24"/>
                <w:szCs w:val="24"/>
              </w:rPr>
              <w:t>10</w:t>
            </w:r>
          </w:p>
        </w:tc>
        <w:tc>
          <w:tcPr>
            <w:tcW w:w="4708" w:type="dxa"/>
          </w:tcPr>
          <w:p w:rsidR="00984667" w:rsidRPr="0024320D" w:rsidRDefault="00984667" w:rsidP="00984667">
            <w:pPr>
              <w:pStyle w:val="af8"/>
              <w:spacing w:after="0" w:line="240" w:lineRule="auto"/>
              <w:ind w:left="0"/>
              <w:jc w:val="both"/>
              <w:rPr>
                <w:rFonts w:ascii="Times New Roman" w:hAnsi="Times New Roman"/>
                <w:color w:val="000000"/>
                <w:sz w:val="24"/>
                <w:szCs w:val="24"/>
              </w:rPr>
            </w:pPr>
            <w:r w:rsidRPr="0024320D">
              <w:rPr>
                <w:rFonts w:ascii="Times New Roman" w:hAnsi="Times New Roman"/>
                <w:bCs/>
                <w:sz w:val="24"/>
                <w:szCs w:val="24"/>
              </w:rPr>
              <w:t>пески - отощители</w:t>
            </w:r>
          </w:p>
        </w:tc>
        <w:tc>
          <w:tcPr>
            <w:tcW w:w="1985" w:type="dxa"/>
          </w:tcPr>
          <w:p w:rsidR="00984667" w:rsidRPr="0024320D" w:rsidRDefault="00984667" w:rsidP="00984667">
            <w:pPr>
              <w:pStyle w:val="af8"/>
              <w:spacing w:after="0" w:line="240" w:lineRule="auto"/>
              <w:ind w:left="0"/>
              <w:jc w:val="center"/>
              <w:rPr>
                <w:rFonts w:ascii="Times New Roman" w:hAnsi="Times New Roman"/>
                <w:color w:val="000000"/>
                <w:sz w:val="24"/>
                <w:szCs w:val="24"/>
              </w:rPr>
            </w:pPr>
            <w:r w:rsidRPr="0024320D">
              <w:rPr>
                <w:rFonts w:ascii="Times New Roman" w:hAnsi="Times New Roman"/>
                <w:color w:val="000000"/>
                <w:sz w:val="24"/>
                <w:szCs w:val="24"/>
              </w:rPr>
              <w:t>1</w:t>
            </w:r>
          </w:p>
        </w:tc>
        <w:tc>
          <w:tcPr>
            <w:tcW w:w="2012" w:type="dxa"/>
          </w:tcPr>
          <w:p w:rsidR="00984667" w:rsidRPr="0024320D" w:rsidRDefault="00984667" w:rsidP="00984667">
            <w:pPr>
              <w:pStyle w:val="af8"/>
              <w:spacing w:after="0" w:line="240" w:lineRule="auto"/>
              <w:ind w:left="0"/>
              <w:jc w:val="center"/>
              <w:rPr>
                <w:rFonts w:ascii="Times New Roman" w:hAnsi="Times New Roman"/>
                <w:color w:val="000000"/>
                <w:sz w:val="24"/>
                <w:szCs w:val="24"/>
              </w:rPr>
            </w:pPr>
            <w:r w:rsidRPr="0024320D">
              <w:rPr>
                <w:rFonts w:ascii="Times New Roman" w:hAnsi="Times New Roman"/>
                <w:b/>
                <w:sz w:val="24"/>
                <w:szCs w:val="24"/>
              </w:rPr>
              <w:t>690</w:t>
            </w:r>
          </w:p>
        </w:tc>
      </w:tr>
      <w:tr w:rsidR="00984667" w:rsidTr="005261BD">
        <w:trPr>
          <w:trHeight w:val="393"/>
        </w:trPr>
        <w:tc>
          <w:tcPr>
            <w:tcW w:w="645" w:type="dxa"/>
          </w:tcPr>
          <w:p w:rsidR="00984667" w:rsidRPr="0024320D" w:rsidRDefault="00984667" w:rsidP="00984667">
            <w:pPr>
              <w:pStyle w:val="af8"/>
              <w:spacing w:after="0" w:line="240" w:lineRule="auto"/>
              <w:ind w:left="0"/>
              <w:jc w:val="both"/>
              <w:rPr>
                <w:rFonts w:ascii="Times New Roman" w:hAnsi="Times New Roman"/>
                <w:color w:val="000000"/>
                <w:sz w:val="24"/>
                <w:szCs w:val="24"/>
              </w:rPr>
            </w:pPr>
          </w:p>
        </w:tc>
        <w:tc>
          <w:tcPr>
            <w:tcW w:w="4708" w:type="dxa"/>
          </w:tcPr>
          <w:p w:rsidR="00984667" w:rsidRPr="0024320D" w:rsidRDefault="00984667" w:rsidP="00984667">
            <w:pPr>
              <w:pStyle w:val="af8"/>
              <w:spacing w:after="0" w:line="240" w:lineRule="auto"/>
              <w:ind w:left="0"/>
              <w:jc w:val="both"/>
              <w:rPr>
                <w:rFonts w:ascii="Times New Roman" w:hAnsi="Times New Roman"/>
                <w:b/>
                <w:color w:val="000000"/>
                <w:sz w:val="24"/>
                <w:szCs w:val="24"/>
              </w:rPr>
            </w:pPr>
            <w:r w:rsidRPr="0024320D">
              <w:rPr>
                <w:rFonts w:ascii="Times New Roman" w:hAnsi="Times New Roman"/>
                <w:b/>
                <w:color w:val="000000"/>
                <w:sz w:val="24"/>
                <w:szCs w:val="24"/>
              </w:rPr>
              <w:t>Итого:</w:t>
            </w:r>
          </w:p>
        </w:tc>
        <w:tc>
          <w:tcPr>
            <w:tcW w:w="1985" w:type="dxa"/>
          </w:tcPr>
          <w:p w:rsidR="00984667" w:rsidRPr="0024320D" w:rsidRDefault="00984667" w:rsidP="00984667">
            <w:pPr>
              <w:pStyle w:val="af8"/>
              <w:spacing w:after="0" w:line="240" w:lineRule="auto"/>
              <w:ind w:left="0"/>
              <w:jc w:val="center"/>
              <w:rPr>
                <w:rFonts w:ascii="Times New Roman" w:hAnsi="Times New Roman"/>
                <w:color w:val="000000"/>
                <w:sz w:val="24"/>
                <w:szCs w:val="24"/>
              </w:rPr>
            </w:pPr>
            <w:r w:rsidRPr="0024320D">
              <w:rPr>
                <w:rFonts w:ascii="Times New Roman" w:hAnsi="Times New Roman"/>
                <w:color w:val="000000"/>
                <w:sz w:val="24"/>
                <w:szCs w:val="24"/>
              </w:rPr>
              <w:t>94</w:t>
            </w:r>
          </w:p>
        </w:tc>
        <w:tc>
          <w:tcPr>
            <w:tcW w:w="2012" w:type="dxa"/>
          </w:tcPr>
          <w:p w:rsidR="00984667" w:rsidRPr="0024320D" w:rsidRDefault="00984667" w:rsidP="00984667">
            <w:pPr>
              <w:pStyle w:val="af8"/>
              <w:spacing w:after="0" w:line="240" w:lineRule="auto"/>
              <w:ind w:left="0"/>
              <w:jc w:val="center"/>
              <w:rPr>
                <w:rFonts w:ascii="Times New Roman" w:hAnsi="Times New Roman"/>
                <w:b/>
                <w:color w:val="000000"/>
                <w:sz w:val="24"/>
                <w:szCs w:val="24"/>
              </w:rPr>
            </w:pPr>
            <w:r w:rsidRPr="0024320D">
              <w:rPr>
                <w:rFonts w:ascii="Times New Roman" w:hAnsi="Times New Roman"/>
                <w:b/>
                <w:color w:val="000000"/>
                <w:sz w:val="24"/>
                <w:szCs w:val="24"/>
              </w:rPr>
              <w:t>539</w:t>
            </w:r>
            <w:r>
              <w:rPr>
                <w:rFonts w:ascii="Times New Roman" w:hAnsi="Times New Roman"/>
                <w:b/>
                <w:color w:val="000000"/>
                <w:sz w:val="24"/>
                <w:szCs w:val="24"/>
              </w:rPr>
              <w:t xml:space="preserve"> </w:t>
            </w:r>
            <w:r w:rsidRPr="0024320D">
              <w:rPr>
                <w:rFonts w:ascii="Times New Roman" w:hAnsi="Times New Roman"/>
                <w:b/>
                <w:color w:val="000000"/>
                <w:sz w:val="24"/>
                <w:szCs w:val="24"/>
              </w:rPr>
              <w:t>311</w:t>
            </w:r>
          </w:p>
        </w:tc>
      </w:tr>
    </w:tbl>
    <w:p w:rsidR="00984667" w:rsidRDefault="00984667" w:rsidP="00984667">
      <w:pPr>
        <w:spacing w:after="0" w:line="240" w:lineRule="auto"/>
        <w:contextualSpacing/>
        <w:jc w:val="both"/>
        <w:rPr>
          <w:rFonts w:ascii="Times New Roman" w:hAnsi="Times New Roman"/>
          <w:sz w:val="24"/>
          <w:szCs w:val="24"/>
        </w:rPr>
      </w:pPr>
    </w:p>
    <w:p w:rsidR="00106C3D" w:rsidRPr="00AC358B" w:rsidRDefault="00106C3D" w:rsidP="00106C3D">
      <w:pPr>
        <w:spacing w:after="0" w:line="240" w:lineRule="auto"/>
        <w:ind w:firstLine="709"/>
        <w:jc w:val="both"/>
        <w:rPr>
          <w:rFonts w:ascii="Times New Roman" w:hAnsi="Times New Roman"/>
          <w:sz w:val="24"/>
          <w:szCs w:val="24"/>
        </w:rPr>
      </w:pPr>
      <w:r w:rsidRPr="00AC358B">
        <w:rPr>
          <w:rFonts w:ascii="Times New Roman" w:hAnsi="Times New Roman"/>
          <w:sz w:val="24"/>
          <w:szCs w:val="24"/>
        </w:rPr>
        <w:t>В настоящее время вовлечено в освоение 22 месторождени</w:t>
      </w:r>
      <w:r>
        <w:rPr>
          <w:rFonts w:ascii="Times New Roman" w:hAnsi="Times New Roman"/>
          <w:sz w:val="24"/>
          <w:szCs w:val="24"/>
        </w:rPr>
        <w:t>я</w:t>
      </w:r>
      <w:r w:rsidRPr="00AC358B">
        <w:rPr>
          <w:rFonts w:ascii="Times New Roman" w:hAnsi="Times New Roman"/>
          <w:sz w:val="24"/>
          <w:szCs w:val="24"/>
        </w:rPr>
        <w:t xml:space="preserve"> общераспространенных полезных ископаемых, из которых: 15 </w:t>
      </w:r>
      <w:r>
        <w:rPr>
          <w:rFonts w:ascii="Times New Roman" w:hAnsi="Times New Roman"/>
          <w:sz w:val="24"/>
          <w:szCs w:val="24"/>
        </w:rPr>
        <w:t>-</w:t>
      </w:r>
      <w:r w:rsidRPr="00AC358B">
        <w:rPr>
          <w:rFonts w:ascii="Times New Roman" w:hAnsi="Times New Roman"/>
          <w:sz w:val="24"/>
          <w:szCs w:val="24"/>
        </w:rPr>
        <w:t xml:space="preserve"> песчано-гравийных пород, 3 </w:t>
      </w:r>
      <w:r>
        <w:rPr>
          <w:rFonts w:ascii="Times New Roman" w:hAnsi="Times New Roman"/>
          <w:sz w:val="24"/>
          <w:szCs w:val="24"/>
        </w:rPr>
        <w:t>-</w:t>
      </w:r>
      <w:r w:rsidRPr="00AC358B">
        <w:rPr>
          <w:rFonts w:ascii="Times New Roman" w:hAnsi="Times New Roman"/>
          <w:sz w:val="24"/>
          <w:szCs w:val="24"/>
        </w:rPr>
        <w:t xml:space="preserve"> пильных известняков, 2 </w:t>
      </w:r>
      <w:r>
        <w:rPr>
          <w:rFonts w:ascii="Times New Roman" w:hAnsi="Times New Roman"/>
          <w:sz w:val="24"/>
          <w:szCs w:val="24"/>
        </w:rPr>
        <w:t>-</w:t>
      </w:r>
      <w:r w:rsidRPr="00AC358B">
        <w:rPr>
          <w:rFonts w:ascii="Times New Roman" w:hAnsi="Times New Roman"/>
          <w:sz w:val="24"/>
          <w:szCs w:val="24"/>
        </w:rPr>
        <w:t xml:space="preserve"> известняка на бут и щебень, 2 </w:t>
      </w:r>
      <w:r>
        <w:rPr>
          <w:rFonts w:ascii="Times New Roman" w:hAnsi="Times New Roman"/>
          <w:sz w:val="24"/>
          <w:szCs w:val="24"/>
        </w:rPr>
        <w:t xml:space="preserve">- </w:t>
      </w:r>
      <w:r w:rsidRPr="00AC358B">
        <w:rPr>
          <w:rFonts w:ascii="Times New Roman" w:hAnsi="Times New Roman"/>
          <w:sz w:val="24"/>
          <w:szCs w:val="24"/>
        </w:rPr>
        <w:t xml:space="preserve">цементного сырья, </w:t>
      </w:r>
      <w:r>
        <w:rPr>
          <w:rFonts w:ascii="Times New Roman" w:hAnsi="Times New Roman"/>
          <w:sz w:val="24"/>
          <w:szCs w:val="24"/>
        </w:rPr>
        <w:br/>
      </w:r>
      <w:r w:rsidRPr="00AC358B">
        <w:rPr>
          <w:rFonts w:ascii="Times New Roman" w:hAnsi="Times New Roman"/>
          <w:sz w:val="24"/>
          <w:szCs w:val="24"/>
        </w:rPr>
        <w:t xml:space="preserve">1 </w:t>
      </w:r>
      <w:r>
        <w:rPr>
          <w:rFonts w:ascii="Times New Roman" w:hAnsi="Times New Roman"/>
          <w:sz w:val="24"/>
          <w:szCs w:val="24"/>
        </w:rPr>
        <w:t>-</w:t>
      </w:r>
      <w:r w:rsidRPr="00AC358B">
        <w:rPr>
          <w:rFonts w:ascii="Times New Roman" w:hAnsi="Times New Roman"/>
          <w:sz w:val="24"/>
          <w:szCs w:val="24"/>
        </w:rPr>
        <w:t xml:space="preserve"> кирпичного сырья. Кроме того, разрабатываются 3 месторождени</w:t>
      </w:r>
      <w:r>
        <w:rPr>
          <w:rFonts w:ascii="Times New Roman" w:hAnsi="Times New Roman"/>
          <w:sz w:val="24"/>
          <w:szCs w:val="24"/>
        </w:rPr>
        <w:t>я</w:t>
      </w:r>
      <w:r w:rsidRPr="00AC358B">
        <w:rPr>
          <w:rFonts w:ascii="Times New Roman" w:hAnsi="Times New Roman"/>
          <w:sz w:val="24"/>
          <w:szCs w:val="24"/>
        </w:rPr>
        <w:t xml:space="preserve"> по добыче гидроминеральных ресурсов, из них на базе 2 месторождений действуют курортно-оздоровительные санатории, и по одному осуществляется добыча с целью розлива лечебно-столовой воды.</w:t>
      </w:r>
    </w:p>
    <w:p w:rsidR="00106C3D" w:rsidRPr="00AC358B" w:rsidRDefault="00106C3D" w:rsidP="00106C3D">
      <w:pPr>
        <w:spacing w:after="0" w:line="240" w:lineRule="auto"/>
        <w:ind w:firstLine="709"/>
        <w:jc w:val="both"/>
        <w:rPr>
          <w:rFonts w:ascii="Times New Roman" w:hAnsi="Times New Roman"/>
          <w:sz w:val="24"/>
          <w:szCs w:val="24"/>
        </w:rPr>
      </w:pPr>
      <w:r w:rsidRPr="00AC358B">
        <w:rPr>
          <w:rFonts w:ascii="Times New Roman" w:hAnsi="Times New Roman"/>
          <w:sz w:val="24"/>
          <w:szCs w:val="24"/>
        </w:rPr>
        <w:t xml:space="preserve">Производство нерудных строительных материалов в целом по Республике за </w:t>
      </w:r>
      <w:r>
        <w:rPr>
          <w:rFonts w:ascii="Times New Roman" w:hAnsi="Times New Roman"/>
          <w:sz w:val="24"/>
          <w:szCs w:val="24"/>
        </w:rPr>
        <w:t>январь-июнь</w:t>
      </w:r>
      <w:r w:rsidRPr="00AC358B">
        <w:rPr>
          <w:rFonts w:ascii="Times New Roman" w:hAnsi="Times New Roman"/>
          <w:sz w:val="24"/>
          <w:szCs w:val="24"/>
        </w:rPr>
        <w:t xml:space="preserve"> 2014 года составило –451</w:t>
      </w:r>
      <w:r>
        <w:rPr>
          <w:rFonts w:ascii="Times New Roman" w:hAnsi="Times New Roman"/>
          <w:sz w:val="24"/>
          <w:szCs w:val="24"/>
        </w:rPr>
        <w:t xml:space="preserve"> </w:t>
      </w:r>
      <w:r w:rsidRPr="00AC358B">
        <w:rPr>
          <w:rFonts w:ascii="Times New Roman" w:hAnsi="Times New Roman"/>
          <w:sz w:val="24"/>
          <w:szCs w:val="24"/>
        </w:rPr>
        <w:t>744,34 м</w:t>
      </w:r>
      <w:r w:rsidRPr="00AC358B">
        <w:rPr>
          <w:rFonts w:ascii="Times New Roman" w:hAnsi="Times New Roman"/>
          <w:sz w:val="24"/>
          <w:szCs w:val="24"/>
          <w:vertAlign w:val="superscript"/>
        </w:rPr>
        <w:t>3</w:t>
      </w:r>
      <w:r w:rsidRPr="00AC358B">
        <w:rPr>
          <w:rFonts w:ascii="Times New Roman" w:hAnsi="Times New Roman"/>
          <w:sz w:val="24"/>
          <w:szCs w:val="24"/>
        </w:rPr>
        <w:t xml:space="preserve"> </w:t>
      </w:r>
      <w:r>
        <w:rPr>
          <w:rFonts w:ascii="Times New Roman" w:hAnsi="Times New Roman"/>
          <w:sz w:val="24"/>
          <w:szCs w:val="24"/>
        </w:rPr>
        <w:t xml:space="preserve">(в январе-июне 2013 года – </w:t>
      </w:r>
      <w:r>
        <w:rPr>
          <w:rFonts w:ascii="Times New Roman" w:hAnsi="Times New Roman"/>
          <w:sz w:val="24"/>
          <w:szCs w:val="24"/>
        </w:rPr>
        <w:br/>
      </w:r>
      <w:r w:rsidRPr="00AC358B">
        <w:rPr>
          <w:rFonts w:ascii="Times New Roman" w:hAnsi="Times New Roman"/>
          <w:sz w:val="24"/>
          <w:szCs w:val="24"/>
        </w:rPr>
        <w:t>333</w:t>
      </w:r>
      <w:r>
        <w:rPr>
          <w:rFonts w:ascii="Times New Roman" w:hAnsi="Times New Roman"/>
          <w:sz w:val="24"/>
          <w:szCs w:val="24"/>
        </w:rPr>
        <w:t xml:space="preserve"> </w:t>
      </w:r>
      <w:r w:rsidRPr="00AC358B">
        <w:rPr>
          <w:rFonts w:ascii="Times New Roman" w:hAnsi="Times New Roman"/>
          <w:sz w:val="24"/>
          <w:szCs w:val="24"/>
        </w:rPr>
        <w:t>368,82 м</w:t>
      </w:r>
      <w:r w:rsidRPr="00AC358B">
        <w:rPr>
          <w:rFonts w:ascii="Times New Roman" w:hAnsi="Times New Roman"/>
          <w:sz w:val="24"/>
          <w:szCs w:val="24"/>
          <w:vertAlign w:val="superscript"/>
        </w:rPr>
        <w:t>3</w:t>
      </w:r>
      <w:r w:rsidRPr="00AC358B">
        <w:rPr>
          <w:rFonts w:ascii="Times New Roman" w:hAnsi="Times New Roman"/>
          <w:sz w:val="24"/>
          <w:szCs w:val="24"/>
        </w:rPr>
        <w:t>.</w:t>
      </w:r>
      <w:r>
        <w:rPr>
          <w:rFonts w:ascii="Times New Roman" w:hAnsi="Times New Roman"/>
          <w:sz w:val="24"/>
          <w:szCs w:val="24"/>
        </w:rPr>
        <w:t>)</w:t>
      </w:r>
    </w:p>
    <w:p w:rsidR="00C258D9" w:rsidRDefault="00C258D9" w:rsidP="00984667">
      <w:pPr>
        <w:spacing w:after="0" w:line="240" w:lineRule="auto"/>
        <w:ind w:firstLine="720"/>
        <w:jc w:val="right"/>
        <w:rPr>
          <w:rFonts w:ascii="Times New Roman" w:hAnsi="Times New Roman"/>
          <w:sz w:val="24"/>
          <w:szCs w:val="24"/>
        </w:rPr>
      </w:pPr>
    </w:p>
    <w:p w:rsidR="00C258D9" w:rsidRDefault="00C258D9" w:rsidP="00984667">
      <w:pPr>
        <w:spacing w:after="0" w:line="240" w:lineRule="auto"/>
        <w:ind w:firstLine="720"/>
        <w:jc w:val="right"/>
        <w:rPr>
          <w:rFonts w:ascii="Times New Roman" w:hAnsi="Times New Roman"/>
          <w:sz w:val="24"/>
          <w:szCs w:val="24"/>
        </w:rPr>
      </w:pPr>
    </w:p>
    <w:p w:rsidR="00984667" w:rsidRDefault="00984667" w:rsidP="00984667">
      <w:pPr>
        <w:spacing w:after="0" w:line="240" w:lineRule="auto"/>
        <w:ind w:firstLine="720"/>
        <w:jc w:val="right"/>
        <w:rPr>
          <w:rFonts w:ascii="Times New Roman" w:hAnsi="Times New Roman"/>
          <w:sz w:val="24"/>
          <w:szCs w:val="24"/>
        </w:rPr>
      </w:pPr>
      <w:r>
        <w:rPr>
          <w:rFonts w:ascii="Times New Roman" w:hAnsi="Times New Roman"/>
          <w:sz w:val="24"/>
          <w:szCs w:val="24"/>
        </w:rPr>
        <w:lastRenderedPageBreak/>
        <w:t>Таблица №</w:t>
      </w:r>
      <w:r w:rsidR="00C258D9">
        <w:rPr>
          <w:rFonts w:ascii="Times New Roman" w:hAnsi="Times New Roman"/>
          <w:sz w:val="24"/>
          <w:szCs w:val="24"/>
        </w:rPr>
        <w:t xml:space="preserve"> </w:t>
      </w:r>
      <w:r w:rsidR="007B64D6">
        <w:rPr>
          <w:rFonts w:ascii="Times New Roman" w:hAnsi="Times New Roman"/>
          <w:sz w:val="24"/>
          <w:szCs w:val="24"/>
        </w:rPr>
        <w:t>32</w:t>
      </w:r>
    </w:p>
    <w:p w:rsidR="00984667" w:rsidRDefault="00984667" w:rsidP="00984667">
      <w:pPr>
        <w:spacing w:after="0" w:line="240" w:lineRule="auto"/>
        <w:ind w:firstLine="720"/>
        <w:jc w:val="center"/>
        <w:rPr>
          <w:rFonts w:ascii="Times New Roman" w:hAnsi="Times New Roman"/>
          <w:b/>
          <w:sz w:val="24"/>
          <w:szCs w:val="24"/>
        </w:rPr>
      </w:pPr>
      <w:r>
        <w:rPr>
          <w:rFonts w:ascii="Times New Roman" w:hAnsi="Times New Roman"/>
          <w:b/>
          <w:sz w:val="24"/>
          <w:szCs w:val="24"/>
        </w:rPr>
        <w:t>Информация об объемах добычи нерудных</w:t>
      </w:r>
    </w:p>
    <w:p w:rsidR="00984667" w:rsidRDefault="00984667" w:rsidP="00984667">
      <w:pPr>
        <w:spacing w:after="0" w:line="240" w:lineRule="auto"/>
        <w:ind w:firstLine="720"/>
        <w:jc w:val="center"/>
        <w:rPr>
          <w:rFonts w:ascii="Times New Roman" w:hAnsi="Times New Roman"/>
          <w:b/>
          <w:sz w:val="24"/>
          <w:szCs w:val="24"/>
        </w:rPr>
      </w:pPr>
      <w:r>
        <w:rPr>
          <w:rFonts w:ascii="Times New Roman" w:hAnsi="Times New Roman"/>
          <w:b/>
          <w:sz w:val="24"/>
          <w:szCs w:val="24"/>
        </w:rPr>
        <w:t xml:space="preserve"> полезных ископаемых по видам</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1800"/>
        <w:gridCol w:w="1980"/>
        <w:gridCol w:w="1620"/>
      </w:tblGrid>
      <w:tr w:rsidR="00984667" w:rsidTr="005261BD">
        <w:trPr>
          <w:trHeight w:val="70"/>
        </w:trPr>
        <w:tc>
          <w:tcPr>
            <w:tcW w:w="3780" w:type="dxa"/>
            <w:vMerge w:val="restart"/>
            <w:tcBorders>
              <w:top w:val="single" w:sz="4" w:space="0" w:color="auto"/>
              <w:left w:val="single" w:sz="4" w:space="0" w:color="auto"/>
              <w:bottom w:val="single" w:sz="4" w:space="0" w:color="auto"/>
              <w:right w:val="single" w:sz="4" w:space="0" w:color="auto"/>
            </w:tcBorders>
            <w:vAlign w:val="center"/>
            <w:hideMark/>
          </w:tcPr>
          <w:p w:rsidR="00984667" w:rsidRPr="00AC358B" w:rsidRDefault="00984667" w:rsidP="005261BD">
            <w:pPr>
              <w:spacing w:after="120"/>
              <w:jc w:val="center"/>
              <w:rPr>
                <w:rFonts w:ascii="Times New Roman" w:hAnsi="Times New Roman"/>
                <w:b/>
                <w:sz w:val="20"/>
                <w:szCs w:val="20"/>
              </w:rPr>
            </w:pPr>
            <w:r w:rsidRPr="00AC358B">
              <w:rPr>
                <w:rFonts w:ascii="Times New Roman" w:hAnsi="Times New Roman"/>
                <w:b/>
                <w:sz w:val="20"/>
                <w:szCs w:val="20"/>
              </w:rPr>
              <w:t>Виды нерудных полезных ископаемых</w:t>
            </w:r>
          </w:p>
        </w:tc>
        <w:tc>
          <w:tcPr>
            <w:tcW w:w="3780" w:type="dxa"/>
            <w:gridSpan w:val="2"/>
            <w:tcBorders>
              <w:top w:val="single" w:sz="4" w:space="0" w:color="auto"/>
              <w:left w:val="single" w:sz="4" w:space="0" w:color="auto"/>
              <w:bottom w:val="single" w:sz="4" w:space="0" w:color="auto"/>
              <w:right w:val="single" w:sz="4" w:space="0" w:color="auto"/>
            </w:tcBorders>
            <w:vAlign w:val="center"/>
            <w:hideMark/>
          </w:tcPr>
          <w:p w:rsidR="00984667" w:rsidRPr="00AC358B" w:rsidRDefault="00984667" w:rsidP="005261BD">
            <w:pPr>
              <w:spacing w:after="0" w:line="240" w:lineRule="auto"/>
              <w:jc w:val="center"/>
              <w:rPr>
                <w:rFonts w:ascii="Times New Roman" w:hAnsi="Times New Roman"/>
                <w:b/>
                <w:sz w:val="20"/>
                <w:szCs w:val="20"/>
              </w:rPr>
            </w:pPr>
            <w:r w:rsidRPr="00AC358B">
              <w:rPr>
                <w:rFonts w:ascii="Times New Roman" w:hAnsi="Times New Roman"/>
                <w:b/>
                <w:sz w:val="20"/>
                <w:szCs w:val="20"/>
              </w:rPr>
              <w:t>Объем добычи, тыс. м</w:t>
            </w:r>
            <w:r w:rsidRPr="00AC358B">
              <w:rPr>
                <w:rFonts w:ascii="Times New Roman" w:hAnsi="Times New Roman"/>
                <w:b/>
                <w:sz w:val="20"/>
                <w:szCs w:val="20"/>
                <w:vertAlign w:val="superscript"/>
              </w:rPr>
              <w:t>3</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984667" w:rsidRPr="00AC358B" w:rsidRDefault="00984667" w:rsidP="005261BD">
            <w:pPr>
              <w:spacing w:after="0" w:line="240" w:lineRule="auto"/>
              <w:jc w:val="center"/>
              <w:rPr>
                <w:rFonts w:ascii="Times New Roman" w:hAnsi="Times New Roman"/>
                <w:b/>
                <w:sz w:val="20"/>
                <w:szCs w:val="20"/>
              </w:rPr>
            </w:pPr>
            <w:r w:rsidRPr="00AC358B">
              <w:rPr>
                <w:rFonts w:ascii="Times New Roman" w:hAnsi="Times New Roman"/>
                <w:b/>
                <w:sz w:val="20"/>
                <w:szCs w:val="20"/>
              </w:rPr>
              <w:t>В %</w:t>
            </w:r>
          </w:p>
          <w:p w:rsidR="00984667" w:rsidRPr="00AC358B" w:rsidRDefault="00984667" w:rsidP="005261BD">
            <w:pPr>
              <w:spacing w:after="120" w:line="240" w:lineRule="auto"/>
              <w:jc w:val="center"/>
              <w:rPr>
                <w:rFonts w:ascii="Times New Roman" w:hAnsi="Times New Roman"/>
                <w:b/>
                <w:i/>
                <w:sz w:val="20"/>
                <w:szCs w:val="20"/>
              </w:rPr>
            </w:pPr>
            <w:r w:rsidRPr="00AC358B">
              <w:rPr>
                <w:rFonts w:ascii="Times New Roman" w:hAnsi="Times New Roman"/>
                <w:b/>
                <w:sz w:val="20"/>
                <w:szCs w:val="20"/>
                <w:lang w:val="en-US"/>
              </w:rPr>
              <w:t>I</w:t>
            </w:r>
            <w:r w:rsidRPr="00AC358B">
              <w:rPr>
                <w:rFonts w:ascii="Times New Roman" w:hAnsi="Times New Roman"/>
                <w:b/>
                <w:sz w:val="20"/>
                <w:szCs w:val="20"/>
              </w:rPr>
              <w:t xml:space="preserve"> полугодие 2014г.к </w:t>
            </w:r>
            <w:r w:rsidRPr="00AC358B">
              <w:rPr>
                <w:rFonts w:ascii="Times New Roman" w:hAnsi="Times New Roman"/>
                <w:b/>
                <w:sz w:val="20"/>
                <w:szCs w:val="20"/>
                <w:lang w:val="en-US"/>
              </w:rPr>
              <w:t>I</w:t>
            </w:r>
            <w:r w:rsidRPr="00AC358B">
              <w:rPr>
                <w:rFonts w:ascii="Times New Roman" w:hAnsi="Times New Roman"/>
                <w:b/>
                <w:sz w:val="20"/>
                <w:szCs w:val="20"/>
              </w:rPr>
              <w:t xml:space="preserve"> полугодию 2013г.</w:t>
            </w:r>
          </w:p>
        </w:tc>
      </w:tr>
      <w:tr w:rsidR="00984667" w:rsidTr="005261BD">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rPr>
                <w:rFonts w:ascii="Times New Roman" w:hAnsi="Times New Roman"/>
                <w:b/>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984667" w:rsidRPr="00AC358B" w:rsidRDefault="00984667" w:rsidP="005261BD">
            <w:pPr>
              <w:spacing w:after="0" w:line="240" w:lineRule="auto"/>
              <w:jc w:val="center"/>
              <w:rPr>
                <w:rFonts w:ascii="Times New Roman" w:hAnsi="Times New Roman"/>
                <w:b/>
                <w:sz w:val="20"/>
                <w:szCs w:val="20"/>
              </w:rPr>
            </w:pPr>
            <w:r w:rsidRPr="00AC358B">
              <w:rPr>
                <w:rFonts w:ascii="Times New Roman" w:hAnsi="Times New Roman"/>
                <w:b/>
                <w:sz w:val="20"/>
                <w:szCs w:val="20"/>
              </w:rPr>
              <w:t>I полугодие 2014г.</w:t>
            </w:r>
          </w:p>
        </w:tc>
        <w:tc>
          <w:tcPr>
            <w:tcW w:w="1980" w:type="dxa"/>
            <w:tcBorders>
              <w:top w:val="single" w:sz="4" w:space="0" w:color="auto"/>
              <w:left w:val="single" w:sz="4" w:space="0" w:color="auto"/>
              <w:bottom w:val="single" w:sz="4" w:space="0" w:color="auto"/>
              <w:right w:val="single" w:sz="4" w:space="0" w:color="auto"/>
            </w:tcBorders>
            <w:vAlign w:val="center"/>
            <w:hideMark/>
          </w:tcPr>
          <w:p w:rsidR="00106C3D" w:rsidRDefault="00984667" w:rsidP="005261BD">
            <w:pPr>
              <w:spacing w:after="0" w:line="240" w:lineRule="auto"/>
              <w:jc w:val="center"/>
              <w:rPr>
                <w:rFonts w:ascii="Times New Roman" w:hAnsi="Times New Roman"/>
                <w:b/>
                <w:sz w:val="20"/>
                <w:szCs w:val="20"/>
              </w:rPr>
            </w:pPr>
            <w:r w:rsidRPr="00AC358B">
              <w:rPr>
                <w:rFonts w:ascii="Times New Roman" w:hAnsi="Times New Roman"/>
                <w:b/>
                <w:sz w:val="20"/>
                <w:szCs w:val="20"/>
              </w:rPr>
              <w:t xml:space="preserve">I полугодие </w:t>
            </w:r>
          </w:p>
          <w:p w:rsidR="00984667" w:rsidRPr="00AC358B" w:rsidRDefault="00984667" w:rsidP="005261BD">
            <w:pPr>
              <w:spacing w:after="0" w:line="240" w:lineRule="auto"/>
              <w:jc w:val="center"/>
              <w:rPr>
                <w:rFonts w:ascii="Times New Roman" w:hAnsi="Times New Roman"/>
                <w:b/>
                <w:sz w:val="20"/>
                <w:szCs w:val="20"/>
              </w:rPr>
            </w:pPr>
            <w:r w:rsidRPr="00AC358B">
              <w:rPr>
                <w:rFonts w:ascii="Times New Roman" w:hAnsi="Times New Roman"/>
                <w:b/>
                <w:sz w:val="20"/>
                <w:szCs w:val="20"/>
              </w:rPr>
              <w:t>2013г.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rPr>
                <w:rFonts w:ascii="Times New Roman" w:hAnsi="Times New Roman"/>
                <w:b/>
                <w:i/>
              </w:rPr>
            </w:pPr>
          </w:p>
        </w:tc>
      </w:tr>
      <w:tr w:rsidR="00984667" w:rsidTr="005261BD">
        <w:trPr>
          <w:trHeight w:val="246"/>
        </w:trPr>
        <w:tc>
          <w:tcPr>
            <w:tcW w:w="3780" w:type="dxa"/>
            <w:tcBorders>
              <w:top w:val="single" w:sz="4" w:space="0" w:color="auto"/>
              <w:left w:val="single" w:sz="4" w:space="0" w:color="auto"/>
              <w:bottom w:val="single" w:sz="4" w:space="0" w:color="auto"/>
              <w:right w:val="single" w:sz="4" w:space="0" w:color="auto"/>
            </w:tcBorders>
            <w:vAlign w:val="bottom"/>
            <w:hideMark/>
          </w:tcPr>
          <w:p w:rsidR="00984667" w:rsidRDefault="00984667" w:rsidP="005261BD">
            <w:pPr>
              <w:spacing w:after="0" w:line="240" w:lineRule="auto"/>
              <w:rPr>
                <w:rFonts w:ascii="Times New Roman" w:hAnsi="Times New Roman"/>
              </w:rPr>
            </w:pPr>
            <w:r>
              <w:rPr>
                <w:rFonts w:ascii="Times New Roman" w:hAnsi="Times New Roman"/>
              </w:rPr>
              <w:t>Пильный известняк</w:t>
            </w:r>
          </w:p>
        </w:tc>
        <w:tc>
          <w:tcPr>
            <w:tcW w:w="1800"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ind w:firstLine="175"/>
              <w:jc w:val="center"/>
              <w:rPr>
                <w:rFonts w:ascii="Times New Roman" w:hAnsi="Times New Roman"/>
              </w:rPr>
            </w:pPr>
            <w:r>
              <w:rPr>
                <w:rFonts w:ascii="Times New Roman" w:hAnsi="Times New Roman"/>
              </w:rPr>
              <w:t>10,1</w:t>
            </w:r>
          </w:p>
        </w:tc>
        <w:tc>
          <w:tcPr>
            <w:tcW w:w="1980"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ind w:firstLine="709"/>
              <w:jc w:val="both"/>
              <w:rPr>
                <w:rFonts w:ascii="Times New Roman" w:hAnsi="Times New Roman"/>
              </w:rPr>
            </w:pPr>
            <w:r>
              <w:rPr>
                <w:rFonts w:ascii="Times New Roman" w:hAnsi="Times New Roman"/>
              </w:rPr>
              <w:t>10,8</w:t>
            </w:r>
          </w:p>
        </w:tc>
        <w:tc>
          <w:tcPr>
            <w:tcW w:w="1620"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ind w:right="38" w:firstLine="34"/>
              <w:jc w:val="center"/>
              <w:rPr>
                <w:rFonts w:ascii="Times New Roman" w:hAnsi="Times New Roman"/>
              </w:rPr>
            </w:pPr>
            <w:r>
              <w:rPr>
                <w:rFonts w:ascii="Times New Roman" w:hAnsi="Times New Roman"/>
              </w:rPr>
              <w:t>93,1</w:t>
            </w:r>
          </w:p>
        </w:tc>
      </w:tr>
      <w:tr w:rsidR="00984667" w:rsidTr="005261BD">
        <w:trPr>
          <w:trHeight w:val="185"/>
        </w:trPr>
        <w:tc>
          <w:tcPr>
            <w:tcW w:w="3780" w:type="dxa"/>
            <w:tcBorders>
              <w:top w:val="single" w:sz="4" w:space="0" w:color="auto"/>
              <w:left w:val="single" w:sz="4" w:space="0" w:color="auto"/>
              <w:bottom w:val="single" w:sz="4" w:space="0" w:color="auto"/>
              <w:right w:val="single" w:sz="4" w:space="0" w:color="auto"/>
            </w:tcBorders>
            <w:vAlign w:val="bottom"/>
            <w:hideMark/>
          </w:tcPr>
          <w:p w:rsidR="00984667" w:rsidRDefault="00984667" w:rsidP="005261BD">
            <w:pPr>
              <w:spacing w:after="0" w:line="240" w:lineRule="auto"/>
              <w:rPr>
                <w:rFonts w:ascii="Times New Roman" w:hAnsi="Times New Roman"/>
              </w:rPr>
            </w:pPr>
            <w:r>
              <w:rPr>
                <w:rFonts w:ascii="Times New Roman" w:hAnsi="Times New Roman"/>
              </w:rPr>
              <w:t>Рифогенный известняк</w:t>
            </w:r>
          </w:p>
        </w:tc>
        <w:tc>
          <w:tcPr>
            <w:tcW w:w="1800"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ind w:firstLine="34"/>
              <w:jc w:val="center"/>
              <w:rPr>
                <w:rFonts w:ascii="Times New Roman" w:hAnsi="Times New Roman"/>
              </w:rPr>
            </w:pPr>
            <w:r>
              <w:rPr>
                <w:rFonts w:ascii="Times New Roman" w:hAnsi="Times New Roman"/>
              </w:rPr>
              <w:t>0,8</w:t>
            </w:r>
          </w:p>
        </w:tc>
        <w:tc>
          <w:tcPr>
            <w:tcW w:w="1980"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ind w:firstLine="709"/>
              <w:jc w:val="both"/>
              <w:rPr>
                <w:rFonts w:ascii="Times New Roman" w:hAnsi="Times New Roman"/>
              </w:rPr>
            </w:pPr>
            <w:r>
              <w:rPr>
                <w:rFonts w:ascii="Times New Roman" w:hAnsi="Times New Roman"/>
              </w:rPr>
              <w:t>1,0</w:t>
            </w:r>
          </w:p>
        </w:tc>
        <w:tc>
          <w:tcPr>
            <w:tcW w:w="1620"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ind w:right="38" w:firstLine="34"/>
              <w:jc w:val="center"/>
              <w:rPr>
                <w:rFonts w:ascii="Times New Roman" w:hAnsi="Times New Roman"/>
              </w:rPr>
            </w:pPr>
            <w:r>
              <w:rPr>
                <w:rFonts w:ascii="Times New Roman" w:hAnsi="Times New Roman"/>
              </w:rPr>
              <w:t>80</w:t>
            </w:r>
          </w:p>
        </w:tc>
      </w:tr>
      <w:tr w:rsidR="00984667" w:rsidTr="005261BD">
        <w:trPr>
          <w:trHeight w:val="184"/>
        </w:trPr>
        <w:tc>
          <w:tcPr>
            <w:tcW w:w="3780" w:type="dxa"/>
            <w:tcBorders>
              <w:top w:val="single" w:sz="4" w:space="0" w:color="auto"/>
              <w:left w:val="single" w:sz="4" w:space="0" w:color="auto"/>
              <w:bottom w:val="single" w:sz="4" w:space="0" w:color="auto"/>
              <w:right w:val="single" w:sz="4" w:space="0" w:color="auto"/>
            </w:tcBorders>
            <w:vAlign w:val="bottom"/>
            <w:hideMark/>
          </w:tcPr>
          <w:p w:rsidR="00984667" w:rsidRDefault="00984667" w:rsidP="005261BD">
            <w:pPr>
              <w:spacing w:after="0" w:line="240" w:lineRule="auto"/>
              <w:rPr>
                <w:rFonts w:ascii="Times New Roman" w:hAnsi="Times New Roman"/>
              </w:rPr>
            </w:pPr>
            <w:r>
              <w:rPr>
                <w:rFonts w:ascii="Times New Roman" w:hAnsi="Times New Roman"/>
              </w:rPr>
              <w:t>Цементное сырье, всего</w:t>
            </w:r>
          </w:p>
        </w:tc>
        <w:tc>
          <w:tcPr>
            <w:tcW w:w="1800" w:type="dxa"/>
            <w:tcBorders>
              <w:top w:val="single" w:sz="4" w:space="0" w:color="auto"/>
              <w:left w:val="single" w:sz="4" w:space="0" w:color="auto"/>
              <w:bottom w:val="single" w:sz="4" w:space="0" w:color="auto"/>
              <w:right w:val="single" w:sz="4" w:space="0" w:color="auto"/>
            </w:tcBorders>
            <w:vAlign w:val="bottom"/>
            <w:hideMark/>
          </w:tcPr>
          <w:p w:rsidR="00984667" w:rsidRDefault="00984667" w:rsidP="005261BD">
            <w:pPr>
              <w:spacing w:after="0" w:line="240" w:lineRule="auto"/>
              <w:ind w:right="567"/>
              <w:jc w:val="right"/>
              <w:rPr>
                <w:rFonts w:ascii="Times New Roman" w:hAnsi="Times New Roman"/>
              </w:rPr>
            </w:pPr>
            <w:r>
              <w:rPr>
                <w:rFonts w:ascii="Times New Roman" w:hAnsi="Times New Roman"/>
              </w:rPr>
              <w:t>184,8</w:t>
            </w:r>
          </w:p>
        </w:tc>
        <w:tc>
          <w:tcPr>
            <w:tcW w:w="1980" w:type="dxa"/>
            <w:tcBorders>
              <w:top w:val="single" w:sz="4" w:space="0" w:color="auto"/>
              <w:left w:val="single" w:sz="4" w:space="0" w:color="auto"/>
              <w:bottom w:val="single" w:sz="4" w:space="0" w:color="auto"/>
              <w:right w:val="single" w:sz="4" w:space="0" w:color="auto"/>
            </w:tcBorders>
            <w:vAlign w:val="bottom"/>
            <w:hideMark/>
          </w:tcPr>
          <w:p w:rsidR="00984667" w:rsidRDefault="00984667" w:rsidP="005261BD">
            <w:pPr>
              <w:spacing w:after="0" w:line="240" w:lineRule="auto"/>
              <w:ind w:right="567"/>
              <w:jc w:val="right"/>
              <w:rPr>
                <w:rFonts w:ascii="Times New Roman" w:hAnsi="Times New Roman"/>
              </w:rPr>
            </w:pPr>
            <w:r>
              <w:rPr>
                <w:rFonts w:ascii="Times New Roman" w:hAnsi="Times New Roman"/>
              </w:rPr>
              <w:t>88,3</w:t>
            </w:r>
          </w:p>
        </w:tc>
        <w:tc>
          <w:tcPr>
            <w:tcW w:w="1620" w:type="dxa"/>
            <w:tcBorders>
              <w:top w:val="single" w:sz="4" w:space="0" w:color="auto"/>
              <w:left w:val="single" w:sz="4" w:space="0" w:color="auto"/>
              <w:bottom w:val="single" w:sz="4" w:space="0" w:color="auto"/>
              <w:right w:val="single" w:sz="4" w:space="0" w:color="auto"/>
            </w:tcBorders>
            <w:vAlign w:val="bottom"/>
            <w:hideMark/>
          </w:tcPr>
          <w:p w:rsidR="00984667" w:rsidRDefault="00984667" w:rsidP="005261BD">
            <w:pPr>
              <w:tabs>
                <w:tab w:val="left" w:pos="941"/>
              </w:tabs>
              <w:spacing w:after="0" w:line="240" w:lineRule="auto"/>
              <w:ind w:right="463"/>
              <w:jc w:val="right"/>
              <w:rPr>
                <w:rFonts w:ascii="Times New Roman" w:hAnsi="Times New Roman"/>
              </w:rPr>
            </w:pPr>
            <w:r>
              <w:rPr>
                <w:rFonts w:ascii="Times New Roman" w:hAnsi="Times New Roman"/>
              </w:rPr>
              <w:t>209,3</w:t>
            </w:r>
          </w:p>
        </w:tc>
      </w:tr>
      <w:tr w:rsidR="00984667" w:rsidTr="005261BD">
        <w:trPr>
          <w:trHeight w:val="364"/>
        </w:trPr>
        <w:tc>
          <w:tcPr>
            <w:tcW w:w="3780" w:type="dxa"/>
            <w:tcBorders>
              <w:top w:val="single" w:sz="4" w:space="0" w:color="auto"/>
              <w:left w:val="single" w:sz="4" w:space="0" w:color="auto"/>
              <w:bottom w:val="single" w:sz="4" w:space="0" w:color="auto"/>
              <w:right w:val="single" w:sz="4" w:space="0" w:color="auto"/>
            </w:tcBorders>
            <w:vAlign w:val="bottom"/>
            <w:hideMark/>
          </w:tcPr>
          <w:p w:rsidR="00984667" w:rsidRDefault="00984667" w:rsidP="005261BD">
            <w:pPr>
              <w:spacing w:after="0" w:line="240" w:lineRule="auto"/>
              <w:ind w:firstLine="432"/>
              <w:rPr>
                <w:rFonts w:ascii="Times New Roman" w:hAnsi="Times New Roman"/>
                <w:i/>
              </w:rPr>
            </w:pPr>
            <w:r>
              <w:rPr>
                <w:rFonts w:ascii="Times New Roman" w:hAnsi="Times New Roman"/>
                <w:i/>
              </w:rPr>
              <w:t>в том числе:</w:t>
            </w:r>
          </w:p>
          <w:p w:rsidR="00984667" w:rsidRDefault="00984667" w:rsidP="005261BD">
            <w:pPr>
              <w:spacing w:after="0" w:line="240" w:lineRule="auto"/>
              <w:ind w:firstLine="432"/>
              <w:rPr>
                <w:rFonts w:ascii="Times New Roman" w:hAnsi="Times New Roman"/>
              </w:rPr>
            </w:pPr>
            <w:r>
              <w:rPr>
                <w:rFonts w:ascii="Times New Roman" w:hAnsi="Times New Roman"/>
              </w:rPr>
              <w:t xml:space="preserve">- известняк </w:t>
            </w:r>
          </w:p>
        </w:tc>
        <w:tc>
          <w:tcPr>
            <w:tcW w:w="1800" w:type="dxa"/>
            <w:tcBorders>
              <w:top w:val="single" w:sz="4" w:space="0" w:color="auto"/>
              <w:left w:val="single" w:sz="4" w:space="0" w:color="auto"/>
              <w:bottom w:val="single" w:sz="4" w:space="0" w:color="auto"/>
              <w:right w:val="single" w:sz="4" w:space="0" w:color="auto"/>
            </w:tcBorders>
            <w:vAlign w:val="bottom"/>
          </w:tcPr>
          <w:p w:rsidR="00984667" w:rsidRDefault="00984667" w:rsidP="005261BD">
            <w:pPr>
              <w:spacing w:after="0" w:line="240" w:lineRule="auto"/>
              <w:ind w:right="567"/>
              <w:jc w:val="right"/>
              <w:rPr>
                <w:rFonts w:ascii="Times New Roman" w:hAnsi="Times New Roman"/>
              </w:rPr>
            </w:pPr>
          </w:p>
          <w:p w:rsidR="00984667" w:rsidRDefault="00984667" w:rsidP="005261BD">
            <w:pPr>
              <w:spacing w:after="0" w:line="240" w:lineRule="auto"/>
              <w:ind w:right="567"/>
              <w:jc w:val="right"/>
              <w:rPr>
                <w:rFonts w:ascii="Times New Roman" w:hAnsi="Times New Roman"/>
              </w:rPr>
            </w:pPr>
            <w:r>
              <w:rPr>
                <w:rFonts w:ascii="Times New Roman" w:hAnsi="Times New Roman"/>
              </w:rPr>
              <w:t>153,1</w:t>
            </w:r>
          </w:p>
        </w:tc>
        <w:tc>
          <w:tcPr>
            <w:tcW w:w="1980" w:type="dxa"/>
            <w:tcBorders>
              <w:top w:val="single" w:sz="4" w:space="0" w:color="auto"/>
              <w:left w:val="single" w:sz="4" w:space="0" w:color="auto"/>
              <w:bottom w:val="single" w:sz="4" w:space="0" w:color="auto"/>
              <w:right w:val="single" w:sz="4" w:space="0" w:color="auto"/>
            </w:tcBorders>
            <w:vAlign w:val="bottom"/>
          </w:tcPr>
          <w:p w:rsidR="00984667" w:rsidRDefault="00984667" w:rsidP="005261BD">
            <w:pPr>
              <w:spacing w:after="0" w:line="240" w:lineRule="auto"/>
              <w:ind w:right="567"/>
              <w:jc w:val="right"/>
              <w:rPr>
                <w:rFonts w:ascii="Times New Roman" w:hAnsi="Times New Roman"/>
              </w:rPr>
            </w:pPr>
          </w:p>
          <w:p w:rsidR="00984667" w:rsidRDefault="00984667" w:rsidP="005261BD">
            <w:pPr>
              <w:spacing w:after="0" w:line="240" w:lineRule="auto"/>
              <w:ind w:right="567"/>
              <w:jc w:val="right"/>
              <w:rPr>
                <w:rFonts w:ascii="Times New Roman" w:hAnsi="Times New Roman"/>
              </w:rPr>
            </w:pPr>
            <w:r>
              <w:rPr>
                <w:rFonts w:ascii="Times New Roman" w:hAnsi="Times New Roman"/>
              </w:rPr>
              <w:t>73,4</w:t>
            </w:r>
          </w:p>
        </w:tc>
        <w:tc>
          <w:tcPr>
            <w:tcW w:w="1620" w:type="dxa"/>
            <w:tcBorders>
              <w:top w:val="single" w:sz="4" w:space="0" w:color="auto"/>
              <w:left w:val="single" w:sz="4" w:space="0" w:color="auto"/>
              <w:bottom w:val="single" w:sz="4" w:space="0" w:color="auto"/>
              <w:right w:val="single" w:sz="4" w:space="0" w:color="auto"/>
            </w:tcBorders>
            <w:vAlign w:val="bottom"/>
            <w:hideMark/>
          </w:tcPr>
          <w:p w:rsidR="00984667" w:rsidRDefault="00984667" w:rsidP="005261BD">
            <w:pPr>
              <w:spacing w:after="0" w:line="240" w:lineRule="auto"/>
              <w:ind w:right="463"/>
              <w:jc w:val="right"/>
              <w:rPr>
                <w:rFonts w:ascii="Times New Roman" w:hAnsi="Times New Roman"/>
              </w:rPr>
            </w:pPr>
            <w:r>
              <w:rPr>
                <w:rFonts w:ascii="Times New Roman" w:hAnsi="Times New Roman"/>
              </w:rPr>
              <w:t>208,6</w:t>
            </w:r>
          </w:p>
        </w:tc>
      </w:tr>
      <w:tr w:rsidR="00984667" w:rsidTr="005261BD">
        <w:trPr>
          <w:trHeight w:val="216"/>
        </w:trPr>
        <w:tc>
          <w:tcPr>
            <w:tcW w:w="3780" w:type="dxa"/>
            <w:tcBorders>
              <w:top w:val="single" w:sz="4" w:space="0" w:color="auto"/>
              <w:left w:val="single" w:sz="4" w:space="0" w:color="auto"/>
              <w:bottom w:val="single" w:sz="4" w:space="0" w:color="auto"/>
              <w:right w:val="single" w:sz="4" w:space="0" w:color="auto"/>
            </w:tcBorders>
            <w:vAlign w:val="bottom"/>
            <w:hideMark/>
          </w:tcPr>
          <w:p w:rsidR="00984667" w:rsidRDefault="00984667" w:rsidP="005261BD">
            <w:pPr>
              <w:spacing w:after="0" w:line="240" w:lineRule="auto"/>
              <w:ind w:firstLine="432"/>
              <w:rPr>
                <w:rFonts w:ascii="Times New Roman" w:hAnsi="Times New Roman"/>
              </w:rPr>
            </w:pPr>
            <w:r>
              <w:rPr>
                <w:rFonts w:ascii="Times New Roman" w:hAnsi="Times New Roman"/>
              </w:rPr>
              <w:t>- глина</w:t>
            </w:r>
          </w:p>
        </w:tc>
        <w:tc>
          <w:tcPr>
            <w:tcW w:w="1800" w:type="dxa"/>
            <w:tcBorders>
              <w:top w:val="single" w:sz="4" w:space="0" w:color="auto"/>
              <w:left w:val="single" w:sz="4" w:space="0" w:color="auto"/>
              <w:bottom w:val="single" w:sz="4" w:space="0" w:color="auto"/>
              <w:right w:val="single" w:sz="4" w:space="0" w:color="auto"/>
            </w:tcBorders>
            <w:vAlign w:val="bottom"/>
            <w:hideMark/>
          </w:tcPr>
          <w:p w:rsidR="00984667" w:rsidRDefault="00984667" w:rsidP="005261BD">
            <w:pPr>
              <w:spacing w:after="0" w:line="240" w:lineRule="auto"/>
              <w:ind w:right="567"/>
              <w:jc w:val="right"/>
              <w:rPr>
                <w:rFonts w:ascii="Times New Roman" w:hAnsi="Times New Roman"/>
              </w:rPr>
            </w:pPr>
            <w:r>
              <w:rPr>
                <w:rFonts w:ascii="Times New Roman" w:hAnsi="Times New Roman"/>
              </w:rPr>
              <w:t xml:space="preserve">31,7 </w:t>
            </w:r>
          </w:p>
        </w:tc>
        <w:tc>
          <w:tcPr>
            <w:tcW w:w="1980" w:type="dxa"/>
            <w:tcBorders>
              <w:top w:val="single" w:sz="4" w:space="0" w:color="auto"/>
              <w:left w:val="single" w:sz="4" w:space="0" w:color="auto"/>
              <w:bottom w:val="single" w:sz="4" w:space="0" w:color="auto"/>
              <w:right w:val="single" w:sz="4" w:space="0" w:color="auto"/>
            </w:tcBorders>
            <w:vAlign w:val="bottom"/>
            <w:hideMark/>
          </w:tcPr>
          <w:p w:rsidR="00984667" w:rsidRDefault="00984667" w:rsidP="005261BD">
            <w:pPr>
              <w:spacing w:after="0" w:line="240" w:lineRule="auto"/>
              <w:ind w:right="567"/>
              <w:jc w:val="right"/>
              <w:rPr>
                <w:rFonts w:ascii="Times New Roman" w:hAnsi="Times New Roman"/>
              </w:rPr>
            </w:pPr>
            <w:r>
              <w:rPr>
                <w:rFonts w:ascii="Times New Roman" w:hAnsi="Times New Roman"/>
              </w:rPr>
              <w:t>14,9</w:t>
            </w:r>
          </w:p>
        </w:tc>
        <w:tc>
          <w:tcPr>
            <w:tcW w:w="1620" w:type="dxa"/>
            <w:tcBorders>
              <w:top w:val="single" w:sz="4" w:space="0" w:color="auto"/>
              <w:left w:val="single" w:sz="4" w:space="0" w:color="auto"/>
              <w:bottom w:val="single" w:sz="4" w:space="0" w:color="auto"/>
              <w:right w:val="single" w:sz="4" w:space="0" w:color="auto"/>
            </w:tcBorders>
            <w:vAlign w:val="bottom"/>
            <w:hideMark/>
          </w:tcPr>
          <w:p w:rsidR="00984667" w:rsidRDefault="00984667" w:rsidP="005261BD">
            <w:pPr>
              <w:spacing w:after="0" w:line="240" w:lineRule="auto"/>
              <w:ind w:right="463"/>
              <w:jc w:val="right"/>
              <w:rPr>
                <w:rFonts w:ascii="Times New Roman" w:hAnsi="Times New Roman"/>
              </w:rPr>
            </w:pPr>
            <w:r>
              <w:rPr>
                <w:rFonts w:ascii="Times New Roman" w:hAnsi="Times New Roman"/>
              </w:rPr>
              <w:t>212,8</w:t>
            </w:r>
          </w:p>
        </w:tc>
      </w:tr>
      <w:tr w:rsidR="00984667" w:rsidTr="005261BD">
        <w:trPr>
          <w:trHeight w:val="181"/>
        </w:trPr>
        <w:tc>
          <w:tcPr>
            <w:tcW w:w="3780" w:type="dxa"/>
            <w:tcBorders>
              <w:top w:val="single" w:sz="4" w:space="0" w:color="auto"/>
              <w:left w:val="single" w:sz="4" w:space="0" w:color="auto"/>
              <w:bottom w:val="single" w:sz="4" w:space="0" w:color="auto"/>
              <w:right w:val="single" w:sz="4" w:space="0" w:color="auto"/>
            </w:tcBorders>
            <w:vAlign w:val="bottom"/>
            <w:hideMark/>
          </w:tcPr>
          <w:p w:rsidR="00984667" w:rsidRDefault="00984667" w:rsidP="005261BD">
            <w:pPr>
              <w:spacing w:after="0" w:line="240" w:lineRule="auto"/>
              <w:rPr>
                <w:rFonts w:ascii="Times New Roman" w:hAnsi="Times New Roman"/>
              </w:rPr>
            </w:pPr>
            <w:r>
              <w:rPr>
                <w:rFonts w:ascii="Times New Roman" w:hAnsi="Times New Roman"/>
              </w:rPr>
              <w:t>Песчано-гравийная смесь</w:t>
            </w:r>
          </w:p>
        </w:tc>
        <w:tc>
          <w:tcPr>
            <w:tcW w:w="1800"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ind w:firstLine="175"/>
              <w:jc w:val="center"/>
              <w:rPr>
                <w:rFonts w:ascii="Times New Roman" w:hAnsi="Times New Roman"/>
              </w:rPr>
            </w:pPr>
            <w:r>
              <w:rPr>
                <w:rFonts w:ascii="Times New Roman" w:hAnsi="Times New Roman"/>
              </w:rPr>
              <w:t>256,0</w:t>
            </w:r>
          </w:p>
        </w:tc>
        <w:tc>
          <w:tcPr>
            <w:tcW w:w="1980"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ind w:firstLine="709"/>
              <w:jc w:val="both"/>
              <w:rPr>
                <w:rFonts w:ascii="Times New Roman" w:hAnsi="Times New Roman"/>
              </w:rPr>
            </w:pPr>
            <w:r>
              <w:rPr>
                <w:rFonts w:ascii="Times New Roman" w:hAnsi="Times New Roman"/>
              </w:rPr>
              <w:t>233,2</w:t>
            </w:r>
          </w:p>
        </w:tc>
        <w:tc>
          <w:tcPr>
            <w:tcW w:w="1620"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ind w:right="38" w:firstLine="34"/>
              <w:jc w:val="center"/>
              <w:rPr>
                <w:rFonts w:ascii="Times New Roman" w:hAnsi="Times New Roman"/>
              </w:rPr>
            </w:pPr>
            <w:r>
              <w:rPr>
                <w:rFonts w:ascii="Times New Roman" w:hAnsi="Times New Roman"/>
              </w:rPr>
              <w:t>109,8</w:t>
            </w:r>
          </w:p>
        </w:tc>
      </w:tr>
      <w:tr w:rsidR="00984667" w:rsidTr="005261BD">
        <w:trPr>
          <w:trHeight w:val="151"/>
        </w:trPr>
        <w:tc>
          <w:tcPr>
            <w:tcW w:w="3780" w:type="dxa"/>
            <w:tcBorders>
              <w:top w:val="single" w:sz="4" w:space="0" w:color="auto"/>
              <w:left w:val="single" w:sz="4" w:space="0" w:color="auto"/>
              <w:bottom w:val="single" w:sz="4" w:space="0" w:color="auto"/>
              <w:right w:val="single" w:sz="4" w:space="0" w:color="auto"/>
            </w:tcBorders>
            <w:vAlign w:val="bottom"/>
            <w:hideMark/>
          </w:tcPr>
          <w:p w:rsidR="00984667" w:rsidRDefault="00984667" w:rsidP="005261BD">
            <w:pPr>
              <w:spacing w:after="0" w:line="240" w:lineRule="auto"/>
              <w:rPr>
                <w:rFonts w:ascii="Times New Roman" w:hAnsi="Times New Roman"/>
              </w:rPr>
            </w:pPr>
            <w:r>
              <w:rPr>
                <w:rFonts w:ascii="Times New Roman" w:hAnsi="Times New Roman"/>
              </w:rPr>
              <w:t>Глина</w:t>
            </w:r>
          </w:p>
        </w:tc>
        <w:tc>
          <w:tcPr>
            <w:tcW w:w="1800"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ind w:firstLine="175"/>
              <w:jc w:val="center"/>
              <w:rPr>
                <w:rFonts w:ascii="Times New Roman" w:hAnsi="Times New Roman"/>
              </w:rPr>
            </w:pPr>
            <w:r>
              <w:rPr>
                <w:rFonts w:ascii="Times New Roman" w:hAnsi="Times New Roman"/>
              </w:rPr>
              <w:t>0,04</w:t>
            </w:r>
          </w:p>
        </w:tc>
        <w:tc>
          <w:tcPr>
            <w:tcW w:w="1980"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ind w:firstLine="709"/>
              <w:jc w:val="both"/>
              <w:rPr>
                <w:rFonts w:ascii="Times New Roman" w:hAnsi="Times New Roman"/>
              </w:rPr>
            </w:pPr>
            <w:r>
              <w:rPr>
                <w:rFonts w:ascii="Times New Roman" w:hAnsi="Times New Roman"/>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ind w:right="38" w:firstLine="34"/>
              <w:jc w:val="center"/>
              <w:rPr>
                <w:rFonts w:ascii="Times New Roman" w:hAnsi="Times New Roman"/>
              </w:rPr>
            </w:pPr>
            <w:r>
              <w:rPr>
                <w:rFonts w:ascii="Times New Roman" w:hAnsi="Times New Roman"/>
              </w:rPr>
              <w:t>-</w:t>
            </w:r>
          </w:p>
        </w:tc>
      </w:tr>
      <w:tr w:rsidR="00984667" w:rsidTr="005261BD">
        <w:trPr>
          <w:trHeight w:val="153"/>
        </w:trPr>
        <w:tc>
          <w:tcPr>
            <w:tcW w:w="3780"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rPr>
                <w:rFonts w:ascii="Times New Roman" w:hAnsi="Times New Roman"/>
                <w:b/>
              </w:rPr>
            </w:pPr>
            <w:r>
              <w:rPr>
                <w:rFonts w:ascii="Times New Roman" w:hAnsi="Times New Roman"/>
                <w:b/>
              </w:rPr>
              <w:t>Итого</w:t>
            </w:r>
          </w:p>
        </w:tc>
        <w:tc>
          <w:tcPr>
            <w:tcW w:w="1800"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ind w:firstLine="175"/>
              <w:jc w:val="center"/>
              <w:rPr>
                <w:rFonts w:ascii="Times New Roman" w:hAnsi="Times New Roman"/>
                <w:b/>
              </w:rPr>
            </w:pPr>
            <w:r>
              <w:rPr>
                <w:rFonts w:ascii="Times New Roman" w:hAnsi="Times New Roman"/>
                <w:b/>
              </w:rPr>
              <w:t>451,7</w:t>
            </w:r>
          </w:p>
        </w:tc>
        <w:tc>
          <w:tcPr>
            <w:tcW w:w="1980"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ind w:firstLine="709"/>
              <w:jc w:val="both"/>
              <w:rPr>
                <w:rFonts w:ascii="Times New Roman" w:hAnsi="Times New Roman"/>
                <w:b/>
              </w:rPr>
            </w:pPr>
            <w:r>
              <w:rPr>
                <w:rFonts w:ascii="Times New Roman" w:hAnsi="Times New Roman"/>
                <w:b/>
              </w:rPr>
              <w:t>333,4</w:t>
            </w:r>
          </w:p>
        </w:tc>
        <w:tc>
          <w:tcPr>
            <w:tcW w:w="1620"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ind w:right="38" w:firstLine="34"/>
              <w:jc w:val="center"/>
              <w:rPr>
                <w:rFonts w:ascii="Times New Roman" w:hAnsi="Times New Roman"/>
                <w:b/>
              </w:rPr>
            </w:pPr>
            <w:r>
              <w:rPr>
                <w:rFonts w:ascii="Times New Roman" w:hAnsi="Times New Roman"/>
                <w:b/>
              </w:rPr>
              <w:t>135,5</w:t>
            </w:r>
          </w:p>
        </w:tc>
      </w:tr>
      <w:tr w:rsidR="00984667" w:rsidTr="005261BD">
        <w:trPr>
          <w:trHeight w:val="200"/>
        </w:trPr>
        <w:tc>
          <w:tcPr>
            <w:tcW w:w="3780"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rPr>
                <w:rFonts w:ascii="Times New Roman" w:hAnsi="Times New Roman"/>
              </w:rPr>
            </w:pPr>
            <w:r>
              <w:rPr>
                <w:rFonts w:ascii="Times New Roman" w:hAnsi="Times New Roman"/>
              </w:rPr>
              <w:t>Минеральная вода</w:t>
            </w:r>
          </w:p>
        </w:tc>
        <w:tc>
          <w:tcPr>
            <w:tcW w:w="1800"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ind w:firstLine="175"/>
              <w:jc w:val="center"/>
              <w:rPr>
                <w:rFonts w:ascii="Times New Roman" w:hAnsi="Times New Roman"/>
              </w:rPr>
            </w:pPr>
            <w:r>
              <w:rPr>
                <w:rFonts w:ascii="Times New Roman" w:hAnsi="Times New Roman"/>
              </w:rPr>
              <w:t>3,9</w:t>
            </w:r>
          </w:p>
        </w:tc>
        <w:tc>
          <w:tcPr>
            <w:tcW w:w="1980"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ind w:firstLine="709"/>
              <w:jc w:val="both"/>
              <w:rPr>
                <w:rFonts w:ascii="Times New Roman" w:hAnsi="Times New Roman"/>
              </w:rPr>
            </w:pPr>
            <w:r>
              <w:rPr>
                <w:rFonts w:ascii="Times New Roman" w:hAnsi="Times New Roman"/>
              </w:rPr>
              <w:t>4,0</w:t>
            </w:r>
          </w:p>
        </w:tc>
        <w:tc>
          <w:tcPr>
            <w:tcW w:w="1620"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ind w:right="38" w:firstLine="34"/>
              <w:jc w:val="center"/>
              <w:rPr>
                <w:rFonts w:ascii="Times New Roman" w:hAnsi="Times New Roman"/>
              </w:rPr>
            </w:pPr>
            <w:r>
              <w:rPr>
                <w:rFonts w:ascii="Times New Roman" w:hAnsi="Times New Roman"/>
              </w:rPr>
              <w:t>97,5</w:t>
            </w:r>
          </w:p>
        </w:tc>
      </w:tr>
    </w:tbl>
    <w:p w:rsidR="00984667" w:rsidRDefault="00984667" w:rsidP="00984667">
      <w:pPr>
        <w:spacing w:after="0" w:line="240" w:lineRule="auto"/>
        <w:ind w:firstLine="539"/>
        <w:contextualSpacing/>
        <w:jc w:val="both"/>
        <w:rPr>
          <w:rFonts w:ascii="Times New Roman" w:hAnsi="Times New Roman"/>
          <w:sz w:val="24"/>
          <w:szCs w:val="24"/>
        </w:rPr>
      </w:pPr>
    </w:p>
    <w:p w:rsidR="00984667" w:rsidRPr="00AC358B" w:rsidRDefault="00984667" w:rsidP="007B64D6">
      <w:pPr>
        <w:spacing w:after="0" w:line="240" w:lineRule="auto"/>
        <w:ind w:firstLine="709"/>
        <w:contextualSpacing/>
        <w:jc w:val="both"/>
        <w:rPr>
          <w:rFonts w:ascii="Times New Roman" w:hAnsi="Times New Roman"/>
          <w:sz w:val="24"/>
          <w:szCs w:val="24"/>
        </w:rPr>
      </w:pPr>
      <w:r w:rsidRPr="00AC358B">
        <w:rPr>
          <w:rFonts w:ascii="Times New Roman" w:hAnsi="Times New Roman"/>
          <w:sz w:val="24"/>
          <w:szCs w:val="24"/>
        </w:rPr>
        <w:t>В январе – июне 2014 года наблюдался рост объема производства по добыче песчано-гравийных пород на 9,8% по сравнению с сопоставимым уровнем 2013 года, а также увеличение объемов производства цементного сырья в 2 раза, что связано с ритмичной работой ЗАО «Рыбницкий цементный комбинат».</w:t>
      </w:r>
    </w:p>
    <w:p w:rsidR="00984667" w:rsidRDefault="00984667" w:rsidP="00984667">
      <w:pPr>
        <w:spacing w:after="0" w:line="240" w:lineRule="auto"/>
        <w:ind w:firstLine="720"/>
        <w:jc w:val="right"/>
        <w:rPr>
          <w:rFonts w:ascii="Times New Roman" w:hAnsi="Times New Roman"/>
          <w:b/>
          <w:sz w:val="24"/>
          <w:szCs w:val="24"/>
        </w:rPr>
      </w:pPr>
      <w:r>
        <w:rPr>
          <w:rFonts w:ascii="Times New Roman" w:hAnsi="Times New Roman"/>
          <w:sz w:val="24"/>
          <w:szCs w:val="24"/>
        </w:rPr>
        <w:t>Таблица №</w:t>
      </w:r>
      <w:r w:rsidR="00C258D9">
        <w:rPr>
          <w:rFonts w:ascii="Times New Roman" w:hAnsi="Times New Roman"/>
          <w:sz w:val="24"/>
          <w:szCs w:val="24"/>
        </w:rPr>
        <w:t xml:space="preserve"> </w:t>
      </w:r>
      <w:r w:rsidR="007B64D6">
        <w:rPr>
          <w:rFonts w:ascii="Times New Roman" w:hAnsi="Times New Roman"/>
          <w:sz w:val="24"/>
          <w:szCs w:val="24"/>
        </w:rPr>
        <w:t>33</w:t>
      </w:r>
    </w:p>
    <w:p w:rsidR="00984667" w:rsidRDefault="00984667" w:rsidP="00984667">
      <w:pPr>
        <w:spacing w:after="0" w:line="240" w:lineRule="auto"/>
        <w:ind w:firstLine="720"/>
        <w:jc w:val="center"/>
        <w:rPr>
          <w:rFonts w:ascii="Times New Roman" w:hAnsi="Times New Roman"/>
          <w:b/>
          <w:sz w:val="24"/>
          <w:szCs w:val="24"/>
        </w:rPr>
      </w:pPr>
      <w:r>
        <w:rPr>
          <w:rFonts w:ascii="Times New Roman" w:hAnsi="Times New Roman"/>
          <w:b/>
          <w:sz w:val="24"/>
          <w:szCs w:val="24"/>
        </w:rPr>
        <w:t>Информация о платежах за пользование недрами</w:t>
      </w:r>
    </w:p>
    <w:tbl>
      <w:tblPr>
        <w:tblW w:w="9315" w:type="dxa"/>
        <w:jc w:val="center"/>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94"/>
        <w:gridCol w:w="1472"/>
        <w:gridCol w:w="1417"/>
        <w:gridCol w:w="851"/>
        <w:gridCol w:w="1276"/>
        <w:gridCol w:w="1276"/>
        <w:gridCol w:w="829"/>
      </w:tblGrid>
      <w:tr w:rsidR="00984667" w:rsidTr="00106C3D">
        <w:trPr>
          <w:trHeight w:val="568"/>
          <w:jc w:val="center"/>
        </w:trPr>
        <w:tc>
          <w:tcPr>
            <w:tcW w:w="2194" w:type="dxa"/>
            <w:vMerge w:val="restart"/>
            <w:tcBorders>
              <w:top w:val="single" w:sz="4" w:space="0" w:color="auto"/>
              <w:left w:val="single" w:sz="4" w:space="0" w:color="auto"/>
              <w:bottom w:val="single" w:sz="4" w:space="0" w:color="auto"/>
              <w:right w:val="single" w:sz="4" w:space="0" w:color="auto"/>
            </w:tcBorders>
            <w:vAlign w:val="center"/>
          </w:tcPr>
          <w:p w:rsidR="00984667" w:rsidRDefault="00984667" w:rsidP="005261BD">
            <w:pPr>
              <w:spacing w:after="0" w:line="240" w:lineRule="auto"/>
              <w:rPr>
                <w:rFonts w:ascii="Times New Roman" w:hAnsi="Times New Roman"/>
                <w:b/>
              </w:rPr>
            </w:pPr>
          </w:p>
        </w:tc>
        <w:tc>
          <w:tcPr>
            <w:tcW w:w="2889" w:type="dxa"/>
            <w:gridSpan w:val="2"/>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center"/>
              <w:rPr>
                <w:rFonts w:ascii="Times New Roman" w:hAnsi="Times New Roman"/>
                <w:b/>
              </w:rPr>
            </w:pPr>
            <w:r>
              <w:rPr>
                <w:rFonts w:ascii="Times New Roman" w:hAnsi="Times New Roman"/>
                <w:b/>
              </w:rPr>
              <w:t>Объем добычи,</w:t>
            </w:r>
          </w:p>
          <w:p w:rsidR="00984667" w:rsidRDefault="00984667" w:rsidP="005261BD">
            <w:pPr>
              <w:spacing w:after="0" w:line="240" w:lineRule="auto"/>
              <w:jc w:val="center"/>
              <w:rPr>
                <w:rFonts w:ascii="Times New Roman" w:hAnsi="Times New Roman"/>
                <w:b/>
              </w:rPr>
            </w:pPr>
            <w:r>
              <w:rPr>
                <w:rFonts w:ascii="Times New Roman" w:hAnsi="Times New Roman"/>
                <w:b/>
              </w:rPr>
              <w:t>тыс. м</w:t>
            </w:r>
            <w:r>
              <w:rPr>
                <w:rFonts w:ascii="Times New Roman" w:hAnsi="Times New Roman"/>
                <w:b/>
                <w:vertAlign w:val="superscript"/>
              </w:rPr>
              <w:t>3</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center"/>
              <w:rPr>
                <w:rFonts w:ascii="Times New Roman" w:hAnsi="Times New Roman"/>
                <w:b/>
              </w:rPr>
            </w:pPr>
            <w:r>
              <w:rPr>
                <w:rFonts w:ascii="Times New Roman" w:hAnsi="Times New Roman"/>
                <w:b/>
              </w:rPr>
              <w:t>В % 2014г.к 2013г.</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center"/>
              <w:rPr>
                <w:rFonts w:ascii="Times New Roman" w:hAnsi="Times New Roman"/>
                <w:b/>
              </w:rPr>
            </w:pPr>
            <w:r>
              <w:rPr>
                <w:rFonts w:ascii="Times New Roman" w:hAnsi="Times New Roman"/>
                <w:b/>
              </w:rPr>
              <w:t>Начисленные платежи, тыс. руб.</w:t>
            </w:r>
          </w:p>
        </w:tc>
        <w:tc>
          <w:tcPr>
            <w:tcW w:w="829" w:type="dxa"/>
            <w:vMerge w:val="restart"/>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center"/>
              <w:rPr>
                <w:rFonts w:ascii="Times New Roman" w:hAnsi="Times New Roman"/>
                <w:b/>
              </w:rPr>
            </w:pPr>
            <w:r>
              <w:rPr>
                <w:rFonts w:ascii="Times New Roman" w:hAnsi="Times New Roman"/>
                <w:b/>
              </w:rPr>
              <w:t>В % 2014г.к 2013г.</w:t>
            </w:r>
          </w:p>
        </w:tc>
      </w:tr>
      <w:tr w:rsidR="00984667" w:rsidTr="00106C3D">
        <w:trPr>
          <w:trHeight w:val="340"/>
          <w:jc w:val="center"/>
        </w:trPr>
        <w:tc>
          <w:tcPr>
            <w:tcW w:w="2194" w:type="dxa"/>
            <w:vMerge/>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rPr>
                <w:rFonts w:ascii="Times New Roman" w:hAnsi="Times New Roman"/>
                <w:b/>
              </w:rPr>
            </w:pPr>
          </w:p>
        </w:tc>
        <w:tc>
          <w:tcPr>
            <w:tcW w:w="1472"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center"/>
              <w:rPr>
                <w:rFonts w:ascii="Times New Roman" w:hAnsi="Times New Roman"/>
                <w:b/>
              </w:rPr>
            </w:pPr>
            <w:r>
              <w:rPr>
                <w:rFonts w:ascii="Times New Roman" w:hAnsi="Times New Roman"/>
                <w:b/>
              </w:rPr>
              <w:t>I полугодие 2014г.</w:t>
            </w:r>
          </w:p>
        </w:tc>
        <w:tc>
          <w:tcPr>
            <w:tcW w:w="1417"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9A2B7B">
            <w:pPr>
              <w:spacing w:after="0" w:line="240" w:lineRule="auto"/>
              <w:jc w:val="center"/>
              <w:rPr>
                <w:rFonts w:ascii="Times New Roman" w:hAnsi="Times New Roman"/>
                <w:b/>
              </w:rPr>
            </w:pPr>
            <w:r>
              <w:rPr>
                <w:rFonts w:ascii="Times New Roman" w:hAnsi="Times New Roman"/>
                <w:b/>
              </w:rPr>
              <w:t>I полугодие 201</w:t>
            </w:r>
            <w:r w:rsidR="009A2B7B">
              <w:rPr>
                <w:rFonts w:ascii="Times New Roman" w:hAnsi="Times New Roman"/>
                <w:b/>
              </w:rPr>
              <w:t>3</w:t>
            </w:r>
            <w:r>
              <w:rPr>
                <w:rFonts w:ascii="Times New Roman" w:hAnsi="Times New Roman"/>
                <w:b/>
              </w:rPr>
              <w:t>г.</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rPr>
                <w:rFonts w:ascii="Times New Roman" w:hAnsi="Times New Roman"/>
                <w:b/>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84667" w:rsidRPr="00300FB1" w:rsidRDefault="00106C3D" w:rsidP="00106C3D">
            <w:pPr>
              <w:spacing w:after="0" w:line="240" w:lineRule="auto"/>
              <w:ind w:left="-107"/>
              <w:jc w:val="center"/>
              <w:rPr>
                <w:rFonts w:ascii="Times New Roman" w:hAnsi="Times New Roman"/>
                <w:b/>
              </w:rPr>
            </w:pPr>
            <w:r>
              <w:rPr>
                <w:rFonts w:ascii="Times New Roman" w:hAnsi="Times New Roman"/>
                <w:b/>
              </w:rPr>
              <w:t>I полугодие</w:t>
            </w:r>
          </w:p>
          <w:p w:rsidR="00984667" w:rsidRDefault="00984667" w:rsidP="005261BD">
            <w:pPr>
              <w:spacing w:after="0" w:line="240" w:lineRule="auto"/>
              <w:jc w:val="center"/>
              <w:rPr>
                <w:rFonts w:ascii="Times New Roman" w:hAnsi="Times New Roman"/>
                <w:b/>
              </w:rPr>
            </w:pPr>
            <w:r>
              <w:rPr>
                <w:rFonts w:ascii="Times New Roman" w:hAnsi="Times New Roman"/>
                <w:b/>
              </w:rPr>
              <w:t>2014г.</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667" w:rsidRPr="00106C3D" w:rsidRDefault="00106C3D" w:rsidP="00106C3D">
            <w:pPr>
              <w:spacing w:after="0" w:line="240" w:lineRule="auto"/>
              <w:ind w:left="-107" w:right="-214" w:hanging="142"/>
              <w:jc w:val="center"/>
              <w:rPr>
                <w:rFonts w:ascii="Times New Roman" w:hAnsi="Times New Roman"/>
                <w:b/>
              </w:rPr>
            </w:pPr>
            <w:r>
              <w:rPr>
                <w:rFonts w:ascii="Times New Roman" w:hAnsi="Times New Roman"/>
                <w:b/>
                <w:lang w:val="en-US"/>
              </w:rPr>
              <w:t>I п</w:t>
            </w:r>
            <w:r>
              <w:rPr>
                <w:rFonts w:ascii="Times New Roman" w:hAnsi="Times New Roman"/>
                <w:b/>
              </w:rPr>
              <w:t>олугодие</w:t>
            </w:r>
          </w:p>
          <w:p w:rsidR="00984667" w:rsidRDefault="00984667" w:rsidP="005261BD">
            <w:pPr>
              <w:spacing w:after="0" w:line="240" w:lineRule="auto"/>
              <w:jc w:val="center"/>
              <w:rPr>
                <w:rFonts w:ascii="Times New Roman" w:hAnsi="Times New Roman"/>
                <w:b/>
              </w:rPr>
            </w:pPr>
            <w:r>
              <w:rPr>
                <w:rFonts w:ascii="Times New Roman" w:hAnsi="Times New Roman"/>
                <w:b/>
              </w:rPr>
              <w:t>2013г.</w:t>
            </w:r>
          </w:p>
        </w:tc>
        <w:tc>
          <w:tcPr>
            <w:tcW w:w="829" w:type="dxa"/>
            <w:vMerge/>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rPr>
                <w:rFonts w:ascii="Times New Roman" w:hAnsi="Times New Roman"/>
                <w:b/>
              </w:rPr>
            </w:pPr>
          </w:p>
        </w:tc>
      </w:tr>
      <w:tr w:rsidR="00984667" w:rsidTr="00106C3D">
        <w:trPr>
          <w:trHeight w:val="525"/>
          <w:jc w:val="center"/>
        </w:trPr>
        <w:tc>
          <w:tcPr>
            <w:tcW w:w="2194"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rPr>
                <w:rFonts w:ascii="Times New Roman" w:hAnsi="Times New Roman"/>
              </w:rPr>
            </w:pPr>
            <w:r>
              <w:rPr>
                <w:rFonts w:ascii="Times New Roman" w:hAnsi="Times New Roman"/>
              </w:rPr>
              <w:t>Нерудные полезные ископаемые, из них</w:t>
            </w:r>
          </w:p>
        </w:tc>
        <w:tc>
          <w:tcPr>
            <w:tcW w:w="1472"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rPr>
            </w:pPr>
            <w:r>
              <w:rPr>
                <w:rFonts w:ascii="Times New Roman" w:hAnsi="Times New Roman"/>
              </w:rPr>
              <w:t>451,7</w:t>
            </w:r>
          </w:p>
        </w:tc>
        <w:tc>
          <w:tcPr>
            <w:tcW w:w="1417"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rPr>
            </w:pPr>
            <w:r>
              <w:rPr>
                <w:rFonts w:ascii="Times New Roman" w:hAnsi="Times New Roman"/>
              </w:rPr>
              <w:t>333,4</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rPr>
            </w:pPr>
            <w:r>
              <w:rPr>
                <w:rFonts w:ascii="Times New Roman" w:hAnsi="Times New Roman"/>
              </w:rPr>
              <w:t>135,5</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Cs/>
              </w:rPr>
            </w:pPr>
            <w:r>
              <w:rPr>
                <w:rFonts w:ascii="Times New Roman" w:hAnsi="Times New Roman"/>
                <w:bCs/>
              </w:rPr>
              <w:t>6 684,0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rPr>
            </w:pPr>
            <w:r>
              <w:rPr>
                <w:rFonts w:ascii="Times New Roman" w:hAnsi="Times New Roman"/>
              </w:rPr>
              <w:t>3 902,6</w:t>
            </w:r>
          </w:p>
        </w:tc>
        <w:tc>
          <w:tcPr>
            <w:tcW w:w="829"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rPr>
            </w:pPr>
            <w:r>
              <w:rPr>
                <w:rFonts w:ascii="Times New Roman" w:hAnsi="Times New Roman"/>
              </w:rPr>
              <w:t>171,3</w:t>
            </w:r>
          </w:p>
        </w:tc>
      </w:tr>
      <w:tr w:rsidR="00984667" w:rsidTr="00106C3D">
        <w:trPr>
          <w:trHeight w:val="252"/>
          <w:jc w:val="center"/>
        </w:trPr>
        <w:tc>
          <w:tcPr>
            <w:tcW w:w="2194"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rPr>
                <w:rFonts w:ascii="Times New Roman" w:hAnsi="Times New Roman"/>
              </w:rPr>
            </w:pPr>
            <w:r>
              <w:rPr>
                <w:rFonts w:ascii="Times New Roman" w:hAnsi="Times New Roman"/>
              </w:rPr>
              <w:t>Минеральная вода</w:t>
            </w:r>
          </w:p>
        </w:tc>
        <w:tc>
          <w:tcPr>
            <w:tcW w:w="1472"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rPr>
            </w:pPr>
            <w:r>
              <w:rPr>
                <w:rFonts w:ascii="Times New Roman" w:hAnsi="Times New Roman"/>
              </w:rPr>
              <w:t>3,9</w:t>
            </w:r>
          </w:p>
        </w:tc>
        <w:tc>
          <w:tcPr>
            <w:tcW w:w="1417"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rPr>
            </w:pPr>
            <w:r>
              <w:rPr>
                <w:rFonts w:ascii="Times New Roman" w:hAnsi="Times New Roman"/>
              </w:rPr>
              <w:t>4,0</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rPr>
            </w:pPr>
            <w:r>
              <w:rPr>
                <w:rFonts w:ascii="Times New Roman" w:hAnsi="Times New Roman"/>
              </w:rPr>
              <w:t>97,5</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rPr>
            </w:pPr>
            <w:r>
              <w:rPr>
                <w:rFonts w:ascii="Times New Roman" w:hAnsi="Times New Roman"/>
              </w:rPr>
              <w:t>159,2</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rPr>
            </w:pPr>
            <w:r>
              <w:rPr>
                <w:rFonts w:ascii="Times New Roman" w:hAnsi="Times New Roman"/>
              </w:rPr>
              <w:t>159,5</w:t>
            </w:r>
          </w:p>
        </w:tc>
        <w:tc>
          <w:tcPr>
            <w:tcW w:w="829"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rPr>
            </w:pPr>
            <w:r>
              <w:rPr>
                <w:rFonts w:ascii="Times New Roman" w:hAnsi="Times New Roman"/>
              </w:rPr>
              <w:t>99,9</w:t>
            </w:r>
          </w:p>
        </w:tc>
      </w:tr>
      <w:tr w:rsidR="00984667" w:rsidTr="00106C3D">
        <w:trPr>
          <w:trHeight w:val="141"/>
          <w:jc w:val="center"/>
        </w:trPr>
        <w:tc>
          <w:tcPr>
            <w:tcW w:w="2194"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rPr>
                <w:rFonts w:ascii="Times New Roman" w:hAnsi="Times New Roman"/>
                <w:b/>
              </w:rPr>
            </w:pPr>
            <w:r>
              <w:rPr>
                <w:rFonts w:ascii="Times New Roman" w:hAnsi="Times New Roman"/>
                <w:b/>
              </w:rPr>
              <w:t>Итого</w:t>
            </w:r>
          </w:p>
        </w:tc>
        <w:tc>
          <w:tcPr>
            <w:tcW w:w="1472"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
              </w:rPr>
            </w:pPr>
            <w:r>
              <w:rPr>
                <w:rFonts w:ascii="Times New Roman" w:hAnsi="Times New Roman"/>
                <w:b/>
              </w:rPr>
              <w:t>455,6</w:t>
            </w:r>
          </w:p>
        </w:tc>
        <w:tc>
          <w:tcPr>
            <w:tcW w:w="1417"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
              </w:rPr>
            </w:pPr>
            <w:r>
              <w:rPr>
                <w:rFonts w:ascii="Times New Roman" w:hAnsi="Times New Roman"/>
                <w:b/>
              </w:rPr>
              <w:t>337,4</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
              </w:rPr>
            </w:pPr>
            <w:r>
              <w:rPr>
                <w:rFonts w:ascii="Times New Roman" w:hAnsi="Times New Roman"/>
                <w:b/>
              </w:rPr>
              <w:t>135,1</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
              </w:rPr>
            </w:pPr>
            <w:r>
              <w:rPr>
                <w:rFonts w:ascii="Times New Roman" w:hAnsi="Times New Roman"/>
                <w:b/>
              </w:rPr>
              <w:t>6 843,2</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
              </w:rPr>
            </w:pPr>
            <w:r>
              <w:rPr>
                <w:rFonts w:ascii="Times New Roman" w:hAnsi="Times New Roman"/>
                <w:b/>
              </w:rPr>
              <w:t>4 062,1</w:t>
            </w:r>
          </w:p>
        </w:tc>
        <w:tc>
          <w:tcPr>
            <w:tcW w:w="829" w:type="dxa"/>
            <w:tcBorders>
              <w:top w:val="single" w:sz="4" w:space="0" w:color="auto"/>
              <w:left w:val="single" w:sz="4" w:space="0" w:color="auto"/>
              <w:bottom w:val="single" w:sz="4" w:space="0" w:color="auto"/>
              <w:right w:val="single" w:sz="4" w:space="0" w:color="auto"/>
            </w:tcBorders>
            <w:vAlign w:val="center"/>
            <w:hideMark/>
          </w:tcPr>
          <w:p w:rsidR="00984667" w:rsidRDefault="00984667" w:rsidP="005261BD">
            <w:pPr>
              <w:spacing w:after="0" w:line="240" w:lineRule="auto"/>
              <w:jc w:val="right"/>
              <w:rPr>
                <w:rFonts w:ascii="Times New Roman" w:hAnsi="Times New Roman"/>
                <w:b/>
              </w:rPr>
            </w:pPr>
            <w:r>
              <w:rPr>
                <w:rFonts w:ascii="Times New Roman" w:hAnsi="Times New Roman"/>
                <w:b/>
              </w:rPr>
              <w:t>168,5</w:t>
            </w:r>
          </w:p>
        </w:tc>
      </w:tr>
    </w:tbl>
    <w:p w:rsidR="00C258D9" w:rsidRDefault="00C258D9" w:rsidP="00984667">
      <w:pPr>
        <w:spacing w:after="0" w:line="240" w:lineRule="auto"/>
        <w:ind w:firstLine="720"/>
        <w:jc w:val="both"/>
        <w:rPr>
          <w:rFonts w:ascii="Times New Roman" w:hAnsi="Times New Roman"/>
          <w:sz w:val="24"/>
          <w:szCs w:val="24"/>
        </w:rPr>
      </w:pPr>
    </w:p>
    <w:p w:rsidR="00984667" w:rsidRPr="00AC358B" w:rsidRDefault="00984667" w:rsidP="00984667">
      <w:pPr>
        <w:spacing w:after="0" w:line="240" w:lineRule="auto"/>
        <w:ind w:firstLine="720"/>
        <w:jc w:val="both"/>
        <w:rPr>
          <w:rFonts w:ascii="Times New Roman" w:hAnsi="Times New Roman"/>
          <w:sz w:val="24"/>
          <w:szCs w:val="24"/>
        </w:rPr>
      </w:pPr>
      <w:r w:rsidRPr="00AC358B">
        <w:rPr>
          <w:rFonts w:ascii="Times New Roman" w:hAnsi="Times New Roman"/>
          <w:sz w:val="24"/>
          <w:szCs w:val="24"/>
        </w:rPr>
        <w:t xml:space="preserve">Платежи за пользование недрами в </w:t>
      </w:r>
      <w:r w:rsidRPr="00AC358B">
        <w:rPr>
          <w:rFonts w:ascii="Times New Roman" w:hAnsi="Times New Roman"/>
          <w:sz w:val="24"/>
          <w:szCs w:val="24"/>
          <w:lang w:val="en-US"/>
        </w:rPr>
        <w:t>I</w:t>
      </w:r>
      <w:r w:rsidRPr="00AC358B">
        <w:rPr>
          <w:rFonts w:ascii="Times New Roman" w:hAnsi="Times New Roman"/>
          <w:sz w:val="24"/>
          <w:szCs w:val="24"/>
        </w:rPr>
        <w:t xml:space="preserve"> полугодии 2014 года увеличились на 68,5% по сравнению с сопоставимым период</w:t>
      </w:r>
      <w:r>
        <w:rPr>
          <w:rFonts w:ascii="Times New Roman" w:hAnsi="Times New Roman"/>
          <w:sz w:val="24"/>
          <w:szCs w:val="24"/>
        </w:rPr>
        <w:t>о</w:t>
      </w:r>
      <w:r w:rsidRPr="00AC358B">
        <w:rPr>
          <w:rFonts w:ascii="Times New Roman" w:hAnsi="Times New Roman"/>
          <w:sz w:val="24"/>
          <w:szCs w:val="24"/>
        </w:rPr>
        <w:t>м 2013 года до 6 843,2 тыс. руб., это обусловлено увеличением добычи цементного сырья в 2,1 раза. В то же время наблюдается падение объема добычи пильных и рифогенных известняков.</w:t>
      </w:r>
    </w:p>
    <w:p w:rsidR="00984667" w:rsidRPr="00AC358B" w:rsidRDefault="00984667" w:rsidP="00984667">
      <w:pPr>
        <w:autoSpaceDE w:val="0"/>
        <w:autoSpaceDN w:val="0"/>
        <w:adjustRightInd w:val="0"/>
        <w:spacing w:after="0" w:line="240" w:lineRule="auto"/>
        <w:ind w:firstLine="709"/>
        <w:jc w:val="both"/>
        <w:rPr>
          <w:rFonts w:ascii="Times New Roman" w:hAnsi="Times New Roman"/>
          <w:sz w:val="24"/>
          <w:szCs w:val="24"/>
        </w:rPr>
      </w:pPr>
      <w:r w:rsidRPr="00AC358B">
        <w:rPr>
          <w:rFonts w:ascii="Times New Roman" w:hAnsi="Times New Roman"/>
          <w:sz w:val="24"/>
          <w:szCs w:val="24"/>
        </w:rPr>
        <w:t xml:space="preserve">Основными задачами, стоящими перед </w:t>
      </w:r>
      <w:r w:rsidRPr="00AC358B">
        <w:rPr>
          <w:rFonts w:ascii="Times New Roman" w:hAnsi="Times New Roman"/>
          <w:b/>
          <w:sz w:val="24"/>
          <w:szCs w:val="24"/>
        </w:rPr>
        <w:t>лесной отраслью</w:t>
      </w:r>
      <w:r w:rsidRPr="00AC358B">
        <w:rPr>
          <w:rFonts w:ascii="Times New Roman" w:hAnsi="Times New Roman"/>
          <w:sz w:val="24"/>
          <w:szCs w:val="24"/>
        </w:rPr>
        <w:t>, являются проведение комплекса лесохозяйственных мероприятий, направленных на повышение экологической безопасности региона, увеличение лесистости территории, выращивание высокопродуктивных, экологически устойчивых лесов, их охрана и защита.</w:t>
      </w:r>
    </w:p>
    <w:p w:rsidR="00984667" w:rsidRPr="00AC358B" w:rsidRDefault="00984667" w:rsidP="00984667">
      <w:pPr>
        <w:autoSpaceDE w:val="0"/>
        <w:autoSpaceDN w:val="0"/>
        <w:adjustRightInd w:val="0"/>
        <w:spacing w:after="0" w:line="240" w:lineRule="auto"/>
        <w:ind w:firstLine="709"/>
        <w:jc w:val="both"/>
        <w:rPr>
          <w:rFonts w:ascii="Times New Roman" w:hAnsi="Times New Roman"/>
          <w:sz w:val="24"/>
          <w:szCs w:val="24"/>
        </w:rPr>
      </w:pPr>
      <w:r w:rsidRPr="00AC358B">
        <w:rPr>
          <w:rFonts w:ascii="Times New Roman" w:hAnsi="Times New Roman"/>
          <w:sz w:val="24"/>
          <w:szCs w:val="24"/>
        </w:rPr>
        <w:t xml:space="preserve">За </w:t>
      </w:r>
      <w:r w:rsidRPr="00AC358B">
        <w:rPr>
          <w:rFonts w:ascii="Times New Roman" w:hAnsi="Times New Roman"/>
          <w:sz w:val="24"/>
          <w:szCs w:val="24"/>
          <w:lang w:val="en-US"/>
        </w:rPr>
        <w:t>I</w:t>
      </w:r>
      <w:r w:rsidRPr="00AC358B">
        <w:rPr>
          <w:rFonts w:ascii="Times New Roman" w:hAnsi="Times New Roman"/>
          <w:sz w:val="24"/>
          <w:szCs w:val="24"/>
        </w:rPr>
        <w:t xml:space="preserve"> полугодие 2014 года посев и посадка леса в Гослесфонде проведены на площади 47 га, что на 57,1% меньше, чем за январь - июнь 2013 года. Дополнение лесных культур прошлых лет проведено на площади 91</w:t>
      </w:r>
      <w:r w:rsidRPr="00AC358B">
        <w:rPr>
          <w:rFonts w:ascii="Times New Roman" w:hAnsi="Times New Roman"/>
          <w:b/>
          <w:sz w:val="24"/>
          <w:szCs w:val="24"/>
        </w:rPr>
        <w:t xml:space="preserve"> </w:t>
      </w:r>
      <w:r w:rsidRPr="00AC358B">
        <w:rPr>
          <w:rFonts w:ascii="Times New Roman" w:hAnsi="Times New Roman"/>
          <w:sz w:val="24"/>
          <w:szCs w:val="24"/>
        </w:rPr>
        <w:t>га, уход за лесными культурами проведен на площади 348 га.</w:t>
      </w:r>
    </w:p>
    <w:p w:rsidR="00984667" w:rsidRPr="00AC358B" w:rsidRDefault="00984667" w:rsidP="00984667">
      <w:pPr>
        <w:autoSpaceDE w:val="0"/>
        <w:autoSpaceDN w:val="0"/>
        <w:adjustRightInd w:val="0"/>
        <w:spacing w:after="0" w:line="240" w:lineRule="auto"/>
        <w:ind w:firstLine="709"/>
        <w:jc w:val="both"/>
        <w:rPr>
          <w:rFonts w:ascii="Times New Roman" w:hAnsi="Times New Roman"/>
          <w:sz w:val="24"/>
          <w:szCs w:val="24"/>
        </w:rPr>
      </w:pPr>
      <w:r w:rsidRPr="00AC358B">
        <w:rPr>
          <w:rFonts w:ascii="Times New Roman" w:hAnsi="Times New Roman"/>
          <w:sz w:val="24"/>
          <w:szCs w:val="24"/>
        </w:rPr>
        <w:t>В целях выращивания посадочного материала для создания лесных культур и озеленение городов и населенных пунктов республики в лесных питомниках произведена заготовка лесных семян в объеме 281 кг.</w:t>
      </w:r>
    </w:p>
    <w:p w:rsidR="00984667" w:rsidRPr="00AC358B" w:rsidRDefault="00984667" w:rsidP="00984667">
      <w:pPr>
        <w:autoSpaceDE w:val="0"/>
        <w:autoSpaceDN w:val="0"/>
        <w:adjustRightInd w:val="0"/>
        <w:spacing w:after="0" w:line="240" w:lineRule="auto"/>
        <w:ind w:firstLine="709"/>
        <w:jc w:val="both"/>
        <w:rPr>
          <w:rFonts w:ascii="Times New Roman" w:hAnsi="Times New Roman"/>
          <w:sz w:val="24"/>
          <w:szCs w:val="24"/>
        </w:rPr>
      </w:pPr>
      <w:r w:rsidRPr="00AC358B">
        <w:rPr>
          <w:rFonts w:ascii="Times New Roman" w:hAnsi="Times New Roman"/>
          <w:sz w:val="24"/>
          <w:szCs w:val="24"/>
        </w:rPr>
        <w:t>В I полугодии 2014 года были проведены лесозащитные мероприятия, осуществленные биологическими мерами (изготовление скворечников) в объеме 272 штук на площади 80 га.</w:t>
      </w:r>
    </w:p>
    <w:p w:rsidR="00984667" w:rsidRPr="00AC358B" w:rsidRDefault="00984667" w:rsidP="00984667">
      <w:pPr>
        <w:autoSpaceDE w:val="0"/>
        <w:autoSpaceDN w:val="0"/>
        <w:adjustRightInd w:val="0"/>
        <w:spacing w:after="0" w:line="240" w:lineRule="auto"/>
        <w:ind w:firstLine="709"/>
        <w:jc w:val="both"/>
        <w:rPr>
          <w:rFonts w:ascii="Times New Roman" w:hAnsi="Times New Roman"/>
          <w:sz w:val="24"/>
          <w:szCs w:val="24"/>
        </w:rPr>
      </w:pPr>
      <w:r w:rsidRPr="00AC358B">
        <w:rPr>
          <w:rFonts w:ascii="Times New Roman" w:hAnsi="Times New Roman"/>
          <w:sz w:val="24"/>
          <w:szCs w:val="24"/>
        </w:rPr>
        <w:lastRenderedPageBreak/>
        <w:t xml:space="preserve">Для организации противопожарной безопасности территории Гослесфонда в текущем периоде был выполнен ремонт дорог противопожарного назначения в объеме </w:t>
      </w:r>
      <w:r w:rsidR="00BA368A">
        <w:rPr>
          <w:rFonts w:ascii="Times New Roman" w:hAnsi="Times New Roman"/>
          <w:sz w:val="24"/>
          <w:szCs w:val="24"/>
        </w:rPr>
        <w:t xml:space="preserve">          </w:t>
      </w:r>
      <w:r w:rsidRPr="00AC358B">
        <w:rPr>
          <w:rFonts w:ascii="Times New Roman" w:hAnsi="Times New Roman"/>
          <w:sz w:val="24"/>
          <w:szCs w:val="24"/>
        </w:rPr>
        <w:t xml:space="preserve">5,6 км. Показатель по уходу за минерализованными полосами в январе – июне 2014 года составил 183 км, увеличившись по отношению к показателя января - июня 2013 года в </w:t>
      </w:r>
      <w:r w:rsidR="00106C3D">
        <w:rPr>
          <w:rFonts w:ascii="Times New Roman" w:hAnsi="Times New Roman"/>
          <w:sz w:val="24"/>
          <w:szCs w:val="24"/>
        </w:rPr>
        <w:t xml:space="preserve">         </w:t>
      </w:r>
      <w:r w:rsidRPr="00AC358B">
        <w:rPr>
          <w:rFonts w:ascii="Times New Roman" w:hAnsi="Times New Roman"/>
          <w:sz w:val="24"/>
          <w:szCs w:val="24"/>
        </w:rPr>
        <w:t>2 раза.</w:t>
      </w:r>
    </w:p>
    <w:p w:rsidR="00984667" w:rsidRPr="00AC358B" w:rsidRDefault="00984667" w:rsidP="00984667">
      <w:pPr>
        <w:autoSpaceDE w:val="0"/>
        <w:autoSpaceDN w:val="0"/>
        <w:adjustRightInd w:val="0"/>
        <w:spacing w:after="0" w:line="240" w:lineRule="auto"/>
        <w:ind w:firstLine="709"/>
        <w:jc w:val="both"/>
        <w:rPr>
          <w:rFonts w:ascii="Times New Roman" w:hAnsi="Times New Roman"/>
          <w:sz w:val="24"/>
          <w:szCs w:val="24"/>
        </w:rPr>
      </w:pPr>
      <w:r w:rsidRPr="00AC358B">
        <w:rPr>
          <w:rFonts w:ascii="Times New Roman" w:hAnsi="Times New Roman"/>
          <w:sz w:val="24"/>
          <w:szCs w:val="24"/>
        </w:rPr>
        <w:t xml:space="preserve">В целях увеличения численности охотфауны биотехнические мероприятия в </w:t>
      </w:r>
      <w:r w:rsidR="00BA368A">
        <w:rPr>
          <w:rFonts w:ascii="Times New Roman" w:hAnsi="Times New Roman"/>
          <w:sz w:val="24"/>
          <w:szCs w:val="24"/>
        </w:rPr>
        <w:t xml:space="preserve">              </w:t>
      </w:r>
      <w:r w:rsidRPr="00AC358B">
        <w:rPr>
          <w:rFonts w:ascii="Times New Roman" w:hAnsi="Times New Roman"/>
          <w:sz w:val="24"/>
          <w:szCs w:val="24"/>
          <w:lang w:val="en-US"/>
        </w:rPr>
        <w:t>I</w:t>
      </w:r>
      <w:r w:rsidRPr="00AC358B">
        <w:rPr>
          <w:rFonts w:ascii="Times New Roman" w:hAnsi="Times New Roman"/>
          <w:sz w:val="24"/>
          <w:szCs w:val="24"/>
        </w:rPr>
        <w:t xml:space="preserve"> полугодии 2014 года выполнены в следующих объемах: закладка кормовых полей 3 га</w:t>
      </w:r>
      <w:r w:rsidR="007B64D6">
        <w:rPr>
          <w:rFonts w:ascii="Times New Roman" w:hAnsi="Times New Roman"/>
          <w:sz w:val="24"/>
          <w:szCs w:val="24"/>
        </w:rPr>
        <w:t xml:space="preserve">        </w:t>
      </w:r>
      <w:r w:rsidRPr="00AC358B">
        <w:rPr>
          <w:rFonts w:ascii="Times New Roman" w:hAnsi="Times New Roman"/>
          <w:sz w:val="24"/>
          <w:szCs w:val="24"/>
        </w:rPr>
        <w:t xml:space="preserve"> (в </w:t>
      </w:r>
      <w:r w:rsidRPr="00AC358B">
        <w:rPr>
          <w:rFonts w:ascii="Times New Roman" w:hAnsi="Times New Roman"/>
          <w:sz w:val="24"/>
          <w:szCs w:val="24"/>
          <w:lang w:val="en-US"/>
        </w:rPr>
        <w:t>I</w:t>
      </w:r>
      <w:r w:rsidRPr="00AC358B">
        <w:rPr>
          <w:rFonts w:ascii="Times New Roman" w:hAnsi="Times New Roman"/>
          <w:sz w:val="24"/>
          <w:szCs w:val="24"/>
        </w:rPr>
        <w:t xml:space="preserve"> полугодии 2013 года – 7 га), заготовка сена – 7 тонн, заготовка веткорма – 1,14 тыс.шт. (в </w:t>
      </w:r>
      <w:r w:rsidRPr="00AC358B">
        <w:rPr>
          <w:rFonts w:ascii="Times New Roman" w:hAnsi="Times New Roman"/>
          <w:sz w:val="24"/>
          <w:szCs w:val="24"/>
          <w:lang w:val="en-US"/>
        </w:rPr>
        <w:t>I</w:t>
      </w:r>
      <w:r w:rsidRPr="00AC358B">
        <w:rPr>
          <w:rFonts w:ascii="Times New Roman" w:hAnsi="Times New Roman"/>
          <w:sz w:val="24"/>
          <w:szCs w:val="24"/>
        </w:rPr>
        <w:t xml:space="preserve"> полугодии 2013 года –</w:t>
      </w:r>
      <w:r>
        <w:rPr>
          <w:rFonts w:ascii="Times New Roman" w:hAnsi="Times New Roman"/>
          <w:sz w:val="24"/>
          <w:szCs w:val="24"/>
        </w:rPr>
        <w:t xml:space="preserve"> </w:t>
      </w:r>
      <w:r w:rsidRPr="00AC358B">
        <w:rPr>
          <w:rFonts w:ascii="Times New Roman" w:hAnsi="Times New Roman"/>
          <w:sz w:val="24"/>
          <w:szCs w:val="24"/>
        </w:rPr>
        <w:t>5,7 тыс. шт.)</w:t>
      </w:r>
      <w:r w:rsidRPr="00AC358B">
        <w:rPr>
          <w:rFonts w:ascii="Times New Roman" w:hAnsi="Times New Roman"/>
          <w:b/>
          <w:sz w:val="24"/>
          <w:szCs w:val="24"/>
        </w:rPr>
        <w:t>,</w:t>
      </w:r>
      <w:r w:rsidRPr="00AC358B">
        <w:rPr>
          <w:rFonts w:ascii="Times New Roman" w:hAnsi="Times New Roman"/>
          <w:sz w:val="24"/>
          <w:szCs w:val="24"/>
        </w:rPr>
        <w:t xml:space="preserve"> выкладка веткорма – 8,1 тыс.шт.(в </w:t>
      </w:r>
      <w:r w:rsidRPr="00AC358B">
        <w:rPr>
          <w:rFonts w:ascii="Times New Roman" w:hAnsi="Times New Roman"/>
          <w:sz w:val="24"/>
          <w:szCs w:val="24"/>
          <w:lang w:val="en-US"/>
        </w:rPr>
        <w:t>I</w:t>
      </w:r>
      <w:r w:rsidRPr="00AC358B">
        <w:rPr>
          <w:rFonts w:ascii="Times New Roman" w:hAnsi="Times New Roman"/>
          <w:sz w:val="24"/>
          <w:szCs w:val="24"/>
        </w:rPr>
        <w:t xml:space="preserve"> полугодии 2013 года –</w:t>
      </w:r>
      <w:r>
        <w:rPr>
          <w:rFonts w:ascii="Times New Roman" w:hAnsi="Times New Roman"/>
          <w:sz w:val="24"/>
          <w:szCs w:val="24"/>
        </w:rPr>
        <w:t xml:space="preserve"> </w:t>
      </w:r>
      <w:r w:rsidRPr="00AC358B">
        <w:rPr>
          <w:rFonts w:ascii="Times New Roman" w:hAnsi="Times New Roman"/>
          <w:sz w:val="24"/>
          <w:szCs w:val="24"/>
        </w:rPr>
        <w:t>6,8 тыс.</w:t>
      </w:r>
      <w:r w:rsidR="007B64D6">
        <w:rPr>
          <w:rFonts w:ascii="Times New Roman" w:hAnsi="Times New Roman"/>
          <w:sz w:val="24"/>
          <w:szCs w:val="24"/>
        </w:rPr>
        <w:t xml:space="preserve"> </w:t>
      </w:r>
      <w:r w:rsidRPr="00AC358B">
        <w:rPr>
          <w:rFonts w:ascii="Times New Roman" w:hAnsi="Times New Roman"/>
          <w:sz w:val="24"/>
          <w:szCs w:val="24"/>
        </w:rPr>
        <w:t>шт</w:t>
      </w:r>
      <w:r w:rsidRPr="00AC358B">
        <w:rPr>
          <w:rFonts w:ascii="Times New Roman" w:hAnsi="Times New Roman"/>
          <w:b/>
          <w:sz w:val="24"/>
          <w:szCs w:val="24"/>
        </w:rPr>
        <w:t>)</w:t>
      </w:r>
      <w:r w:rsidRPr="00AC358B">
        <w:rPr>
          <w:rFonts w:ascii="Times New Roman" w:hAnsi="Times New Roman"/>
          <w:sz w:val="24"/>
          <w:szCs w:val="24"/>
        </w:rPr>
        <w:t xml:space="preserve">, выкладка сена – 8,3 тонн (в </w:t>
      </w:r>
      <w:r w:rsidRPr="00AC358B">
        <w:rPr>
          <w:rFonts w:ascii="Times New Roman" w:hAnsi="Times New Roman"/>
          <w:sz w:val="24"/>
          <w:szCs w:val="24"/>
          <w:lang w:val="en-US"/>
        </w:rPr>
        <w:t>I</w:t>
      </w:r>
      <w:r w:rsidRPr="00AC358B">
        <w:rPr>
          <w:rFonts w:ascii="Times New Roman" w:hAnsi="Times New Roman"/>
          <w:sz w:val="24"/>
          <w:szCs w:val="24"/>
        </w:rPr>
        <w:t xml:space="preserve"> полугодии 2013 года – 7,4 тонн), выкладка зерна и зерноотходов – 5 тыс. кг.</w:t>
      </w:r>
    </w:p>
    <w:p w:rsidR="00984667" w:rsidRPr="00AC358B" w:rsidRDefault="00984667" w:rsidP="00984667">
      <w:pPr>
        <w:autoSpaceDE w:val="0"/>
        <w:autoSpaceDN w:val="0"/>
        <w:adjustRightInd w:val="0"/>
        <w:spacing w:after="0" w:line="240" w:lineRule="auto"/>
        <w:ind w:firstLine="709"/>
        <w:jc w:val="both"/>
        <w:rPr>
          <w:rFonts w:ascii="Times New Roman" w:hAnsi="Times New Roman"/>
          <w:sz w:val="24"/>
          <w:szCs w:val="24"/>
        </w:rPr>
      </w:pPr>
      <w:r w:rsidRPr="00AC358B">
        <w:rPr>
          <w:rFonts w:ascii="Times New Roman" w:hAnsi="Times New Roman"/>
          <w:sz w:val="24"/>
          <w:szCs w:val="24"/>
        </w:rPr>
        <w:t>Отрицательными факторами, сдерживающими развитие лесной отрасли, являются: недостаточное бюджетное финансирование, низкая техническая оснащенность и изношенность автомобильно-тракторного парка, чрезвычайно низкий уровень оплаты труда в лесной отрасли, что приводит к дефициту рабочей силы и большой текучести кадров.</w:t>
      </w:r>
    </w:p>
    <w:p w:rsidR="00DE2491" w:rsidRDefault="00DE2491" w:rsidP="0007138E">
      <w:pPr>
        <w:spacing w:after="0" w:line="240" w:lineRule="auto"/>
        <w:ind w:firstLine="720"/>
        <w:jc w:val="both"/>
        <w:rPr>
          <w:rFonts w:ascii="Times New Roman" w:hAnsi="Times New Roman"/>
          <w:sz w:val="24"/>
          <w:szCs w:val="24"/>
        </w:rPr>
      </w:pPr>
    </w:p>
    <w:p w:rsidR="00DE2491" w:rsidRDefault="00DE2491" w:rsidP="0007138E">
      <w:pPr>
        <w:spacing w:after="0" w:line="240" w:lineRule="auto"/>
        <w:ind w:firstLine="720"/>
        <w:jc w:val="both"/>
        <w:rPr>
          <w:rFonts w:ascii="Times New Roman" w:hAnsi="Times New Roman"/>
          <w:b/>
          <w:sz w:val="24"/>
          <w:szCs w:val="24"/>
        </w:rPr>
      </w:pPr>
      <w:r w:rsidRPr="00E030E3">
        <w:rPr>
          <w:rFonts w:ascii="Times New Roman" w:hAnsi="Times New Roman"/>
          <w:b/>
          <w:sz w:val="24"/>
          <w:szCs w:val="24"/>
        </w:rPr>
        <w:t>Состояние социальной сферы</w:t>
      </w:r>
    </w:p>
    <w:p w:rsidR="00DE2491" w:rsidRPr="00C54A01" w:rsidRDefault="00DE2491" w:rsidP="0007138E">
      <w:pPr>
        <w:spacing w:after="0" w:line="240" w:lineRule="auto"/>
        <w:ind w:firstLine="720"/>
        <w:jc w:val="both"/>
        <w:rPr>
          <w:rFonts w:ascii="Times New Roman" w:hAnsi="Times New Roman"/>
          <w:sz w:val="24"/>
          <w:szCs w:val="24"/>
        </w:rPr>
      </w:pPr>
    </w:p>
    <w:p w:rsidR="005261BD" w:rsidRPr="00312109" w:rsidRDefault="005261BD" w:rsidP="005261BD">
      <w:pPr>
        <w:widowControl w:val="0"/>
        <w:spacing w:after="0" w:line="240" w:lineRule="auto"/>
        <w:ind w:firstLineChars="302" w:firstLine="728"/>
        <w:jc w:val="both"/>
        <w:rPr>
          <w:rFonts w:ascii="Times New Roman" w:hAnsi="Times New Roman"/>
          <w:b/>
          <w:sz w:val="24"/>
          <w:szCs w:val="24"/>
        </w:rPr>
      </w:pPr>
      <w:r w:rsidRPr="00C258D9">
        <w:rPr>
          <w:rFonts w:ascii="Times New Roman" w:hAnsi="Times New Roman"/>
          <w:b/>
          <w:sz w:val="24"/>
          <w:szCs w:val="24"/>
        </w:rPr>
        <w:t>Уровень жизни населения</w:t>
      </w:r>
    </w:p>
    <w:p w:rsidR="005261BD" w:rsidRPr="00312109" w:rsidRDefault="005261BD" w:rsidP="005261BD">
      <w:pPr>
        <w:spacing w:after="0" w:line="240" w:lineRule="auto"/>
        <w:ind w:firstLineChars="252" w:firstLine="605"/>
        <w:jc w:val="both"/>
        <w:rPr>
          <w:rFonts w:ascii="Times New Roman" w:hAnsi="Times New Roman"/>
          <w:sz w:val="24"/>
          <w:szCs w:val="24"/>
        </w:rPr>
      </w:pPr>
    </w:p>
    <w:p w:rsidR="005261BD" w:rsidRPr="00312109" w:rsidRDefault="005261BD" w:rsidP="00BA368A">
      <w:pPr>
        <w:spacing w:after="0" w:line="240" w:lineRule="auto"/>
        <w:ind w:firstLineChars="295" w:firstLine="708"/>
        <w:jc w:val="both"/>
        <w:rPr>
          <w:rFonts w:ascii="Times New Roman" w:hAnsi="Times New Roman"/>
          <w:sz w:val="24"/>
          <w:szCs w:val="24"/>
        </w:rPr>
      </w:pPr>
      <w:r w:rsidRPr="00312109">
        <w:rPr>
          <w:rFonts w:ascii="Times New Roman" w:hAnsi="Times New Roman"/>
          <w:sz w:val="24"/>
          <w:szCs w:val="24"/>
          <w:shd w:val="clear" w:color="auto" w:fill="FFFFFF"/>
        </w:rPr>
        <w:t>Уровень жизни дает оценку экономической стороны качества жизни населения и служит критерием при выборе направлений и приоритетов экономической и социальной политики государства</w:t>
      </w:r>
      <w:r>
        <w:rPr>
          <w:rFonts w:ascii="Times New Roman" w:hAnsi="Times New Roman"/>
          <w:sz w:val="24"/>
          <w:szCs w:val="24"/>
          <w:shd w:val="clear" w:color="auto" w:fill="FFFFFF"/>
        </w:rPr>
        <w:t xml:space="preserve">. </w:t>
      </w:r>
    </w:p>
    <w:p w:rsidR="005261BD" w:rsidRPr="00312109" w:rsidRDefault="005261BD" w:rsidP="00BA368A">
      <w:pPr>
        <w:spacing w:after="0" w:line="240" w:lineRule="auto"/>
        <w:ind w:firstLine="709"/>
        <w:jc w:val="both"/>
        <w:rPr>
          <w:rFonts w:ascii="Times New Roman" w:hAnsi="Times New Roman"/>
          <w:b/>
          <w:sz w:val="24"/>
          <w:szCs w:val="24"/>
        </w:rPr>
      </w:pPr>
      <w:r w:rsidRPr="00312109">
        <w:rPr>
          <w:rFonts w:ascii="Times New Roman" w:hAnsi="Times New Roman"/>
          <w:sz w:val="24"/>
          <w:szCs w:val="24"/>
          <w:shd w:val="clear" w:color="auto" w:fill="FFFFFF"/>
        </w:rPr>
        <w:t xml:space="preserve">Номинальная заработная плата в целом по республике за </w:t>
      </w:r>
      <w:r w:rsidRPr="00312109">
        <w:rPr>
          <w:rFonts w:ascii="Times New Roman" w:hAnsi="Times New Roman"/>
          <w:sz w:val="24"/>
          <w:szCs w:val="24"/>
          <w:shd w:val="clear" w:color="auto" w:fill="FFFFFF"/>
          <w:lang w:val="en-US"/>
        </w:rPr>
        <w:t>I</w:t>
      </w:r>
      <w:r w:rsidRPr="00312109">
        <w:rPr>
          <w:rFonts w:ascii="Times New Roman" w:hAnsi="Times New Roman"/>
          <w:sz w:val="24"/>
          <w:szCs w:val="24"/>
          <w:shd w:val="clear" w:color="auto" w:fill="FFFFFF"/>
        </w:rPr>
        <w:t xml:space="preserve"> полугодие 2014 года (кроме субъектов малого предпринимательства и без учета силовых структур) составила 4020 руб., повысившись на 9,8%, а с учетом удорожания жизни, реальная величина заработной платы работающих в январе – июне 2014 года возросла по отношению к базисному уровню на 7,4%. В долларовом эквиваленте ее размер повысился на 9,7% и соответствовал 362 долл. США.</w:t>
      </w:r>
      <w:r w:rsidRPr="00312109">
        <w:rPr>
          <w:rFonts w:ascii="Times New Roman" w:hAnsi="Times New Roman"/>
          <w:b/>
          <w:sz w:val="24"/>
          <w:szCs w:val="24"/>
        </w:rPr>
        <w:t xml:space="preserve"> </w:t>
      </w:r>
    </w:p>
    <w:p w:rsidR="005261BD" w:rsidRPr="00312109" w:rsidRDefault="005261BD" w:rsidP="005261BD">
      <w:pPr>
        <w:jc w:val="center"/>
        <w:rPr>
          <w:rFonts w:ascii="Times New Roman" w:hAnsi="Times New Roman"/>
          <w:b/>
          <w:sz w:val="24"/>
          <w:szCs w:val="24"/>
        </w:rPr>
      </w:pPr>
      <w:r w:rsidRPr="00312109">
        <w:rPr>
          <w:rFonts w:ascii="Times New Roman" w:hAnsi="Times New Roman"/>
          <w:b/>
          <w:sz w:val="24"/>
          <w:szCs w:val="24"/>
        </w:rPr>
        <w:t>Величина среднемесячной заработной платы</w:t>
      </w:r>
    </w:p>
    <w:p w:rsidR="005261BD" w:rsidRPr="00312109" w:rsidRDefault="005261BD" w:rsidP="005261BD">
      <w:pPr>
        <w:jc w:val="center"/>
        <w:rPr>
          <w:rFonts w:ascii="Times New Roman" w:hAnsi="Times New Roman"/>
          <w:b/>
          <w:sz w:val="24"/>
          <w:szCs w:val="24"/>
        </w:rPr>
      </w:pPr>
      <w:r w:rsidRPr="00312109">
        <w:rPr>
          <w:rFonts w:ascii="Times New Roman" w:hAnsi="Times New Roman"/>
          <w:b/>
          <w:noProof/>
          <w:sz w:val="24"/>
          <w:szCs w:val="24"/>
        </w:rPr>
        <w:drawing>
          <wp:inline distT="0" distB="0" distL="0" distR="0">
            <wp:extent cx="6172200" cy="330517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5261BD" w:rsidRPr="00312109" w:rsidRDefault="005261BD" w:rsidP="005261BD">
      <w:pPr>
        <w:spacing w:after="0" w:line="240" w:lineRule="auto"/>
        <w:ind w:firstLine="709"/>
        <w:jc w:val="both"/>
        <w:rPr>
          <w:rFonts w:ascii="Times New Roman" w:hAnsi="Times New Roman"/>
          <w:sz w:val="24"/>
          <w:szCs w:val="24"/>
        </w:rPr>
      </w:pPr>
      <w:r w:rsidRPr="00312109">
        <w:rPr>
          <w:rFonts w:ascii="Times New Roman" w:hAnsi="Times New Roman"/>
          <w:sz w:val="24"/>
          <w:szCs w:val="24"/>
        </w:rPr>
        <w:lastRenderedPageBreak/>
        <w:t xml:space="preserve">При этом значимым обстоятельством напряженности в обществе                    продолжает выступать степень дифференциации размера заработной платы. В сравнении уровня заработной платы в высоко- и низкооплачиваемых отраслях экономики превышение составило 4,8 раза. Самый высокий уровень заработной платы наблюдался у работников таких отраслей экономики как, «Электро и радиосвязь» (9 274 руб.), «Банки и кредитование» (8 308 руб.), «Заготовка металлолома и утиля» (5 081 руб.), где повышение ее размера составило 9,3%, 4,0%, 86,3% соответственно. </w:t>
      </w:r>
    </w:p>
    <w:p w:rsidR="005261BD" w:rsidRPr="00312109" w:rsidRDefault="005261BD" w:rsidP="005261BD">
      <w:pPr>
        <w:spacing w:after="0" w:line="240" w:lineRule="auto"/>
        <w:ind w:firstLine="709"/>
        <w:jc w:val="both"/>
        <w:rPr>
          <w:rFonts w:ascii="Times New Roman" w:hAnsi="Times New Roman"/>
          <w:sz w:val="24"/>
          <w:szCs w:val="24"/>
        </w:rPr>
      </w:pPr>
      <w:r w:rsidRPr="00312109">
        <w:rPr>
          <w:rFonts w:ascii="Times New Roman" w:hAnsi="Times New Roman"/>
          <w:sz w:val="24"/>
          <w:szCs w:val="24"/>
        </w:rPr>
        <w:t xml:space="preserve">Несмотря на существенное повышение среднемесячной заработной платы у работников отраслей: «Геология и метрология» (на 14,6% до 1 982 руб.), «Лесное хозяйство» (на 7,2% до 1 927 руб.), «Социальное обеспечение» (на 4,8% до 2 040 руб.), ее размер сложился ниже среднереспубликанского уровня на 50,7%, 52,1%, 49,3% соответственно. </w:t>
      </w:r>
    </w:p>
    <w:p w:rsidR="005261BD" w:rsidRPr="00312109" w:rsidRDefault="005261BD" w:rsidP="005261BD">
      <w:pPr>
        <w:widowControl w:val="0"/>
        <w:spacing w:after="0" w:line="240" w:lineRule="auto"/>
        <w:ind w:firstLine="709"/>
        <w:jc w:val="both"/>
        <w:rPr>
          <w:rFonts w:ascii="Times New Roman" w:hAnsi="Times New Roman"/>
          <w:sz w:val="24"/>
          <w:szCs w:val="24"/>
        </w:rPr>
      </w:pPr>
      <w:r w:rsidRPr="00312109">
        <w:rPr>
          <w:rFonts w:ascii="Times New Roman" w:hAnsi="Times New Roman"/>
          <w:sz w:val="24"/>
          <w:szCs w:val="24"/>
        </w:rPr>
        <w:t xml:space="preserve">В целом по экономике в I полугодии 2014 года динамика оплаты труда (+9,8%) опережала прирост минимального набора товаров и услуг, </w:t>
      </w:r>
      <w:r w:rsidRPr="00312109">
        <w:rPr>
          <w:rFonts w:ascii="Times New Roman" w:hAnsi="Times New Roman"/>
          <w:color w:val="000000"/>
          <w:sz w:val="24"/>
          <w:szCs w:val="24"/>
        </w:rPr>
        <w:t xml:space="preserve">необходимых трудоспособному человеку для поддержания жизнедеятельности </w:t>
      </w:r>
      <w:r w:rsidRPr="00312109">
        <w:rPr>
          <w:rFonts w:ascii="Times New Roman" w:hAnsi="Times New Roman"/>
          <w:sz w:val="24"/>
          <w:szCs w:val="24"/>
        </w:rPr>
        <w:t>(+7,9% до 1 417,0 руб. ПМР)</w:t>
      </w:r>
      <w:r>
        <w:rPr>
          <w:rFonts w:ascii="Times New Roman" w:hAnsi="Times New Roman"/>
          <w:sz w:val="24"/>
          <w:szCs w:val="24"/>
        </w:rPr>
        <w:t>. О</w:t>
      </w:r>
      <w:r w:rsidRPr="00312109">
        <w:rPr>
          <w:rFonts w:ascii="Times New Roman" w:hAnsi="Times New Roman"/>
          <w:sz w:val="24"/>
          <w:szCs w:val="24"/>
        </w:rPr>
        <w:t>днако, по сравнению с аналогичным периодом 2013 года покупательная способность зарплаты не изменилась и составила 2,8 набора прожиточного минимума.</w:t>
      </w:r>
    </w:p>
    <w:p w:rsidR="005261BD" w:rsidRPr="00312109" w:rsidRDefault="005261BD" w:rsidP="005261BD">
      <w:pPr>
        <w:jc w:val="right"/>
        <w:rPr>
          <w:rFonts w:ascii="Times New Roman" w:hAnsi="Times New Roman"/>
          <w:sz w:val="24"/>
          <w:szCs w:val="24"/>
        </w:rPr>
      </w:pPr>
      <w:r w:rsidRPr="00312109">
        <w:rPr>
          <w:rFonts w:ascii="Times New Roman" w:hAnsi="Times New Roman"/>
          <w:noProof/>
          <w:sz w:val="20"/>
          <w:szCs w:val="20"/>
        </w:rPr>
        <w:drawing>
          <wp:inline distT="0" distB="0" distL="0" distR="0">
            <wp:extent cx="5943600" cy="4543425"/>
            <wp:effectExtent l="0" t="0" r="0" b="0"/>
            <wp:docPr id="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261BD" w:rsidRPr="00312109" w:rsidRDefault="005261BD" w:rsidP="005261BD">
      <w:pPr>
        <w:spacing w:after="0"/>
        <w:jc w:val="right"/>
        <w:rPr>
          <w:rFonts w:ascii="Times New Roman" w:hAnsi="Times New Roman"/>
          <w:sz w:val="24"/>
          <w:szCs w:val="24"/>
        </w:rPr>
      </w:pPr>
      <w:r w:rsidRPr="00312109">
        <w:rPr>
          <w:rFonts w:ascii="Times New Roman" w:hAnsi="Times New Roman"/>
          <w:sz w:val="24"/>
          <w:szCs w:val="24"/>
        </w:rPr>
        <w:t xml:space="preserve">Таблица № </w:t>
      </w:r>
      <w:r w:rsidR="00090E11">
        <w:rPr>
          <w:rFonts w:ascii="Times New Roman" w:hAnsi="Times New Roman"/>
          <w:sz w:val="24"/>
          <w:szCs w:val="24"/>
        </w:rPr>
        <w:t>3</w:t>
      </w:r>
      <w:r w:rsidR="00BA368A">
        <w:rPr>
          <w:rFonts w:ascii="Times New Roman" w:hAnsi="Times New Roman"/>
          <w:sz w:val="24"/>
          <w:szCs w:val="24"/>
        </w:rPr>
        <w:t>4</w:t>
      </w:r>
    </w:p>
    <w:p w:rsidR="005261BD" w:rsidRPr="00312109" w:rsidRDefault="005261BD" w:rsidP="005261BD">
      <w:pPr>
        <w:spacing w:after="0" w:line="240" w:lineRule="auto"/>
        <w:ind w:firstLine="709"/>
        <w:jc w:val="center"/>
        <w:rPr>
          <w:rFonts w:ascii="Times New Roman" w:hAnsi="Times New Roman"/>
          <w:b/>
          <w:sz w:val="24"/>
          <w:szCs w:val="24"/>
        </w:rPr>
      </w:pPr>
      <w:r w:rsidRPr="00312109">
        <w:rPr>
          <w:rFonts w:ascii="Times New Roman" w:hAnsi="Times New Roman"/>
          <w:b/>
          <w:sz w:val="24"/>
          <w:szCs w:val="24"/>
        </w:rPr>
        <w:t>Покупательная способность среднемесячной заработной платы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7"/>
        <w:gridCol w:w="2126"/>
        <w:gridCol w:w="1985"/>
      </w:tblGrid>
      <w:tr w:rsidR="005261BD" w:rsidRPr="00312109" w:rsidTr="005261BD">
        <w:trPr>
          <w:trHeight w:val="292"/>
        </w:trPr>
        <w:tc>
          <w:tcPr>
            <w:tcW w:w="5387" w:type="dxa"/>
            <w:shd w:val="clear" w:color="auto" w:fill="E0E0E0"/>
            <w:vAlign w:val="center"/>
          </w:tcPr>
          <w:p w:rsidR="005261BD" w:rsidRPr="00312109" w:rsidRDefault="005261BD" w:rsidP="005261BD">
            <w:pPr>
              <w:widowControl w:val="0"/>
              <w:spacing w:after="0" w:line="240" w:lineRule="auto"/>
              <w:rPr>
                <w:rFonts w:ascii="Times New Roman" w:hAnsi="Times New Roman"/>
                <w:b/>
                <w:sz w:val="24"/>
                <w:szCs w:val="24"/>
              </w:rPr>
            </w:pPr>
            <w:r w:rsidRPr="00312109">
              <w:rPr>
                <w:rFonts w:ascii="Times New Roman" w:hAnsi="Times New Roman"/>
                <w:b/>
                <w:sz w:val="24"/>
                <w:szCs w:val="24"/>
              </w:rPr>
              <w:t>Покупательная способность среднемесячной заработной платы</w:t>
            </w:r>
          </w:p>
        </w:tc>
        <w:tc>
          <w:tcPr>
            <w:tcW w:w="2126" w:type="dxa"/>
            <w:shd w:val="clear" w:color="auto" w:fill="E0E0E0"/>
            <w:vAlign w:val="center"/>
          </w:tcPr>
          <w:p w:rsidR="005261BD" w:rsidRPr="00312109" w:rsidRDefault="005261BD" w:rsidP="005261BD">
            <w:pPr>
              <w:widowControl w:val="0"/>
              <w:spacing w:after="0" w:line="240" w:lineRule="auto"/>
              <w:jc w:val="center"/>
              <w:rPr>
                <w:rFonts w:ascii="Times New Roman" w:hAnsi="Times New Roman"/>
                <w:b/>
                <w:sz w:val="24"/>
                <w:szCs w:val="24"/>
              </w:rPr>
            </w:pPr>
            <w:r w:rsidRPr="00312109">
              <w:rPr>
                <w:rFonts w:ascii="Times New Roman" w:hAnsi="Times New Roman"/>
                <w:b/>
                <w:sz w:val="24"/>
                <w:szCs w:val="24"/>
                <w:lang w:val="en-US"/>
              </w:rPr>
              <w:t xml:space="preserve">I полугодие </w:t>
            </w:r>
            <w:r w:rsidRPr="00312109">
              <w:rPr>
                <w:rFonts w:ascii="Times New Roman" w:hAnsi="Times New Roman"/>
                <w:b/>
                <w:sz w:val="24"/>
                <w:szCs w:val="24"/>
              </w:rPr>
              <w:t>2013 года</w:t>
            </w:r>
          </w:p>
        </w:tc>
        <w:tc>
          <w:tcPr>
            <w:tcW w:w="1985" w:type="dxa"/>
            <w:shd w:val="clear" w:color="auto" w:fill="E0E0E0"/>
            <w:vAlign w:val="center"/>
          </w:tcPr>
          <w:p w:rsidR="005261BD" w:rsidRPr="00312109" w:rsidRDefault="005261BD" w:rsidP="005261BD">
            <w:pPr>
              <w:widowControl w:val="0"/>
              <w:spacing w:after="0" w:line="240" w:lineRule="auto"/>
              <w:jc w:val="center"/>
              <w:rPr>
                <w:rFonts w:ascii="Times New Roman" w:hAnsi="Times New Roman"/>
                <w:b/>
                <w:sz w:val="24"/>
                <w:szCs w:val="24"/>
              </w:rPr>
            </w:pPr>
            <w:r w:rsidRPr="00312109">
              <w:rPr>
                <w:rFonts w:ascii="Times New Roman" w:hAnsi="Times New Roman"/>
                <w:b/>
                <w:sz w:val="24"/>
                <w:szCs w:val="24"/>
                <w:lang w:val="en-US"/>
              </w:rPr>
              <w:t xml:space="preserve">I полугодие </w:t>
            </w:r>
            <w:r w:rsidRPr="00312109">
              <w:rPr>
                <w:rFonts w:ascii="Times New Roman" w:hAnsi="Times New Roman"/>
                <w:b/>
                <w:sz w:val="24"/>
                <w:szCs w:val="24"/>
              </w:rPr>
              <w:t>2014 года</w:t>
            </w:r>
          </w:p>
        </w:tc>
      </w:tr>
      <w:tr w:rsidR="005261BD" w:rsidRPr="00312109" w:rsidTr="005261BD">
        <w:trPr>
          <w:trHeight w:val="360"/>
        </w:trPr>
        <w:tc>
          <w:tcPr>
            <w:tcW w:w="5387" w:type="dxa"/>
            <w:vAlign w:val="center"/>
          </w:tcPr>
          <w:p w:rsidR="005261BD" w:rsidRPr="00312109" w:rsidRDefault="005261BD" w:rsidP="005261BD">
            <w:pPr>
              <w:widowControl w:val="0"/>
              <w:spacing w:after="0" w:line="240" w:lineRule="auto"/>
              <w:rPr>
                <w:rFonts w:ascii="Times New Roman" w:hAnsi="Times New Roman"/>
                <w:sz w:val="24"/>
                <w:szCs w:val="24"/>
              </w:rPr>
            </w:pPr>
            <w:r w:rsidRPr="00312109">
              <w:rPr>
                <w:rFonts w:ascii="Times New Roman" w:hAnsi="Times New Roman"/>
                <w:sz w:val="24"/>
                <w:szCs w:val="24"/>
              </w:rPr>
              <w:t>- в целом по республике</w:t>
            </w:r>
          </w:p>
        </w:tc>
        <w:tc>
          <w:tcPr>
            <w:tcW w:w="2126" w:type="dxa"/>
            <w:vAlign w:val="center"/>
          </w:tcPr>
          <w:p w:rsidR="005261BD" w:rsidRPr="00312109" w:rsidRDefault="005261BD" w:rsidP="005261BD">
            <w:pPr>
              <w:widowControl w:val="0"/>
              <w:spacing w:after="0" w:line="240" w:lineRule="auto"/>
              <w:jc w:val="center"/>
              <w:rPr>
                <w:rFonts w:ascii="Times New Roman" w:hAnsi="Times New Roman"/>
                <w:sz w:val="24"/>
                <w:szCs w:val="24"/>
              </w:rPr>
            </w:pPr>
            <w:r w:rsidRPr="00312109">
              <w:rPr>
                <w:rFonts w:ascii="Times New Roman" w:hAnsi="Times New Roman"/>
                <w:sz w:val="24"/>
                <w:szCs w:val="24"/>
              </w:rPr>
              <w:t>2,8</w:t>
            </w:r>
          </w:p>
        </w:tc>
        <w:tc>
          <w:tcPr>
            <w:tcW w:w="1985" w:type="dxa"/>
          </w:tcPr>
          <w:p w:rsidR="005261BD" w:rsidRPr="00312109" w:rsidRDefault="005261BD" w:rsidP="005261BD">
            <w:pPr>
              <w:widowControl w:val="0"/>
              <w:spacing w:after="0" w:line="240" w:lineRule="auto"/>
              <w:jc w:val="center"/>
              <w:rPr>
                <w:rFonts w:ascii="Times New Roman" w:hAnsi="Times New Roman"/>
                <w:sz w:val="24"/>
                <w:szCs w:val="24"/>
              </w:rPr>
            </w:pPr>
            <w:r w:rsidRPr="00312109">
              <w:rPr>
                <w:rFonts w:ascii="Times New Roman" w:hAnsi="Times New Roman"/>
                <w:sz w:val="24"/>
                <w:szCs w:val="24"/>
              </w:rPr>
              <w:t>2,8</w:t>
            </w:r>
          </w:p>
        </w:tc>
      </w:tr>
      <w:tr w:rsidR="005261BD" w:rsidRPr="00312109" w:rsidTr="005261BD">
        <w:trPr>
          <w:trHeight w:val="360"/>
        </w:trPr>
        <w:tc>
          <w:tcPr>
            <w:tcW w:w="5387" w:type="dxa"/>
            <w:vAlign w:val="center"/>
          </w:tcPr>
          <w:p w:rsidR="005261BD" w:rsidRPr="00312109" w:rsidRDefault="005261BD" w:rsidP="005261BD">
            <w:pPr>
              <w:widowControl w:val="0"/>
              <w:spacing w:after="0" w:line="240" w:lineRule="auto"/>
              <w:rPr>
                <w:rFonts w:ascii="Times New Roman" w:hAnsi="Times New Roman"/>
                <w:sz w:val="24"/>
                <w:szCs w:val="24"/>
              </w:rPr>
            </w:pPr>
            <w:r w:rsidRPr="00312109">
              <w:rPr>
                <w:rFonts w:ascii="Times New Roman" w:hAnsi="Times New Roman"/>
                <w:sz w:val="24"/>
                <w:szCs w:val="24"/>
              </w:rPr>
              <w:t xml:space="preserve">- в хозрасчетном секторе </w:t>
            </w:r>
          </w:p>
        </w:tc>
        <w:tc>
          <w:tcPr>
            <w:tcW w:w="2126" w:type="dxa"/>
            <w:vAlign w:val="center"/>
          </w:tcPr>
          <w:p w:rsidR="005261BD" w:rsidRPr="00312109" w:rsidRDefault="005261BD" w:rsidP="005261BD">
            <w:pPr>
              <w:widowControl w:val="0"/>
              <w:spacing w:after="0" w:line="240" w:lineRule="auto"/>
              <w:jc w:val="center"/>
              <w:rPr>
                <w:rFonts w:ascii="Times New Roman" w:hAnsi="Times New Roman"/>
                <w:sz w:val="24"/>
                <w:szCs w:val="24"/>
              </w:rPr>
            </w:pPr>
            <w:r w:rsidRPr="00312109">
              <w:rPr>
                <w:rFonts w:ascii="Times New Roman" w:hAnsi="Times New Roman"/>
                <w:sz w:val="24"/>
                <w:szCs w:val="24"/>
              </w:rPr>
              <w:t>3,6</w:t>
            </w:r>
          </w:p>
        </w:tc>
        <w:tc>
          <w:tcPr>
            <w:tcW w:w="1985" w:type="dxa"/>
          </w:tcPr>
          <w:p w:rsidR="005261BD" w:rsidRPr="00312109" w:rsidRDefault="005261BD" w:rsidP="005261BD">
            <w:pPr>
              <w:widowControl w:val="0"/>
              <w:spacing w:after="0" w:line="240" w:lineRule="auto"/>
              <w:jc w:val="center"/>
              <w:rPr>
                <w:rFonts w:ascii="Times New Roman" w:hAnsi="Times New Roman"/>
                <w:sz w:val="24"/>
                <w:szCs w:val="24"/>
              </w:rPr>
            </w:pPr>
            <w:r w:rsidRPr="00312109">
              <w:rPr>
                <w:rFonts w:ascii="Times New Roman" w:hAnsi="Times New Roman"/>
                <w:sz w:val="24"/>
                <w:szCs w:val="24"/>
              </w:rPr>
              <w:t>3,6</w:t>
            </w:r>
          </w:p>
        </w:tc>
      </w:tr>
      <w:tr w:rsidR="005261BD" w:rsidRPr="00312109" w:rsidTr="005261BD">
        <w:trPr>
          <w:trHeight w:val="360"/>
        </w:trPr>
        <w:tc>
          <w:tcPr>
            <w:tcW w:w="5387" w:type="dxa"/>
            <w:vAlign w:val="center"/>
          </w:tcPr>
          <w:p w:rsidR="005261BD" w:rsidRPr="00312109" w:rsidRDefault="005261BD" w:rsidP="005261BD">
            <w:pPr>
              <w:widowControl w:val="0"/>
              <w:spacing w:after="0" w:line="240" w:lineRule="auto"/>
              <w:rPr>
                <w:rFonts w:ascii="Times New Roman" w:hAnsi="Times New Roman"/>
                <w:sz w:val="24"/>
                <w:szCs w:val="24"/>
              </w:rPr>
            </w:pPr>
            <w:r w:rsidRPr="00312109">
              <w:rPr>
                <w:rFonts w:ascii="Times New Roman" w:hAnsi="Times New Roman"/>
                <w:sz w:val="24"/>
                <w:szCs w:val="24"/>
              </w:rPr>
              <w:t>- в бюджетной сфере</w:t>
            </w:r>
          </w:p>
        </w:tc>
        <w:tc>
          <w:tcPr>
            <w:tcW w:w="2126" w:type="dxa"/>
            <w:vAlign w:val="center"/>
          </w:tcPr>
          <w:p w:rsidR="005261BD" w:rsidRPr="00312109" w:rsidRDefault="005261BD" w:rsidP="005261BD">
            <w:pPr>
              <w:widowControl w:val="0"/>
              <w:spacing w:after="0" w:line="240" w:lineRule="auto"/>
              <w:jc w:val="center"/>
              <w:rPr>
                <w:rFonts w:ascii="Times New Roman" w:hAnsi="Times New Roman"/>
                <w:sz w:val="24"/>
                <w:szCs w:val="24"/>
              </w:rPr>
            </w:pPr>
            <w:r w:rsidRPr="00312109">
              <w:rPr>
                <w:rFonts w:ascii="Times New Roman" w:hAnsi="Times New Roman"/>
                <w:sz w:val="24"/>
                <w:szCs w:val="24"/>
              </w:rPr>
              <w:t>1,8</w:t>
            </w:r>
          </w:p>
        </w:tc>
        <w:tc>
          <w:tcPr>
            <w:tcW w:w="1985" w:type="dxa"/>
          </w:tcPr>
          <w:p w:rsidR="005261BD" w:rsidRPr="00312109" w:rsidRDefault="005261BD" w:rsidP="005261BD">
            <w:pPr>
              <w:widowControl w:val="0"/>
              <w:spacing w:after="0" w:line="240" w:lineRule="auto"/>
              <w:jc w:val="center"/>
              <w:rPr>
                <w:rFonts w:ascii="Times New Roman" w:hAnsi="Times New Roman"/>
                <w:sz w:val="24"/>
                <w:szCs w:val="24"/>
              </w:rPr>
            </w:pPr>
            <w:r w:rsidRPr="00312109">
              <w:rPr>
                <w:rFonts w:ascii="Times New Roman" w:hAnsi="Times New Roman"/>
                <w:sz w:val="24"/>
                <w:szCs w:val="24"/>
              </w:rPr>
              <w:t>1,9</w:t>
            </w:r>
          </w:p>
        </w:tc>
      </w:tr>
    </w:tbl>
    <w:p w:rsidR="005261BD" w:rsidRPr="00312109" w:rsidRDefault="005261BD" w:rsidP="005261BD">
      <w:pPr>
        <w:widowControl w:val="0"/>
        <w:spacing w:after="0" w:line="240" w:lineRule="auto"/>
        <w:ind w:firstLine="720"/>
        <w:jc w:val="both"/>
        <w:rPr>
          <w:rFonts w:ascii="Times New Roman" w:hAnsi="Times New Roman"/>
          <w:sz w:val="24"/>
          <w:szCs w:val="24"/>
        </w:rPr>
      </w:pPr>
      <w:r w:rsidRPr="00312109">
        <w:rPr>
          <w:rFonts w:ascii="Times New Roman" w:hAnsi="Times New Roman"/>
          <w:b/>
          <w:sz w:val="24"/>
          <w:szCs w:val="24"/>
        </w:rPr>
        <w:lastRenderedPageBreak/>
        <w:t>Во внебюджетном (хозрасчетном) секторе</w:t>
      </w:r>
      <w:r w:rsidRPr="00312109">
        <w:rPr>
          <w:rFonts w:ascii="Times New Roman" w:hAnsi="Times New Roman"/>
          <w:sz w:val="24"/>
          <w:szCs w:val="24"/>
        </w:rPr>
        <w:t xml:space="preserve"> экономики начисленная среднемесячная заработная плата одного работника за январь – июнь 2014 года повысилась по отношению к базовому показателю 2013 года на 8,6% и сложилась в размере 5 078 руб., что с учетом корректировки на индекс инфляции соответствует ее реальному увеличению на 5,9%.</w:t>
      </w:r>
    </w:p>
    <w:p w:rsidR="005261BD" w:rsidRPr="00312109" w:rsidRDefault="005261BD" w:rsidP="005261BD">
      <w:pPr>
        <w:widowControl w:val="0"/>
        <w:spacing w:after="0" w:line="240" w:lineRule="auto"/>
        <w:ind w:firstLine="708"/>
        <w:jc w:val="both"/>
        <w:rPr>
          <w:rFonts w:ascii="Times New Roman" w:hAnsi="Times New Roman"/>
          <w:sz w:val="24"/>
          <w:szCs w:val="24"/>
        </w:rPr>
      </w:pPr>
      <w:r w:rsidRPr="00312109">
        <w:rPr>
          <w:rFonts w:ascii="Times New Roman" w:hAnsi="Times New Roman"/>
          <w:sz w:val="24"/>
          <w:szCs w:val="24"/>
        </w:rPr>
        <w:t>Повышение номинальной заработной платы за I полугодие 2014 года по отношению к соответствующему показателю 2013 года в хозрасчетном (внебюджетном) секторе экономики варьировало от 1,1% в организациях торговли и общественного питания (4 426 руб.) до 86,3% в организациях</w:t>
      </w:r>
      <w:r>
        <w:rPr>
          <w:rFonts w:ascii="Times New Roman" w:hAnsi="Times New Roman"/>
          <w:sz w:val="24"/>
          <w:szCs w:val="24"/>
        </w:rPr>
        <w:t>,</w:t>
      </w:r>
      <w:r w:rsidRPr="00312109">
        <w:rPr>
          <w:rFonts w:ascii="Times New Roman" w:hAnsi="Times New Roman"/>
          <w:sz w:val="24"/>
          <w:szCs w:val="24"/>
        </w:rPr>
        <w:t xml:space="preserve"> осуществляющих заготовки металлолома и утиля (5 081 руб.). При этом самыми высокооплачиваемыми отраслями в данном секторе экономики в рассматриваемом периоде оставались: физкультура, отдых и туризм             (10 800 руб.), электро и радиосвязь (9 274 руб.), банки и кредитование (8 308 руб.), где превышение среднереспубликанского уровня варьировало от 2,1 раза до 1,6 раза. </w:t>
      </w:r>
    </w:p>
    <w:p w:rsidR="005261BD" w:rsidRPr="00312109" w:rsidRDefault="005261BD" w:rsidP="005261BD">
      <w:pPr>
        <w:spacing w:line="240" w:lineRule="auto"/>
        <w:contextualSpacing/>
        <w:jc w:val="right"/>
        <w:rPr>
          <w:rFonts w:ascii="Times New Roman" w:hAnsi="Times New Roman"/>
          <w:sz w:val="24"/>
          <w:szCs w:val="24"/>
        </w:rPr>
      </w:pPr>
      <w:r w:rsidRPr="00312109">
        <w:rPr>
          <w:rFonts w:ascii="Times New Roman" w:hAnsi="Times New Roman"/>
          <w:noProof/>
          <w:sz w:val="24"/>
          <w:szCs w:val="24"/>
        </w:rPr>
        <w:drawing>
          <wp:inline distT="0" distB="0" distL="0" distR="0">
            <wp:extent cx="5943600" cy="4495800"/>
            <wp:effectExtent l="0" t="0" r="0" b="0"/>
            <wp:docPr id="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261BD" w:rsidRDefault="005261BD" w:rsidP="005261BD">
      <w:pPr>
        <w:widowControl w:val="0"/>
        <w:spacing w:after="0" w:line="240" w:lineRule="auto"/>
        <w:ind w:firstLine="709"/>
        <w:jc w:val="both"/>
        <w:rPr>
          <w:rFonts w:ascii="Times New Roman" w:hAnsi="Times New Roman"/>
          <w:sz w:val="24"/>
          <w:szCs w:val="24"/>
        </w:rPr>
      </w:pPr>
    </w:p>
    <w:p w:rsidR="005261BD" w:rsidRPr="00312109" w:rsidRDefault="005261BD" w:rsidP="005261B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Развивающиеся тенденции в</w:t>
      </w:r>
      <w:r w:rsidRPr="00312109">
        <w:rPr>
          <w:rFonts w:ascii="Times New Roman" w:hAnsi="Times New Roman"/>
          <w:sz w:val="24"/>
          <w:szCs w:val="24"/>
        </w:rPr>
        <w:t xml:space="preserve"> </w:t>
      </w:r>
      <w:r w:rsidRPr="00312109">
        <w:rPr>
          <w:rFonts w:ascii="Times New Roman" w:hAnsi="Times New Roman"/>
          <w:b/>
          <w:sz w:val="24"/>
          <w:szCs w:val="24"/>
        </w:rPr>
        <w:t xml:space="preserve">индустрии </w:t>
      </w:r>
      <w:r w:rsidRPr="006148D6">
        <w:rPr>
          <w:rFonts w:ascii="Times New Roman" w:hAnsi="Times New Roman"/>
          <w:sz w:val="24"/>
          <w:szCs w:val="24"/>
        </w:rPr>
        <w:t>обеспечили</w:t>
      </w:r>
      <w:r>
        <w:rPr>
          <w:rFonts w:ascii="Times New Roman" w:hAnsi="Times New Roman"/>
          <w:b/>
          <w:sz w:val="24"/>
          <w:szCs w:val="24"/>
        </w:rPr>
        <w:t xml:space="preserve"> увеличение </w:t>
      </w:r>
      <w:r w:rsidRPr="00312109">
        <w:rPr>
          <w:rFonts w:ascii="Times New Roman" w:hAnsi="Times New Roman"/>
          <w:sz w:val="24"/>
          <w:szCs w:val="24"/>
        </w:rPr>
        <w:t>среднемесячн</w:t>
      </w:r>
      <w:r>
        <w:rPr>
          <w:rFonts w:ascii="Times New Roman" w:hAnsi="Times New Roman"/>
          <w:sz w:val="24"/>
          <w:szCs w:val="24"/>
        </w:rPr>
        <w:t>ой</w:t>
      </w:r>
      <w:r w:rsidRPr="00312109">
        <w:rPr>
          <w:rFonts w:ascii="Times New Roman" w:hAnsi="Times New Roman"/>
          <w:sz w:val="24"/>
          <w:szCs w:val="24"/>
        </w:rPr>
        <w:t xml:space="preserve"> номинальн</w:t>
      </w:r>
      <w:r>
        <w:rPr>
          <w:rFonts w:ascii="Times New Roman" w:hAnsi="Times New Roman"/>
          <w:sz w:val="24"/>
          <w:szCs w:val="24"/>
        </w:rPr>
        <w:t>ой</w:t>
      </w:r>
      <w:r w:rsidRPr="00312109">
        <w:rPr>
          <w:rFonts w:ascii="Times New Roman" w:hAnsi="Times New Roman"/>
          <w:sz w:val="24"/>
          <w:szCs w:val="24"/>
        </w:rPr>
        <w:t xml:space="preserve"> заработн</w:t>
      </w:r>
      <w:r>
        <w:rPr>
          <w:rFonts w:ascii="Times New Roman" w:hAnsi="Times New Roman"/>
          <w:sz w:val="24"/>
          <w:szCs w:val="24"/>
        </w:rPr>
        <w:t>ой</w:t>
      </w:r>
      <w:r w:rsidRPr="00312109">
        <w:rPr>
          <w:rFonts w:ascii="Times New Roman" w:hAnsi="Times New Roman"/>
          <w:sz w:val="24"/>
          <w:szCs w:val="24"/>
        </w:rPr>
        <w:t xml:space="preserve"> плат</w:t>
      </w:r>
      <w:r>
        <w:rPr>
          <w:rFonts w:ascii="Times New Roman" w:hAnsi="Times New Roman"/>
          <w:sz w:val="24"/>
          <w:szCs w:val="24"/>
        </w:rPr>
        <w:t>ы</w:t>
      </w:r>
      <w:r w:rsidRPr="00312109">
        <w:rPr>
          <w:rFonts w:ascii="Times New Roman" w:hAnsi="Times New Roman"/>
          <w:sz w:val="24"/>
          <w:szCs w:val="24"/>
        </w:rPr>
        <w:t xml:space="preserve"> работников в </w:t>
      </w:r>
      <w:r>
        <w:rPr>
          <w:rFonts w:ascii="Times New Roman" w:hAnsi="Times New Roman"/>
          <w:sz w:val="24"/>
          <w:szCs w:val="24"/>
        </w:rPr>
        <w:t xml:space="preserve">январе – июне </w:t>
      </w:r>
      <w:r w:rsidRPr="00312109">
        <w:rPr>
          <w:rFonts w:ascii="Times New Roman" w:hAnsi="Times New Roman"/>
          <w:sz w:val="24"/>
          <w:szCs w:val="24"/>
        </w:rPr>
        <w:t>2014 года</w:t>
      </w:r>
      <w:r>
        <w:rPr>
          <w:rFonts w:ascii="Times New Roman" w:hAnsi="Times New Roman"/>
          <w:sz w:val="24"/>
          <w:szCs w:val="24"/>
        </w:rPr>
        <w:t xml:space="preserve"> </w:t>
      </w:r>
      <w:r w:rsidRPr="00312109">
        <w:rPr>
          <w:rFonts w:ascii="Times New Roman" w:hAnsi="Times New Roman"/>
          <w:sz w:val="24"/>
          <w:szCs w:val="24"/>
        </w:rPr>
        <w:t>на 9,2%, что в абсолютной величине соответствовало 5 102 руб. или 460 дол. США (+8,5%). Вместе с тем, с учетом корректировки на индекс инфляции реальная ее величина составила 105,9%.</w:t>
      </w:r>
    </w:p>
    <w:p w:rsidR="005261BD" w:rsidRPr="00312109" w:rsidRDefault="005261BD" w:rsidP="005261BD">
      <w:pPr>
        <w:widowControl w:val="0"/>
        <w:spacing w:after="0" w:line="240" w:lineRule="auto"/>
        <w:ind w:firstLine="709"/>
        <w:jc w:val="both"/>
        <w:rPr>
          <w:rFonts w:ascii="Times New Roman" w:hAnsi="Times New Roman"/>
          <w:sz w:val="24"/>
          <w:szCs w:val="24"/>
        </w:rPr>
      </w:pPr>
      <w:r w:rsidRPr="00312109">
        <w:rPr>
          <w:rFonts w:ascii="Times New Roman" w:hAnsi="Times New Roman"/>
          <w:sz w:val="24"/>
          <w:szCs w:val="24"/>
        </w:rPr>
        <w:t>В разрезе подотраслей промышленности прирост среднемесячной номинальной заработной платы за I полугодие 2014 года по отношению к базовому показателю             2013 года варьировал от 3,8% в электроэнергетике (суммарная величина – 5 802 руб.) до 36,5% в черной металлургии (суммарная величина – 6 928 руб.).</w:t>
      </w:r>
    </w:p>
    <w:p w:rsidR="005261BD" w:rsidRPr="00312109" w:rsidRDefault="005261BD" w:rsidP="005261BD">
      <w:pPr>
        <w:spacing w:line="240" w:lineRule="auto"/>
        <w:contextualSpacing/>
        <w:jc w:val="right"/>
        <w:rPr>
          <w:rFonts w:ascii="Times New Roman" w:hAnsi="Times New Roman"/>
          <w:sz w:val="18"/>
          <w:szCs w:val="18"/>
        </w:rPr>
      </w:pPr>
      <w:r w:rsidRPr="00312109">
        <w:rPr>
          <w:rFonts w:ascii="Times New Roman" w:hAnsi="Times New Roman"/>
          <w:noProof/>
          <w:sz w:val="24"/>
          <w:szCs w:val="24"/>
        </w:rPr>
        <w:lastRenderedPageBreak/>
        <w:drawing>
          <wp:inline distT="0" distB="0" distL="0" distR="0">
            <wp:extent cx="6143625" cy="2886075"/>
            <wp:effectExtent l="19050" t="0" r="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261BD" w:rsidRPr="00312109" w:rsidRDefault="005261BD" w:rsidP="005261BD">
      <w:pPr>
        <w:widowControl w:val="0"/>
        <w:spacing w:after="0" w:line="240" w:lineRule="auto"/>
        <w:ind w:firstLine="709"/>
        <w:jc w:val="both"/>
        <w:rPr>
          <w:rFonts w:ascii="Times New Roman" w:hAnsi="Times New Roman"/>
          <w:sz w:val="24"/>
          <w:szCs w:val="24"/>
        </w:rPr>
      </w:pPr>
      <w:r w:rsidRPr="00312109">
        <w:rPr>
          <w:rFonts w:ascii="Times New Roman" w:hAnsi="Times New Roman"/>
          <w:sz w:val="24"/>
          <w:szCs w:val="24"/>
        </w:rPr>
        <w:t>Заработная плата у работников отрасли</w:t>
      </w:r>
      <w:r w:rsidRPr="00312109">
        <w:rPr>
          <w:rFonts w:ascii="Times New Roman" w:hAnsi="Times New Roman"/>
          <w:b/>
          <w:sz w:val="24"/>
          <w:szCs w:val="24"/>
        </w:rPr>
        <w:t xml:space="preserve"> «Сельское хозяйство»</w:t>
      </w:r>
      <w:r w:rsidRPr="00312109">
        <w:rPr>
          <w:rFonts w:ascii="Times New Roman" w:hAnsi="Times New Roman"/>
          <w:sz w:val="24"/>
          <w:szCs w:val="24"/>
        </w:rPr>
        <w:t xml:space="preserve"> в </w:t>
      </w:r>
      <w:r>
        <w:rPr>
          <w:rFonts w:ascii="Times New Roman" w:hAnsi="Times New Roman"/>
          <w:sz w:val="24"/>
          <w:szCs w:val="24"/>
        </w:rPr>
        <w:t xml:space="preserve">январе – июне </w:t>
      </w:r>
      <w:r w:rsidRPr="00312109">
        <w:rPr>
          <w:rFonts w:ascii="Times New Roman" w:hAnsi="Times New Roman"/>
          <w:sz w:val="24"/>
          <w:szCs w:val="24"/>
        </w:rPr>
        <w:t>201</w:t>
      </w:r>
      <w:r>
        <w:rPr>
          <w:rFonts w:ascii="Times New Roman" w:hAnsi="Times New Roman"/>
          <w:sz w:val="24"/>
          <w:szCs w:val="24"/>
        </w:rPr>
        <w:t>4</w:t>
      </w:r>
      <w:r w:rsidRPr="00312109">
        <w:rPr>
          <w:rFonts w:ascii="Times New Roman" w:hAnsi="Times New Roman"/>
          <w:sz w:val="24"/>
          <w:szCs w:val="24"/>
        </w:rPr>
        <w:t xml:space="preserve"> год</w:t>
      </w:r>
      <w:r>
        <w:rPr>
          <w:rFonts w:ascii="Times New Roman" w:hAnsi="Times New Roman"/>
          <w:sz w:val="24"/>
          <w:szCs w:val="24"/>
        </w:rPr>
        <w:t>а</w:t>
      </w:r>
      <w:r w:rsidRPr="00312109">
        <w:rPr>
          <w:rFonts w:ascii="Times New Roman" w:hAnsi="Times New Roman"/>
          <w:sz w:val="24"/>
          <w:szCs w:val="24"/>
        </w:rPr>
        <w:t xml:space="preserve"> выросла на 14,2% и составила 3 175 руб. (286 долл. США), с учетом корректировки на индекс инфляции материальное положение работников отрасли повысилось на 10,9%, но при этом стоит отметить, что номинальный ее размер на 21,0% сложился ниже среднереспубликанского уровня.</w:t>
      </w:r>
    </w:p>
    <w:p w:rsidR="005261BD" w:rsidRPr="00312109" w:rsidRDefault="005261BD" w:rsidP="005261BD">
      <w:pPr>
        <w:autoSpaceDE w:val="0"/>
        <w:autoSpaceDN w:val="0"/>
        <w:adjustRightInd w:val="0"/>
        <w:spacing w:after="0" w:line="240" w:lineRule="auto"/>
        <w:ind w:firstLine="709"/>
        <w:jc w:val="both"/>
        <w:rPr>
          <w:rFonts w:ascii="Times New Roman" w:hAnsi="Times New Roman"/>
          <w:sz w:val="24"/>
          <w:szCs w:val="24"/>
        </w:rPr>
      </w:pPr>
      <w:r w:rsidRPr="00312109">
        <w:rPr>
          <w:rFonts w:ascii="Times New Roman" w:hAnsi="Times New Roman"/>
          <w:sz w:val="24"/>
          <w:szCs w:val="24"/>
        </w:rPr>
        <w:t xml:space="preserve">Динамика заработной платы работников бюджетного сектора в </w:t>
      </w:r>
      <w:r w:rsidRPr="00312109">
        <w:rPr>
          <w:rFonts w:ascii="Times New Roman" w:hAnsi="Times New Roman"/>
          <w:sz w:val="24"/>
          <w:szCs w:val="24"/>
          <w:lang w:val="en-US"/>
        </w:rPr>
        <w:t>I</w:t>
      </w:r>
      <w:r w:rsidRPr="00312109">
        <w:rPr>
          <w:rFonts w:ascii="Times New Roman" w:hAnsi="Times New Roman"/>
          <w:sz w:val="24"/>
          <w:szCs w:val="24"/>
        </w:rPr>
        <w:t xml:space="preserve"> полугодии            2014 года, в первую очередь, была обусловлена изменением расчетного уровня минимальной заработной платы, применяемого для начисления оплаты труда, а также внесенными изменениями и дополнениями в действующее законодательство, устанавливающее оплату труда работников организаций, убытки которых образуются в результате заданных государством условий хозяйствования и покрываются за счет бюджетов различных уровней, размер которого в </w:t>
      </w:r>
      <w:r w:rsidRPr="00312109">
        <w:rPr>
          <w:rFonts w:ascii="Times New Roman" w:hAnsi="Times New Roman"/>
          <w:sz w:val="24"/>
          <w:szCs w:val="24"/>
          <w:lang w:val="en-US"/>
        </w:rPr>
        <w:t>I</w:t>
      </w:r>
      <w:r w:rsidRPr="00312109">
        <w:rPr>
          <w:rFonts w:ascii="Times New Roman" w:hAnsi="Times New Roman"/>
          <w:sz w:val="24"/>
          <w:szCs w:val="24"/>
        </w:rPr>
        <w:t xml:space="preserve"> полугодии 2014 года составил 7,1 руб. (в </w:t>
      </w:r>
      <w:r w:rsidRPr="00312109">
        <w:rPr>
          <w:rFonts w:ascii="Times New Roman" w:hAnsi="Times New Roman"/>
          <w:sz w:val="24"/>
          <w:szCs w:val="24"/>
          <w:lang w:val="en-US"/>
        </w:rPr>
        <w:t>I</w:t>
      </w:r>
      <w:r w:rsidRPr="00312109">
        <w:rPr>
          <w:rFonts w:ascii="Times New Roman" w:hAnsi="Times New Roman"/>
          <w:sz w:val="24"/>
          <w:szCs w:val="24"/>
        </w:rPr>
        <w:t xml:space="preserve"> полугодии 2013 года - 6,7 руб.).</w:t>
      </w:r>
    </w:p>
    <w:p w:rsidR="005261BD" w:rsidRPr="00312109" w:rsidRDefault="005261BD" w:rsidP="005261BD">
      <w:pPr>
        <w:rPr>
          <w:rFonts w:ascii="Times New Roman" w:hAnsi="Times New Roman"/>
          <w:sz w:val="24"/>
          <w:szCs w:val="24"/>
        </w:rPr>
      </w:pPr>
      <w:r w:rsidRPr="00312109">
        <w:rPr>
          <w:rFonts w:ascii="Times New Roman" w:hAnsi="Times New Roman"/>
          <w:noProof/>
          <w:sz w:val="24"/>
          <w:szCs w:val="24"/>
        </w:rPr>
        <w:drawing>
          <wp:inline distT="0" distB="0" distL="0" distR="0">
            <wp:extent cx="6076950" cy="3990975"/>
            <wp:effectExtent l="0" t="0" r="0" b="0"/>
            <wp:docPr id="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261BD" w:rsidRPr="00312109" w:rsidRDefault="005261BD" w:rsidP="005261BD">
      <w:pPr>
        <w:autoSpaceDE w:val="0"/>
        <w:autoSpaceDN w:val="0"/>
        <w:adjustRightInd w:val="0"/>
        <w:spacing w:after="0" w:line="240" w:lineRule="auto"/>
        <w:ind w:firstLine="709"/>
        <w:jc w:val="both"/>
        <w:rPr>
          <w:rFonts w:ascii="Times New Roman" w:hAnsi="Times New Roman"/>
          <w:sz w:val="24"/>
          <w:szCs w:val="24"/>
        </w:rPr>
      </w:pPr>
      <w:r w:rsidRPr="00312109">
        <w:rPr>
          <w:rFonts w:ascii="Times New Roman" w:hAnsi="Times New Roman"/>
          <w:sz w:val="24"/>
          <w:szCs w:val="24"/>
        </w:rPr>
        <w:lastRenderedPageBreak/>
        <w:t>В результате предпринятых мер, оплата труда в бюджетной сфере по итогам                   I полугодия 2014 года относительно базового показателя 2013 года выросла на 12,5% и составила в среднем 2 722 руб. (245 долл.), покрыв на 67,7% среднереспубликанский уровень. С учетом корректировки на индекс инфляции материальное положение занятых в</w:t>
      </w:r>
      <w:r w:rsidRPr="00312109">
        <w:rPr>
          <w:rFonts w:ascii="Times New Roman" w:hAnsi="Times New Roman"/>
          <w:sz w:val="28"/>
          <w:szCs w:val="28"/>
        </w:rPr>
        <w:t xml:space="preserve"> </w:t>
      </w:r>
      <w:r w:rsidRPr="00312109">
        <w:rPr>
          <w:rFonts w:ascii="Times New Roman" w:hAnsi="Times New Roman"/>
          <w:sz w:val="24"/>
          <w:szCs w:val="24"/>
        </w:rPr>
        <w:t>бюджетном секторе (реальная заработная плата) повысилось на 10,1%.</w:t>
      </w:r>
    </w:p>
    <w:p w:rsidR="005261BD" w:rsidRPr="00312109" w:rsidRDefault="005261BD" w:rsidP="005261BD">
      <w:pPr>
        <w:spacing w:after="0" w:line="240" w:lineRule="auto"/>
        <w:ind w:firstLine="709"/>
        <w:jc w:val="both"/>
        <w:rPr>
          <w:rFonts w:ascii="Times New Roman" w:hAnsi="Times New Roman"/>
          <w:sz w:val="24"/>
          <w:szCs w:val="24"/>
        </w:rPr>
      </w:pPr>
      <w:r w:rsidRPr="00312109">
        <w:rPr>
          <w:rFonts w:ascii="Times New Roman" w:hAnsi="Times New Roman"/>
          <w:sz w:val="24"/>
          <w:szCs w:val="24"/>
        </w:rPr>
        <w:t xml:space="preserve">Максимальная заработная плата сформировалась в организациях отрасли «Высшие учебные заведения» – 3 764 руб., в судебных органах власти – 3 448 руб. </w:t>
      </w:r>
    </w:p>
    <w:p w:rsidR="005261BD" w:rsidRPr="00312109" w:rsidRDefault="005261BD" w:rsidP="005261BD">
      <w:pPr>
        <w:spacing w:after="0" w:line="240" w:lineRule="auto"/>
        <w:ind w:firstLine="709"/>
        <w:jc w:val="both"/>
        <w:rPr>
          <w:rFonts w:ascii="Times New Roman" w:hAnsi="Times New Roman"/>
          <w:sz w:val="24"/>
          <w:szCs w:val="24"/>
        </w:rPr>
      </w:pPr>
      <w:r w:rsidRPr="00312109">
        <w:rPr>
          <w:rFonts w:ascii="Times New Roman" w:hAnsi="Times New Roman"/>
          <w:sz w:val="24"/>
          <w:szCs w:val="24"/>
        </w:rPr>
        <w:t>Вместе с этим заработная плата в таких отраслях как: «Торговля и общепит», «Геология и метеорология», «Социальное обеспечение» сформировался в пределах 44,2% – 50,7% от среднереспубликанской величины.</w:t>
      </w:r>
    </w:p>
    <w:p w:rsidR="005261BD" w:rsidRPr="00312109" w:rsidRDefault="005261BD" w:rsidP="005261BD">
      <w:pPr>
        <w:spacing w:after="0" w:line="240" w:lineRule="auto"/>
        <w:ind w:firstLine="708"/>
        <w:jc w:val="both"/>
        <w:rPr>
          <w:rFonts w:ascii="Times New Roman" w:hAnsi="Times New Roman"/>
          <w:sz w:val="24"/>
          <w:szCs w:val="24"/>
        </w:rPr>
      </w:pPr>
      <w:r w:rsidRPr="00312109">
        <w:rPr>
          <w:rFonts w:ascii="Times New Roman" w:hAnsi="Times New Roman"/>
          <w:sz w:val="24"/>
          <w:szCs w:val="24"/>
        </w:rPr>
        <w:t>Своевременность выплаты заработной платы</w:t>
      </w:r>
      <w:r w:rsidRPr="00312109">
        <w:rPr>
          <w:rFonts w:ascii="Times New Roman" w:hAnsi="Times New Roman"/>
          <w:b/>
          <w:sz w:val="24"/>
          <w:szCs w:val="24"/>
        </w:rPr>
        <w:t xml:space="preserve"> </w:t>
      </w:r>
      <w:r w:rsidRPr="00312109">
        <w:rPr>
          <w:rFonts w:ascii="Times New Roman" w:hAnsi="Times New Roman"/>
          <w:sz w:val="24"/>
          <w:szCs w:val="24"/>
        </w:rPr>
        <w:t xml:space="preserve">является немаловажным критерием, характеризующим уровень жизни населения. </w:t>
      </w:r>
      <w:r w:rsidRPr="00312109">
        <w:rPr>
          <w:rFonts w:ascii="Times New Roman" w:hAnsi="Times New Roman"/>
          <w:b/>
          <w:sz w:val="24"/>
          <w:szCs w:val="24"/>
        </w:rPr>
        <w:t>Суммарная задолженность</w:t>
      </w:r>
      <w:r w:rsidRPr="00312109">
        <w:rPr>
          <w:rFonts w:ascii="Times New Roman" w:hAnsi="Times New Roman"/>
          <w:sz w:val="24"/>
          <w:szCs w:val="24"/>
        </w:rPr>
        <w:t xml:space="preserve"> по заработной плате в целом по республике на 1 июля 2014 года по сравнению с задолженностью на </w:t>
      </w:r>
      <w:r w:rsidR="00090E11">
        <w:rPr>
          <w:rFonts w:ascii="Times New Roman" w:hAnsi="Times New Roman"/>
          <w:sz w:val="24"/>
          <w:szCs w:val="24"/>
        </w:rPr>
        <w:t xml:space="preserve">          </w:t>
      </w:r>
      <w:r w:rsidRPr="00312109">
        <w:rPr>
          <w:rFonts w:ascii="Times New Roman" w:hAnsi="Times New Roman"/>
          <w:sz w:val="24"/>
          <w:szCs w:val="24"/>
        </w:rPr>
        <w:t xml:space="preserve">1 июля 2013 года выросла на 4,6% и составила </w:t>
      </w:r>
      <w:r w:rsidRPr="00312109">
        <w:rPr>
          <w:rFonts w:ascii="Times New Roman" w:hAnsi="Times New Roman"/>
          <w:bCs/>
          <w:sz w:val="24"/>
          <w:szCs w:val="24"/>
        </w:rPr>
        <w:t>25,8 млн</w:t>
      </w:r>
      <w:r w:rsidRPr="00312109">
        <w:rPr>
          <w:rFonts w:ascii="Times New Roman" w:hAnsi="Times New Roman"/>
          <w:sz w:val="24"/>
          <w:szCs w:val="24"/>
        </w:rPr>
        <w:t>. руб., при этом продолжительность ее невыплаты сократилась до 0,07</w:t>
      </w:r>
      <w:r w:rsidRPr="00312109">
        <w:rPr>
          <w:rFonts w:ascii="Times New Roman" w:hAnsi="Times New Roman"/>
          <w:b/>
          <w:sz w:val="24"/>
          <w:szCs w:val="24"/>
        </w:rPr>
        <w:t xml:space="preserve"> </w:t>
      </w:r>
      <w:r w:rsidRPr="00312109">
        <w:rPr>
          <w:rFonts w:ascii="Times New Roman" w:hAnsi="Times New Roman"/>
          <w:sz w:val="24"/>
          <w:szCs w:val="24"/>
        </w:rPr>
        <w:t>среднемесячного фонда оплаты труда.</w:t>
      </w:r>
    </w:p>
    <w:p w:rsidR="005261BD" w:rsidRPr="00312109" w:rsidRDefault="005261BD" w:rsidP="005261BD">
      <w:pPr>
        <w:spacing w:after="0" w:line="240" w:lineRule="auto"/>
        <w:ind w:firstLine="720"/>
        <w:jc w:val="both"/>
        <w:rPr>
          <w:rFonts w:ascii="Times New Roman" w:hAnsi="Times New Roman"/>
          <w:sz w:val="24"/>
          <w:szCs w:val="24"/>
        </w:rPr>
      </w:pPr>
      <w:r w:rsidRPr="00312109">
        <w:rPr>
          <w:rFonts w:ascii="Times New Roman" w:hAnsi="Times New Roman"/>
          <w:sz w:val="24"/>
          <w:szCs w:val="24"/>
        </w:rPr>
        <w:t>Наибольший удельный вес в общей суммарной задолженности по выплате заработной платы приходится на организации промышленности, сельского хозяйства и строительства (86,1% общей суммарной задолженности по республике), при этом продолжительность невыплаты заработной платы в этих отраслях соответственно составляет 0,13, 0,22 и 0,42 среднемесячного фонда оплаты труда.</w:t>
      </w:r>
    </w:p>
    <w:p w:rsidR="005261BD" w:rsidRPr="00312109" w:rsidRDefault="005261BD" w:rsidP="00090E11">
      <w:pPr>
        <w:widowControl w:val="0"/>
        <w:spacing w:after="0" w:line="240" w:lineRule="auto"/>
        <w:ind w:firstLineChars="295" w:firstLine="708"/>
        <w:jc w:val="both"/>
        <w:rPr>
          <w:rFonts w:ascii="Times New Roman" w:hAnsi="Times New Roman"/>
          <w:sz w:val="24"/>
          <w:szCs w:val="24"/>
        </w:rPr>
      </w:pPr>
      <w:r w:rsidRPr="00312109">
        <w:rPr>
          <w:rFonts w:ascii="Times New Roman" w:hAnsi="Times New Roman"/>
          <w:sz w:val="24"/>
          <w:szCs w:val="24"/>
        </w:rPr>
        <w:t xml:space="preserve">Задолженность по оплате труда в </w:t>
      </w:r>
      <w:r w:rsidRPr="00312109">
        <w:rPr>
          <w:rFonts w:ascii="Times New Roman" w:hAnsi="Times New Roman"/>
          <w:b/>
          <w:sz w:val="24"/>
          <w:szCs w:val="24"/>
        </w:rPr>
        <w:t>бюджетной сфере</w:t>
      </w:r>
      <w:r w:rsidRPr="00312109">
        <w:rPr>
          <w:rFonts w:ascii="Times New Roman" w:hAnsi="Times New Roman"/>
          <w:sz w:val="24"/>
          <w:szCs w:val="24"/>
        </w:rPr>
        <w:t xml:space="preserve"> по состоянию на 1 июля      2014 года полностью ликвидирована и соответственно вся сумма задолженности приходится на организации внебюджетного сектора экономики. </w:t>
      </w:r>
    </w:p>
    <w:p w:rsidR="005261BD" w:rsidRPr="00312109" w:rsidRDefault="005261BD" w:rsidP="005261BD">
      <w:pPr>
        <w:spacing w:after="0" w:line="240" w:lineRule="auto"/>
        <w:ind w:firstLine="709"/>
        <w:jc w:val="both"/>
        <w:rPr>
          <w:rFonts w:ascii="Times New Roman" w:hAnsi="Times New Roman"/>
          <w:sz w:val="24"/>
          <w:szCs w:val="24"/>
        </w:rPr>
      </w:pPr>
      <w:r w:rsidRPr="00312109">
        <w:rPr>
          <w:rFonts w:ascii="Times New Roman" w:hAnsi="Times New Roman"/>
          <w:sz w:val="24"/>
          <w:szCs w:val="24"/>
        </w:rPr>
        <w:t xml:space="preserve">Следующей составляющей доходов населения и индикатором, характеризующим уровень жизни населения, является </w:t>
      </w:r>
      <w:r w:rsidRPr="00312109">
        <w:rPr>
          <w:rFonts w:ascii="Times New Roman" w:hAnsi="Times New Roman"/>
          <w:b/>
          <w:sz w:val="24"/>
          <w:szCs w:val="24"/>
        </w:rPr>
        <w:t>пенсия.</w:t>
      </w:r>
      <w:r w:rsidRPr="00312109">
        <w:rPr>
          <w:rFonts w:ascii="Times New Roman" w:hAnsi="Times New Roman"/>
          <w:sz w:val="24"/>
          <w:szCs w:val="24"/>
        </w:rPr>
        <w:t xml:space="preserve"> </w:t>
      </w:r>
    </w:p>
    <w:p w:rsidR="005261BD" w:rsidRPr="00312109" w:rsidRDefault="005261BD" w:rsidP="005261BD">
      <w:pPr>
        <w:rPr>
          <w:rFonts w:ascii="Times New Roman" w:hAnsi="Times New Roman"/>
          <w:sz w:val="24"/>
          <w:szCs w:val="24"/>
        </w:rPr>
      </w:pPr>
      <w:r w:rsidRPr="00312109">
        <w:rPr>
          <w:rFonts w:ascii="Times New Roman" w:hAnsi="Times New Roman"/>
          <w:noProof/>
          <w:sz w:val="24"/>
          <w:szCs w:val="24"/>
        </w:rPr>
        <w:drawing>
          <wp:inline distT="0" distB="0" distL="0" distR="0">
            <wp:extent cx="5486400" cy="25527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261BD" w:rsidRPr="00312109" w:rsidRDefault="005261BD" w:rsidP="005261BD">
      <w:pPr>
        <w:spacing w:after="0" w:line="240" w:lineRule="auto"/>
        <w:ind w:firstLine="709"/>
        <w:jc w:val="both"/>
        <w:rPr>
          <w:rFonts w:ascii="Times New Roman" w:hAnsi="Times New Roman"/>
          <w:sz w:val="24"/>
          <w:szCs w:val="24"/>
        </w:rPr>
      </w:pPr>
      <w:r w:rsidRPr="00312109">
        <w:rPr>
          <w:rFonts w:ascii="Times New Roman" w:hAnsi="Times New Roman"/>
          <w:sz w:val="24"/>
          <w:szCs w:val="24"/>
        </w:rPr>
        <w:t xml:space="preserve">На фоне сокращения экономически активного населения, число получателей пенсий по состоянию на конец июня 2014 года уменьшилось до 140,1 тыс. чел.(- 682 чел. или -0,5%). Таким образом, в экономике на конец </w:t>
      </w:r>
      <w:r w:rsidRPr="00312109">
        <w:rPr>
          <w:rFonts w:ascii="Times New Roman" w:hAnsi="Times New Roman"/>
          <w:sz w:val="24"/>
          <w:szCs w:val="24"/>
          <w:lang w:val="en-US"/>
        </w:rPr>
        <w:t>I</w:t>
      </w:r>
      <w:r w:rsidRPr="00312109">
        <w:rPr>
          <w:rFonts w:ascii="Times New Roman" w:hAnsi="Times New Roman"/>
          <w:sz w:val="24"/>
          <w:szCs w:val="24"/>
        </w:rPr>
        <w:t xml:space="preserve"> полугодия 2014 года сложилась ситуация, когда на 100 работающих человек приходится 100,7 пенсионера. </w:t>
      </w:r>
    </w:p>
    <w:p w:rsidR="005261BD" w:rsidRPr="00312109" w:rsidRDefault="005261BD" w:rsidP="005261BD">
      <w:pPr>
        <w:spacing w:after="0" w:line="240" w:lineRule="auto"/>
        <w:ind w:firstLine="709"/>
        <w:jc w:val="both"/>
        <w:rPr>
          <w:rFonts w:ascii="Times New Roman" w:hAnsi="Times New Roman"/>
          <w:sz w:val="24"/>
          <w:szCs w:val="24"/>
        </w:rPr>
      </w:pPr>
      <w:r w:rsidRPr="00312109">
        <w:rPr>
          <w:rFonts w:ascii="Times New Roman" w:hAnsi="Times New Roman"/>
          <w:sz w:val="24"/>
          <w:szCs w:val="24"/>
        </w:rPr>
        <w:t xml:space="preserve">В течение января – июня 2014 года осуществлено 2 перерасчета минимального размера пенсии по возрасту при трудовом стаже и для исчисления надбавок и повышений. В результате средний размер назначенных пенсий с учетом проведенных индексаций повысился на 20,47 руб. ПМР (+1,54%) и по состоянию на конец июня составил        1 351,32 руб., превысив на 19,45% прожиточный минимум пенсионера. С учетом инфляции материальное положение пенсионеров повысилось на 5,4%. </w:t>
      </w:r>
    </w:p>
    <w:p w:rsidR="005261BD" w:rsidRPr="00312109" w:rsidRDefault="005261BD" w:rsidP="005261BD">
      <w:pPr>
        <w:spacing w:after="0" w:line="240" w:lineRule="auto"/>
        <w:ind w:firstLine="709"/>
        <w:jc w:val="both"/>
        <w:rPr>
          <w:rFonts w:ascii="Times New Roman" w:hAnsi="Times New Roman"/>
          <w:sz w:val="24"/>
          <w:szCs w:val="24"/>
        </w:rPr>
      </w:pPr>
      <w:r w:rsidRPr="00312109">
        <w:rPr>
          <w:rFonts w:ascii="Times New Roman" w:hAnsi="Times New Roman"/>
          <w:sz w:val="24"/>
          <w:szCs w:val="24"/>
        </w:rPr>
        <w:lastRenderedPageBreak/>
        <w:t xml:space="preserve">В целях повышения материального благосостояния пенсионеров республики дополнительно к пенсии в </w:t>
      </w:r>
      <w:r w:rsidRPr="00312109">
        <w:rPr>
          <w:rFonts w:ascii="Times New Roman" w:hAnsi="Times New Roman"/>
          <w:sz w:val="24"/>
          <w:szCs w:val="24"/>
          <w:lang w:val="en-US"/>
        </w:rPr>
        <w:t>I</w:t>
      </w:r>
      <w:r w:rsidRPr="00312109">
        <w:rPr>
          <w:rFonts w:ascii="Times New Roman" w:hAnsi="Times New Roman"/>
          <w:sz w:val="24"/>
          <w:szCs w:val="24"/>
        </w:rPr>
        <w:t xml:space="preserve"> полугодии 2014 года выплачивалась ежемесячная помощь из средств Единого государственного фонда социального страхования Приднестровской Молдавской Республики в размере 100 рублей и гуманитарная помощь Российской Федерации в размере 165 рублей.</w:t>
      </w:r>
    </w:p>
    <w:p w:rsidR="005261BD" w:rsidRPr="00312109" w:rsidRDefault="005261BD" w:rsidP="005261BD">
      <w:pPr>
        <w:spacing w:after="0" w:line="240" w:lineRule="auto"/>
        <w:ind w:firstLine="709"/>
        <w:jc w:val="both"/>
        <w:rPr>
          <w:rFonts w:ascii="Times New Roman" w:hAnsi="Times New Roman"/>
          <w:sz w:val="24"/>
          <w:szCs w:val="24"/>
        </w:rPr>
      </w:pPr>
      <w:r w:rsidRPr="00312109">
        <w:rPr>
          <w:rFonts w:ascii="Times New Roman" w:hAnsi="Times New Roman"/>
          <w:sz w:val="24"/>
          <w:szCs w:val="24"/>
        </w:rPr>
        <w:t>Таким образом, с учётом надбавок, повышений и в совокупности со средствами дополнительной помощи из средств Единого государственного фонда социального страхования Приднестровской Молдавской Республики и гуманитарной помощи Российской Федерации средний размер средних пенсий составил 1 616,32 руб.,</w:t>
      </w:r>
      <w:r w:rsidRPr="00312109">
        <w:rPr>
          <w:rFonts w:ascii="Times New Roman" w:hAnsi="Times New Roman"/>
          <w:b/>
          <w:sz w:val="24"/>
          <w:szCs w:val="24"/>
        </w:rPr>
        <w:t xml:space="preserve"> </w:t>
      </w:r>
      <w:r w:rsidRPr="00312109">
        <w:rPr>
          <w:rFonts w:ascii="Times New Roman" w:hAnsi="Times New Roman"/>
          <w:sz w:val="24"/>
          <w:szCs w:val="24"/>
        </w:rPr>
        <w:t>в 1,4 раза превысил прожиточный минимум пенсионера.</w:t>
      </w:r>
    </w:p>
    <w:p w:rsidR="005261BD" w:rsidRPr="00312109" w:rsidRDefault="005261BD" w:rsidP="005261BD">
      <w:pPr>
        <w:pStyle w:val="af0"/>
        <w:spacing w:before="0" w:beforeAutospacing="0" w:after="0" w:afterAutospacing="0"/>
        <w:ind w:firstLine="709"/>
        <w:jc w:val="both"/>
      </w:pPr>
      <w:r w:rsidRPr="00312109">
        <w:rPr>
          <w:b/>
        </w:rPr>
        <w:t>Величина прожиточного минимума,</w:t>
      </w:r>
      <w:r w:rsidRPr="00312109">
        <w:t xml:space="preserve"> определяющая минимально допустимый уровень потребления человеком товаров и услуг, обеспечивающих удовлетворение основных физиологических, социально-культурных и иных его потребностей, дифференцированных по социально-демографическим группам за I полугодие в среднем на душу населения составила 1 330,38 руб. (прирос</w:t>
      </w:r>
      <w:r>
        <w:t>т</w:t>
      </w:r>
      <w:r w:rsidRPr="00312109">
        <w:t xml:space="preserve"> на 8,1%), из которой расходы на питание составили 667,39 руб. (+8,4%), затраты на непродовольственные товары –         253,96 руб. (+13,2%), на оплату услуг – 384,26 руб. (+4,8%), а величина расходов по обязательным платежам и сборам – 24,77 руб. (+6,3%).</w:t>
      </w:r>
    </w:p>
    <w:p w:rsidR="005261BD" w:rsidRPr="00312109" w:rsidRDefault="005261BD" w:rsidP="005261BD">
      <w:pPr>
        <w:spacing w:after="0" w:line="240" w:lineRule="auto"/>
        <w:jc w:val="center"/>
        <w:rPr>
          <w:rFonts w:ascii="Times New Roman" w:hAnsi="Times New Roman"/>
          <w:b/>
          <w:sz w:val="24"/>
          <w:szCs w:val="24"/>
        </w:rPr>
      </w:pPr>
    </w:p>
    <w:p w:rsidR="005261BD" w:rsidRPr="00312109" w:rsidRDefault="005261BD" w:rsidP="005261BD">
      <w:pPr>
        <w:spacing w:after="0" w:line="240" w:lineRule="auto"/>
        <w:jc w:val="center"/>
        <w:rPr>
          <w:rFonts w:ascii="Times New Roman" w:hAnsi="Times New Roman"/>
          <w:b/>
          <w:sz w:val="24"/>
          <w:szCs w:val="24"/>
        </w:rPr>
      </w:pPr>
      <w:r w:rsidRPr="00312109">
        <w:rPr>
          <w:rFonts w:ascii="Times New Roman" w:hAnsi="Times New Roman"/>
          <w:b/>
          <w:sz w:val="24"/>
          <w:szCs w:val="24"/>
        </w:rPr>
        <w:t>Структура прожиточного минимума, руб.</w:t>
      </w:r>
    </w:p>
    <w:p w:rsidR="005261BD" w:rsidRPr="00312109" w:rsidRDefault="005261BD" w:rsidP="005261BD">
      <w:pPr>
        <w:spacing w:after="0" w:line="240" w:lineRule="auto"/>
        <w:jc w:val="center"/>
        <w:rPr>
          <w:rFonts w:ascii="Times New Roman" w:hAnsi="Times New Roman"/>
          <w:b/>
          <w:sz w:val="24"/>
          <w:szCs w:val="24"/>
        </w:rPr>
      </w:pPr>
      <w:r w:rsidRPr="00312109">
        <w:rPr>
          <w:rFonts w:ascii="Times New Roman" w:hAnsi="Times New Roman"/>
          <w:noProof/>
        </w:rPr>
        <w:drawing>
          <wp:inline distT="0" distB="0" distL="0" distR="0">
            <wp:extent cx="2724150" cy="2257425"/>
            <wp:effectExtent l="19050" t="0" r="0" b="0"/>
            <wp:docPr id="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312109">
        <w:t xml:space="preserve"> </w:t>
      </w:r>
      <w:r w:rsidRPr="00312109">
        <w:rPr>
          <w:rFonts w:ascii="Times New Roman" w:hAnsi="Times New Roman"/>
          <w:b/>
          <w:noProof/>
          <w:sz w:val="24"/>
          <w:szCs w:val="24"/>
        </w:rPr>
        <w:drawing>
          <wp:inline distT="0" distB="0" distL="0" distR="0">
            <wp:extent cx="2724150" cy="2257425"/>
            <wp:effectExtent l="19050" t="0" r="0" b="0"/>
            <wp:docPr id="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5261BD" w:rsidRPr="00312109" w:rsidRDefault="005261BD" w:rsidP="00BA368A">
      <w:pPr>
        <w:spacing w:after="0"/>
        <w:ind w:firstLine="709"/>
        <w:jc w:val="both"/>
        <w:rPr>
          <w:rFonts w:ascii="Times New Roman" w:hAnsi="Times New Roman"/>
          <w:sz w:val="24"/>
          <w:szCs w:val="24"/>
        </w:rPr>
      </w:pPr>
      <w:r w:rsidRPr="00312109">
        <w:rPr>
          <w:rFonts w:ascii="Times New Roman" w:hAnsi="Times New Roman"/>
          <w:sz w:val="24"/>
          <w:szCs w:val="24"/>
        </w:rPr>
        <w:t xml:space="preserve">В разрезе социально-демографических групп населения величина прожиточного минимума в </w:t>
      </w:r>
      <w:r w:rsidRPr="00312109">
        <w:rPr>
          <w:rFonts w:ascii="Times New Roman" w:hAnsi="Times New Roman"/>
          <w:sz w:val="24"/>
          <w:szCs w:val="24"/>
          <w:lang w:val="en-US"/>
        </w:rPr>
        <w:t>I</w:t>
      </w:r>
      <w:r w:rsidRPr="00312109">
        <w:rPr>
          <w:rFonts w:ascii="Times New Roman" w:hAnsi="Times New Roman"/>
          <w:sz w:val="24"/>
          <w:szCs w:val="24"/>
        </w:rPr>
        <w:t xml:space="preserve"> полугодии 2014 года сложилась следующим образом:</w:t>
      </w:r>
    </w:p>
    <w:tbl>
      <w:tblPr>
        <w:tblW w:w="96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9"/>
        <w:gridCol w:w="1603"/>
        <w:gridCol w:w="1602"/>
        <w:gridCol w:w="2331"/>
      </w:tblGrid>
      <w:tr w:rsidR="005261BD" w:rsidRPr="00312109" w:rsidTr="005261BD">
        <w:trPr>
          <w:trHeight w:val="743"/>
        </w:trPr>
        <w:tc>
          <w:tcPr>
            <w:tcW w:w="4079" w:type="dxa"/>
            <w:vMerge w:val="restart"/>
            <w:vAlign w:val="center"/>
          </w:tcPr>
          <w:p w:rsidR="005261BD" w:rsidRPr="00312109" w:rsidRDefault="005261BD" w:rsidP="005261BD">
            <w:pPr>
              <w:spacing w:after="0"/>
              <w:ind w:left="34"/>
              <w:rPr>
                <w:rFonts w:ascii="Times New Roman" w:hAnsi="Times New Roman"/>
                <w:b/>
              </w:rPr>
            </w:pPr>
            <w:r w:rsidRPr="00312109">
              <w:rPr>
                <w:rFonts w:ascii="Times New Roman" w:hAnsi="Times New Roman"/>
                <w:b/>
              </w:rPr>
              <w:t>Социально-демографическая группа</w:t>
            </w:r>
          </w:p>
        </w:tc>
        <w:tc>
          <w:tcPr>
            <w:tcW w:w="3205" w:type="dxa"/>
            <w:gridSpan w:val="2"/>
            <w:vAlign w:val="center"/>
          </w:tcPr>
          <w:p w:rsidR="005261BD" w:rsidRPr="00312109" w:rsidRDefault="005261BD" w:rsidP="005261BD">
            <w:pPr>
              <w:spacing w:after="0"/>
              <w:ind w:left="34"/>
              <w:jc w:val="center"/>
              <w:rPr>
                <w:rFonts w:ascii="Times New Roman" w:hAnsi="Times New Roman"/>
                <w:b/>
              </w:rPr>
            </w:pPr>
            <w:r w:rsidRPr="00312109">
              <w:rPr>
                <w:rFonts w:ascii="Times New Roman" w:hAnsi="Times New Roman"/>
                <w:b/>
              </w:rPr>
              <w:t xml:space="preserve">Величина ПМ </w:t>
            </w:r>
          </w:p>
          <w:p w:rsidR="005261BD" w:rsidRPr="00312109" w:rsidRDefault="005261BD" w:rsidP="005261BD">
            <w:pPr>
              <w:spacing w:after="0"/>
              <w:ind w:left="34"/>
              <w:jc w:val="center"/>
              <w:rPr>
                <w:rFonts w:ascii="Times New Roman" w:hAnsi="Times New Roman"/>
                <w:b/>
              </w:rPr>
            </w:pPr>
            <w:r w:rsidRPr="00312109">
              <w:rPr>
                <w:rFonts w:ascii="Times New Roman" w:hAnsi="Times New Roman"/>
                <w:b/>
              </w:rPr>
              <w:t xml:space="preserve">за I полугодие, </w:t>
            </w:r>
          </w:p>
          <w:p w:rsidR="005261BD" w:rsidRPr="00312109" w:rsidRDefault="005261BD" w:rsidP="005261BD">
            <w:pPr>
              <w:spacing w:after="0"/>
              <w:ind w:firstLine="34"/>
              <w:jc w:val="center"/>
              <w:rPr>
                <w:rFonts w:ascii="Times New Roman" w:hAnsi="Times New Roman"/>
                <w:b/>
              </w:rPr>
            </w:pPr>
            <w:r w:rsidRPr="00312109">
              <w:rPr>
                <w:rFonts w:ascii="Times New Roman" w:hAnsi="Times New Roman"/>
                <w:b/>
              </w:rPr>
              <w:t>руб.</w:t>
            </w:r>
          </w:p>
        </w:tc>
        <w:tc>
          <w:tcPr>
            <w:tcW w:w="2331" w:type="dxa"/>
            <w:vMerge w:val="restart"/>
            <w:vAlign w:val="center"/>
          </w:tcPr>
          <w:p w:rsidR="005261BD" w:rsidRPr="00312109" w:rsidRDefault="005261BD" w:rsidP="005261BD">
            <w:pPr>
              <w:spacing w:after="0"/>
              <w:ind w:firstLine="34"/>
              <w:jc w:val="center"/>
              <w:rPr>
                <w:rFonts w:ascii="Times New Roman" w:hAnsi="Times New Roman"/>
                <w:b/>
              </w:rPr>
            </w:pPr>
            <w:r>
              <w:rPr>
                <w:rFonts w:ascii="Times New Roman" w:hAnsi="Times New Roman"/>
                <w:b/>
              </w:rPr>
              <w:t>Темп роста</w:t>
            </w:r>
            <w:r w:rsidRPr="00312109">
              <w:rPr>
                <w:rFonts w:ascii="Times New Roman" w:hAnsi="Times New Roman"/>
                <w:b/>
              </w:rPr>
              <w:t xml:space="preserve"> I полуг.</w:t>
            </w:r>
          </w:p>
          <w:p w:rsidR="005261BD" w:rsidRPr="00312109" w:rsidRDefault="005261BD" w:rsidP="005261BD">
            <w:pPr>
              <w:spacing w:after="0"/>
              <w:ind w:left="34"/>
              <w:jc w:val="center"/>
              <w:rPr>
                <w:rFonts w:ascii="Times New Roman" w:hAnsi="Times New Roman"/>
                <w:b/>
              </w:rPr>
            </w:pPr>
            <w:r w:rsidRPr="00312109">
              <w:rPr>
                <w:rFonts w:ascii="Times New Roman" w:hAnsi="Times New Roman"/>
                <w:b/>
              </w:rPr>
              <w:t>201</w:t>
            </w:r>
            <w:r>
              <w:rPr>
                <w:rFonts w:ascii="Times New Roman" w:hAnsi="Times New Roman"/>
                <w:b/>
              </w:rPr>
              <w:t>4</w:t>
            </w:r>
            <w:r w:rsidRPr="00312109">
              <w:rPr>
                <w:rFonts w:ascii="Times New Roman" w:hAnsi="Times New Roman"/>
                <w:b/>
              </w:rPr>
              <w:t xml:space="preserve"> г</w:t>
            </w:r>
            <w:r>
              <w:rPr>
                <w:rFonts w:ascii="Times New Roman" w:hAnsi="Times New Roman"/>
                <w:b/>
              </w:rPr>
              <w:t>. к I полуг. 2013 г.</w:t>
            </w:r>
            <w:r w:rsidRPr="00312109">
              <w:rPr>
                <w:rFonts w:ascii="Times New Roman" w:hAnsi="Times New Roman"/>
                <w:b/>
              </w:rPr>
              <w:t>, %</w:t>
            </w:r>
          </w:p>
        </w:tc>
      </w:tr>
      <w:tr w:rsidR="005261BD" w:rsidRPr="00312109" w:rsidTr="005261BD">
        <w:trPr>
          <w:trHeight w:val="143"/>
        </w:trPr>
        <w:tc>
          <w:tcPr>
            <w:tcW w:w="4079" w:type="dxa"/>
            <w:vMerge/>
            <w:vAlign w:val="center"/>
          </w:tcPr>
          <w:p w:rsidR="005261BD" w:rsidRPr="00312109" w:rsidRDefault="005261BD" w:rsidP="005261BD">
            <w:pPr>
              <w:spacing w:after="0"/>
              <w:ind w:left="34"/>
              <w:rPr>
                <w:rFonts w:ascii="Times New Roman" w:hAnsi="Times New Roman"/>
              </w:rPr>
            </w:pPr>
          </w:p>
        </w:tc>
        <w:tc>
          <w:tcPr>
            <w:tcW w:w="1603" w:type="dxa"/>
            <w:vAlign w:val="center"/>
          </w:tcPr>
          <w:p w:rsidR="005261BD" w:rsidRPr="00312109" w:rsidRDefault="005261BD" w:rsidP="005261BD">
            <w:pPr>
              <w:spacing w:after="0"/>
              <w:ind w:left="-76" w:right="-96"/>
              <w:jc w:val="center"/>
              <w:rPr>
                <w:rFonts w:ascii="Times New Roman" w:hAnsi="Times New Roman"/>
                <w:b/>
              </w:rPr>
            </w:pPr>
            <w:r w:rsidRPr="00312109">
              <w:rPr>
                <w:rFonts w:ascii="Times New Roman" w:hAnsi="Times New Roman"/>
                <w:b/>
              </w:rPr>
              <w:t>2013 год</w:t>
            </w:r>
          </w:p>
        </w:tc>
        <w:tc>
          <w:tcPr>
            <w:tcW w:w="1602" w:type="dxa"/>
            <w:vAlign w:val="center"/>
          </w:tcPr>
          <w:p w:rsidR="005261BD" w:rsidRPr="00312109" w:rsidRDefault="005261BD" w:rsidP="005261BD">
            <w:pPr>
              <w:spacing w:after="0"/>
              <w:ind w:left="34"/>
              <w:jc w:val="center"/>
              <w:rPr>
                <w:rFonts w:ascii="Times New Roman" w:hAnsi="Times New Roman"/>
                <w:b/>
              </w:rPr>
            </w:pPr>
            <w:r w:rsidRPr="00312109">
              <w:rPr>
                <w:rFonts w:ascii="Times New Roman" w:hAnsi="Times New Roman"/>
                <w:b/>
              </w:rPr>
              <w:t>2014 год</w:t>
            </w:r>
          </w:p>
        </w:tc>
        <w:tc>
          <w:tcPr>
            <w:tcW w:w="2331" w:type="dxa"/>
            <w:vMerge/>
            <w:vAlign w:val="center"/>
          </w:tcPr>
          <w:p w:rsidR="005261BD" w:rsidRPr="00312109" w:rsidRDefault="005261BD" w:rsidP="005261BD">
            <w:pPr>
              <w:spacing w:after="0"/>
              <w:ind w:firstLine="34"/>
              <w:jc w:val="center"/>
              <w:rPr>
                <w:rFonts w:ascii="Times New Roman" w:hAnsi="Times New Roman"/>
              </w:rPr>
            </w:pPr>
          </w:p>
        </w:tc>
      </w:tr>
      <w:tr w:rsidR="005261BD" w:rsidRPr="00312109" w:rsidTr="005261BD">
        <w:trPr>
          <w:trHeight w:val="244"/>
        </w:trPr>
        <w:tc>
          <w:tcPr>
            <w:tcW w:w="4079" w:type="dxa"/>
          </w:tcPr>
          <w:p w:rsidR="005261BD" w:rsidRPr="00312109" w:rsidRDefault="005261BD" w:rsidP="005261BD">
            <w:pPr>
              <w:spacing w:after="0"/>
              <w:ind w:left="34"/>
              <w:rPr>
                <w:rFonts w:ascii="Times New Roman" w:hAnsi="Times New Roman"/>
              </w:rPr>
            </w:pPr>
            <w:r w:rsidRPr="00312109">
              <w:rPr>
                <w:rFonts w:ascii="Times New Roman" w:hAnsi="Times New Roman"/>
              </w:rPr>
              <w:t>Мужчины трудоспособного возраста</w:t>
            </w:r>
          </w:p>
        </w:tc>
        <w:tc>
          <w:tcPr>
            <w:tcW w:w="1603" w:type="dxa"/>
            <w:vAlign w:val="center"/>
          </w:tcPr>
          <w:p w:rsidR="005261BD" w:rsidRPr="00312109" w:rsidRDefault="005261BD" w:rsidP="005261BD">
            <w:pPr>
              <w:spacing w:after="0"/>
              <w:ind w:firstLine="34"/>
              <w:jc w:val="center"/>
              <w:rPr>
                <w:rFonts w:ascii="Times New Roman" w:hAnsi="Times New Roman"/>
              </w:rPr>
            </w:pPr>
            <w:r w:rsidRPr="00312109">
              <w:rPr>
                <w:rFonts w:ascii="Times New Roman" w:hAnsi="Times New Roman"/>
              </w:rPr>
              <w:t>1 348,29</w:t>
            </w:r>
          </w:p>
        </w:tc>
        <w:tc>
          <w:tcPr>
            <w:tcW w:w="1602" w:type="dxa"/>
            <w:vAlign w:val="center"/>
          </w:tcPr>
          <w:p w:rsidR="005261BD" w:rsidRPr="00312109" w:rsidRDefault="005261BD" w:rsidP="005261BD">
            <w:pPr>
              <w:spacing w:after="0"/>
              <w:ind w:firstLine="34"/>
              <w:jc w:val="center"/>
              <w:rPr>
                <w:rFonts w:ascii="Times New Roman" w:hAnsi="Times New Roman"/>
              </w:rPr>
            </w:pPr>
            <w:r w:rsidRPr="00312109">
              <w:rPr>
                <w:rFonts w:ascii="Times New Roman" w:hAnsi="Times New Roman"/>
              </w:rPr>
              <w:t>1 461,82</w:t>
            </w:r>
          </w:p>
        </w:tc>
        <w:tc>
          <w:tcPr>
            <w:tcW w:w="2331" w:type="dxa"/>
            <w:vAlign w:val="center"/>
          </w:tcPr>
          <w:p w:rsidR="005261BD" w:rsidRPr="00312109" w:rsidRDefault="005261BD" w:rsidP="005261BD">
            <w:pPr>
              <w:spacing w:after="0"/>
              <w:ind w:firstLine="34"/>
              <w:jc w:val="center"/>
              <w:rPr>
                <w:rFonts w:ascii="Times New Roman" w:hAnsi="Times New Roman"/>
              </w:rPr>
            </w:pPr>
            <w:r w:rsidRPr="00312109">
              <w:rPr>
                <w:rFonts w:ascii="Times New Roman" w:hAnsi="Times New Roman"/>
              </w:rPr>
              <w:t>108,4</w:t>
            </w:r>
          </w:p>
        </w:tc>
      </w:tr>
      <w:tr w:rsidR="005261BD" w:rsidRPr="00312109" w:rsidTr="005261BD">
        <w:trPr>
          <w:trHeight w:val="257"/>
        </w:trPr>
        <w:tc>
          <w:tcPr>
            <w:tcW w:w="4079" w:type="dxa"/>
          </w:tcPr>
          <w:p w:rsidR="005261BD" w:rsidRPr="00312109" w:rsidRDefault="005261BD" w:rsidP="005261BD">
            <w:pPr>
              <w:spacing w:after="0"/>
              <w:ind w:left="34"/>
              <w:rPr>
                <w:rFonts w:ascii="Times New Roman" w:hAnsi="Times New Roman"/>
              </w:rPr>
            </w:pPr>
            <w:r w:rsidRPr="00312109">
              <w:rPr>
                <w:rFonts w:ascii="Times New Roman" w:hAnsi="Times New Roman"/>
              </w:rPr>
              <w:t>Женщины трудоспособного возраста</w:t>
            </w:r>
          </w:p>
        </w:tc>
        <w:tc>
          <w:tcPr>
            <w:tcW w:w="1603" w:type="dxa"/>
            <w:vAlign w:val="center"/>
          </w:tcPr>
          <w:p w:rsidR="005261BD" w:rsidRPr="00312109" w:rsidRDefault="005261BD" w:rsidP="005261BD">
            <w:pPr>
              <w:spacing w:after="0"/>
              <w:ind w:firstLine="34"/>
              <w:jc w:val="center"/>
              <w:rPr>
                <w:rFonts w:ascii="Times New Roman" w:hAnsi="Times New Roman"/>
              </w:rPr>
            </w:pPr>
            <w:r w:rsidRPr="00312109">
              <w:rPr>
                <w:rFonts w:ascii="Times New Roman" w:hAnsi="Times New Roman"/>
              </w:rPr>
              <w:t>1 275,91</w:t>
            </w:r>
          </w:p>
        </w:tc>
        <w:tc>
          <w:tcPr>
            <w:tcW w:w="1602" w:type="dxa"/>
            <w:vAlign w:val="center"/>
          </w:tcPr>
          <w:p w:rsidR="005261BD" w:rsidRPr="00312109" w:rsidRDefault="005261BD" w:rsidP="005261BD">
            <w:pPr>
              <w:spacing w:after="0"/>
              <w:ind w:firstLine="34"/>
              <w:jc w:val="center"/>
              <w:rPr>
                <w:rFonts w:ascii="Times New Roman" w:hAnsi="Times New Roman"/>
              </w:rPr>
            </w:pPr>
            <w:r w:rsidRPr="00312109">
              <w:rPr>
                <w:rFonts w:ascii="Times New Roman" w:hAnsi="Times New Roman"/>
              </w:rPr>
              <w:t>1 370,39</w:t>
            </w:r>
          </w:p>
        </w:tc>
        <w:tc>
          <w:tcPr>
            <w:tcW w:w="2331" w:type="dxa"/>
            <w:vAlign w:val="center"/>
          </w:tcPr>
          <w:p w:rsidR="005261BD" w:rsidRPr="00312109" w:rsidRDefault="005261BD" w:rsidP="005261BD">
            <w:pPr>
              <w:spacing w:after="0"/>
              <w:ind w:firstLine="34"/>
              <w:jc w:val="center"/>
              <w:rPr>
                <w:rFonts w:ascii="Times New Roman" w:hAnsi="Times New Roman"/>
              </w:rPr>
            </w:pPr>
            <w:r w:rsidRPr="00312109">
              <w:rPr>
                <w:rFonts w:ascii="Times New Roman" w:hAnsi="Times New Roman"/>
              </w:rPr>
              <w:t>107,4</w:t>
            </w:r>
          </w:p>
        </w:tc>
      </w:tr>
      <w:tr w:rsidR="005261BD" w:rsidRPr="00312109" w:rsidTr="005261BD">
        <w:trPr>
          <w:trHeight w:val="244"/>
        </w:trPr>
        <w:tc>
          <w:tcPr>
            <w:tcW w:w="4079" w:type="dxa"/>
          </w:tcPr>
          <w:p w:rsidR="005261BD" w:rsidRPr="00312109" w:rsidRDefault="005261BD" w:rsidP="005261BD">
            <w:pPr>
              <w:spacing w:after="0"/>
              <w:ind w:left="34"/>
              <w:rPr>
                <w:rFonts w:ascii="Times New Roman" w:hAnsi="Times New Roman"/>
              </w:rPr>
            </w:pPr>
            <w:r w:rsidRPr="00312109">
              <w:rPr>
                <w:rFonts w:ascii="Times New Roman" w:hAnsi="Times New Roman"/>
              </w:rPr>
              <w:t>Пенсионеры</w:t>
            </w:r>
          </w:p>
        </w:tc>
        <w:tc>
          <w:tcPr>
            <w:tcW w:w="1603" w:type="dxa"/>
            <w:vAlign w:val="center"/>
          </w:tcPr>
          <w:p w:rsidR="005261BD" w:rsidRPr="00312109" w:rsidRDefault="005261BD" w:rsidP="005261BD">
            <w:pPr>
              <w:spacing w:after="0"/>
              <w:ind w:firstLine="34"/>
              <w:jc w:val="center"/>
              <w:rPr>
                <w:rFonts w:ascii="Times New Roman" w:hAnsi="Times New Roman"/>
              </w:rPr>
            </w:pPr>
            <w:r w:rsidRPr="00312109">
              <w:rPr>
                <w:rFonts w:ascii="Times New Roman" w:hAnsi="Times New Roman"/>
              </w:rPr>
              <w:t>1 008,78</w:t>
            </w:r>
          </w:p>
        </w:tc>
        <w:tc>
          <w:tcPr>
            <w:tcW w:w="1602" w:type="dxa"/>
            <w:vAlign w:val="center"/>
          </w:tcPr>
          <w:p w:rsidR="005261BD" w:rsidRPr="00312109" w:rsidRDefault="005261BD" w:rsidP="005261BD">
            <w:pPr>
              <w:spacing w:after="0"/>
              <w:ind w:firstLine="34"/>
              <w:jc w:val="center"/>
              <w:rPr>
                <w:rFonts w:ascii="Times New Roman" w:hAnsi="Times New Roman"/>
              </w:rPr>
            </w:pPr>
            <w:r w:rsidRPr="00312109">
              <w:rPr>
                <w:rFonts w:ascii="Times New Roman" w:hAnsi="Times New Roman"/>
              </w:rPr>
              <w:t>1 112,76</w:t>
            </w:r>
          </w:p>
        </w:tc>
        <w:tc>
          <w:tcPr>
            <w:tcW w:w="2331" w:type="dxa"/>
            <w:vAlign w:val="center"/>
          </w:tcPr>
          <w:p w:rsidR="005261BD" w:rsidRPr="00312109" w:rsidRDefault="005261BD" w:rsidP="005261BD">
            <w:pPr>
              <w:spacing w:after="0"/>
              <w:ind w:firstLine="34"/>
              <w:jc w:val="center"/>
              <w:rPr>
                <w:rFonts w:ascii="Times New Roman" w:hAnsi="Times New Roman"/>
              </w:rPr>
            </w:pPr>
            <w:r w:rsidRPr="00312109">
              <w:rPr>
                <w:rFonts w:ascii="Times New Roman" w:hAnsi="Times New Roman"/>
              </w:rPr>
              <w:t>110,3</w:t>
            </w:r>
          </w:p>
        </w:tc>
      </w:tr>
      <w:tr w:rsidR="005261BD" w:rsidRPr="00312109" w:rsidTr="005261BD">
        <w:trPr>
          <w:trHeight w:val="257"/>
        </w:trPr>
        <w:tc>
          <w:tcPr>
            <w:tcW w:w="4079" w:type="dxa"/>
          </w:tcPr>
          <w:p w:rsidR="005261BD" w:rsidRPr="00312109" w:rsidRDefault="005261BD" w:rsidP="005261BD">
            <w:pPr>
              <w:spacing w:after="0"/>
              <w:ind w:left="34"/>
              <w:rPr>
                <w:rFonts w:ascii="Times New Roman" w:hAnsi="Times New Roman"/>
              </w:rPr>
            </w:pPr>
            <w:r w:rsidRPr="00312109">
              <w:rPr>
                <w:rFonts w:ascii="Times New Roman" w:hAnsi="Times New Roman"/>
              </w:rPr>
              <w:t>Дети от 0 до 6 лет</w:t>
            </w:r>
          </w:p>
        </w:tc>
        <w:tc>
          <w:tcPr>
            <w:tcW w:w="1603" w:type="dxa"/>
            <w:vAlign w:val="center"/>
          </w:tcPr>
          <w:p w:rsidR="005261BD" w:rsidRPr="00312109" w:rsidRDefault="005261BD" w:rsidP="005261BD">
            <w:pPr>
              <w:spacing w:after="0"/>
              <w:ind w:firstLine="34"/>
              <w:jc w:val="center"/>
              <w:rPr>
                <w:rFonts w:ascii="Times New Roman" w:hAnsi="Times New Roman"/>
              </w:rPr>
            </w:pPr>
            <w:r w:rsidRPr="00312109">
              <w:rPr>
                <w:rFonts w:ascii="Times New Roman" w:hAnsi="Times New Roman"/>
              </w:rPr>
              <w:t>1 108,93</w:t>
            </w:r>
          </w:p>
        </w:tc>
        <w:tc>
          <w:tcPr>
            <w:tcW w:w="1602" w:type="dxa"/>
            <w:vAlign w:val="center"/>
          </w:tcPr>
          <w:p w:rsidR="005261BD" w:rsidRPr="00312109" w:rsidRDefault="005261BD" w:rsidP="005261BD">
            <w:pPr>
              <w:spacing w:after="0"/>
              <w:ind w:firstLine="34"/>
              <w:jc w:val="center"/>
              <w:rPr>
                <w:rFonts w:ascii="Times New Roman" w:hAnsi="Times New Roman"/>
              </w:rPr>
            </w:pPr>
            <w:r w:rsidRPr="00312109">
              <w:rPr>
                <w:rFonts w:ascii="Times New Roman" w:hAnsi="Times New Roman"/>
              </w:rPr>
              <w:t>1 202,26</w:t>
            </w:r>
          </w:p>
        </w:tc>
        <w:tc>
          <w:tcPr>
            <w:tcW w:w="2331" w:type="dxa"/>
            <w:vAlign w:val="center"/>
          </w:tcPr>
          <w:p w:rsidR="005261BD" w:rsidRPr="00312109" w:rsidRDefault="005261BD" w:rsidP="005261BD">
            <w:pPr>
              <w:spacing w:after="0"/>
              <w:ind w:firstLine="34"/>
              <w:jc w:val="center"/>
              <w:rPr>
                <w:rFonts w:ascii="Times New Roman" w:hAnsi="Times New Roman"/>
              </w:rPr>
            </w:pPr>
            <w:r w:rsidRPr="00312109">
              <w:rPr>
                <w:rFonts w:ascii="Times New Roman" w:hAnsi="Times New Roman"/>
              </w:rPr>
              <w:t>108,4</w:t>
            </w:r>
          </w:p>
        </w:tc>
      </w:tr>
      <w:tr w:rsidR="005261BD" w:rsidRPr="00312109" w:rsidTr="005261BD">
        <w:trPr>
          <w:trHeight w:val="257"/>
        </w:trPr>
        <w:tc>
          <w:tcPr>
            <w:tcW w:w="4079" w:type="dxa"/>
          </w:tcPr>
          <w:p w:rsidR="005261BD" w:rsidRPr="00312109" w:rsidRDefault="005261BD" w:rsidP="005261BD">
            <w:pPr>
              <w:spacing w:after="0"/>
              <w:ind w:left="34"/>
              <w:rPr>
                <w:rFonts w:ascii="Times New Roman" w:hAnsi="Times New Roman"/>
              </w:rPr>
            </w:pPr>
            <w:r w:rsidRPr="00312109">
              <w:rPr>
                <w:rFonts w:ascii="Times New Roman" w:hAnsi="Times New Roman"/>
              </w:rPr>
              <w:t>Дети от 7 до 15 лет</w:t>
            </w:r>
          </w:p>
        </w:tc>
        <w:tc>
          <w:tcPr>
            <w:tcW w:w="1603" w:type="dxa"/>
            <w:vAlign w:val="center"/>
          </w:tcPr>
          <w:p w:rsidR="005261BD" w:rsidRPr="00312109" w:rsidRDefault="005261BD" w:rsidP="005261BD">
            <w:pPr>
              <w:spacing w:after="0"/>
              <w:ind w:firstLine="34"/>
              <w:jc w:val="center"/>
              <w:rPr>
                <w:rFonts w:ascii="Times New Roman" w:hAnsi="Times New Roman"/>
              </w:rPr>
            </w:pPr>
            <w:r w:rsidRPr="00312109">
              <w:rPr>
                <w:rFonts w:ascii="Times New Roman" w:hAnsi="Times New Roman"/>
              </w:rPr>
              <w:t>1 367,54</w:t>
            </w:r>
          </w:p>
        </w:tc>
        <w:tc>
          <w:tcPr>
            <w:tcW w:w="1602" w:type="dxa"/>
            <w:vAlign w:val="center"/>
          </w:tcPr>
          <w:p w:rsidR="005261BD" w:rsidRPr="00312109" w:rsidRDefault="005261BD" w:rsidP="005261BD">
            <w:pPr>
              <w:spacing w:after="0"/>
              <w:ind w:firstLine="34"/>
              <w:jc w:val="center"/>
              <w:rPr>
                <w:rFonts w:ascii="Times New Roman" w:hAnsi="Times New Roman"/>
              </w:rPr>
            </w:pPr>
            <w:r w:rsidRPr="00312109">
              <w:rPr>
                <w:rFonts w:ascii="Times New Roman" w:hAnsi="Times New Roman"/>
              </w:rPr>
              <w:t>1 474,43</w:t>
            </w:r>
          </w:p>
        </w:tc>
        <w:tc>
          <w:tcPr>
            <w:tcW w:w="2331" w:type="dxa"/>
            <w:vAlign w:val="center"/>
          </w:tcPr>
          <w:p w:rsidR="005261BD" w:rsidRPr="00312109" w:rsidRDefault="005261BD" w:rsidP="005261BD">
            <w:pPr>
              <w:spacing w:after="0"/>
              <w:ind w:firstLine="34"/>
              <w:jc w:val="center"/>
              <w:rPr>
                <w:rFonts w:ascii="Times New Roman" w:hAnsi="Times New Roman"/>
              </w:rPr>
            </w:pPr>
            <w:r w:rsidRPr="00312109">
              <w:rPr>
                <w:rFonts w:ascii="Times New Roman" w:hAnsi="Times New Roman"/>
              </w:rPr>
              <w:t>107,8</w:t>
            </w:r>
          </w:p>
        </w:tc>
      </w:tr>
    </w:tbl>
    <w:p w:rsidR="005261BD" w:rsidRPr="00B0117F" w:rsidRDefault="005261BD" w:rsidP="00BA368A">
      <w:pPr>
        <w:spacing w:after="0" w:line="240" w:lineRule="auto"/>
        <w:ind w:firstLine="709"/>
        <w:jc w:val="both"/>
        <w:rPr>
          <w:rFonts w:ascii="Times New Roman" w:hAnsi="Times New Roman"/>
          <w:sz w:val="24"/>
          <w:szCs w:val="24"/>
        </w:rPr>
      </w:pPr>
      <w:r w:rsidRPr="00312109">
        <w:rPr>
          <w:rFonts w:ascii="Times New Roman" w:hAnsi="Times New Roman"/>
          <w:sz w:val="24"/>
          <w:szCs w:val="24"/>
        </w:rPr>
        <w:t xml:space="preserve">В течение </w:t>
      </w:r>
      <w:r w:rsidRPr="00312109">
        <w:rPr>
          <w:rFonts w:ascii="Times New Roman" w:hAnsi="Times New Roman"/>
          <w:sz w:val="24"/>
          <w:szCs w:val="24"/>
          <w:lang w:val="en-US"/>
        </w:rPr>
        <w:t>I</w:t>
      </w:r>
      <w:r w:rsidRPr="00312109">
        <w:rPr>
          <w:rFonts w:ascii="Times New Roman" w:hAnsi="Times New Roman"/>
          <w:sz w:val="24"/>
          <w:szCs w:val="24"/>
        </w:rPr>
        <w:t xml:space="preserve"> полугодия 2014 года наблюдался в основном рост величины прожиточного минимума по отношению к предыдущему месяцу (на 0,4 - 5,4%%), за исключением марта и июня 2014 года, когда было отмечено незначительное падение величины прожиточного минимума по отношению к февралю и маю 2014 года (на 0,5% и 1,0% соответственно), которое было обусловлено снижением стоимости продуктового набора.</w:t>
      </w:r>
    </w:p>
    <w:p w:rsidR="00DE2491" w:rsidRDefault="00DE2491" w:rsidP="00D14717">
      <w:pPr>
        <w:spacing w:after="0" w:line="240" w:lineRule="auto"/>
        <w:ind w:firstLine="709"/>
        <w:rPr>
          <w:rFonts w:ascii="Times New Roman" w:hAnsi="Times New Roman"/>
          <w:sz w:val="24"/>
          <w:szCs w:val="24"/>
        </w:rPr>
      </w:pPr>
    </w:p>
    <w:p w:rsidR="005261BD" w:rsidRPr="00CA5E80" w:rsidRDefault="005261BD" w:rsidP="005261BD">
      <w:pPr>
        <w:spacing w:after="0" w:line="240" w:lineRule="auto"/>
        <w:ind w:firstLine="720"/>
        <w:jc w:val="both"/>
        <w:rPr>
          <w:rFonts w:ascii="Times New Roman" w:hAnsi="Times New Roman"/>
          <w:b/>
          <w:sz w:val="24"/>
          <w:szCs w:val="24"/>
        </w:rPr>
      </w:pPr>
      <w:r w:rsidRPr="00CA5E80">
        <w:rPr>
          <w:rFonts w:ascii="Times New Roman" w:hAnsi="Times New Roman"/>
          <w:b/>
          <w:sz w:val="24"/>
          <w:szCs w:val="24"/>
        </w:rPr>
        <w:lastRenderedPageBreak/>
        <w:t>Рынок труда и сфера занятости</w:t>
      </w:r>
    </w:p>
    <w:p w:rsidR="005261BD" w:rsidRPr="00CA5E80" w:rsidRDefault="005261BD" w:rsidP="005261BD">
      <w:pPr>
        <w:spacing w:after="0" w:line="240" w:lineRule="auto"/>
        <w:ind w:firstLine="709"/>
        <w:jc w:val="both"/>
        <w:rPr>
          <w:rFonts w:ascii="Times New Roman" w:hAnsi="Times New Roman"/>
          <w:sz w:val="24"/>
          <w:szCs w:val="24"/>
        </w:rPr>
      </w:pPr>
    </w:p>
    <w:p w:rsidR="005261BD" w:rsidRPr="00CA5E80" w:rsidRDefault="005261BD" w:rsidP="005261BD">
      <w:pPr>
        <w:spacing w:after="0" w:line="240" w:lineRule="auto"/>
        <w:ind w:firstLine="709"/>
        <w:jc w:val="both"/>
        <w:rPr>
          <w:rFonts w:ascii="Times New Roman" w:hAnsi="Times New Roman"/>
          <w:sz w:val="24"/>
          <w:szCs w:val="24"/>
        </w:rPr>
      </w:pPr>
      <w:r w:rsidRPr="00CA5E80">
        <w:rPr>
          <w:rFonts w:ascii="Times New Roman" w:hAnsi="Times New Roman"/>
          <w:sz w:val="24"/>
          <w:szCs w:val="24"/>
        </w:rPr>
        <w:t xml:space="preserve">Ситуация на рынке труда в I полугодии 2014 года определялась социально – экономическими и демографическими процессами происходящими в республике. </w:t>
      </w:r>
    </w:p>
    <w:p w:rsidR="005261BD" w:rsidRPr="00CA5E80" w:rsidRDefault="005261BD" w:rsidP="005261BD">
      <w:pPr>
        <w:spacing w:after="0" w:line="240" w:lineRule="auto"/>
        <w:ind w:firstLine="720"/>
        <w:jc w:val="both"/>
        <w:rPr>
          <w:rFonts w:ascii="Times New Roman" w:hAnsi="Times New Roman"/>
          <w:sz w:val="24"/>
          <w:szCs w:val="24"/>
        </w:rPr>
      </w:pPr>
      <w:r w:rsidRPr="00CA5E80">
        <w:rPr>
          <w:rFonts w:ascii="Times New Roman" w:hAnsi="Times New Roman"/>
          <w:sz w:val="24"/>
          <w:szCs w:val="24"/>
        </w:rPr>
        <w:t>Численность экономически активного населения по состоянию на 1 июля 2014 года составила 146,4 тыс. чел. (без учета работников силовых структур республики) и по сравнению с началом года увеличилась на</w:t>
      </w:r>
      <w:r>
        <w:rPr>
          <w:rFonts w:ascii="Times New Roman" w:hAnsi="Times New Roman"/>
          <w:sz w:val="24"/>
          <w:szCs w:val="24"/>
        </w:rPr>
        <w:t xml:space="preserve"> </w:t>
      </w:r>
      <w:r w:rsidRPr="00CA5E80">
        <w:rPr>
          <w:rFonts w:ascii="Times New Roman" w:hAnsi="Times New Roman"/>
          <w:sz w:val="24"/>
          <w:szCs w:val="24"/>
        </w:rPr>
        <w:t>1,1 тыс. чел.</w:t>
      </w:r>
    </w:p>
    <w:p w:rsidR="005261BD" w:rsidRPr="00CA5E80" w:rsidRDefault="005261BD" w:rsidP="005261BD">
      <w:pPr>
        <w:pStyle w:val="af2"/>
        <w:tabs>
          <w:tab w:val="clear" w:pos="4153"/>
          <w:tab w:val="clear" w:pos="8306"/>
          <w:tab w:val="left" w:pos="900"/>
        </w:tabs>
        <w:ind w:firstLine="709"/>
        <w:jc w:val="both"/>
        <w:rPr>
          <w:sz w:val="24"/>
          <w:szCs w:val="24"/>
        </w:rPr>
      </w:pPr>
      <w:r w:rsidRPr="00CA5E80">
        <w:rPr>
          <w:sz w:val="24"/>
          <w:szCs w:val="24"/>
        </w:rPr>
        <w:t xml:space="preserve">Численность работников во всех отраслях экономики (без учета субъектов малого предпринимательства) на 1 июля 2014 года зафиксирована на уровне 104,6 тыс. чел. </w:t>
      </w:r>
      <w:r>
        <w:rPr>
          <w:sz w:val="24"/>
          <w:szCs w:val="24"/>
        </w:rPr>
        <w:t xml:space="preserve">         </w:t>
      </w:r>
      <w:r w:rsidRPr="00CA5E80">
        <w:rPr>
          <w:sz w:val="24"/>
          <w:szCs w:val="24"/>
        </w:rPr>
        <w:t>(-0,9%), против 105,6 тыс. чел. по состоянию на аналогичную дату минувшего года.</w:t>
      </w:r>
    </w:p>
    <w:p w:rsidR="005261BD" w:rsidRPr="00CA5E80" w:rsidRDefault="005261BD" w:rsidP="005261BD">
      <w:pPr>
        <w:pStyle w:val="af2"/>
        <w:tabs>
          <w:tab w:val="clear" w:pos="4153"/>
          <w:tab w:val="clear" w:pos="8306"/>
          <w:tab w:val="left" w:pos="900"/>
        </w:tabs>
        <w:ind w:firstLine="709"/>
        <w:jc w:val="both"/>
        <w:rPr>
          <w:sz w:val="24"/>
          <w:szCs w:val="24"/>
        </w:rPr>
      </w:pPr>
      <w:r w:rsidRPr="00CA5E80">
        <w:rPr>
          <w:sz w:val="24"/>
          <w:szCs w:val="24"/>
        </w:rPr>
        <w:t xml:space="preserve">Всего за январь-июнь 2014 года год было принято на работу (без учета субъектов малого бизнеса) </w:t>
      </w:r>
      <w:r w:rsidRPr="00CA5E80">
        <w:rPr>
          <w:snapToGrid w:val="0"/>
          <w:sz w:val="24"/>
          <w:szCs w:val="24"/>
        </w:rPr>
        <w:t xml:space="preserve">10 746 </w:t>
      </w:r>
      <w:r w:rsidRPr="00CA5E80">
        <w:rPr>
          <w:sz w:val="24"/>
          <w:szCs w:val="24"/>
        </w:rPr>
        <w:t>чел., из них 907 чел. – на вновь созданные и дополнительно введенные рабочие места. Процент замещения выбывших работников новыми кадрами составил 106,0% (в январе - июне 2013 года- 110,2%).</w:t>
      </w:r>
    </w:p>
    <w:p w:rsidR="005261BD" w:rsidRPr="00CA5E80" w:rsidRDefault="005261BD" w:rsidP="005261BD">
      <w:pPr>
        <w:pStyle w:val="af2"/>
        <w:tabs>
          <w:tab w:val="clear" w:pos="4153"/>
          <w:tab w:val="clear" w:pos="8306"/>
          <w:tab w:val="left" w:pos="900"/>
        </w:tabs>
        <w:ind w:firstLine="709"/>
        <w:jc w:val="both"/>
        <w:rPr>
          <w:sz w:val="24"/>
          <w:szCs w:val="24"/>
        </w:rPr>
      </w:pPr>
      <w:r w:rsidRPr="00CA5E80">
        <w:rPr>
          <w:sz w:val="24"/>
          <w:szCs w:val="24"/>
        </w:rPr>
        <w:t xml:space="preserve">Уволилось из организаций </w:t>
      </w:r>
      <w:r w:rsidRPr="00CA5E80">
        <w:rPr>
          <w:snapToGrid w:val="0"/>
          <w:sz w:val="24"/>
          <w:szCs w:val="24"/>
        </w:rPr>
        <w:t>10 142</w:t>
      </w:r>
      <w:r w:rsidRPr="00CA5E80">
        <w:rPr>
          <w:sz w:val="24"/>
          <w:szCs w:val="24"/>
        </w:rPr>
        <w:t xml:space="preserve"> чел., что составляет 9,8% от списочной численности работников на начало года. Основной причиной</w:t>
      </w:r>
      <w:r w:rsidRPr="0049684F">
        <w:rPr>
          <w:sz w:val="28"/>
          <w:szCs w:val="28"/>
        </w:rPr>
        <w:t xml:space="preserve"> </w:t>
      </w:r>
      <w:r w:rsidRPr="00CA5E80">
        <w:rPr>
          <w:sz w:val="24"/>
          <w:szCs w:val="24"/>
        </w:rPr>
        <w:t xml:space="preserve">выбытия является увольнение по инициативе работника, на ее долю приходится 87,6% увольнений </w:t>
      </w:r>
      <w:r w:rsidR="00090E11">
        <w:rPr>
          <w:sz w:val="24"/>
          <w:szCs w:val="24"/>
        </w:rPr>
        <w:t xml:space="preserve">                 </w:t>
      </w:r>
      <w:r w:rsidRPr="00CA5E80">
        <w:rPr>
          <w:sz w:val="24"/>
          <w:szCs w:val="24"/>
        </w:rPr>
        <w:t>(8,9 тыс. чел.).</w:t>
      </w:r>
    </w:p>
    <w:p w:rsidR="005261BD" w:rsidRPr="005261BD" w:rsidRDefault="005261BD" w:rsidP="004B6A68">
      <w:pPr>
        <w:pStyle w:val="31"/>
        <w:spacing w:after="0" w:line="240" w:lineRule="auto"/>
        <w:ind w:left="0" w:firstLine="709"/>
        <w:jc w:val="both"/>
        <w:rPr>
          <w:rFonts w:ascii="Times New Roman" w:hAnsi="Times New Roman"/>
          <w:sz w:val="24"/>
          <w:szCs w:val="24"/>
        </w:rPr>
      </w:pPr>
      <w:r w:rsidRPr="005261BD">
        <w:rPr>
          <w:rFonts w:ascii="Times New Roman" w:hAnsi="Times New Roman"/>
          <w:color w:val="000000"/>
          <w:sz w:val="24"/>
          <w:szCs w:val="24"/>
        </w:rPr>
        <w:t xml:space="preserve">В течение рассматриваемого периода 86 организаций республики предоставили в Центры социального страхования и социальной защиты городов и районов республики информацию </w:t>
      </w:r>
      <w:r w:rsidRPr="005261BD">
        <w:rPr>
          <w:rFonts w:ascii="Times New Roman" w:hAnsi="Times New Roman"/>
          <w:sz w:val="24"/>
          <w:szCs w:val="24"/>
        </w:rPr>
        <w:t xml:space="preserve">о предстоящем проведении мероприятий по увольнению работников в связи с ликвидацией организации, сокращением численности или штата работников организации. В связи с проведением данных мероприятий к увольнению было намечено 610 работников (в </w:t>
      </w:r>
      <w:r w:rsidRPr="005261BD">
        <w:rPr>
          <w:rFonts w:ascii="Times New Roman" w:hAnsi="Times New Roman"/>
          <w:sz w:val="24"/>
          <w:szCs w:val="24"/>
          <w:lang w:val="en-US"/>
        </w:rPr>
        <w:t>I</w:t>
      </w:r>
      <w:r w:rsidRPr="005261BD">
        <w:rPr>
          <w:rFonts w:ascii="Times New Roman" w:hAnsi="Times New Roman"/>
          <w:sz w:val="24"/>
          <w:szCs w:val="24"/>
        </w:rPr>
        <w:t xml:space="preserve"> полугодии 2013 – 327 чел.), фактически было уволено 345 работников, или 3,4% от общей численности выбывших (в январе – июне 2013 года – 156 чел.). </w:t>
      </w:r>
    </w:p>
    <w:p w:rsidR="005261BD" w:rsidRPr="005261BD" w:rsidRDefault="005261BD" w:rsidP="004B6A68">
      <w:pPr>
        <w:pStyle w:val="31"/>
        <w:spacing w:after="0" w:line="240" w:lineRule="auto"/>
        <w:ind w:left="0" w:firstLine="709"/>
        <w:jc w:val="both"/>
        <w:rPr>
          <w:rFonts w:ascii="Times New Roman" w:hAnsi="Times New Roman"/>
          <w:sz w:val="24"/>
          <w:szCs w:val="24"/>
        </w:rPr>
      </w:pPr>
      <w:r w:rsidRPr="005261BD">
        <w:rPr>
          <w:rFonts w:ascii="Times New Roman" w:hAnsi="Times New Roman"/>
          <w:sz w:val="24"/>
          <w:szCs w:val="24"/>
        </w:rPr>
        <w:t>Среди намеченных к увольн</w:t>
      </w:r>
      <w:r w:rsidR="00BA368A">
        <w:rPr>
          <w:rFonts w:ascii="Times New Roman" w:hAnsi="Times New Roman"/>
          <w:sz w:val="24"/>
          <w:szCs w:val="24"/>
        </w:rPr>
        <w:t xml:space="preserve">ению работников молодежь 16-29 </w:t>
      </w:r>
      <w:r w:rsidRPr="005261BD">
        <w:rPr>
          <w:rFonts w:ascii="Times New Roman" w:hAnsi="Times New Roman"/>
          <w:sz w:val="24"/>
          <w:szCs w:val="24"/>
        </w:rPr>
        <w:t>лет составила 10,7%, граждане предпенсионного возраста – 11,3 %.</w:t>
      </w:r>
    </w:p>
    <w:p w:rsidR="005261BD" w:rsidRPr="00CA5E80" w:rsidRDefault="005261BD" w:rsidP="005261BD">
      <w:pPr>
        <w:pStyle w:val="a4"/>
      </w:pPr>
      <w:r w:rsidRPr="00CA5E80">
        <w:t>В разрезе отраслей экономики наибольшее количество</w:t>
      </w:r>
      <w:r w:rsidRPr="00CA5E80">
        <w:rPr>
          <w:b/>
        </w:rPr>
        <w:t xml:space="preserve"> </w:t>
      </w:r>
      <w:r w:rsidRPr="00CA5E80">
        <w:t>намеченных к высвобождению работников пришлось на промышленность – 43,1%, жилищно-коммунальное хозяйство – 15,6%, образование – 13,1%.</w:t>
      </w:r>
    </w:p>
    <w:p w:rsidR="005261BD" w:rsidRPr="00CA5E80" w:rsidRDefault="005261BD" w:rsidP="004B6A68">
      <w:pPr>
        <w:spacing w:after="0" w:line="240" w:lineRule="auto"/>
        <w:ind w:firstLine="709"/>
        <w:contextualSpacing/>
        <w:jc w:val="both"/>
        <w:rPr>
          <w:rFonts w:ascii="Times New Roman" w:hAnsi="Times New Roman"/>
          <w:sz w:val="24"/>
          <w:szCs w:val="24"/>
        </w:rPr>
      </w:pPr>
      <w:r w:rsidRPr="00CA5E80">
        <w:rPr>
          <w:rFonts w:ascii="Times New Roman" w:hAnsi="Times New Roman"/>
          <w:sz w:val="24"/>
          <w:szCs w:val="24"/>
        </w:rPr>
        <w:t xml:space="preserve">В </w:t>
      </w:r>
      <w:r w:rsidRPr="00CA5E80">
        <w:rPr>
          <w:rFonts w:ascii="Times New Roman" w:hAnsi="Times New Roman"/>
          <w:sz w:val="24"/>
          <w:szCs w:val="24"/>
          <w:lang w:val="en-US"/>
        </w:rPr>
        <w:t>I</w:t>
      </w:r>
      <w:r w:rsidRPr="00CA5E80">
        <w:rPr>
          <w:rFonts w:ascii="Times New Roman" w:hAnsi="Times New Roman"/>
          <w:sz w:val="24"/>
          <w:szCs w:val="24"/>
        </w:rPr>
        <w:t xml:space="preserve"> полугодии 2014 года в качестве лиц ищущих подходящую работу были зарегистрированы 5 535 граждан </w:t>
      </w:r>
      <w:r w:rsidRPr="00CA5E80">
        <w:rPr>
          <w:rFonts w:ascii="Times New Roman" w:hAnsi="Times New Roman"/>
          <w:color w:val="000000"/>
          <w:sz w:val="24"/>
          <w:szCs w:val="24"/>
        </w:rPr>
        <w:t xml:space="preserve">(в январе – июне </w:t>
      </w:r>
      <w:r w:rsidRPr="00CA5E80">
        <w:rPr>
          <w:rFonts w:ascii="Times New Roman" w:hAnsi="Times New Roman"/>
          <w:sz w:val="24"/>
          <w:szCs w:val="24"/>
        </w:rPr>
        <w:t xml:space="preserve">2013 года – </w:t>
      </w:r>
      <w:r w:rsidRPr="00CA5E80">
        <w:rPr>
          <w:rFonts w:ascii="Times New Roman" w:hAnsi="Times New Roman"/>
          <w:color w:val="000000"/>
          <w:sz w:val="24"/>
          <w:szCs w:val="24"/>
        </w:rPr>
        <w:t>4 639 чел.)</w:t>
      </w:r>
      <w:r w:rsidRPr="00CA5E80">
        <w:rPr>
          <w:rFonts w:ascii="Times New Roman" w:hAnsi="Times New Roman"/>
          <w:sz w:val="24"/>
          <w:szCs w:val="24"/>
        </w:rPr>
        <w:t xml:space="preserve">, признаны безработными 3 906 граждан </w:t>
      </w:r>
      <w:r w:rsidRPr="00CA5E80">
        <w:rPr>
          <w:rFonts w:ascii="Times New Roman" w:hAnsi="Times New Roman"/>
          <w:color w:val="000000"/>
          <w:sz w:val="24"/>
          <w:szCs w:val="24"/>
        </w:rPr>
        <w:t xml:space="preserve">(в январе – июне </w:t>
      </w:r>
      <w:r w:rsidRPr="00CA5E80">
        <w:rPr>
          <w:rFonts w:ascii="Times New Roman" w:hAnsi="Times New Roman"/>
          <w:sz w:val="24"/>
          <w:szCs w:val="24"/>
        </w:rPr>
        <w:t xml:space="preserve">2013 года – </w:t>
      </w:r>
      <w:r w:rsidRPr="00CA5E80">
        <w:rPr>
          <w:rFonts w:ascii="Times New Roman" w:hAnsi="Times New Roman"/>
          <w:color w:val="000000"/>
          <w:sz w:val="24"/>
          <w:szCs w:val="24"/>
        </w:rPr>
        <w:t>3 099 чел.).</w:t>
      </w:r>
    </w:p>
    <w:p w:rsidR="005261BD" w:rsidRDefault="005261BD" w:rsidP="005261BD">
      <w:pPr>
        <w:spacing w:after="0" w:line="240" w:lineRule="auto"/>
        <w:contextualSpacing/>
        <w:jc w:val="both"/>
        <w:rPr>
          <w:rFonts w:ascii="Times New Roman" w:hAnsi="Times New Roman"/>
          <w:sz w:val="24"/>
          <w:szCs w:val="24"/>
        </w:rPr>
      </w:pPr>
      <w:r>
        <w:rPr>
          <w:rFonts w:ascii="Times New Roman" w:hAnsi="Times New Roman"/>
          <w:noProof/>
          <w:sz w:val="24"/>
          <w:szCs w:val="24"/>
        </w:rPr>
        <w:drawing>
          <wp:inline distT="0" distB="0" distL="0" distR="0">
            <wp:extent cx="6000750" cy="2400300"/>
            <wp:effectExtent l="0" t="0" r="0" b="0"/>
            <wp:docPr id="1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5261BD" w:rsidRPr="00CA5E80" w:rsidRDefault="005261BD" w:rsidP="005261BD">
      <w:pPr>
        <w:pStyle w:val="11"/>
        <w:ind w:firstLine="709"/>
        <w:jc w:val="both"/>
        <w:rPr>
          <w:rFonts w:ascii="Times New Roman" w:hAnsi="Times New Roman"/>
          <w:sz w:val="24"/>
          <w:szCs w:val="24"/>
        </w:rPr>
      </w:pPr>
      <w:r w:rsidRPr="00CA5E80">
        <w:rPr>
          <w:rFonts w:ascii="Times New Roman" w:hAnsi="Times New Roman"/>
          <w:sz w:val="24"/>
          <w:szCs w:val="24"/>
        </w:rPr>
        <w:t>В целом по республике 63,5% зарегистрированных граждан являлись жителями городов. В то же время, по двум районам республики в числе зарегистрированных граждан преобладали жители сельской местности, удельный вес которых составил:</w:t>
      </w:r>
    </w:p>
    <w:p w:rsidR="005261BD" w:rsidRPr="00CA5E80" w:rsidRDefault="005261BD" w:rsidP="005261BD">
      <w:pPr>
        <w:pStyle w:val="11"/>
        <w:ind w:firstLine="709"/>
        <w:jc w:val="both"/>
        <w:rPr>
          <w:rFonts w:ascii="Times New Roman" w:hAnsi="Times New Roman"/>
          <w:sz w:val="24"/>
          <w:szCs w:val="24"/>
        </w:rPr>
      </w:pPr>
      <w:r w:rsidRPr="00CA5E80">
        <w:rPr>
          <w:rFonts w:ascii="Times New Roman" w:hAnsi="Times New Roman"/>
          <w:sz w:val="24"/>
          <w:szCs w:val="24"/>
        </w:rPr>
        <w:t xml:space="preserve">- в Григориопольскм районе – 81,0%, </w:t>
      </w:r>
    </w:p>
    <w:p w:rsidR="005261BD" w:rsidRPr="00CA5E80" w:rsidRDefault="005261BD" w:rsidP="005261BD">
      <w:pPr>
        <w:pStyle w:val="11"/>
        <w:ind w:firstLine="709"/>
        <w:jc w:val="both"/>
        <w:rPr>
          <w:rFonts w:ascii="Times New Roman" w:hAnsi="Times New Roman"/>
          <w:sz w:val="24"/>
          <w:szCs w:val="24"/>
        </w:rPr>
      </w:pPr>
      <w:r w:rsidRPr="00CA5E80">
        <w:rPr>
          <w:rFonts w:ascii="Times New Roman" w:hAnsi="Times New Roman"/>
          <w:sz w:val="24"/>
          <w:szCs w:val="24"/>
        </w:rPr>
        <w:t>- в Солободзейском районе – 65,2%.</w:t>
      </w:r>
    </w:p>
    <w:p w:rsidR="005261BD" w:rsidRPr="00CA5E80" w:rsidRDefault="005261BD" w:rsidP="004B6A68">
      <w:pPr>
        <w:pStyle w:val="a4"/>
      </w:pPr>
      <w:r w:rsidRPr="00CA5E80">
        <w:lastRenderedPageBreak/>
        <w:t>Наибольшее количество зарегистрированных граждан пришлось на  следующие Центры социального страхования и социальной защиты: г. Рыбница и Рыбницкого района – 1496 человек, г. Тирасполь – 1115 человек, г. Слободзея и Слободзейского района -</w:t>
      </w:r>
      <w:r w:rsidR="00090E11">
        <w:t xml:space="preserve">          </w:t>
      </w:r>
      <w:r w:rsidRPr="00CA5E80">
        <w:t>955 человек, г. Бендеры –</w:t>
      </w:r>
      <w:r>
        <w:t xml:space="preserve"> </w:t>
      </w:r>
      <w:r w:rsidRPr="00CA5E80">
        <w:t>918 человек, в которых зарегистрировано 81% от общей численности зарегистрированных граждан, в качестве лиц ищущих работу.</w:t>
      </w:r>
    </w:p>
    <w:p w:rsidR="005261BD" w:rsidRPr="005261BD" w:rsidRDefault="005261BD" w:rsidP="005261BD">
      <w:pPr>
        <w:pStyle w:val="31"/>
        <w:spacing w:after="0" w:line="240" w:lineRule="auto"/>
        <w:ind w:left="0" w:firstLine="709"/>
        <w:jc w:val="both"/>
        <w:rPr>
          <w:rFonts w:ascii="Times New Roman" w:hAnsi="Times New Roman"/>
          <w:sz w:val="24"/>
          <w:szCs w:val="24"/>
        </w:rPr>
      </w:pPr>
      <w:r w:rsidRPr="005261BD">
        <w:rPr>
          <w:rFonts w:ascii="Times New Roman" w:hAnsi="Times New Roman"/>
          <w:sz w:val="24"/>
          <w:szCs w:val="24"/>
        </w:rPr>
        <w:t xml:space="preserve">Среди граждан, зарегистрированных в Центрах социального страхования и социальной защиты в качестве лиц ищущих работу в </w:t>
      </w:r>
      <w:r w:rsidRPr="005261BD">
        <w:rPr>
          <w:rFonts w:ascii="Times New Roman" w:hAnsi="Times New Roman"/>
          <w:sz w:val="24"/>
          <w:szCs w:val="24"/>
          <w:lang w:val="en-US"/>
        </w:rPr>
        <w:t>I</w:t>
      </w:r>
      <w:r w:rsidRPr="005261BD">
        <w:rPr>
          <w:rFonts w:ascii="Times New Roman" w:hAnsi="Times New Roman"/>
          <w:sz w:val="24"/>
          <w:szCs w:val="24"/>
        </w:rPr>
        <w:t xml:space="preserve"> полугодии 2014 года, наиболее многочисленными являлись следующие категории граждан:</w:t>
      </w:r>
    </w:p>
    <w:p w:rsidR="005261BD" w:rsidRPr="00CA5E80" w:rsidRDefault="005261BD" w:rsidP="005261BD">
      <w:pPr>
        <w:pStyle w:val="11"/>
        <w:ind w:firstLine="709"/>
        <w:jc w:val="both"/>
        <w:rPr>
          <w:rFonts w:ascii="Times New Roman" w:hAnsi="Times New Roman"/>
          <w:sz w:val="24"/>
          <w:szCs w:val="24"/>
        </w:rPr>
      </w:pPr>
      <w:r w:rsidRPr="00CA5E80">
        <w:rPr>
          <w:rFonts w:ascii="Times New Roman" w:hAnsi="Times New Roman"/>
          <w:sz w:val="24"/>
          <w:szCs w:val="24"/>
        </w:rPr>
        <w:t>- граждане, имеющие длительный (более года) перерыв в работе –</w:t>
      </w:r>
      <w:r>
        <w:rPr>
          <w:rFonts w:ascii="Times New Roman" w:hAnsi="Times New Roman"/>
          <w:sz w:val="24"/>
          <w:szCs w:val="24"/>
        </w:rPr>
        <w:t xml:space="preserve"> </w:t>
      </w:r>
      <w:r w:rsidRPr="00CA5E80">
        <w:rPr>
          <w:rFonts w:ascii="Times New Roman" w:hAnsi="Times New Roman"/>
          <w:sz w:val="24"/>
          <w:szCs w:val="24"/>
        </w:rPr>
        <w:t>2 762 человек, их удельный вес в общей численности, зарегистрированных граждан, составил 49,9 %;</w:t>
      </w:r>
    </w:p>
    <w:p w:rsidR="005261BD" w:rsidRPr="00CA5E80" w:rsidRDefault="005261BD" w:rsidP="005261BD">
      <w:pPr>
        <w:pStyle w:val="11"/>
        <w:ind w:firstLine="709"/>
        <w:jc w:val="both"/>
        <w:rPr>
          <w:rFonts w:ascii="Times New Roman" w:hAnsi="Times New Roman"/>
          <w:sz w:val="24"/>
          <w:szCs w:val="24"/>
        </w:rPr>
      </w:pPr>
      <w:r w:rsidRPr="00CA5E80">
        <w:rPr>
          <w:rFonts w:ascii="Times New Roman" w:hAnsi="Times New Roman"/>
          <w:sz w:val="24"/>
          <w:szCs w:val="24"/>
        </w:rPr>
        <w:t>- граждане, ранее не работавшие, ищущие работу впервые – 1 308 человек, их удельный вес в общей численности, зарегистрированных граждан, составил 24,0 %;</w:t>
      </w:r>
    </w:p>
    <w:p w:rsidR="005261BD" w:rsidRPr="00CA5E80" w:rsidRDefault="005261BD" w:rsidP="005261BD">
      <w:pPr>
        <w:pStyle w:val="11"/>
        <w:ind w:firstLine="709"/>
        <w:jc w:val="both"/>
        <w:rPr>
          <w:rFonts w:ascii="Times New Roman" w:hAnsi="Times New Roman"/>
          <w:sz w:val="24"/>
          <w:szCs w:val="24"/>
        </w:rPr>
      </w:pPr>
      <w:r w:rsidRPr="00CA5E80">
        <w:rPr>
          <w:rFonts w:ascii="Times New Roman" w:hAnsi="Times New Roman"/>
          <w:sz w:val="24"/>
          <w:szCs w:val="24"/>
        </w:rPr>
        <w:t>- граждане, уволенные с последнего места работы в связи с ликвидацией организации, сокращением численности или штата работников организации и обратившиеся в службу занятости в течение рассматриваемого периода - 299 чел., их удельный вес в общей численности, зарегистрированных граждан, составил 5,4 %.</w:t>
      </w:r>
    </w:p>
    <w:p w:rsidR="005261BD" w:rsidRPr="00CA5E80" w:rsidRDefault="005261BD" w:rsidP="005261BD">
      <w:pPr>
        <w:pStyle w:val="11"/>
        <w:ind w:firstLine="709"/>
        <w:jc w:val="both"/>
        <w:rPr>
          <w:rFonts w:ascii="Times New Roman" w:hAnsi="Times New Roman"/>
          <w:sz w:val="24"/>
          <w:szCs w:val="24"/>
        </w:rPr>
      </w:pPr>
      <w:r w:rsidRPr="00CA5E80">
        <w:rPr>
          <w:rFonts w:ascii="Times New Roman" w:hAnsi="Times New Roman"/>
          <w:sz w:val="24"/>
          <w:szCs w:val="24"/>
        </w:rPr>
        <w:t>По состоянию на 1 июля 2014 года численность зарегистрированных граждан в качестве лиц, ищущих работу, составила 5 305 чел. (на 1 июля 2013 года – 4 253 чел.), из них 4 272 гражданина имели статус безработного (на 1 июля 2013 года – 3 426 чел.).</w:t>
      </w:r>
    </w:p>
    <w:p w:rsidR="005261BD" w:rsidRPr="00CA5E80" w:rsidRDefault="005261BD" w:rsidP="005261BD">
      <w:pPr>
        <w:spacing w:after="0" w:line="240" w:lineRule="auto"/>
        <w:ind w:firstLine="709"/>
        <w:contextualSpacing/>
        <w:jc w:val="both"/>
        <w:rPr>
          <w:rFonts w:ascii="Times New Roman" w:hAnsi="Times New Roman"/>
          <w:sz w:val="24"/>
          <w:szCs w:val="24"/>
        </w:rPr>
      </w:pPr>
      <w:r w:rsidRPr="00CA5E80">
        <w:rPr>
          <w:rFonts w:ascii="Times New Roman" w:hAnsi="Times New Roman"/>
          <w:sz w:val="24"/>
          <w:szCs w:val="24"/>
        </w:rPr>
        <w:t>Уровень регистрируемой безработицы в среднем по республике по состоянию на</w:t>
      </w:r>
      <w:r>
        <w:rPr>
          <w:rFonts w:ascii="Times New Roman" w:hAnsi="Times New Roman"/>
          <w:sz w:val="24"/>
          <w:szCs w:val="24"/>
        </w:rPr>
        <w:t xml:space="preserve">           </w:t>
      </w:r>
      <w:r w:rsidRPr="00CA5E80">
        <w:rPr>
          <w:rFonts w:ascii="Times New Roman" w:hAnsi="Times New Roman"/>
          <w:sz w:val="24"/>
          <w:szCs w:val="24"/>
        </w:rPr>
        <w:t xml:space="preserve"> 1 июля 2014 года составил 3,62% к численности экономически активного населения (без учета численности работающих в силовых структурах), повысившись по сравнению с уровнем регистрируемой безработицы на 1 июля 2013 года на 0,58 процентных пункта.</w:t>
      </w:r>
    </w:p>
    <w:p w:rsidR="005261BD" w:rsidRDefault="005261BD" w:rsidP="005261BD">
      <w:pPr>
        <w:spacing w:after="0" w:line="240" w:lineRule="auto"/>
        <w:jc w:val="both"/>
        <w:rPr>
          <w:noProof/>
        </w:rPr>
      </w:pPr>
      <w:r>
        <w:rPr>
          <w:noProof/>
        </w:rPr>
        <w:drawing>
          <wp:inline distT="0" distB="0" distL="0" distR="0">
            <wp:extent cx="5495925" cy="3152775"/>
            <wp:effectExtent l="19050" t="0" r="0" b="0"/>
            <wp:docPr id="11"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5261BD" w:rsidRPr="00CA5E80" w:rsidRDefault="005261BD" w:rsidP="005261BD">
      <w:pPr>
        <w:spacing w:after="0" w:line="240" w:lineRule="auto"/>
        <w:ind w:firstLine="709"/>
        <w:jc w:val="both"/>
        <w:rPr>
          <w:rFonts w:ascii="Times New Roman" w:hAnsi="Times New Roman"/>
          <w:noProof/>
          <w:sz w:val="24"/>
          <w:szCs w:val="24"/>
        </w:rPr>
      </w:pPr>
      <w:r w:rsidRPr="00CA5E80">
        <w:rPr>
          <w:rFonts w:ascii="Times New Roman" w:hAnsi="Times New Roman"/>
          <w:sz w:val="24"/>
          <w:szCs w:val="24"/>
        </w:rPr>
        <w:t xml:space="preserve">В январе - июне 2014 года в Центры социального страхования и социальной защиты республики работодателями заявлено 3 083 вакантных рабочих места (должности) (в январе – июне 2013 года – 4 175 ед.). Среди заявленных за 1 полугодие 2014 года работодателями вакансий 72,4 </w:t>
      </w:r>
      <w:r w:rsidRPr="00CA5E80">
        <w:rPr>
          <w:rFonts w:ascii="Times New Roman" w:hAnsi="Times New Roman"/>
          <w:color w:val="000000"/>
          <w:sz w:val="24"/>
          <w:szCs w:val="24"/>
        </w:rPr>
        <w:t>% составляли вакантные места по рабочим профессиям и 27,6 % - вакансий для специалистов и служащих.</w:t>
      </w:r>
    </w:p>
    <w:p w:rsidR="005261BD" w:rsidRPr="002B471D" w:rsidRDefault="005261BD" w:rsidP="005261BD">
      <w:pPr>
        <w:pStyle w:val="a4"/>
        <w:rPr>
          <w:sz w:val="28"/>
          <w:szCs w:val="28"/>
        </w:rPr>
      </w:pPr>
      <w:r w:rsidRPr="00CA5E80">
        <w:t xml:space="preserve">Наибольшую потребность в кадрах в </w:t>
      </w:r>
      <w:r w:rsidRPr="00CA5E80">
        <w:rPr>
          <w:lang w:val="en-US"/>
        </w:rPr>
        <w:t>I</w:t>
      </w:r>
      <w:r w:rsidRPr="00CA5E80">
        <w:t xml:space="preserve"> полугодии 2014 года испытывали: промышленность – 30,3 % от общего количества представленных вакантных рабочих мест (должностей); строительство – 10,8% вакансий; жилищно-коммунальное хозяйство – 9,4% вакансий; здравоохранение – 8,9% вакансий; организации образования – 7,9% вакансий.</w:t>
      </w:r>
    </w:p>
    <w:p w:rsidR="005261BD" w:rsidRPr="00CA5E80" w:rsidRDefault="005261BD" w:rsidP="005261BD">
      <w:pPr>
        <w:pStyle w:val="af2"/>
        <w:tabs>
          <w:tab w:val="clear" w:pos="4153"/>
          <w:tab w:val="clear" w:pos="8306"/>
        </w:tabs>
        <w:ind w:firstLine="709"/>
        <w:jc w:val="both"/>
        <w:rPr>
          <w:sz w:val="24"/>
          <w:szCs w:val="24"/>
        </w:rPr>
      </w:pPr>
      <w:r w:rsidRPr="00CA5E80">
        <w:rPr>
          <w:sz w:val="24"/>
          <w:szCs w:val="24"/>
        </w:rPr>
        <w:lastRenderedPageBreak/>
        <w:t xml:space="preserve">Коэффициент напряженности по состоянию на 1 июля 2014 года составил </w:t>
      </w:r>
      <w:r>
        <w:rPr>
          <w:sz w:val="24"/>
          <w:szCs w:val="24"/>
        </w:rPr>
        <w:t xml:space="preserve">            </w:t>
      </w:r>
      <w:r w:rsidRPr="00CA5E80">
        <w:rPr>
          <w:sz w:val="24"/>
          <w:szCs w:val="24"/>
        </w:rPr>
        <w:t>2,5 человека на 1 вакантное место (на 1 июля 2013 года – 1,7 человек на 1 вакантное место).</w:t>
      </w:r>
    </w:p>
    <w:p w:rsidR="005261BD" w:rsidRDefault="005261BD" w:rsidP="005261BD">
      <w:pPr>
        <w:pStyle w:val="a4"/>
        <w:ind w:left="-567" w:firstLine="0"/>
      </w:pPr>
      <w:r>
        <w:rPr>
          <w:noProof/>
        </w:rPr>
        <w:drawing>
          <wp:inline distT="0" distB="0" distL="0" distR="0">
            <wp:extent cx="6210300" cy="2514600"/>
            <wp:effectExtent l="0" t="0" r="0" b="0"/>
            <wp:docPr id="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5261BD" w:rsidRPr="00CA5E80" w:rsidRDefault="005261BD" w:rsidP="00090E11">
      <w:pPr>
        <w:spacing w:after="0" w:line="240" w:lineRule="auto"/>
        <w:ind w:firstLine="709"/>
        <w:jc w:val="both"/>
        <w:rPr>
          <w:rFonts w:ascii="Times New Roman" w:hAnsi="Times New Roman"/>
          <w:sz w:val="24"/>
          <w:szCs w:val="24"/>
        </w:rPr>
      </w:pPr>
      <w:r w:rsidRPr="00CA5E80">
        <w:rPr>
          <w:rFonts w:ascii="Times New Roman" w:hAnsi="Times New Roman"/>
          <w:sz w:val="24"/>
          <w:szCs w:val="24"/>
        </w:rPr>
        <w:t>Деятельность в области занятости населения в отчетном периоде была направлена на обеспечение гарантированной государством материальной поддержки безработных граждан, проведение программ активной политики занятости, направленных на повышение конкурентоспособности безработных граждан на рынке труда и их скорейшему трудоустройству, путем таких разнообразных мер, как помощь в трудоустройстве, организация общественных работ, профессиональное обучение и консультирование и др.</w:t>
      </w:r>
    </w:p>
    <w:p w:rsidR="005261BD" w:rsidRPr="00CA5E80" w:rsidRDefault="005261BD" w:rsidP="00090E11">
      <w:pPr>
        <w:pStyle w:val="a4"/>
      </w:pPr>
      <w:r w:rsidRPr="00CA5E80">
        <w:t>За январь-июнь 2014 года при содействии Центров социального страхования и социальной защиты трудоустроено 1 048 безработных гр</w:t>
      </w:r>
      <w:r w:rsidR="00090E11">
        <w:t xml:space="preserve">аждан (за январь-июнь 2013 года </w:t>
      </w:r>
      <w:r w:rsidRPr="00CA5E80">
        <w:t xml:space="preserve">1 080 человек). </w:t>
      </w:r>
    </w:p>
    <w:p w:rsidR="005261BD" w:rsidRPr="004B6A68" w:rsidRDefault="005261BD" w:rsidP="00090E11">
      <w:pPr>
        <w:pStyle w:val="a6"/>
        <w:tabs>
          <w:tab w:val="left" w:pos="0"/>
        </w:tabs>
        <w:spacing w:after="0" w:line="240" w:lineRule="auto"/>
        <w:ind w:left="0" w:firstLine="709"/>
        <w:jc w:val="both"/>
        <w:rPr>
          <w:rFonts w:ascii="Times New Roman" w:hAnsi="Times New Roman"/>
          <w:sz w:val="24"/>
          <w:szCs w:val="24"/>
        </w:rPr>
      </w:pPr>
      <w:r w:rsidRPr="004B6A68">
        <w:rPr>
          <w:rFonts w:ascii="Times New Roman" w:hAnsi="Times New Roman"/>
          <w:sz w:val="24"/>
          <w:szCs w:val="24"/>
        </w:rPr>
        <w:t>В 1 полугодии 2014 года Центрами социального страхования и социальной защиты в рамках активной политики</w:t>
      </w:r>
      <w:r w:rsidRPr="004B6A68">
        <w:rPr>
          <w:rFonts w:ascii="Times New Roman" w:hAnsi="Times New Roman"/>
          <w:sz w:val="28"/>
          <w:szCs w:val="28"/>
        </w:rPr>
        <w:t xml:space="preserve"> </w:t>
      </w:r>
      <w:r w:rsidRPr="004B6A68">
        <w:rPr>
          <w:rFonts w:ascii="Times New Roman" w:hAnsi="Times New Roman"/>
          <w:sz w:val="24"/>
          <w:szCs w:val="24"/>
        </w:rPr>
        <w:t>занятости реализованы следующие мероприятия:</w:t>
      </w:r>
    </w:p>
    <w:p w:rsidR="005261BD" w:rsidRPr="00CA5E80" w:rsidRDefault="005261BD" w:rsidP="00090E11">
      <w:pPr>
        <w:spacing w:after="0" w:line="240" w:lineRule="auto"/>
        <w:ind w:firstLine="709"/>
        <w:jc w:val="both"/>
        <w:rPr>
          <w:rFonts w:ascii="Times New Roman" w:hAnsi="Times New Roman"/>
          <w:sz w:val="24"/>
          <w:szCs w:val="24"/>
        </w:rPr>
      </w:pPr>
      <w:r w:rsidRPr="00CA5E80">
        <w:rPr>
          <w:rFonts w:ascii="Times New Roman" w:hAnsi="Times New Roman"/>
          <w:sz w:val="24"/>
          <w:szCs w:val="24"/>
        </w:rPr>
        <w:t>а) на общественные работы направлено 656</w:t>
      </w:r>
      <w:r w:rsidRPr="00CA5E80">
        <w:rPr>
          <w:rFonts w:ascii="Times New Roman" w:hAnsi="Times New Roman"/>
          <w:color w:val="FF0000"/>
          <w:sz w:val="24"/>
          <w:szCs w:val="24"/>
        </w:rPr>
        <w:t xml:space="preserve"> </w:t>
      </w:r>
      <w:r w:rsidRPr="00CA5E80">
        <w:rPr>
          <w:rFonts w:ascii="Times New Roman" w:hAnsi="Times New Roman"/>
          <w:sz w:val="24"/>
          <w:szCs w:val="24"/>
        </w:rPr>
        <w:t xml:space="preserve">человек. Общественные работы проводились в Военных комиссариатах, Уп ДМ МВД ПМР, госадминистрациях сел, в общеобразовательных организациях, МУП ЖЭУК-5 г.Днестровск, МУ «Благоустройство г.Слободзея», МУП «Каменское ПУЖКХ», ООО «Рустас». Основными видами работ являлись: оформление личных дел, выписка повесток и их рассылка, уточнение списков призывников, подготовка документов для оформления паспортов, благоустройство и озеленение территорий, переработка </w:t>
      </w:r>
      <w:r>
        <w:rPr>
          <w:rFonts w:ascii="Times New Roman" w:hAnsi="Times New Roman"/>
          <w:sz w:val="24"/>
          <w:szCs w:val="24"/>
        </w:rPr>
        <w:t>сельскохозяйственной продукции;</w:t>
      </w:r>
    </w:p>
    <w:p w:rsidR="005261BD" w:rsidRPr="00CA5E80" w:rsidRDefault="005261BD" w:rsidP="00090E11">
      <w:pPr>
        <w:spacing w:after="0" w:line="240" w:lineRule="auto"/>
        <w:ind w:firstLine="709"/>
        <w:jc w:val="both"/>
        <w:rPr>
          <w:rFonts w:ascii="Times New Roman" w:hAnsi="Times New Roman"/>
          <w:bCs/>
          <w:sz w:val="24"/>
          <w:szCs w:val="24"/>
        </w:rPr>
      </w:pPr>
      <w:r w:rsidRPr="00CA5E80">
        <w:rPr>
          <w:rFonts w:ascii="Times New Roman" w:hAnsi="Times New Roman"/>
          <w:sz w:val="24"/>
          <w:szCs w:val="24"/>
        </w:rPr>
        <w:t>б) на профессиональную подготовку, переподготовку, повышение квалификации направлено 146 безработных граждан. Обучение проводилось по востребованным на рынке труда профессиям таким как: мастер строительно-отделочных работ, электрогазосварщик, автослесарь, электромонтер, повар, продавец-кассир, маляр-штукатур, плиточник-облицовщик, парикмахер, секретарь-референт, водитель погрузчика, слесарь-сантехник, бухгалтер, и др.</w:t>
      </w:r>
      <w:r w:rsidRPr="00CA5E80">
        <w:rPr>
          <w:rFonts w:ascii="Times New Roman" w:hAnsi="Times New Roman"/>
          <w:bCs/>
          <w:sz w:val="24"/>
          <w:szCs w:val="24"/>
        </w:rPr>
        <w:t xml:space="preserve"> Прошли обучение 146 человек (с учетом преходящих), из которых 85 человек прошли профессиональную подготовку, 46 человек </w:t>
      </w:r>
      <w:r>
        <w:rPr>
          <w:rFonts w:ascii="Times New Roman" w:hAnsi="Times New Roman"/>
          <w:bCs/>
          <w:sz w:val="24"/>
          <w:szCs w:val="24"/>
        </w:rPr>
        <w:t xml:space="preserve">- </w:t>
      </w:r>
      <w:r w:rsidRPr="00CA5E80">
        <w:rPr>
          <w:rFonts w:ascii="Times New Roman" w:hAnsi="Times New Roman"/>
          <w:bCs/>
          <w:sz w:val="24"/>
          <w:szCs w:val="24"/>
        </w:rPr>
        <w:t>профессиональную переподготовку, повысили квалификацию 15 человек. После окончания обучения трудоустроилось 85 человек.</w:t>
      </w:r>
    </w:p>
    <w:p w:rsidR="005261BD" w:rsidRPr="00CA5E80" w:rsidRDefault="005261BD" w:rsidP="00090E11">
      <w:pPr>
        <w:spacing w:after="0" w:line="240" w:lineRule="auto"/>
        <w:ind w:firstLine="709"/>
        <w:jc w:val="both"/>
        <w:rPr>
          <w:rFonts w:ascii="Times New Roman" w:hAnsi="Times New Roman"/>
          <w:sz w:val="24"/>
          <w:szCs w:val="24"/>
        </w:rPr>
      </w:pPr>
      <w:r w:rsidRPr="00CA5E80">
        <w:rPr>
          <w:rFonts w:ascii="Times New Roman" w:hAnsi="Times New Roman"/>
          <w:bCs/>
          <w:sz w:val="24"/>
          <w:szCs w:val="24"/>
        </w:rPr>
        <w:t>в) по</w:t>
      </w:r>
      <w:r w:rsidRPr="00CA5E80">
        <w:rPr>
          <w:rFonts w:ascii="Times New Roman" w:hAnsi="Times New Roman"/>
          <w:sz w:val="24"/>
          <w:szCs w:val="24"/>
        </w:rPr>
        <w:t xml:space="preserve"> программе занятости «Молодежная практика» направлено 2 человека, которые прошли практику и по ее окончании были трудоустроены. По программе «Шанс» прошли практику 2 человека (переходящие с 2013 года), трудоустроен 1 человек;</w:t>
      </w:r>
    </w:p>
    <w:p w:rsidR="005261BD" w:rsidRPr="00CA5E80" w:rsidRDefault="005261BD" w:rsidP="00090E11">
      <w:pPr>
        <w:spacing w:after="0" w:line="240" w:lineRule="auto"/>
        <w:ind w:firstLine="709"/>
        <w:jc w:val="both"/>
        <w:rPr>
          <w:rFonts w:ascii="Times New Roman" w:hAnsi="Times New Roman"/>
          <w:sz w:val="24"/>
          <w:szCs w:val="24"/>
        </w:rPr>
      </w:pPr>
      <w:r w:rsidRPr="00CA5E80">
        <w:rPr>
          <w:rFonts w:ascii="Times New Roman" w:hAnsi="Times New Roman"/>
          <w:sz w:val="24"/>
          <w:szCs w:val="24"/>
        </w:rPr>
        <w:t>г) оформлено на досрочную пенсию 45 граждан предпенсионного возраста, уволенных с последнего места работы в связи с ликвидацией организации, сокращением численности или штата работников организации;</w:t>
      </w:r>
    </w:p>
    <w:p w:rsidR="005261BD" w:rsidRPr="00CA5E80" w:rsidRDefault="00090E11" w:rsidP="00090E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д) </w:t>
      </w:r>
      <w:r w:rsidR="005261BD" w:rsidRPr="00CA5E80">
        <w:rPr>
          <w:rFonts w:ascii="Times New Roman" w:hAnsi="Times New Roman"/>
          <w:sz w:val="24"/>
          <w:szCs w:val="24"/>
        </w:rPr>
        <w:t>проведены 5 «Ярмарок учебных мест» и 1 мини-ярмарка учебных мест ТЮИ, которые посетили  более 2300 человек. Выпускникам школ республики и молодым людям, ранее окончившим учебные заведения, а также участникам ярмарк</w:t>
      </w:r>
      <w:r w:rsidR="005261BD">
        <w:rPr>
          <w:rFonts w:ascii="Times New Roman" w:hAnsi="Times New Roman"/>
          <w:sz w:val="24"/>
          <w:szCs w:val="24"/>
        </w:rPr>
        <w:t>и была представлена возможность</w:t>
      </w:r>
      <w:r w:rsidR="005261BD" w:rsidRPr="00CA5E80">
        <w:rPr>
          <w:rFonts w:ascii="Times New Roman" w:hAnsi="Times New Roman"/>
          <w:sz w:val="24"/>
          <w:szCs w:val="24"/>
        </w:rPr>
        <w:t xml:space="preserve"> ознакомиться с услови</w:t>
      </w:r>
      <w:r w:rsidR="005261BD">
        <w:rPr>
          <w:rFonts w:ascii="Times New Roman" w:hAnsi="Times New Roman"/>
          <w:sz w:val="24"/>
          <w:szCs w:val="24"/>
        </w:rPr>
        <w:t xml:space="preserve">ями </w:t>
      </w:r>
      <w:r w:rsidR="005261BD" w:rsidRPr="00CA5E80">
        <w:rPr>
          <w:rFonts w:ascii="Times New Roman" w:hAnsi="Times New Roman"/>
          <w:sz w:val="24"/>
          <w:szCs w:val="24"/>
        </w:rPr>
        <w:t xml:space="preserve">приема и обучения в учебных организациях профессионального образования республики и с условиями работы на предприятиях республики. </w:t>
      </w:r>
      <w:r w:rsidR="005261BD" w:rsidRPr="00CA5E80">
        <w:rPr>
          <w:rFonts w:ascii="Times New Roman" w:hAnsi="Times New Roman"/>
          <w:bCs/>
          <w:sz w:val="24"/>
          <w:szCs w:val="24"/>
        </w:rPr>
        <w:t>Центрами социального страхования и социальной защиты городов и районов республики</w:t>
      </w:r>
      <w:r w:rsidR="005261BD" w:rsidRPr="00CA5E80">
        <w:rPr>
          <w:rFonts w:ascii="Times New Roman" w:hAnsi="Times New Roman"/>
          <w:sz w:val="24"/>
          <w:szCs w:val="24"/>
        </w:rPr>
        <w:t xml:space="preserve"> было оказано содействие в профессиональном самоопределении около </w:t>
      </w:r>
      <w:r w:rsidR="00BA368A">
        <w:rPr>
          <w:rFonts w:ascii="Times New Roman" w:hAnsi="Times New Roman"/>
          <w:sz w:val="24"/>
          <w:szCs w:val="24"/>
        </w:rPr>
        <w:t xml:space="preserve">          </w:t>
      </w:r>
      <w:r w:rsidR="005261BD" w:rsidRPr="00CA5E80">
        <w:rPr>
          <w:rFonts w:ascii="Times New Roman" w:hAnsi="Times New Roman"/>
          <w:sz w:val="24"/>
          <w:szCs w:val="24"/>
        </w:rPr>
        <w:t>1500 человек.</w:t>
      </w:r>
    </w:p>
    <w:p w:rsidR="005261BD" w:rsidRPr="00CA5E80" w:rsidRDefault="005261BD" w:rsidP="00090E11">
      <w:pPr>
        <w:pStyle w:val="a4"/>
      </w:pPr>
      <w:r w:rsidRPr="00CA5E80">
        <w:t>На реализацию программ активной политики занятости в 1 полугодии 2014 года израсходовано 927,1 тыс. рублей, на материальную поддержку безработных граждан израсходовано около 9228,2 тыс. рублей.</w:t>
      </w:r>
    </w:p>
    <w:p w:rsidR="005261BD" w:rsidRPr="00CA5E80" w:rsidRDefault="005261BD" w:rsidP="004B6A68">
      <w:pPr>
        <w:pStyle w:val="a4"/>
      </w:pPr>
      <w:r w:rsidRPr="00CA5E80">
        <w:t xml:space="preserve">Средний размер пособия по безработице в январе-июне 2014 года составил </w:t>
      </w:r>
      <w:r w:rsidR="00BA368A">
        <w:t xml:space="preserve">            </w:t>
      </w:r>
      <w:r w:rsidRPr="00CA5E80">
        <w:t>424,34 рублей, среднесписочная численность безработных получивших пособие по безработице составила 3 592 человек.</w:t>
      </w:r>
    </w:p>
    <w:p w:rsidR="005261BD" w:rsidRPr="00CA5E80" w:rsidRDefault="005261BD" w:rsidP="004B6A68">
      <w:pPr>
        <w:pStyle w:val="a4"/>
        <w:rPr>
          <w:shd w:val="clear" w:color="auto" w:fill="FFFFFF"/>
        </w:rPr>
      </w:pPr>
      <w:r w:rsidRPr="00CA5E80">
        <w:rPr>
          <w:shd w:val="clear" w:color="auto" w:fill="FFFFFF"/>
        </w:rPr>
        <w:t>При этом ключевыми проблемами рынка труда остается трудовая миграция в сочетании со структурной безработицей, при которой на фоне прогрессирующего дефицита квалифицированных рабочих, непрестижности рабочих специальностей, значительная численность безработных сочетается с наличием вакансий в экономике.</w:t>
      </w:r>
    </w:p>
    <w:p w:rsidR="005261BD" w:rsidRDefault="005261BD" w:rsidP="00D14717">
      <w:pPr>
        <w:tabs>
          <w:tab w:val="left" w:pos="5580"/>
        </w:tabs>
        <w:spacing w:after="0" w:line="240" w:lineRule="auto"/>
        <w:ind w:firstLine="709"/>
        <w:rPr>
          <w:rFonts w:ascii="Times New Roman" w:hAnsi="Times New Roman"/>
          <w:b/>
          <w:sz w:val="24"/>
          <w:szCs w:val="24"/>
        </w:rPr>
      </w:pPr>
    </w:p>
    <w:p w:rsidR="004B6A68" w:rsidRDefault="004B6A68" w:rsidP="004B6A68">
      <w:pPr>
        <w:tabs>
          <w:tab w:val="left" w:pos="5580"/>
        </w:tabs>
        <w:spacing w:after="0" w:line="240" w:lineRule="auto"/>
        <w:ind w:firstLine="709"/>
        <w:rPr>
          <w:rFonts w:ascii="Times New Roman" w:hAnsi="Times New Roman"/>
          <w:b/>
          <w:sz w:val="24"/>
          <w:szCs w:val="24"/>
        </w:rPr>
      </w:pPr>
      <w:r>
        <w:rPr>
          <w:rFonts w:ascii="Times New Roman" w:hAnsi="Times New Roman"/>
          <w:b/>
          <w:sz w:val="24"/>
          <w:szCs w:val="24"/>
        </w:rPr>
        <w:t>Развитие территорий</w:t>
      </w:r>
    </w:p>
    <w:p w:rsidR="004B6A68" w:rsidRDefault="004B6A68" w:rsidP="004B6A68">
      <w:pPr>
        <w:tabs>
          <w:tab w:val="left" w:pos="5580"/>
        </w:tabs>
        <w:spacing w:after="0" w:line="240" w:lineRule="auto"/>
        <w:ind w:firstLine="709"/>
        <w:rPr>
          <w:rFonts w:ascii="Times New Roman" w:hAnsi="Times New Roman"/>
          <w:b/>
          <w:sz w:val="24"/>
          <w:szCs w:val="24"/>
        </w:rPr>
      </w:pPr>
    </w:p>
    <w:p w:rsidR="004B6A68" w:rsidRDefault="004B6A68" w:rsidP="004B6A68">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Итоги социально-экономического развития городов и районов республики </w:t>
      </w:r>
      <w:r>
        <w:rPr>
          <w:rFonts w:ascii="Times New Roman" w:hAnsi="Times New Roman"/>
          <w:sz w:val="24"/>
          <w:szCs w:val="24"/>
        </w:rPr>
        <w:br/>
        <w:t xml:space="preserve">в </w:t>
      </w:r>
      <w:r>
        <w:rPr>
          <w:rFonts w:ascii="Times New Roman" w:hAnsi="Times New Roman"/>
          <w:sz w:val="24"/>
          <w:szCs w:val="24"/>
          <w:lang w:val="en-US"/>
        </w:rPr>
        <w:t>I</w:t>
      </w:r>
      <w:r>
        <w:rPr>
          <w:rFonts w:ascii="Times New Roman" w:hAnsi="Times New Roman"/>
          <w:sz w:val="24"/>
          <w:szCs w:val="24"/>
        </w:rPr>
        <w:t xml:space="preserve"> полугодии 2014 года под влиянием отдельных негативных факторов носящих, как внутренний, так и внешний характер, характеризовались неоднородностью динамики макроэкономических показателей. Так, возобновление работы крупнейших промышленных предприятий отразилось на динамике развития объёмов промышленного производства.</w:t>
      </w:r>
    </w:p>
    <w:p w:rsidR="00090E11" w:rsidRDefault="004B6A68" w:rsidP="00090E11">
      <w:pPr>
        <w:spacing w:after="0" w:line="240" w:lineRule="auto"/>
        <w:ind w:firstLine="709"/>
        <w:jc w:val="both"/>
        <w:rPr>
          <w:rFonts w:ascii="Times New Roman" w:hAnsi="Times New Roman"/>
          <w:sz w:val="24"/>
          <w:szCs w:val="24"/>
        </w:rPr>
      </w:pPr>
      <w:r>
        <w:rPr>
          <w:rFonts w:ascii="Times New Roman" w:hAnsi="Times New Roman"/>
          <w:spacing w:val="3"/>
          <w:sz w:val="24"/>
          <w:szCs w:val="24"/>
        </w:rPr>
        <w:t xml:space="preserve">В целом за январь-июнь 2014 года </w:t>
      </w:r>
      <w:r>
        <w:rPr>
          <w:rFonts w:ascii="Times New Roman" w:hAnsi="Times New Roman"/>
          <w:sz w:val="24"/>
          <w:szCs w:val="24"/>
        </w:rPr>
        <w:t xml:space="preserve">промышленными предприятиями городов и районов республики </w:t>
      </w:r>
      <w:r>
        <w:rPr>
          <w:rFonts w:ascii="Times New Roman" w:hAnsi="Times New Roman"/>
          <w:b/>
          <w:i/>
          <w:sz w:val="24"/>
          <w:szCs w:val="24"/>
        </w:rPr>
        <w:t>произведено промышленной продукции</w:t>
      </w:r>
      <w:r>
        <w:rPr>
          <w:rFonts w:ascii="Times New Roman" w:hAnsi="Times New Roman"/>
          <w:sz w:val="24"/>
          <w:szCs w:val="24"/>
        </w:rPr>
        <w:t xml:space="preserve"> (работ и услуг) (кроме субъектов малого предпринимательства) на сумму 4 945,2 млн. руб., что на 46,9% в текущих ценах и на 56,8% в сопоставимых ценах больше соответствующего периода </w:t>
      </w:r>
      <w:r w:rsidR="00090E11">
        <w:rPr>
          <w:rFonts w:ascii="Times New Roman" w:hAnsi="Times New Roman"/>
          <w:sz w:val="24"/>
          <w:szCs w:val="24"/>
        </w:rPr>
        <w:t xml:space="preserve">          </w:t>
      </w:r>
      <w:r>
        <w:rPr>
          <w:rFonts w:ascii="Times New Roman" w:hAnsi="Times New Roman"/>
          <w:sz w:val="24"/>
          <w:szCs w:val="24"/>
        </w:rPr>
        <w:t xml:space="preserve">2013 года. </w:t>
      </w:r>
    </w:p>
    <w:p w:rsidR="002B1386" w:rsidRDefault="002B1386" w:rsidP="002B1386">
      <w:pPr>
        <w:spacing w:after="0" w:line="240" w:lineRule="auto"/>
        <w:ind w:firstLine="709"/>
        <w:jc w:val="both"/>
        <w:rPr>
          <w:rFonts w:ascii="Times New Roman" w:hAnsi="Times New Roman"/>
          <w:sz w:val="24"/>
          <w:szCs w:val="24"/>
        </w:rPr>
      </w:pPr>
      <w:r>
        <w:rPr>
          <w:rFonts w:ascii="Times New Roman" w:hAnsi="Times New Roman"/>
          <w:spacing w:val="2"/>
          <w:sz w:val="24"/>
          <w:szCs w:val="24"/>
        </w:rPr>
        <w:t xml:space="preserve">Основное </w:t>
      </w:r>
      <w:r>
        <w:rPr>
          <w:rFonts w:ascii="Times New Roman" w:hAnsi="Times New Roman"/>
          <w:sz w:val="24"/>
          <w:szCs w:val="24"/>
        </w:rPr>
        <w:t xml:space="preserve">влияние на динамику показателя промышленного производства в республике в </w:t>
      </w:r>
      <w:r>
        <w:rPr>
          <w:rFonts w:ascii="Times New Roman" w:hAnsi="Times New Roman"/>
          <w:sz w:val="24"/>
          <w:szCs w:val="24"/>
          <w:lang w:val="en-US"/>
        </w:rPr>
        <w:t>I</w:t>
      </w:r>
      <w:r>
        <w:rPr>
          <w:rFonts w:ascii="Times New Roman" w:hAnsi="Times New Roman"/>
          <w:sz w:val="24"/>
          <w:szCs w:val="24"/>
        </w:rPr>
        <w:t xml:space="preserve"> полугодии 2014 года оказала ситуация в Рыбницком районе и городе Рыбница. В результате возобновления ритмичной работы крупных предприятий района</w:t>
      </w:r>
      <w:r>
        <w:rPr>
          <w:rFonts w:ascii="Times New Roman" w:hAnsi="Times New Roman"/>
          <w:sz w:val="24"/>
          <w:szCs w:val="24"/>
        </w:rPr>
        <w:br/>
        <w:t>ОАО «Молдавский металлургический завод» и ЗАО «Рыбницкий цементный комбинат» объем промышленного производства в целом по Рыбницкому району и городу Рыбница за январь-июнь 2014 года увеличился к аналогичному периоду 2013 года в текущих и сопоставимых ценах в 7,2 раза и 8,0 раза соответственно, сформировавший порядка 32,8% от общего объёма по республике.</w:t>
      </w:r>
    </w:p>
    <w:p w:rsidR="00090E11" w:rsidRDefault="00090E11" w:rsidP="00090E11">
      <w:pPr>
        <w:pStyle w:val="aa"/>
        <w:ind w:firstLine="709"/>
        <w:jc w:val="both"/>
        <w:rPr>
          <w:rFonts w:ascii="Times New Roman" w:hAnsi="Times New Roman"/>
          <w:sz w:val="24"/>
          <w:szCs w:val="24"/>
        </w:rPr>
      </w:pPr>
      <w:r>
        <w:rPr>
          <w:rFonts w:ascii="Times New Roman" w:hAnsi="Times New Roman"/>
          <w:sz w:val="24"/>
          <w:szCs w:val="24"/>
        </w:rPr>
        <w:t>В общем объёме промышленного выпуска весомое значение занимают промышленные предприятия города Тирасполь, сформировавшие порядка 31,0% совокупного производства по республике, при это</w:t>
      </w:r>
      <w:r w:rsidR="002B1386">
        <w:rPr>
          <w:rFonts w:ascii="Times New Roman" w:hAnsi="Times New Roman"/>
          <w:sz w:val="24"/>
          <w:szCs w:val="24"/>
        </w:rPr>
        <w:t xml:space="preserve">м объём производства в текущих </w:t>
      </w:r>
      <w:r>
        <w:rPr>
          <w:rFonts w:ascii="Times New Roman" w:hAnsi="Times New Roman"/>
          <w:sz w:val="24"/>
          <w:szCs w:val="24"/>
        </w:rPr>
        <w:t xml:space="preserve">и в сопоставимых ценах снижен соответственно на 5,9% и </w:t>
      </w:r>
      <w:r>
        <w:rPr>
          <w:rFonts w:ascii="Times New Roman" w:hAnsi="Times New Roman"/>
          <w:spacing w:val="6"/>
          <w:sz w:val="24"/>
          <w:szCs w:val="24"/>
        </w:rPr>
        <w:t xml:space="preserve">на 8,6%. </w:t>
      </w:r>
      <w:r w:rsidRPr="001519E0">
        <w:rPr>
          <w:rFonts w:ascii="Times New Roman" w:hAnsi="Times New Roman"/>
          <w:sz w:val="24"/>
          <w:szCs w:val="24"/>
        </w:rPr>
        <w:t xml:space="preserve">Определяющее влияние на </w:t>
      </w:r>
      <w:r>
        <w:rPr>
          <w:rFonts w:ascii="Times New Roman" w:hAnsi="Times New Roman"/>
          <w:sz w:val="24"/>
          <w:szCs w:val="24"/>
        </w:rPr>
        <w:t xml:space="preserve">объём промышленного производства </w:t>
      </w:r>
      <w:r w:rsidRPr="001519E0">
        <w:rPr>
          <w:rFonts w:ascii="Times New Roman" w:hAnsi="Times New Roman"/>
          <w:sz w:val="24"/>
          <w:szCs w:val="24"/>
        </w:rPr>
        <w:t>оказывает крупнейше</w:t>
      </w:r>
      <w:r>
        <w:rPr>
          <w:rFonts w:ascii="Times New Roman" w:hAnsi="Times New Roman"/>
          <w:sz w:val="24"/>
          <w:szCs w:val="24"/>
        </w:rPr>
        <w:t>е</w:t>
      </w:r>
      <w:r w:rsidRPr="001519E0">
        <w:rPr>
          <w:rFonts w:ascii="Times New Roman" w:hAnsi="Times New Roman"/>
          <w:sz w:val="24"/>
          <w:szCs w:val="24"/>
        </w:rPr>
        <w:t xml:space="preserve"> предприяти</w:t>
      </w:r>
      <w:r>
        <w:rPr>
          <w:rFonts w:ascii="Times New Roman" w:hAnsi="Times New Roman"/>
          <w:sz w:val="24"/>
          <w:szCs w:val="24"/>
        </w:rPr>
        <w:t>е</w:t>
      </w:r>
      <w:r>
        <w:rPr>
          <w:rFonts w:ascii="Times New Roman" w:hAnsi="Times New Roman"/>
          <w:sz w:val="24"/>
          <w:szCs w:val="24"/>
        </w:rPr>
        <w:br/>
      </w:r>
      <w:r w:rsidRPr="001519E0">
        <w:rPr>
          <w:rFonts w:ascii="Times New Roman" w:hAnsi="Times New Roman"/>
          <w:sz w:val="24"/>
          <w:szCs w:val="24"/>
        </w:rPr>
        <w:t>ЗАО «Тиротекс» (</w:t>
      </w:r>
      <w:r>
        <w:rPr>
          <w:rFonts w:ascii="Times New Roman" w:hAnsi="Times New Roman"/>
          <w:sz w:val="24"/>
          <w:szCs w:val="24"/>
        </w:rPr>
        <w:t>28,8</w:t>
      </w:r>
      <w:r w:rsidRPr="001519E0">
        <w:rPr>
          <w:rFonts w:ascii="Times New Roman" w:hAnsi="Times New Roman"/>
          <w:sz w:val="24"/>
          <w:szCs w:val="24"/>
        </w:rPr>
        <w:t xml:space="preserve">% </w:t>
      </w:r>
      <w:r>
        <w:rPr>
          <w:rFonts w:ascii="Times New Roman" w:hAnsi="Times New Roman"/>
          <w:sz w:val="24"/>
          <w:szCs w:val="24"/>
        </w:rPr>
        <w:t>от общего объёма по городу Тирасполь</w:t>
      </w:r>
      <w:r w:rsidRPr="001519E0">
        <w:rPr>
          <w:rFonts w:ascii="Times New Roman" w:hAnsi="Times New Roman"/>
          <w:sz w:val="24"/>
          <w:szCs w:val="24"/>
        </w:rPr>
        <w:t>), сокративше</w:t>
      </w:r>
      <w:r>
        <w:rPr>
          <w:rFonts w:ascii="Times New Roman" w:hAnsi="Times New Roman"/>
          <w:sz w:val="24"/>
          <w:szCs w:val="24"/>
        </w:rPr>
        <w:t>е</w:t>
      </w:r>
      <w:r w:rsidRPr="001519E0">
        <w:rPr>
          <w:rFonts w:ascii="Times New Roman" w:hAnsi="Times New Roman"/>
          <w:sz w:val="24"/>
          <w:szCs w:val="24"/>
        </w:rPr>
        <w:t xml:space="preserve"> товарный выпуск за рассматриваемый период на 13,0%. Данные негативные тенденции вызваны снижением потребительского спроса на текстильную продукцию на рынках </w:t>
      </w:r>
      <w:r>
        <w:rPr>
          <w:rFonts w:ascii="Times New Roman" w:hAnsi="Times New Roman"/>
          <w:sz w:val="24"/>
          <w:szCs w:val="24"/>
        </w:rPr>
        <w:t xml:space="preserve">                </w:t>
      </w:r>
      <w:r w:rsidRPr="001519E0">
        <w:rPr>
          <w:rFonts w:ascii="Times New Roman" w:hAnsi="Times New Roman"/>
          <w:sz w:val="24"/>
          <w:szCs w:val="24"/>
        </w:rPr>
        <w:t>Западной Европы и Р</w:t>
      </w:r>
      <w:r>
        <w:rPr>
          <w:rFonts w:ascii="Times New Roman" w:hAnsi="Times New Roman"/>
          <w:sz w:val="24"/>
          <w:szCs w:val="24"/>
        </w:rPr>
        <w:t>Ф</w:t>
      </w:r>
      <w:r w:rsidRPr="001519E0">
        <w:rPr>
          <w:rFonts w:ascii="Times New Roman" w:hAnsi="Times New Roman"/>
          <w:sz w:val="24"/>
          <w:szCs w:val="24"/>
        </w:rPr>
        <w:t xml:space="preserve">, а также отсутствием спроса на Украине, в связи с создавшейся политической ситуацией. </w:t>
      </w:r>
    </w:p>
    <w:p w:rsidR="004B6A68" w:rsidRDefault="004B6A68" w:rsidP="004B6A68">
      <w:pPr>
        <w:spacing w:after="0" w:line="240" w:lineRule="auto"/>
        <w:ind w:firstLine="709"/>
        <w:jc w:val="both"/>
        <w:rPr>
          <w:rFonts w:ascii="Times New Roman" w:hAnsi="Times New Roman"/>
          <w:sz w:val="24"/>
          <w:szCs w:val="24"/>
        </w:rPr>
      </w:pPr>
    </w:p>
    <w:p w:rsidR="00090E11" w:rsidRDefault="00090E11" w:rsidP="004B6A68">
      <w:pPr>
        <w:spacing w:after="0" w:line="240" w:lineRule="auto"/>
        <w:ind w:firstLine="709"/>
        <w:jc w:val="right"/>
        <w:rPr>
          <w:rFonts w:ascii="Times New Roman" w:hAnsi="Times New Roman"/>
          <w:sz w:val="24"/>
          <w:szCs w:val="24"/>
        </w:rPr>
      </w:pPr>
    </w:p>
    <w:p w:rsidR="004B6A68" w:rsidRDefault="004B6A68" w:rsidP="004B6A68">
      <w:pPr>
        <w:spacing w:after="0" w:line="240" w:lineRule="auto"/>
        <w:ind w:firstLine="709"/>
        <w:jc w:val="right"/>
        <w:rPr>
          <w:rFonts w:ascii="Times New Roman" w:hAnsi="Times New Roman"/>
          <w:sz w:val="24"/>
          <w:szCs w:val="24"/>
        </w:rPr>
      </w:pPr>
      <w:r>
        <w:rPr>
          <w:rFonts w:ascii="Times New Roman" w:hAnsi="Times New Roman"/>
          <w:sz w:val="24"/>
          <w:szCs w:val="24"/>
        </w:rPr>
        <w:lastRenderedPageBreak/>
        <w:t>Таблица №</w:t>
      </w:r>
      <w:r w:rsidR="00090E11">
        <w:rPr>
          <w:rFonts w:ascii="Times New Roman" w:hAnsi="Times New Roman"/>
          <w:sz w:val="24"/>
          <w:szCs w:val="24"/>
        </w:rPr>
        <w:t xml:space="preserve"> 3</w:t>
      </w:r>
      <w:r w:rsidR="00B84C3B">
        <w:rPr>
          <w:rFonts w:ascii="Times New Roman" w:hAnsi="Times New Roman"/>
          <w:sz w:val="24"/>
          <w:szCs w:val="24"/>
        </w:rPr>
        <w:t>5</w:t>
      </w:r>
    </w:p>
    <w:p w:rsidR="004B6A68" w:rsidRDefault="004B6A68" w:rsidP="004B6A68">
      <w:pPr>
        <w:spacing w:after="0" w:line="240" w:lineRule="auto"/>
        <w:ind w:firstLine="709"/>
        <w:jc w:val="center"/>
        <w:rPr>
          <w:rFonts w:ascii="Times New Roman" w:hAnsi="Times New Roman"/>
          <w:b/>
          <w:sz w:val="24"/>
          <w:szCs w:val="24"/>
        </w:rPr>
      </w:pPr>
      <w:r>
        <w:rPr>
          <w:rFonts w:ascii="Times New Roman" w:hAnsi="Times New Roman"/>
          <w:b/>
          <w:sz w:val="24"/>
          <w:szCs w:val="24"/>
        </w:rPr>
        <w:t xml:space="preserve">Динамика основных показателей социально-экономического развития городов и районов республики за январь-июнь 2014 года </w:t>
      </w:r>
    </w:p>
    <w:p w:rsidR="004B6A68" w:rsidRDefault="004B6A68" w:rsidP="004B6A68">
      <w:pPr>
        <w:spacing w:after="0" w:line="240" w:lineRule="auto"/>
        <w:ind w:firstLine="709"/>
        <w:jc w:val="center"/>
        <w:rPr>
          <w:rFonts w:ascii="Times New Roman" w:hAnsi="Times New Roman"/>
          <w:b/>
          <w:sz w:val="24"/>
          <w:szCs w:val="24"/>
        </w:rPr>
      </w:pPr>
      <w:r>
        <w:rPr>
          <w:rFonts w:ascii="Times New Roman" w:hAnsi="Times New Roman"/>
          <w:b/>
          <w:sz w:val="24"/>
          <w:szCs w:val="24"/>
        </w:rPr>
        <w:t>(в % к январю-июню 2013 года)</w:t>
      </w:r>
    </w:p>
    <w:tbl>
      <w:tblPr>
        <w:tblW w:w="9340" w:type="dxa"/>
        <w:tblInd w:w="108" w:type="dxa"/>
        <w:tblLayout w:type="fixed"/>
        <w:tblLook w:val="01E0"/>
      </w:tblPr>
      <w:tblGrid>
        <w:gridCol w:w="2127"/>
        <w:gridCol w:w="1134"/>
        <w:gridCol w:w="900"/>
        <w:gridCol w:w="1368"/>
        <w:gridCol w:w="929"/>
        <w:gridCol w:w="1441"/>
        <w:gridCol w:w="1441"/>
      </w:tblGrid>
      <w:tr w:rsidR="004B6A68" w:rsidTr="004B6A68">
        <w:trPr>
          <w:trHeight w:val="900"/>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center"/>
              <w:rPr>
                <w:rFonts w:ascii="Times New Roman" w:hAnsi="Times New Roman"/>
                <w:b/>
                <w:spacing w:val="6"/>
              </w:rPr>
            </w:pPr>
            <w:r>
              <w:rPr>
                <w:rFonts w:ascii="Times New Roman" w:hAnsi="Times New Roman"/>
                <w:b/>
                <w:spacing w:val="6"/>
              </w:rPr>
              <w:t>Города и районы ПМР</w:t>
            </w:r>
          </w:p>
        </w:tc>
        <w:tc>
          <w:tcPr>
            <w:tcW w:w="2034" w:type="dxa"/>
            <w:gridSpan w:val="2"/>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ind w:left="-66" w:right="-108"/>
              <w:jc w:val="center"/>
              <w:rPr>
                <w:rFonts w:ascii="Times New Roman" w:hAnsi="Times New Roman"/>
                <w:b/>
                <w:spacing w:val="6"/>
              </w:rPr>
            </w:pPr>
            <w:r>
              <w:rPr>
                <w:rFonts w:ascii="Times New Roman" w:hAnsi="Times New Roman"/>
                <w:b/>
                <w:spacing w:val="6"/>
              </w:rPr>
              <w:t>Объем промышленной продукции</w:t>
            </w:r>
          </w:p>
        </w:tc>
        <w:tc>
          <w:tcPr>
            <w:tcW w:w="1368" w:type="dxa"/>
            <w:vMerge w:val="restart"/>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ind w:left="-164" w:right="-164"/>
              <w:jc w:val="center"/>
              <w:rPr>
                <w:rFonts w:ascii="Times New Roman" w:hAnsi="Times New Roman"/>
                <w:b/>
                <w:spacing w:val="6"/>
              </w:rPr>
            </w:pPr>
            <w:r>
              <w:rPr>
                <w:rFonts w:ascii="Times New Roman" w:hAnsi="Times New Roman"/>
                <w:b/>
                <w:spacing w:val="6"/>
              </w:rPr>
              <w:t>Объем инвестиций</w:t>
            </w:r>
          </w:p>
          <w:p w:rsidR="004B6A68" w:rsidRDefault="004B6A68" w:rsidP="004B6A68">
            <w:pPr>
              <w:spacing w:after="0" w:line="240" w:lineRule="auto"/>
              <w:ind w:left="-164" w:right="-164"/>
              <w:jc w:val="center"/>
              <w:rPr>
                <w:rFonts w:ascii="Times New Roman" w:hAnsi="Times New Roman"/>
                <w:b/>
                <w:spacing w:val="6"/>
              </w:rPr>
            </w:pPr>
            <w:r>
              <w:rPr>
                <w:rFonts w:ascii="Times New Roman" w:hAnsi="Times New Roman"/>
                <w:b/>
                <w:spacing w:val="6"/>
              </w:rPr>
              <w:t>за счет всех</w:t>
            </w:r>
          </w:p>
          <w:p w:rsidR="004B6A68" w:rsidRDefault="004B6A68" w:rsidP="004B6A68">
            <w:pPr>
              <w:spacing w:after="0" w:line="240" w:lineRule="auto"/>
              <w:ind w:left="-137"/>
              <w:jc w:val="center"/>
              <w:rPr>
                <w:rFonts w:ascii="Times New Roman" w:hAnsi="Times New Roman"/>
                <w:b/>
                <w:spacing w:val="6"/>
              </w:rPr>
            </w:pPr>
            <w:r>
              <w:rPr>
                <w:rFonts w:ascii="Times New Roman" w:hAnsi="Times New Roman"/>
                <w:b/>
                <w:spacing w:val="6"/>
              </w:rPr>
              <w:t>источников финансиро-вания</w:t>
            </w:r>
          </w:p>
        </w:tc>
        <w:tc>
          <w:tcPr>
            <w:tcW w:w="929" w:type="dxa"/>
            <w:vMerge w:val="restart"/>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ind w:left="-84" w:right="-94"/>
              <w:jc w:val="center"/>
              <w:rPr>
                <w:rFonts w:ascii="Times New Roman" w:hAnsi="Times New Roman"/>
                <w:b/>
                <w:spacing w:val="6"/>
              </w:rPr>
            </w:pPr>
            <w:r>
              <w:rPr>
                <w:rFonts w:ascii="Times New Roman" w:hAnsi="Times New Roman"/>
                <w:b/>
                <w:spacing w:val="6"/>
              </w:rPr>
              <w:t>Ввод в действ.</w:t>
            </w:r>
          </w:p>
          <w:p w:rsidR="004B6A68" w:rsidRDefault="004B6A68" w:rsidP="004B6A68">
            <w:pPr>
              <w:spacing w:after="0" w:line="240" w:lineRule="auto"/>
              <w:ind w:left="-84" w:right="-94"/>
              <w:jc w:val="center"/>
              <w:rPr>
                <w:rFonts w:ascii="Times New Roman" w:hAnsi="Times New Roman"/>
                <w:b/>
                <w:spacing w:val="6"/>
              </w:rPr>
            </w:pPr>
            <w:r>
              <w:rPr>
                <w:rFonts w:ascii="Times New Roman" w:hAnsi="Times New Roman"/>
                <w:b/>
                <w:spacing w:val="6"/>
              </w:rPr>
              <w:t>жилых</w:t>
            </w:r>
          </w:p>
          <w:p w:rsidR="004B6A68" w:rsidRDefault="004B6A68" w:rsidP="004B6A68">
            <w:pPr>
              <w:spacing w:after="0" w:line="240" w:lineRule="auto"/>
              <w:ind w:left="-84" w:right="-94"/>
              <w:jc w:val="center"/>
              <w:rPr>
                <w:rFonts w:ascii="Times New Roman" w:hAnsi="Times New Roman"/>
                <w:b/>
                <w:spacing w:val="6"/>
              </w:rPr>
            </w:pPr>
            <w:r>
              <w:rPr>
                <w:rFonts w:ascii="Times New Roman" w:hAnsi="Times New Roman"/>
                <w:b/>
                <w:spacing w:val="6"/>
              </w:rPr>
              <w:t>домов</w:t>
            </w:r>
          </w:p>
        </w:tc>
        <w:tc>
          <w:tcPr>
            <w:tcW w:w="1441" w:type="dxa"/>
            <w:vMerge w:val="restart"/>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ind w:left="-115" w:right="-127"/>
              <w:jc w:val="center"/>
              <w:rPr>
                <w:rFonts w:ascii="Times New Roman" w:hAnsi="Times New Roman"/>
                <w:b/>
                <w:spacing w:val="6"/>
              </w:rPr>
            </w:pPr>
            <w:r>
              <w:rPr>
                <w:rFonts w:ascii="Times New Roman" w:hAnsi="Times New Roman"/>
                <w:b/>
                <w:spacing w:val="6"/>
              </w:rPr>
              <w:t>Оборот розничной</w:t>
            </w:r>
          </w:p>
          <w:p w:rsidR="004B6A68" w:rsidRDefault="004B6A68" w:rsidP="004B6A68">
            <w:pPr>
              <w:spacing w:after="0" w:line="240" w:lineRule="auto"/>
              <w:ind w:left="-115" w:right="-127"/>
              <w:jc w:val="center"/>
              <w:rPr>
                <w:rFonts w:ascii="Times New Roman" w:hAnsi="Times New Roman"/>
                <w:b/>
                <w:spacing w:val="6"/>
              </w:rPr>
            </w:pPr>
            <w:r>
              <w:rPr>
                <w:rFonts w:ascii="Times New Roman" w:hAnsi="Times New Roman"/>
                <w:b/>
                <w:spacing w:val="6"/>
              </w:rPr>
              <w:t xml:space="preserve">торговли </w:t>
            </w:r>
            <w:r>
              <w:rPr>
                <w:rFonts w:ascii="Times New Roman" w:hAnsi="Times New Roman"/>
                <w:spacing w:val="6"/>
              </w:rPr>
              <w:t>(в</w:t>
            </w:r>
            <w:r>
              <w:rPr>
                <w:rFonts w:ascii="Times New Roman" w:hAnsi="Times New Roman"/>
                <w:b/>
                <w:spacing w:val="6"/>
              </w:rPr>
              <w:t xml:space="preserve"> </w:t>
            </w:r>
            <w:r>
              <w:rPr>
                <w:rFonts w:ascii="Times New Roman" w:hAnsi="Times New Roman"/>
                <w:spacing w:val="6"/>
              </w:rPr>
              <w:t xml:space="preserve"> сопост. ценах)</w:t>
            </w:r>
          </w:p>
        </w:tc>
        <w:tc>
          <w:tcPr>
            <w:tcW w:w="1441" w:type="dxa"/>
            <w:vMerge w:val="restart"/>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ind w:left="-117" w:right="-127"/>
              <w:jc w:val="center"/>
              <w:rPr>
                <w:rFonts w:ascii="Times New Roman" w:hAnsi="Times New Roman"/>
                <w:b/>
                <w:spacing w:val="6"/>
              </w:rPr>
            </w:pPr>
            <w:r>
              <w:rPr>
                <w:rFonts w:ascii="Times New Roman" w:hAnsi="Times New Roman"/>
                <w:b/>
                <w:spacing w:val="6"/>
              </w:rPr>
              <w:t xml:space="preserve">Объем платных услуг населению </w:t>
            </w:r>
            <w:r>
              <w:rPr>
                <w:rFonts w:ascii="Times New Roman" w:hAnsi="Times New Roman"/>
                <w:spacing w:val="6"/>
              </w:rPr>
              <w:t>(в</w:t>
            </w:r>
            <w:r>
              <w:rPr>
                <w:rFonts w:ascii="Times New Roman" w:hAnsi="Times New Roman"/>
                <w:b/>
                <w:spacing w:val="6"/>
              </w:rPr>
              <w:t xml:space="preserve"> </w:t>
            </w:r>
            <w:r>
              <w:rPr>
                <w:rFonts w:ascii="Times New Roman" w:hAnsi="Times New Roman"/>
                <w:spacing w:val="6"/>
              </w:rPr>
              <w:t xml:space="preserve"> сопост. ценах)</w:t>
            </w:r>
          </w:p>
        </w:tc>
      </w:tr>
      <w:tr w:rsidR="004B6A68" w:rsidTr="004B6A68">
        <w:trPr>
          <w:trHeight w:val="147"/>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rPr>
                <w:rFonts w:ascii="Times New Roman" w:hAnsi="Times New Roman"/>
                <w:b/>
                <w:spacing w:val="6"/>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ind w:left="-80" w:right="-86"/>
              <w:jc w:val="center"/>
              <w:rPr>
                <w:rFonts w:ascii="Times New Roman" w:hAnsi="Times New Roman"/>
                <w:spacing w:val="6"/>
              </w:rPr>
            </w:pPr>
            <w:r>
              <w:rPr>
                <w:rFonts w:ascii="Times New Roman" w:hAnsi="Times New Roman"/>
                <w:spacing w:val="6"/>
              </w:rPr>
              <w:t>в текущ. ценах</w:t>
            </w:r>
          </w:p>
        </w:tc>
        <w:tc>
          <w:tcPr>
            <w:tcW w:w="900"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ind w:left="-110" w:right="-108"/>
              <w:jc w:val="center"/>
              <w:rPr>
                <w:rFonts w:ascii="Times New Roman" w:hAnsi="Times New Roman"/>
                <w:spacing w:val="6"/>
              </w:rPr>
            </w:pPr>
            <w:r>
              <w:rPr>
                <w:rFonts w:ascii="Times New Roman" w:hAnsi="Times New Roman"/>
                <w:spacing w:val="6"/>
              </w:rPr>
              <w:t>в сопост. ценах</w:t>
            </w:r>
          </w:p>
        </w:tc>
        <w:tc>
          <w:tcPr>
            <w:tcW w:w="1368" w:type="dxa"/>
            <w:vMerge/>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rPr>
                <w:rFonts w:ascii="Times New Roman" w:hAnsi="Times New Roman"/>
                <w:b/>
                <w:spacing w:val="6"/>
              </w:rPr>
            </w:pPr>
          </w:p>
        </w:tc>
        <w:tc>
          <w:tcPr>
            <w:tcW w:w="929" w:type="dxa"/>
            <w:vMerge/>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rPr>
                <w:rFonts w:ascii="Times New Roman" w:hAnsi="Times New Roman"/>
                <w:b/>
                <w:spacing w:val="6"/>
              </w:rPr>
            </w:pPr>
          </w:p>
        </w:tc>
        <w:tc>
          <w:tcPr>
            <w:tcW w:w="1441" w:type="dxa"/>
            <w:vMerge/>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rPr>
                <w:rFonts w:ascii="Times New Roman" w:hAnsi="Times New Roman"/>
                <w:b/>
                <w:spacing w:val="6"/>
              </w:rPr>
            </w:pPr>
          </w:p>
        </w:tc>
        <w:tc>
          <w:tcPr>
            <w:tcW w:w="1441" w:type="dxa"/>
            <w:vMerge/>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rPr>
                <w:rFonts w:ascii="Times New Roman" w:hAnsi="Times New Roman"/>
                <w:b/>
                <w:spacing w:val="6"/>
              </w:rPr>
            </w:pPr>
          </w:p>
        </w:tc>
      </w:tr>
      <w:tr w:rsidR="004B6A68" w:rsidTr="004B6A68">
        <w:trPr>
          <w:trHeight w:val="238"/>
        </w:trPr>
        <w:tc>
          <w:tcPr>
            <w:tcW w:w="2127" w:type="dxa"/>
            <w:tcBorders>
              <w:top w:val="single" w:sz="4" w:space="0" w:color="auto"/>
              <w:left w:val="single" w:sz="4" w:space="0" w:color="auto"/>
              <w:bottom w:val="single" w:sz="4" w:space="0" w:color="auto"/>
              <w:right w:val="single" w:sz="4" w:space="0" w:color="auto"/>
            </w:tcBorders>
            <w:hideMark/>
          </w:tcPr>
          <w:p w:rsidR="004B6A68" w:rsidRDefault="004B6A68" w:rsidP="004B6A68">
            <w:pPr>
              <w:spacing w:after="0" w:line="240" w:lineRule="auto"/>
              <w:rPr>
                <w:rFonts w:ascii="Times New Roman" w:hAnsi="Times New Roman"/>
                <w:b/>
                <w:i/>
                <w:spacing w:val="6"/>
              </w:rPr>
            </w:pPr>
            <w:r>
              <w:rPr>
                <w:rFonts w:ascii="Times New Roman" w:hAnsi="Times New Roman"/>
                <w:b/>
                <w:i/>
                <w:spacing w:val="6"/>
              </w:rPr>
              <w:t>Всего по ПМР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b/>
                <w:i/>
                <w:spacing w:val="6"/>
              </w:rPr>
            </w:pPr>
            <w:r>
              <w:rPr>
                <w:rFonts w:ascii="Times New Roman" w:hAnsi="Times New Roman"/>
                <w:b/>
                <w:i/>
                <w:spacing w:val="6"/>
              </w:rPr>
              <w:t>146,9</w:t>
            </w:r>
          </w:p>
        </w:tc>
        <w:tc>
          <w:tcPr>
            <w:tcW w:w="900"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b/>
                <w:i/>
                <w:spacing w:val="6"/>
              </w:rPr>
            </w:pPr>
            <w:r>
              <w:rPr>
                <w:rFonts w:ascii="Times New Roman" w:hAnsi="Times New Roman"/>
                <w:b/>
                <w:i/>
                <w:spacing w:val="6"/>
              </w:rPr>
              <w:t>156,8</w:t>
            </w:r>
          </w:p>
        </w:tc>
        <w:tc>
          <w:tcPr>
            <w:tcW w:w="1368"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b/>
                <w:i/>
                <w:spacing w:val="6"/>
              </w:rPr>
            </w:pPr>
            <w:r>
              <w:rPr>
                <w:rFonts w:ascii="Times New Roman" w:hAnsi="Times New Roman"/>
                <w:b/>
                <w:i/>
                <w:spacing w:val="6"/>
              </w:rPr>
              <w:t>101,4</w:t>
            </w:r>
          </w:p>
        </w:tc>
        <w:tc>
          <w:tcPr>
            <w:tcW w:w="929"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b/>
                <w:i/>
                <w:spacing w:val="6"/>
              </w:rPr>
            </w:pPr>
            <w:r>
              <w:rPr>
                <w:rFonts w:ascii="Times New Roman" w:hAnsi="Times New Roman"/>
                <w:b/>
                <w:i/>
                <w:spacing w:val="6"/>
              </w:rPr>
              <w:t>64,9</w:t>
            </w:r>
          </w:p>
        </w:tc>
        <w:tc>
          <w:tcPr>
            <w:tcW w:w="1441"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b/>
                <w:i/>
                <w:spacing w:val="6"/>
              </w:rPr>
            </w:pPr>
            <w:r>
              <w:rPr>
                <w:rFonts w:ascii="Times New Roman" w:hAnsi="Times New Roman"/>
                <w:b/>
                <w:i/>
                <w:spacing w:val="6"/>
              </w:rPr>
              <w:t>98,8</w:t>
            </w:r>
          </w:p>
        </w:tc>
        <w:tc>
          <w:tcPr>
            <w:tcW w:w="1441"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b/>
                <w:i/>
                <w:spacing w:val="6"/>
              </w:rPr>
            </w:pPr>
            <w:r>
              <w:rPr>
                <w:rFonts w:ascii="Times New Roman" w:hAnsi="Times New Roman"/>
                <w:b/>
                <w:i/>
                <w:spacing w:val="6"/>
              </w:rPr>
              <w:t>104,5</w:t>
            </w:r>
          </w:p>
        </w:tc>
      </w:tr>
      <w:tr w:rsidR="004B6A68" w:rsidTr="004B6A68">
        <w:trPr>
          <w:trHeight w:val="172"/>
        </w:trPr>
        <w:tc>
          <w:tcPr>
            <w:tcW w:w="2127"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rPr>
                <w:rFonts w:ascii="Times New Roman" w:hAnsi="Times New Roman"/>
                <w:spacing w:val="6"/>
              </w:rPr>
            </w:pPr>
            <w:r>
              <w:rPr>
                <w:rFonts w:ascii="Times New Roman" w:hAnsi="Times New Roman"/>
                <w:spacing w:val="6"/>
              </w:rPr>
              <w:t xml:space="preserve">г. Тирасполь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94,1</w:t>
            </w:r>
          </w:p>
        </w:tc>
        <w:tc>
          <w:tcPr>
            <w:tcW w:w="900"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91,4</w:t>
            </w:r>
          </w:p>
        </w:tc>
        <w:tc>
          <w:tcPr>
            <w:tcW w:w="1368"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82,7</w:t>
            </w:r>
          </w:p>
        </w:tc>
        <w:tc>
          <w:tcPr>
            <w:tcW w:w="929"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ind w:left="-80" w:right="-24"/>
              <w:jc w:val="right"/>
              <w:rPr>
                <w:rFonts w:ascii="Times New Roman" w:hAnsi="Times New Roman"/>
                <w:spacing w:val="6"/>
              </w:rPr>
            </w:pPr>
            <w:r>
              <w:rPr>
                <w:rFonts w:ascii="Times New Roman" w:hAnsi="Times New Roman"/>
                <w:spacing w:val="6"/>
              </w:rPr>
              <w:t>30,9</w:t>
            </w:r>
          </w:p>
        </w:tc>
        <w:tc>
          <w:tcPr>
            <w:tcW w:w="1441"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96,2</w:t>
            </w:r>
          </w:p>
        </w:tc>
        <w:tc>
          <w:tcPr>
            <w:tcW w:w="1441"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100,2</w:t>
            </w:r>
          </w:p>
        </w:tc>
      </w:tr>
      <w:tr w:rsidR="004B6A68" w:rsidTr="004B6A68">
        <w:trPr>
          <w:trHeight w:val="172"/>
        </w:trPr>
        <w:tc>
          <w:tcPr>
            <w:tcW w:w="2127"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rPr>
                <w:rFonts w:ascii="Times New Roman" w:hAnsi="Times New Roman"/>
                <w:spacing w:val="6"/>
              </w:rPr>
            </w:pPr>
            <w:r>
              <w:rPr>
                <w:rFonts w:ascii="Times New Roman" w:hAnsi="Times New Roman"/>
                <w:spacing w:val="6"/>
              </w:rPr>
              <w:t>г. Днестровск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140,3</w:t>
            </w:r>
          </w:p>
        </w:tc>
        <w:tc>
          <w:tcPr>
            <w:tcW w:w="900"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146,3</w:t>
            </w:r>
          </w:p>
        </w:tc>
        <w:tc>
          <w:tcPr>
            <w:tcW w:w="1368"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в 2,3 р.</w:t>
            </w:r>
          </w:p>
        </w:tc>
        <w:tc>
          <w:tcPr>
            <w:tcW w:w="929"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ind w:left="-80" w:right="-24"/>
              <w:jc w:val="right"/>
              <w:rPr>
                <w:rFonts w:ascii="Times New Roman" w:hAnsi="Times New Roman"/>
                <w:spacing w:val="6"/>
              </w:rPr>
            </w:pPr>
          </w:p>
        </w:tc>
        <w:tc>
          <w:tcPr>
            <w:tcW w:w="1441"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102,3</w:t>
            </w:r>
          </w:p>
        </w:tc>
        <w:tc>
          <w:tcPr>
            <w:tcW w:w="1441"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88,1</w:t>
            </w:r>
          </w:p>
        </w:tc>
      </w:tr>
      <w:tr w:rsidR="004B6A68" w:rsidTr="004B6A68">
        <w:trPr>
          <w:trHeight w:val="200"/>
        </w:trPr>
        <w:tc>
          <w:tcPr>
            <w:tcW w:w="2127"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rPr>
                <w:rFonts w:ascii="Times New Roman" w:hAnsi="Times New Roman"/>
                <w:spacing w:val="6"/>
              </w:rPr>
            </w:pPr>
            <w:r>
              <w:rPr>
                <w:rFonts w:ascii="Times New Roman" w:hAnsi="Times New Roman"/>
                <w:spacing w:val="6"/>
              </w:rPr>
              <w:t xml:space="preserve">г. Бендеры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93,4</w:t>
            </w:r>
          </w:p>
        </w:tc>
        <w:tc>
          <w:tcPr>
            <w:tcW w:w="900"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94,5</w:t>
            </w:r>
          </w:p>
        </w:tc>
        <w:tc>
          <w:tcPr>
            <w:tcW w:w="1368"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156,0</w:t>
            </w:r>
          </w:p>
        </w:tc>
        <w:tc>
          <w:tcPr>
            <w:tcW w:w="929"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ind w:left="-80" w:right="-24"/>
              <w:jc w:val="right"/>
              <w:rPr>
                <w:rFonts w:ascii="Times New Roman" w:hAnsi="Times New Roman"/>
                <w:spacing w:val="6"/>
              </w:rPr>
            </w:pPr>
            <w:r>
              <w:rPr>
                <w:rFonts w:ascii="Times New Roman" w:hAnsi="Times New Roman"/>
                <w:spacing w:val="6"/>
              </w:rPr>
              <w:t>81,4</w:t>
            </w:r>
          </w:p>
        </w:tc>
        <w:tc>
          <w:tcPr>
            <w:tcW w:w="1441"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104,7</w:t>
            </w:r>
          </w:p>
        </w:tc>
        <w:tc>
          <w:tcPr>
            <w:tcW w:w="1441"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109,1</w:t>
            </w:r>
          </w:p>
        </w:tc>
      </w:tr>
      <w:tr w:rsidR="004B6A68" w:rsidTr="004B6A68">
        <w:trPr>
          <w:trHeight w:val="543"/>
        </w:trPr>
        <w:tc>
          <w:tcPr>
            <w:tcW w:w="2127" w:type="dxa"/>
            <w:tcBorders>
              <w:top w:val="single" w:sz="4" w:space="0" w:color="auto"/>
              <w:left w:val="single" w:sz="4" w:space="0" w:color="auto"/>
              <w:bottom w:val="single" w:sz="4" w:space="0" w:color="auto"/>
              <w:right w:val="single" w:sz="4" w:space="0" w:color="auto"/>
            </w:tcBorders>
            <w:hideMark/>
          </w:tcPr>
          <w:p w:rsidR="004B6A68" w:rsidRDefault="004B6A68" w:rsidP="004B6A68">
            <w:pPr>
              <w:spacing w:after="0" w:line="240" w:lineRule="auto"/>
              <w:rPr>
                <w:rFonts w:ascii="Times New Roman" w:hAnsi="Times New Roman"/>
                <w:spacing w:val="6"/>
              </w:rPr>
            </w:pPr>
            <w:r>
              <w:rPr>
                <w:rFonts w:ascii="Times New Roman" w:hAnsi="Times New Roman"/>
                <w:spacing w:val="6"/>
              </w:rPr>
              <w:t>Рыбницкий район</w:t>
            </w:r>
          </w:p>
          <w:p w:rsidR="004B6A68" w:rsidRDefault="004B6A68" w:rsidP="004B6A68">
            <w:pPr>
              <w:spacing w:after="0" w:line="240" w:lineRule="auto"/>
              <w:rPr>
                <w:rFonts w:ascii="Times New Roman" w:hAnsi="Times New Roman"/>
                <w:spacing w:val="6"/>
              </w:rPr>
            </w:pPr>
            <w:r>
              <w:rPr>
                <w:rFonts w:ascii="Times New Roman" w:hAnsi="Times New Roman"/>
                <w:spacing w:val="6"/>
              </w:rPr>
              <w:t xml:space="preserve">и  г. Рыбница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tabs>
                <w:tab w:val="left" w:pos="-89"/>
                <w:tab w:val="left" w:pos="33"/>
                <w:tab w:val="left" w:pos="175"/>
              </w:tabs>
              <w:spacing w:after="0" w:line="240" w:lineRule="auto"/>
              <w:ind w:left="-230" w:firstLine="122"/>
              <w:jc w:val="right"/>
              <w:rPr>
                <w:rFonts w:ascii="Times New Roman" w:hAnsi="Times New Roman"/>
                <w:spacing w:val="6"/>
              </w:rPr>
            </w:pPr>
            <w:r>
              <w:rPr>
                <w:rFonts w:ascii="Times New Roman" w:hAnsi="Times New Roman"/>
                <w:spacing w:val="6"/>
              </w:rPr>
              <w:t>в 7,2 р.</w:t>
            </w:r>
          </w:p>
        </w:tc>
        <w:tc>
          <w:tcPr>
            <w:tcW w:w="900"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tabs>
                <w:tab w:val="left" w:pos="-108"/>
                <w:tab w:val="left" w:pos="0"/>
              </w:tabs>
              <w:spacing w:after="0" w:line="240" w:lineRule="auto"/>
              <w:ind w:left="-250"/>
              <w:jc w:val="right"/>
              <w:rPr>
                <w:rFonts w:ascii="Times New Roman" w:hAnsi="Times New Roman"/>
                <w:spacing w:val="6"/>
              </w:rPr>
            </w:pPr>
            <w:r>
              <w:rPr>
                <w:rFonts w:ascii="Times New Roman" w:hAnsi="Times New Roman"/>
                <w:spacing w:val="6"/>
              </w:rPr>
              <w:t>в 8,0 р.</w:t>
            </w:r>
          </w:p>
        </w:tc>
        <w:tc>
          <w:tcPr>
            <w:tcW w:w="1368"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107,8</w:t>
            </w:r>
          </w:p>
        </w:tc>
        <w:tc>
          <w:tcPr>
            <w:tcW w:w="929"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ind w:left="-80" w:right="-24"/>
              <w:jc w:val="right"/>
              <w:rPr>
                <w:rFonts w:ascii="Times New Roman" w:hAnsi="Times New Roman"/>
                <w:spacing w:val="6"/>
              </w:rPr>
            </w:pPr>
            <w:r>
              <w:rPr>
                <w:rFonts w:ascii="Times New Roman" w:hAnsi="Times New Roman"/>
                <w:spacing w:val="6"/>
              </w:rPr>
              <w:t>49,1</w:t>
            </w:r>
          </w:p>
        </w:tc>
        <w:tc>
          <w:tcPr>
            <w:tcW w:w="1441"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89,2</w:t>
            </w:r>
          </w:p>
        </w:tc>
        <w:tc>
          <w:tcPr>
            <w:tcW w:w="1441"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112,2</w:t>
            </w:r>
          </w:p>
        </w:tc>
      </w:tr>
      <w:tr w:rsidR="004B6A68" w:rsidTr="004B6A68">
        <w:trPr>
          <w:trHeight w:val="481"/>
        </w:trPr>
        <w:tc>
          <w:tcPr>
            <w:tcW w:w="2127" w:type="dxa"/>
            <w:tcBorders>
              <w:top w:val="single" w:sz="4" w:space="0" w:color="auto"/>
              <w:left w:val="single" w:sz="4" w:space="0" w:color="auto"/>
              <w:bottom w:val="single" w:sz="4" w:space="0" w:color="auto"/>
              <w:right w:val="single" w:sz="4" w:space="0" w:color="auto"/>
            </w:tcBorders>
            <w:hideMark/>
          </w:tcPr>
          <w:p w:rsidR="004B6A68" w:rsidRDefault="004B6A68" w:rsidP="004B6A68">
            <w:pPr>
              <w:spacing w:after="0" w:line="240" w:lineRule="auto"/>
              <w:ind w:left="-42" w:right="-90"/>
              <w:rPr>
                <w:rFonts w:ascii="Times New Roman" w:hAnsi="Times New Roman"/>
                <w:spacing w:val="6"/>
              </w:rPr>
            </w:pPr>
            <w:r>
              <w:rPr>
                <w:rFonts w:ascii="Times New Roman" w:hAnsi="Times New Roman"/>
                <w:spacing w:val="6"/>
              </w:rPr>
              <w:t>Дубоссарский район</w:t>
            </w:r>
          </w:p>
          <w:p w:rsidR="004B6A68" w:rsidRDefault="004B6A68" w:rsidP="004B6A68">
            <w:pPr>
              <w:spacing w:after="0" w:line="240" w:lineRule="auto"/>
              <w:ind w:left="-42" w:right="-90"/>
              <w:rPr>
                <w:rFonts w:ascii="Times New Roman" w:hAnsi="Times New Roman"/>
                <w:spacing w:val="6"/>
              </w:rPr>
            </w:pPr>
            <w:r>
              <w:rPr>
                <w:rFonts w:ascii="Times New Roman" w:hAnsi="Times New Roman"/>
                <w:spacing w:val="6"/>
              </w:rPr>
              <w:t>и г. Дубоссары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130,3</w:t>
            </w:r>
          </w:p>
        </w:tc>
        <w:tc>
          <w:tcPr>
            <w:tcW w:w="900"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96,9</w:t>
            </w:r>
          </w:p>
        </w:tc>
        <w:tc>
          <w:tcPr>
            <w:tcW w:w="1368"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158,0</w:t>
            </w:r>
          </w:p>
        </w:tc>
        <w:tc>
          <w:tcPr>
            <w:tcW w:w="929"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ind w:left="-68" w:right="-3"/>
              <w:jc w:val="right"/>
              <w:rPr>
                <w:rFonts w:ascii="Times New Roman" w:hAnsi="Times New Roman"/>
                <w:spacing w:val="6"/>
              </w:rPr>
            </w:pPr>
            <w:r>
              <w:rPr>
                <w:rFonts w:ascii="Times New Roman" w:hAnsi="Times New Roman"/>
                <w:spacing w:val="6"/>
              </w:rPr>
              <w:t>115,5</w:t>
            </w:r>
          </w:p>
        </w:tc>
        <w:tc>
          <w:tcPr>
            <w:tcW w:w="1441"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126,6</w:t>
            </w:r>
          </w:p>
        </w:tc>
        <w:tc>
          <w:tcPr>
            <w:tcW w:w="1441"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110,4</w:t>
            </w:r>
          </w:p>
        </w:tc>
      </w:tr>
      <w:tr w:rsidR="004B6A68" w:rsidTr="004B6A68">
        <w:trPr>
          <w:trHeight w:val="762"/>
        </w:trPr>
        <w:tc>
          <w:tcPr>
            <w:tcW w:w="2127" w:type="dxa"/>
            <w:tcBorders>
              <w:top w:val="single" w:sz="4" w:space="0" w:color="auto"/>
              <w:left w:val="single" w:sz="4" w:space="0" w:color="auto"/>
              <w:bottom w:val="single" w:sz="4" w:space="0" w:color="auto"/>
              <w:right w:val="single" w:sz="4" w:space="0" w:color="auto"/>
            </w:tcBorders>
            <w:hideMark/>
          </w:tcPr>
          <w:p w:rsidR="004B6A68" w:rsidRDefault="004B6A68" w:rsidP="004B6A68">
            <w:pPr>
              <w:spacing w:after="0" w:line="240" w:lineRule="auto"/>
              <w:rPr>
                <w:rFonts w:ascii="Times New Roman" w:hAnsi="Times New Roman"/>
                <w:spacing w:val="6"/>
              </w:rPr>
            </w:pPr>
            <w:r>
              <w:rPr>
                <w:rFonts w:ascii="Times New Roman" w:hAnsi="Times New Roman"/>
                <w:spacing w:val="6"/>
              </w:rPr>
              <w:t>Слободзейский район</w:t>
            </w:r>
          </w:p>
          <w:p w:rsidR="004B6A68" w:rsidRDefault="004B6A68" w:rsidP="004B6A68">
            <w:pPr>
              <w:spacing w:after="0" w:line="240" w:lineRule="auto"/>
              <w:rPr>
                <w:rFonts w:ascii="Times New Roman" w:hAnsi="Times New Roman"/>
                <w:spacing w:val="6"/>
              </w:rPr>
            </w:pPr>
            <w:r>
              <w:rPr>
                <w:rFonts w:ascii="Times New Roman" w:hAnsi="Times New Roman"/>
                <w:spacing w:val="6"/>
              </w:rPr>
              <w:t xml:space="preserve">и г. Слободзея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99,4</w:t>
            </w:r>
          </w:p>
        </w:tc>
        <w:tc>
          <w:tcPr>
            <w:tcW w:w="900"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96,5</w:t>
            </w:r>
          </w:p>
        </w:tc>
        <w:tc>
          <w:tcPr>
            <w:tcW w:w="1368"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61,7</w:t>
            </w:r>
          </w:p>
        </w:tc>
        <w:tc>
          <w:tcPr>
            <w:tcW w:w="929"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ind w:left="-75"/>
              <w:jc w:val="right"/>
              <w:rPr>
                <w:rFonts w:ascii="Times New Roman" w:hAnsi="Times New Roman"/>
                <w:spacing w:val="6"/>
              </w:rPr>
            </w:pPr>
            <w:r>
              <w:rPr>
                <w:rFonts w:ascii="Times New Roman" w:hAnsi="Times New Roman"/>
                <w:spacing w:val="6"/>
              </w:rPr>
              <w:t>95,6</w:t>
            </w:r>
          </w:p>
        </w:tc>
        <w:tc>
          <w:tcPr>
            <w:tcW w:w="1441"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94,7</w:t>
            </w:r>
          </w:p>
        </w:tc>
        <w:tc>
          <w:tcPr>
            <w:tcW w:w="1441"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113,7</w:t>
            </w:r>
          </w:p>
        </w:tc>
      </w:tr>
      <w:tr w:rsidR="004B6A68" w:rsidTr="004B6A68">
        <w:trPr>
          <w:trHeight w:val="169"/>
        </w:trPr>
        <w:tc>
          <w:tcPr>
            <w:tcW w:w="2127" w:type="dxa"/>
            <w:tcBorders>
              <w:top w:val="single" w:sz="4" w:space="0" w:color="auto"/>
              <w:left w:val="single" w:sz="4" w:space="0" w:color="auto"/>
              <w:bottom w:val="single" w:sz="4" w:space="0" w:color="auto"/>
              <w:right w:val="single" w:sz="4" w:space="0" w:color="auto"/>
            </w:tcBorders>
            <w:hideMark/>
          </w:tcPr>
          <w:p w:rsidR="004B6A68" w:rsidRDefault="004B6A68" w:rsidP="004B6A68">
            <w:pPr>
              <w:spacing w:after="0" w:line="240" w:lineRule="auto"/>
              <w:rPr>
                <w:rFonts w:ascii="Times New Roman" w:hAnsi="Times New Roman"/>
                <w:spacing w:val="6"/>
              </w:rPr>
            </w:pPr>
            <w:r>
              <w:rPr>
                <w:rFonts w:ascii="Times New Roman" w:hAnsi="Times New Roman"/>
                <w:spacing w:val="6"/>
              </w:rPr>
              <w:t>Григориопольский район</w:t>
            </w:r>
          </w:p>
          <w:p w:rsidR="004B6A68" w:rsidRDefault="004B6A68" w:rsidP="004B6A68">
            <w:pPr>
              <w:spacing w:after="0" w:line="240" w:lineRule="auto"/>
              <w:rPr>
                <w:rFonts w:ascii="Times New Roman" w:hAnsi="Times New Roman"/>
                <w:spacing w:val="6"/>
              </w:rPr>
            </w:pPr>
            <w:r>
              <w:rPr>
                <w:rFonts w:ascii="Times New Roman" w:hAnsi="Times New Roman"/>
                <w:spacing w:val="6"/>
              </w:rPr>
              <w:t xml:space="preserve">и г. Григориополь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96,6</w:t>
            </w:r>
          </w:p>
        </w:tc>
        <w:tc>
          <w:tcPr>
            <w:tcW w:w="900"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92,1</w:t>
            </w:r>
          </w:p>
        </w:tc>
        <w:tc>
          <w:tcPr>
            <w:tcW w:w="1368"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ind w:left="-108"/>
              <w:jc w:val="right"/>
              <w:rPr>
                <w:rFonts w:ascii="Times New Roman" w:hAnsi="Times New Roman"/>
                <w:spacing w:val="6"/>
              </w:rPr>
            </w:pPr>
            <w:r>
              <w:rPr>
                <w:rFonts w:ascii="Times New Roman" w:hAnsi="Times New Roman"/>
                <w:spacing w:val="6"/>
              </w:rPr>
              <w:t>в 3,7 р.</w:t>
            </w:r>
          </w:p>
        </w:tc>
        <w:tc>
          <w:tcPr>
            <w:tcW w:w="929"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в 3,8 р.</w:t>
            </w:r>
          </w:p>
        </w:tc>
        <w:tc>
          <w:tcPr>
            <w:tcW w:w="1441"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104,2</w:t>
            </w:r>
          </w:p>
        </w:tc>
        <w:tc>
          <w:tcPr>
            <w:tcW w:w="1441"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109,6</w:t>
            </w:r>
          </w:p>
        </w:tc>
      </w:tr>
      <w:tr w:rsidR="004B6A68" w:rsidTr="004B6A68">
        <w:trPr>
          <w:trHeight w:val="263"/>
        </w:trPr>
        <w:tc>
          <w:tcPr>
            <w:tcW w:w="2127" w:type="dxa"/>
            <w:tcBorders>
              <w:top w:val="single" w:sz="4" w:space="0" w:color="auto"/>
              <w:left w:val="single" w:sz="4" w:space="0" w:color="auto"/>
              <w:bottom w:val="single" w:sz="4" w:space="0" w:color="auto"/>
              <w:right w:val="single" w:sz="4" w:space="0" w:color="auto"/>
            </w:tcBorders>
            <w:hideMark/>
          </w:tcPr>
          <w:p w:rsidR="004B6A68" w:rsidRDefault="004B6A68" w:rsidP="004B6A68">
            <w:pPr>
              <w:spacing w:after="0" w:line="240" w:lineRule="auto"/>
              <w:rPr>
                <w:rFonts w:ascii="Times New Roman" w:hAnsi="Times New Roman"/>
                <w:spacing w:val="6"/>
              </w:rPr>
            </w:pPr>
            <w:r>
              <w:rPr>
                <w:rFonts w:ascii="Times New Roman" w:hAnsi="Times New Roman"/>
                <w:spacing w:val="6"/>
              </w:rPr>
              <w:t>Каменский район</w:t>
            </w:r>
          </w:p>
          <w:p w:rsidR="004B6A68" w:rsidRDefault="004B6A68" w:rsidP="004B6A68">
            <w:pPr>
              <w:spacing w:after="0" w:line="240" w:lineRule="auto"/>
              <w:rPr>
                <w:rFonts w:ascii="Times New Roman" w:hAnsi="Times New Roman"/>
                <w:spacing w:val="6"/>
              </w:rPr>
            </w:pPr>
            <w:r>
              <w:rPr>
                <w:rFonts w:ascii="Times New Roman" w:hAnsi="Times New Roman"/>
                <w:spacing w:val="6"/>
              </w:rPr>
              <w:t>и г. Каменка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102,9</w:t>
            </w:r>
          </w:p>
        </w:tc>
        <w:tc>
          <w:tcPr>
            <w:tcW w:w="900"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tabs>
                <w:tab w:val="left" w:pos="-229"/>
              </w:tabs>
              <w:spacing w:after="0" w:line="240" w:lineRule="auto"/>
              <w:ind w:left="-229" w:right="-288" w:hanging="9"/>
              <w:jc w:val="center"/>
              <w:rPr>
                <w:rFonts w:ascii="Times New Roman" w:hAnsi="Times New Roman"/>
                <w:spacing w:val="6"/>
              </w:rPr>
            </w:pPr>
            <w:r>
              <w:rPr>
                <w:rFonts w:ascii="Times New Roman" w:hAnsi="Times New Roman"/>
                <w:spacing w:val="6"/>
              </w:rPr>
              <w:t>128,6</w:t>
            </w:r>
          </w:p>
        </w:tc>
        <w:tc>
          <w:tcPr>
            <w:tcW w:w="1368"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92,0</w:t>
            </w:r>
          </w:p>
        </w:tc>
        <w:tc>
          <w:tcPr>
            <w:tcW w:w="929"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ind w:left="-26" w:right="-53"/>
              <w:jc w:val="right"/>
              <w:rPr>
                <w:rFonts w:ascii="Times New Roman" w:hAnsi="Times New Roman"/>
                <w:spacing w:val="6"/>
              </w:rPr>
            </w:pPr>
            <w:r>
              <w:rPr>
                <w:rFonts w:ascii="Times New Roman" w:hAnsi="Times New Roman"/>
                <w:spacing w:val="6"/>
              </w:rPr>
              <w:t>12,4</w:t>
            </w:r>
          </w:p>
        </w:tc>
        <w:tc>
          <w:tcPr>
            <w:tcW w:w="1441"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165,2</w:t>
            </w:r>
          </w:p>
        </w:tc>
        <w:tc>
          <w:tcPr>
            <w:tcW w:w="1441" w:type="dxa"/>
            <w:tcBorders>
              <w:top w:val="single" w:sz="4" w:space="0" w:color="auto"/>
              <w:left w:val="single" w:sz="4" w:space="0" w:color="auto"/>
              <w:bottom w:val="single" w:sz="4" w:space="0" w:color="auto"/>
              <w:right w:val="single" w:sz="4" w:space="0" w:color="auto"/>
            </w:tcBorders>
            <w:vAlign w:val="center"/>
            <w:hideMark/>
          </w:tcPr>
          <w:p w:rsidR="004B6A68" w:rsidRDefault="004B6A68" w:rsidP="004B6A68">
            <w:pPr>
              <w:spacing w:after="0" w:line="240" w:lineRule="auto"/>
              <w:jc w:val="right"/>
              <w:rPr>
                <w:rFonts w:ascii="Times New Roman" w:hAnsi="Times New Roman"/>
                <w:spacing w:val="6"/>
              </w:rPr>
            </w:pPr>
            <w:r>
              <w:rPr>
                <w:rFonts w:ascii="Times New Roman" w:hAnsi="Times New Roman"/>
                <w:spacing w:val="6"/>
              </w:rPr>
              <w:t>98,2</w:t>
            </w:r>
          </w:p>
        </w:tc>
      </w:tr>
    </w:tbl>
    <w:p w:rsidR="004B6A68" w:rsidRDefault="004B6A68" w:rsidP="004B6A68">
      <w:pPr>
        <w:spacing w:after="0" w:line="240" w:lineRule="auto"/>
        <w:ind w:firstLine="709"/>
        <w:jc w:val="both"/>
        <w:rPr>
          <w:rFonts w:ascii="Times New Roman" w:hAnsi="Times New Roman"/>
          <w:sz w:val="24"/>
          <w:szCs w:val="24"/>
        </w:rPr>
      </w:pPr>
    </w:p>
    <w:p w:rsidR="004B6A68" w:rsidRDefault="004B6A68" w:rsidP="004B6A68">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 городу Днестровск объём промышленного производства возрос в текущих ценах на 40,3% к базисному показателю 2013 года. Данный прирост промышленного выпуска был обеспечен крупнейшим предприятием республики </w:t>
      </w:r>
      <w:r w:rsidRPr="00B653AD">
        <w:rPr>
          <w:rFonts w:ascii="Times New Roman" w:hAnsi="Times New Roman"/>
          <w:sz w:val="24"/>
          <w:szCs w:val="24"/>
        </w:rPr>
        <w:t>ЗАО «Молдавская ГРЭС»</w:t>
      </w:r>
      <w:r w:rsidR="002B1386">
        <w:rPr>
          <w:rFonts w:ascii="Times New Roman" w:hAnsi="Times New Roman"/>
          <w:sz w:val="24"/>
          <w:szCs w:val="24"/>
        </w:rPr>
        <w:t xml:space="preserve"> («+»</w:t>
      </w:r>
      <w:r>
        <w:rPr>
          <w:rFonts w:ascii="Times New Roman" w:hAnsi="Times New Roman"/>
          <w:sz w:val="24"/>
          <w:szCs w:val="24"/>
        </w:rPr>
        <w:t xml:space="preserve"> 40,3%), что </w:t>
      </w:r>
      <w:r w:rsidRPr="00B653AD">
        <w:rPr>
          <w:rFonts w:ascii="Times New Roman" w:hAnsi="Times New Roman"/>
          <w:sz w:val="24"/>
          <w:szCs w:val="24"/>
        </w:rPr>
        <w:t>явилось результатом восстановления экспорт</w:t>
      </w:r>
      <w:r w:rsidR="002B1386">
        <w:rPr>
          <w:rFonts w:ascii="Times New Roman" w:hAnsi="Times New Roman"/>
          <w:sz w:val="24"/>
          <w:szCs w:val="24"/>
        </w:rPr>
        <w:t xml:space="preserve">ных поставок электроэнергии в </w:t>
      </w:r>
      <w:r w:rsidRPr="00B653AD">
        <w:rPr>
          <w:rFonts w:ascii="Times New Roman" w:hAnsi="Times New Roman"/>
          <w:sz w:val="24"/>
          <w:szCs w:val="24"/>
        </w:rPr>
        <w:t>Р</w:t>
      </w:r>
      <w:r>
        <w:rPr>
          <w:rFonts w:ascii="Times New Roman" w:hAnsi="Times New Roman"/>
          <w:sz w:val="24"/>
          <w:szCs w:val="24"/>
        </w:rPr>
        <w:t>еспублику Молдова.</w:t>
      </w:r>
    </w:p>
    <w:p w:rsidR="004B6A68" w:rsidRDefault="004B6A68" w:rsidP="004B6A68">
      <w:pPr>
        <w:spacing w:after="0" w:line="240" w:lineRule="auto"/>
        <w:ind w:firstLine="709"/>
        <w:jc w:val="both"/>
        <w:rPr>
          <w:rFonts w:ascii="Times New Roman" w:hAnsi="Times New Roman"/>
          <w:sz w:val="24"/>
          <w:szCs w:val="24"/>
        </w:rPr>
      </w:pPr>
      <w:r>
        <w:rPr>
          <w:rFonts w:ascii="Times New Roman" w:hAnsi="Times New Roman"/>
          <w:sz w:val="24"/>
          <w:szCs w:val="24"/>
        </w:rPr>
        <w:t>Немалый вклад в совокупный объем промышленного производства принадлежит предприятиям города Бендеры (до 11,5% совокупного выпуска), при этом в январе-июне 2014 года объем промышленной продукции в текущих ценах снижен на 6,6% и в сопоставимых ценах на 5,5% к аналогичному показателю 2013 года. Падение объёмов производства зафиксировано на таких предприятиях, как ЗАО Швейная фирма «Вестра» - на 15,9%, ОАО «Флоаре» - на 25,1%, ЗАО «Бендерская текстильно-ткацкая фабрика»- на 20,9%, ООО «Планеттекс» - на 35,4%, ООО «Теллус А» - на 16,2%.</w:t>
      </w:r>
    </w:p>
    <w:p w:rsidR="004B6A68" w:rsidRDefault="004B6A68" w:rsidP="004B6A68">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целом промышленные предприятия </w:t>
      </w:r>
      <w:r>
        <w:rPr>
          <w:rFonts w:ascii="Times New Roman" w:hAnsi="Times New Roman"/>
          <w:spacing w:val="6"/>
          <w:sz w:val="24"/>
          <w:szCs w:val="24"/>
        </w:rPr>
        <w:t>Слободзейского района</w:t>
      </w:r>
      <w:r>
        <w:rPr>
          <w:rFonts w:ascii="Times New Roman" w:hAnsi="Times New Roman"/>
          <w:sz w:val="24"/>
          <w:szCs w:val="24"/>
        </w:rPr>
        <w:t xml:space="preserve"> и города Слободзея демонстрировали в </w:t>
      </w:r>
      <w:r>
        <w:rPr>
          <w:rFonts w:ascii="Times New Roman" w:hAnsi="Times New Roman"/>
          <w:sz w:val="24"/>
          <w:szCs w:val="24"/>
          <w:lang w:val="en-US"/>
        </w:rPr>
        <w:t>I</w:t>
      </w:r>
      <w:r w:rsidRPr="00971C02">
        <w:rPr>
          <w:rFonts w:ascii="Times New Roman" w:hAnsi="Times New Roman"/>
          <w:sz w:val="24"/>
          <w:szCs w:val="24"/>
        </w:rPr>
        <w:t xml:space="preserve"> </w:t>
      </w:r>
      <w:r>
        <w:rPr>
          <w:rFonts w:ascii="Times New Roman" w:hAnsi="Times New Roman"/>
          <w:sz w:val="24"/>
          <w:szCs w:val="24"/>
        </w:rPr>
        <w:t>полугодии 2014 года спад производства промышленной продукции к базисному уровню 2013 года в текущих и сопоставимых ценах соответственно на 0,6% и на 3,5%, при этом значительный прирост производства отмечается на ООО «Мебельная фабрика «Евростиль», увеличив выпуск продукции в текущих ценах на 49,9% по сравнению с аналогичным показателем 2013 года и МГУП «Тирастеплоэнерго»  Слободзейский участок, увеличивший выработку теплоэнергии в текущих ценах на 16,6% за счет ввода в эксплуатацию дополнительных мощностей.</w:t>
      </w:r>
    </w:p>
    <w:p w:rsidR="004B6A68" w:rsidRDefault="004B6A68" w:rsidP="004B6A68">
      <w:pPr>
        <w:spacing w:after="0" w:line="240" w:lineRule="auto"/>
        <w:ind w:firstLine="720"/>
        <w:jc w:val="center"/>
        <w:rPr>
          <w:rFonts w:ascii="Times New Roman" w:hAnsi="Times New Roman"/>
          <w:b/>
          <w:sz w:val="24"/>
          <w:szCs w:val="24"/>
        </w:rPr>
      </w:pPr>
    </w:p>
    <w:p w:rsidR="00090E11" w:rsidRDefault="00090E11" w:rsidP="004B6A68">
      <w:pPr>
        <w:spacing w:after="0" w:line="240" w:lineRule="auto"/>
        <w:ind w:firstLine="720"/>
        <w:jc w:val="center"/>
        <w:rPr>
          <w:rFonts w:ascii="Times New Roman" w:hAnsi="Times New Roman"/>
          <w:b/>
          <w:sz w:val="24"/>
          <w:szCs w:val="24"/>
        </w:rPr>
      </w:pPr>
    </w:p>
    <w:p w:rsidR="00090E11" w:rsidRDefault="00090E11" w:rsidP="004B6A68">
      <w:pPr>
        <w:spacing w:after="0" w:line="240" w:lineRule="auto"/>
        <w:ind w:firstLine="720"/>
        <w:jc w:val="center"/>
        <w:rPr>
          <w:rFonts w:ascii="Times New Roman" w:hAnsi="Times New Roman"/>
          <w:b/>
          <w:sz w:val="24"/>
          <w:szCs w:val="24"/>
        </w:rPr>
      </w:pPr>
    </w:p>
    <w:p w:rsidR="00090E11" w:rsidRDefault="00090E11" w:rsidP="004B6A68">
      <w:pPr>
        <w:spacing w:after="0" w:line="240" w:lineRule="auto"/>
        <w:ind w:firstLine="720"/>
        <w:jc w:val="center"/>
        <w:rPr>
          <w:rFonts w:ascii="Times New Roman" w:hAnsi="Times New Roman"/>
          <w:b/>
          <w:sz w:val="24"/>
          <w:szCs w:val="24"/>
        </w:rPr>
      </w:pPr>
    </w:p>
    <w:p w:rsidR="00090E11" w:rsidRDefault="00090E11" w:rsidP="004B6A68">
      <w:pPr>
        <w:spacing w:after="0" w:line="240" w:lineRule="auto"/>
        <w:ind w:firstLine="720"/>
        <w:jc w:val="center"/>
        <w:rPr>
          <w:rFonts w:ascii="Times New Roman" w:hAnsi="Times New Roman"/>
          <w:b/>
          <w:sz w:val="24"/>
          <w:szCs w:val="24"/>
        </w:rPr>
      </w:pPr>
    </w:p>
    <w:p w:rsidR="00090E11" w:rsidRDefault="00090E11" w:rsidP="004B6A68">
      <w:pPr>
        <w:spacing w:after="0" w:line="240" w:lineRule="auto"/>
        <w:ind w:firstLine="720"/>
        <w:jc w:val="center"/>
        <w:rPr>
          <w:rFonts w:ascii="Times New Roman" w:hAnsi="Times New Roman"/>
          <w:b/>
          <w:sz w:val="24"/>
          <w:szCs w:val="24"/>
        </w:rPr>
      </w:pPr>
    </w:p>
    <w:p w:rsidR="004B6A68" w:rsidRDefault="004B6A68" w:rsidP="00CD0E98">
      <w:pPr>
        <w:spacing w:after="0" w:line="240" w:lineRule="auto"/>
        <w:ind w:firstLine="720"/>
        <w:jc w:val="center"/>
        <w:rPr>
          <w:rFonts w:ascii="Times New Roman" w:hAnsi="Times New Roman"/>
          <w:b/>
          <w:sz w:val="24"/>
          <w:szCs w:val="24"/>
        </w:rPr>
      </w:pPr>
      <w:r>
        <w:rPr>
          <w:rFonts w:ascii="Times New Roman" w:hAnsi="Times New Roman"/>
          <w:b/>
          <w:sz w:val="24"/>
          <w:szCs w:val="24"/>
        </w:rPr>
        <w:lastRenderedPageBreak/>
        <w:t>Доля городов и районов ПМР</w:t>
      </w:r>
    </w:p>
    <w:p w:rsidR="00BC3AF7" w:rsidRDefault="00BC3AF7" w:rsidP="00BC3AF7">
      <w:pPr>
        <w:spacing w:after="0" w:line="240" w:lineRule="auto"/>
        <w:ind w:firstLine="720"/>
        <w:jc w:val="center"/>
        <w:rPr>
          <w:rFonts w:ascii="Times New Roman" w:hAnsi="Times New Roman"/>
          <w:sz w:val="24"/>
          <w:szCs w:val="24"/>
        </w:rPr>
      </w:pPr>
      <w:r>
        <w:rPr>
          <w:rFonts w:ascii="Times New Roman" w:hAnsi="Times New Roman"/>
          <w:b/>
          <w:noProof/>
          <w:sz w:val="24"/>
          <w:szCs w:val="24"/>
        </w:rPr>
        <w:drawing>
          <wp:anchor distT="36576" distB="1137666" distL="327660" distR="510159" simplePos="0" relativeHeight="251680768" behindDoc="0" locked="0" layoutInCell="1" allowOverlap="1">
            <wp:simplePos x="0" y="0"/>
            <wp:positionH relativeFrom="column">
              <wp:posOffset>2910840</wp:posOffset>
            </wp:positionH>
            <wp:positionV relativeFrom="paragraph">
              <wp:posOffset>342900</wp:posOffset>
            </wp:positionV>
            <wp:extent cx="3295650" cy="2038350"/>
            <wp:effectExtent l="0" t="0" r="0" b="0"/>
            <wp:wrapNone/>
            <wp:docPr id="15" name="Объект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r w:rsidR="004B6A68">
        <w:rPr>
          <w:rFonts w:ascii="Times New Roman" w:hAnsi="Times New Roman"/>
          <w:b/>
          <w:noProof/>
          <w:sz w:val="24"/>
          <w:szCs w:val="24"/>
        </w:rPr>
        <w:drawing>
          <wp:anchor distT="91440" distB="735711" distL="254508" distR="312674" simplePos="0" relativeHeight="251679744" behindDoc="0" locked="0" layoutInCell="0" allowOverlap="0">
            <wp:simplePos x="0" y="0"/>
            <wp:positionH relativeFrom="column">
              <wp:posOffset>-203835</wp:posOffset>
            </wp:positionH>
            <wp:positionV relativeFrom="paragraph">
              <wp:posOffset>314325</wp:posOffset>
            </wp:positionV>
            <wp:extent cx="3038475" cy="2066925"/>
            <wp:effectExtent l="0" t="0" r="0" b="0"/>
            <wp:wrapNone/>
            <wp:docPr id="16"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r w:rsidR="004B6A68">
        <w:rPr>
          <w:rFonts w:ascii="Times New Roman" w:hAnsi="Times New Roman"/>
          <w:b/>
          <w:sz w:val="24"/>
          <w:szCs w:val="24"/>
        </w:rPr>
        <w:t xml:space="preserve">в объеме промышленного производства </w:t>
      </w:r>
      <w:r w:rsidR="004B6A68" w:rsidRPr="002E5D1E">
        <w:rPr>
          <w:rFonts w:ascii="Times New Roman" w:hAnsi="Times New Roman"/>
          <w:sz w:val="24"/>
          <w:szCs w:val="24"/>
        </w:rPr>
        <w:t>(%, в текущих ценах)</w:t>
      </w:r>
    </w:p>
    <w:p w:rsidR="00BC3AF7" w:rsidRDefault="00BC3AF7" w:rsidP="00BC3AF7">
      <w:pPr>
        <w:spacing w:after="0" w:line="240" w:lineRule="auto"/>
        <w:ind w:firstLine="720"/>
        <w:jc w:val="both"/>
        <w:rPr>
          <w:rFonts w:ascii="Times New Roman" w:hAnsi="Times New Roman"/>
          <w:sz w:val="24"/>
          <w:szCs w:val="24"/>
        </w:rPr>
      </w:pPr>
    </w:p>
    <w:p w:rsidR="00BC3AF7" w:rsidRDefault="00BC3AF7" w:rsidP="00BC3AF7">
      <w:pPr>
        <w:spacing w:after="0" w:line="240" w:lineRule="auto"/>
        <w:ind w:firstLine="720"/>
        <w:jc w:val="both"/>
        <w:rPr>
          <w:rFonts w:ascii="Times New Roman" w:hAnsi="Times New Roman"/>
          <w:sz w:val="24"/>
          <w:szCs w:val="24"/>
        </w:rPr>
      </w:pPr>
    </w:p>
    <w:p w:rsidR="00BC3AF7" w:rsidRDefault="00BC3AF7" w:rsidP="00BC3AF7">
      <w:pPr>
        <w:spacing w:after="0" w:line="240" w:lineRule="auto"/>
        <w:ind w:firstLine="720"/>
        <w:jc w:val="both"/>
        <w:rPr>
          <w:rFonts w:ascii="Times New Roman" w:hAnsi="Times New Roman"/>
          <w:sz w:val="24"/>
          <w:szCs w:val="24"/>
        </w:rPr>
      </w:pPr>
    </w:p>
    <w:p w:rsidR="00BC3AF7" w:rsidRDefault="00BC3AF7" w:rsidP="00BC3AF7">
      <w:pPr>
        <w:spacing w:after="0" w:line="240" w:lineRule="auto"/>
        <w:ind w:firstLine="720"/>
        <w:jc w:val="both"/>
        <w:rPr>
          <w:rFonts w:ascii="Times New Roman" w:hAnsi="Times New Roman"/>
          <w:sz w:val="24"/>
          <w:szCs w:val="24"/>
        </w:rPr>
      </w:pPr>
    </w:p>
    <w:p w:rsidR="00BC3AF7" w:rsidRDefault="00BC3AF7" w:rsidP="00BC3AF7">
      <w:pPr>
        <w:spacing w:after="0" w:line="240" w:lineRule="auto"/>
        <w:ind w:firstLine="720"/>
        <w:jc w:val="both"/>
        <w:rPr>
          <w:rFonts w:ascii="Times New Roman" w:hAnsi="Times New Roman"/>
          <w:sz w:val="24"/>
          <w:szCs w:val="24"/>
        </w:rPr>
      </w:pPr>
    </w:p>
    <w:p w:rsidR="00BC3AF7" w:rsidRDefault="00BC3AF7" w:rsidP="00BC3AF7">
      <w:pPr>
        <w:spacing w:after="0" w:line="240" w:lineRule="auto"/>
        <w:ind w:firstLine="720"/>
        <w:jc w:val="both"/>
        <w:rPr>
          <w:rFonts w:ascii="Times New Roman" w:hAnsi="Times New Roman"/>
          <w:sz w:val="24"/>
          <w:szCs w:val="24"/>
        </w:rPr>
      </w:pPr>
    </w:p>
    <w:p w:rsidR="00BC3AF7" w:rsidRDefault="00BC3AF7" w:rsidP="00BC3AF7">
      <w:pPr>
        <w:spacing w:after="0" w:line="240" w:lineRule="auto"/>
        <w:ind w:firstLine="720"/>
        <w:jc w:val="both"/>
        <w:rPr>
          <w:rFonts w:ascii="Times New Roman" w:hAnsi="Times New Roman"/>
          <w:sz w:val="24"/>
          <w:szCs w:val="24"/>
        </w:rPr>
      </w:pPr>
    </w:p>
    <w:p w:rsidR="00BC3AF7" w:rsidRDefault="00BC3AF7" w:rsidP="00BC3AF7">
      <w:pPr>
        <w:spacing w:after="0" w:line="240" w:lineRule="auto"/>
        <w:ind w:firstLine="720"/>
        <w:jc w:val="both"/>
        <w:rPr>
          <w:rFonts w:ascii="Times New Roman" w:hAnsi="Times New Roman"/>
          <w:sz w:val="24"/>
          <w:szCs w:val="24"/>
        </w:rPr>
      </w:pPr>
    </w:p>
    <w:p w:rsidR="00BC3AF7" w:rsidRDefault="00BC3AF7" w:rsidP="00BC3AF7">
      <w:pPr>
        <w:spacing w:after="0" w:line="240" w:lineRule="auto"/>
        <w:ind w:firstLine="720"/>
        <w:jc w:val="both"/>
        <w:rPr>
          <w:rFonts w:ascii="Times New Roman" w:hAnsi="Times New Roman"/>
          <w:sz w:val="24"/>
          <w:szCs w:val="24"/>
        </w:rPr>
      </w:pPr>
    </w:p>
    <w:p w:rsidR="00BC3AF7" w:rsidRDefault="00BC3AF7" w:rsidP="00BC3AF7">
      <w:pPr>
        <w:spacing w:after="0" w:line="240" w:lineRule="auto"/>
        <w:ind w:firstLine="720"/>
        <w:jc w:val="both"/>
        <w:rPr>
          <w:rFonts w:ascii="Times New Roman" w:hAnsi="Times New Roman"/>
          <w:sz w:val="24"/>
          <w:szCs w:val="24"/>
        </w:rPr>
      </w:pPr>
    </w:p>
    <w:p w:rsidR="00BC3AF7" w:rsidRDefault="00BC3AF7" w:rsidP="00BC3AF7">
      <w:pPr>
        <w:spacing w:after="0" w:line="240" w:lineRule="auto"/>
        <w:ind w:firstLine="720"/>
        <w:jc w:val="both"/>
        <w:rPr>
          <w:rFonts w:ascii="Times New Roman" w:hAnsi="Times New Roman"/>
          <w:sz w:val="24"/>
          <w:szCs w:val="24"/>
        </w:rPr>
      </w:pPr>
    </w:p>
    <w:p w:rsidR="00BC3AF7" w:rsidRDefault="00BC3AF7" w:rsidP="00BC3AF7">
      <w:pPr>
        <w:spacing w:after="0" w:line="240" w:lineRule="auto"/>
        <w:ind w:firstLine="720"/>
        <w:jc w:val="both"/>
        <w:rPr>
          <w:rFonts w:ascii="Times New Roman" w:hAnsi="Times New Roman"/>
          <w:sz w:val="24"/>
          <w:szCs w:val="24"/>
        </w:rPr>
      </w:pPr>
    </w:p>
    <w:p w:rsidR="004B6A68" w:rsidRDefault="004B6A68" w:rsidP="00BC3AF7">
      <w:pPr>
        <w:spacing w:after="0" w:line="240" w:lineRule="auto"/>
        <w:ind w:firstLine="720"/>
        <w:jc w:val="both"/>
        <w:rPr>
          <w:rFonts w:ascii="Times New Roman" w:hAnsi="Times New Roman"/>
          <w:sz w:val="24"/>
          <w:szCs w:val="24"/>
        </w:rPr>
      </w:pPr>
      <w:r>
        <w:rPr>
          <w:rFonts w:ascii="Times New Roman" w:hAnsi="Times New Roman"/>
          <w:sz w:val="24"/>
          <w:szCs w:val="24"/>
        </w:rPr>
        <w:t>В Григориопольском районе и городе Григориополь объем промышленного производства снизился в текущих и в сопоставимых ценах соответственно на 3,4% и на 7,9%, что обусловлено уменьшением производства продукции на</w:t>
      </w:r>
      <w:r w:rsidR="00CD0E98">
        <w:rPr>
          <w:rFonts w:ascii="Times New Roman" w:hAnsi="Times New Roman"/>
          <w:sz w:val="24"/>
          <w:szCs w:val="24"/>
        </w:rPr>
        <w:t xml:space="preserve">                                          </w:t>
      </w:r>
      <w:r>
        <w:rPr>
          <w:rFonts w:ascii="Times New Roman" w:hAnsi="Times New Roman"/>
          <w:sz w:val="24"/>
          <w:szCs w:val="24"/>
        </w:rPr>
        <w:t xml:space="preserve"> ООО «Григориопольский комбинат хлебопродуктов» (на 30,1%) по причине недостаточности оборотных средств для приобретения сырья.</w:t>
      </w:r>
    </w:p>
    <w:p w:rsidR="004B6A68" w:rsidRDefault="004B6A68" w:rsidP="004B6A68">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Тенденция прироста производства промышленной продукции была характерна для индустриальных предприятий Дубоссарского района и города Дубоссары, в текущих ценах– на 30,3%. Данная динамика связана в большей степени с увеличением (в текущих и сопоставимых ценах) объёмов промышленного производства на Дубоссарском филиале </w:t>
      </w:r>
      <w:r>
        <w:rPr>
          <w:rFonts w:ascii="Times New Roman" w:hAnsi="Times New Roman"/>
          <w:sz w:val="24"/>
          <w:szCs w:val="24"/>
        </w:rPr>
        <w:br/>
        <w:t xml:space="preserve">ООО «Интерцентр Люкс» (на 33,8% и на 44,7% соответственно). </w:t>
      </w:r>
    </w:p>
    <w:p w:rsidR="004B6A68" w:rsidRDefault="004B6A68" w:rsidP="004B6A68">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w:t>
      </w:r>
      <w:r>
        <w:rPr>
          <w:rFonts w:ascii="Times New Roman" w:hAnsi="Times New Roman"/>
          <w:sz w:val="24"/>
          <w:szCs w:val="24"/>
          <w:lang w:val="en-US"/>
        </w:rPr>
        <w:t>I</w:t>
      </w:r>
      <w:r w:rsidRPr="00D50F61">
        <w:rPr>
          <w:rFonts w:ascii="Times New Roman" w:hAnsi="Times New Roman"/>
          <w:sz w:val="24"/>
          <w:szCs w:val="24"/>
        </w:rPr>
        <w:t xml:space="preserve"> </w:t>
      </w:r>
      <w:r>
        <w:rPr>
          <w:rFonts w:ascii="Times New Roman" w:hAnsi="Times New Roman"/>
          <w:sz w:val="24"/>
          <w:szCs w:val="24"/>
        </w:rPr>
        <w:t>полугодии 2014 года возобновление работы ЗАО «Каменский консервный завод» обусловило увеличение товарного выпуска промышленной продукции в Каменском районе и городе Каменка, в текущих ценах на 2,9% и в сопоставимой оценке – на 28,6%, чему способствовало привлечение внешних заимствований с целью пополнения оборотных средств и обеспечения эффективного развития сырьевой зоны предприятия (приобретение элитных овощных семян, модернизация производства).</w:t>
      </w:r>
    </w:p>
    <w:p w:rsidR="004B6A68" w:rsidRDefault="004B6A68" w:rsidP="004B6A68">
      <w:pPr>
        <w:spacing w:after="0" w:line="240" w:lineRule="auto"/>
        <w:ind w:firstLine="709"/>
        <w:jc w:val="both"/>
        <w:rPr>
          <w:rFonts w:ascii="Times New Roman" w:hAnsi="Times New Roman"/>
          <w:sz w:val="24"/>
          <w:szCs w:val="24"/>
        </w:rPr>
      </w:pPr>
      <w:r>
        <w:rPr>
          <w:rFonts w:ascii="Times New Roman" w:hAnsi="Times New Roman"/>
          <w:spacing w:val="-2"/>
          <w:sz w:val="24"/>
          <w:szCs w:val="24"/>
        </w:rPr>
        <w:t xml:space="preserve">В рассматриваемом периоде наблюдалась тенденция сокращения инвестиционной активности экономических агентов городов и районов республики. За январь-июнь </w:t>
      </w:r>
      <w:r w:rsidR="00CD0E98">
        <w:rPr>
          <w:rFonts w:ascii="Times New Roman" w:hAnsi="Times New Roman"/>
          <w:spacing w:val="-2"/>
          <w:sz w:val="24"/>
          <w:szCs w:val="24"/>
        </w:rPr>
        <w:t xml:space="preserve">               </w:t>
      </w:r>
      <w:r>
        <w:rPr>
          <w:rFonts w:ascii="Times New Roman" w:hAnsi="Times New Roman"/>
          <w:spacing w:val="-2"/>
          <w:sz w:val="24"/>
          <w:szCs w:val="24"/>
        </w:rPr>
        <w:t xml:space="preserve">2014 года </w:t>
      </w:r>
      <w:r>
        <w:rPr>
          <w:rFonts w:ascii="Times New Roman" w:hAnsi="Times New Roman"/>
          <w:b/>
          <w:spacing w:val="-2"/>
          <w:sz w:val="24"/>
          <w:szCs w:val="24"/>
        </w:rPr>
        <w:t>объем инвестиций в основной капитал</w:t>
      </w:r>
      <w:r>
        <w:rPr>
          <w:rFonts w:ascii="Times New Roman" w:hAnsi="Times New Roman"/>
          <w:spacing w:val="-2"/>
          <w:sz w:val="24"/>
          <w:szCs w:val="24"/>
        </w:rPr>
        <w:t xml:space="preserve"> с учетом</w:t>
      </w:r>
      <w:r>
        <w:rPr>
          <w:rFonts w:ascii="Times New Roman" w:hAnsi="Times New Roman"/>
          <w:sz w:val="24"/>
          <w:szCs w:val="24"/>
        </w:rPr>
        <w:t xml:space="preserve"> оценки (субъекты малого предпринимательства, индивидуальные застройщики) составил 711,7 млн. руб. или 82,6% к соответствующему периоду 2013 года. </w:t>
      </w:r>
    </w:p>
    <w:p w:rsidR="004B6A68" w:rsidRDefault="004B6A68" w:rsidP="004B6A68">
      <w:pPr>
        <w:spacing w:after="0" w:line="240" w:lineRule="auto"/>
        <w:ind w:firstLine="709"/>
        <w:jc w:val="both"/>
        <w:rPr>
          <w:rFonts w:ascii="Times New Roman" w:hAnsi="Times New Roman"/>
          <w:sz w:val="24"/>
          <w:szCs w:val="24"/>
        </w:rPr>
      </w:pPr>
      <w:r>
        <w:rPr>
          <w:rFonts w:ascii="Times New Roman" w:hAnsi="Times New Roman"/>
          <w:sz w:val="24"/>
          <w:szCs w:val="24"/>
        </w:rPr>
        <w:t>Основная доля в совокупном объёме инвестиций в основной капитал принадлежит городу Тирасполь (59,0%), при этом по отношению к соответствующему периоду прошлого года данный показатель снижен на 17,3%. Наибольшие инвестиционные вложения в январе-июне 2014 года были направлены на развитие и обновление основных средств такими предприятиями, как ЗАО «Тиротекс», ГУП «</w:t>
      </w:r>
      <w:r w:rsidR="002B1386">
        <w:rPr>
          <w:rFonts w:ascii="Times New Roman" w:hAnsi="Times New Roman"/>
          <w:sz w:val="24"/>
          <w:szCs w:val="24"/>
        </w:rPr>
        <w:t xml:space="preserve">Единые распределительные сети», </w:t>
      </w:r>
      <w:r>
        <w:rPr>
          <w:rFonts w:ascii="Times New Roman" w:hAnsi="Times New Roman"/>
          <w:sz w:val="24"/>
          <w:szCs w:val="24"/>
        </w:rPr>
        <w:t>ЗАО «Тираспольский вино-коньячный завод «Квинт»</w:t>
      </w:r>
      <w:r w:rsidRPr="00AF7772">
        <w:rPr>
          <w:rFonts w:ascii="Times New Roman" w:hAnsi="Times New Roman"/>
          <w:sz w:val="24"/>
          <w:szCs w:val="24"/>
        </w:rPr>
        <w:t xml:space="preserve"> </w:t>
      </w:r>
      <w:r>
        <w:rPr>
          <w:rFonts w:ascii="Times New Roman" w:hAnsi="Times New Roman"/>
          <w:sz w:val="24"/>
          <w:szCs w:val="24"/>
        </w:rPr>
        <w:t>(24,6% к общему показателю по городу Тирасполь).</w:t>
      </w:r>
    </w:p>
    <w:p w:rsidR="004B6A68" w:rsidRDefault="004B6A68" w:rsidP="004B6A68">
      <w:pPr>
        <w:spacing w:after="0" w:line="240" w:lineRule="auto"/>
        <w:ind w:firstLine="708"/>
        <w:jc w:val="both"/>
        <w:rPr>
          <w:rFonts w:ascii="Times New Roman" w:hAnsi="Times New Roman"/>
          <w:sz w:val="24"/>
          <w:szCs w:val="24"/>
        </w:rPr>
      </w:pPr>
      <w:r>
        <w:rPr>
          <w:rFonts w:ascii="Times New Roman" w:hAnsi="Times New Roman"/>
          <w:sz w:val="24"/>
          <w:szCs w:val="24"/>
        </w:rPr>
        <w:t>По городу Днестровск объем капитальных вложений в основной капитал увеличился в 2,3 раза по отношению к аналогичному показателю 2013 года, при этом определяющее значение на итоговый показатель оказал рост инвестиционной активности на</w:t>
      </w:r>
      <w:r w:rsidR="00CD0E98">
        <w:rPr>
          <w:rFonts w:ascii="Times New Roman" w:hAnsi="Times New Roman"/>
          <w:sz w:val="24"/>
          <w:szCs w:val="24"/>
        </w:rPr>
        <w:t xml:space="preserve"> </w:t>
      </w:r>
      <w:r>
        <w:rPr>
          <w:rFonts w:ascii="Times New Roman" w:hAnsi="Times New Roman"/>
          <w:sz w:val="24"/>
          <w:szCs w:val="24"/>
        </w:rPr>
        <w:t>ЗАО «Молдавская ГРЭС» (97,1% к общему показателю по городу Днестровск).</w:t>
      </w:r>
    </w:p>
    <w:p w:rsidR="004B6A68" w:rsidRDefault="004B6A68" w:rsidP="004B6A68">
      <w:pPr>
        <w:spacing w:after="0" w:line="240" w:lineRule="auto"/>
        <w:ind w:firstLine="708"/>
        <w:jc w:val="both"/>
        <w:rPr>
          <w:rFonts w:ascii="Times New Roman" w:hAnsi="Times New Roman"/>
          <w:sz w:val="24"/>
          <w:szCs w:val="24"/>
        </w:rPr>
      </w:pPr>
      <w:r>
        <w:rPr>
          <w:rFonts w:ascii="Times New Roman" w:hAnsi="Times New Roman"/>
          <w:sz w:val="24"/>
          <w:szCs w:val="24"/>
        </w:rPr>
        <w:t>По городу Бендеры объем инвестиций, направляемых в основной капитал, возрос на 56,0% к соответствующему показателю 2013 года. Заметный прирост инвестиционной активности наблюдался на Филиале «Завод Прибор» ФГУП НПЦ «Салют» в 4,7 раза,</w:t>
      </w:r>
      <w:r>
        <w:rPr>
          <w:rFonts w:ascii="Times New Roman" w:hAnsi="Times New Roman"/>
          <w:sz w:val="24"/>
          <w:szCs w:val="24"/>
        </w:rPr>
        <w:br/>
        <w:t>ООО «Софтшуз»- в 5,0 раза, МУП «Бендерытеплоэнерго» - в 7,0 раза (51,5% от совокупного объема инвестиционных вложений по городу Бендеры).</w:t>
      </w:r>
    </w:p>
    <w:p w:rsidR="004B6A68" w:rsidRDefault="004B6A68" w:rsidP="004B6A68">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Значительное расширение инвестиционной активности в январе-июне 2014 года отмечается в Григориопольском районе и городе Григориополь (в 3,7 раза),</w:t>
      </w:r>
      <w:r>
        <w:rPr>
          <w:rFonts w:ascii="Times New Roman" w:hAnsi="Times New Roman"/>
          <w:sz w:val="24"/>
          <w:szCs w:val="24"/>
        </w:rPr>
        <w:br/>
        <w:t xml:space="preserve">в Дубоссарском районе и городе Дубоссары (на 58,0%), основными источниками инвестиционных вложений в основной капитал явились собственные средства предприятий и организаций. Наибольшая доля освоенных инвестиционных вложений была направлена на интенсивное развитие промышленного и сельскохозяйственного потенциала. </w:t>
      </w:r>
    </w:p>
    <w:p w:rsidR="004B6A68" w:rsidRDefault="004B6A68" w:rsidP="004B6A6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 Рыбницком районе и городе Рыбница объём инвестиций в основной капитал достиг 107,8% к аналогичному показателю 2013 года.</w:t>
      </w:r>
    </w:p>
    <w:p w:rsidR="004B6A68" w:rsidRDefault="004B6A68" w:rsidP="004B6A68">
      <w:pPr>
        <w:spacing w:after="0" w:line="240" w:lineRule="auto"/>
        <w:ind w:firstLine="720"/>
        <w:jc w:val="center"/>
        <w:rPr>
          <w:rFonts w:ascii="Times New Roman" w:hAnsi="Times New Roman"/>
          <w:b/>
          <w:sz w:val="24"/>
          <w:szCs w:val="24"/>
        </w:rPr>
      </w:pPr>
      <w:r>
        <w:rPr>
          <w:rFonts w:ascii="Times New Roman" w:hAnsi="Times New Roman"/>
          <w:b/>
          <w:sz w:val="24"/>
          <w:szCs w:val="24"/>
        </w:rPr>
        <w:t>Доля городов и районов ПМР</w:t>
      </w:r>
    </w:p>
    <w:p w:rsidR="004B6A68" w:rsidRDefault="004B6A68" w:rsidP="004B6A68">
      <w:pPr>
        <w:spacing w:after="0" w:line="240" w:lineRule="auto"/>
        <w:ind w:firstLine="720"/>
        <w:jc w:val="center"/>
        <w:rPr>
          <w:rFonts w:ascii="Times New Roman" w:hAnsi="Times New Roman"/>
          <w:sz w:val="24"/>
          <w:szCs w:val="24"/>
        </w:rPr>
      </w:pPr>
      <w:r>
        <w:rPr>
          <w:rFonts w:ascii="Times New Roman" w:hAnsi="Times New Roman"/>
          <w:b/>
          <w:sz w:val="24"/>
          <w:szCs w:val="24"/>
        </w:rPr>
        <w:t xml:space="preserve">в объеме инвестиций в основной капитал </w:t>
      </w:r>
      <w:r>
        <w:rPr>
          <w:rFonts w:ascii="Times New Roman" w:hAnsi="Times New Roman"/>
          <w:sz w:val="24"/>
          <w:szCs w:val="24"/>
        </w:rPr>
        <w:t>(млн. руб.; удельный вес %)</w:t>
      </w:r>
    </w:p>
    <w:p w:rsidR="004B6A68" w:rsidRDefault="00BC3AF7" w:rsidP="004B6A68">
      <w:pPr>
        <w:spacing w:after="0" w:line="240" w:lineRule="auto"/>
        <w:ind w:firstLine="720"/>
        <w:jc w:val="both"/>
        <w:rPr>
          <w:rFonts w:ascii="Times New Roman" w:hAnsi="Times New Roman"/>
          <w:sz w:val="24"/>
          <w:szCs w:val="24"/>
        </w:rPr>
      </w:pPr>
      <w:r>
        <w:rPr>
          <w:rFonts w:ascii="Times New Roman" w:hAnsi="Times New Roman"/>
          <w:noProof/>
          <w:sz w:val="24"/>
          <w:szCs w:val="24"/>
        </w:rPr>
        <w:drawing>
          <wp:anchor distT="97536" distB="320421" distL="217932" distR="192024" simplePos="0" relativeHeight="251682816" behindDoc="0" locked="0" layoutInCell="1" allowOverlap="1">
            <wp:simplePos x="0" y="0"/>
            <wp:positionH relativeFrom="column">
              <wp:posOffset>-118110</wp:posOffset>
            </wp:positionH>
            <wp:positionV relativeFrom="paragraph">
              <wp:posOffset>342900</wp:posOffset>
            </wp:positionV>
            <wp:extent cx="3133725" cy="1866900"/>
            <wp:effectExtent l="0" t="0" r="0" b="0"/>
            <wp:wrapSquare wrapText="right"/>
            <wp:docPr id="13" name="Объект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r>
        <w:rPr>
          <w:rFonts w:ascii="Times New Roman" w:hAnsi="Times New Roman"/>
          <w:noProof/>
          <w:sz w:val="24"/>
          <w:szCs w:val="24"/>
        </w:rPr>
        <w:drawing>
          <wp:anchor distT="97536" distB="216408" distL="425196" distR="196596" simplePos="0" relativeHeight="251681792" behindDoc="0" locked="0" layoutInCell="1" allowOverlap="1">
            <wp:simplePos x="0" y="0"/>
            <wp:positionH relativeFrom="column">
              <wp:posOffset>3015615</wp:posOffset>
            </wp:positionH>
            <wp:positionV relativeFrom="paragraph">
              <wp:posOffset>342900</wp:posOffset>
            </wp:positionV>
            <wp:extent cx="3343275" cy="2047875"/>
            <wp:effectExtent l="0" t="0" r="0" b="0"/>
            <wp:wrapSquare wrapText="right"/>
            <wp:docPr id="14" name="Объект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p>
    <w:p w:rsidR="004B6A68" w:rsidRDefault="004B6A68" w:rsidP="004B6A68">
      <w:pPr>
        <w:spacing w:after="0" w:line="240" w:lineRule="auto"/>
        <w:ind w:firstLine="720"/>
        <w:jc w:val="both"/>
        <w:rPr>
          <w:rFonts w:ascii="Times New Roman" w:hAnsi="Times New Roman"/>
          <w:sz w:val="24"/>
          <w:szCs w:val="24"/>
        </w:rPr>
      </w:pPr>
      <w:r>
        <w:rPr>
          <w:rFonts w:ascii="Times New Roman" w:hAnsi="Times New Roman"/>
          <w:sz w:val="24"/>
          <w:szCs w:val="24"/>
        </w:rPr>
        <w:t xml:space="preserve">Снижение инвестиционных вложений наблюдалось по Слободзейскому району и городу Слободзея (на 38,3%), Каменскому району и городу Каменка (на 8,0%). </w:t>
      </w:r>
    </w:p>
    <w:p w:rsidR="004B6A68" w:rsidRDefault="004B6A68" w:rsidP="004B6A68">
      <w:pPr>
        <w:spacing w:after="0" w:line="240" w:lineRule="auto"/>
        <w:ind w:firstLine="709"/>
        <w:jc w:val="both"/>
        <w:rPr>
          <w:rFonts w:ascii="Times New Roman" w:hAnsi="Times New Roman"/>
          <w:spacing w:val="4"/>
          <w:sz w:val="24"/>
          <w:szCs w:val="24"/>
        </w:rPr>
      </w:pPr>
      <w:r>
        <w:rPr>
          <w:rFonts w:ascii="Times New Roman" w:hAnsi="Times New Roman"/>
          <w:spacing w:val="4"/>
          <w:sz w:val="24"/>
          <w:szCs w:val="24"/>
        </w:rPr>
        <w:t xml:space="preserve">В </w:t>
      </w:r>
      <w:r>
        <w:rPr>
          <w:rFonts w:ascii="Times New Roman" w:hAnsi="Times New Roman"/>
          <w:spacing w:val="4"/>
          <w:sz w:val="24"/>
          <w:szCs w:val="24"/>
          <w:lang w:val="en-US"/>
        </w:rPr>
        <w:t>I</w:t>
      </w:r>
      <w:r w:rsidRPr="00CF25F9">
        <w:rPr>
          <w:rFonts w:ascii="Times New Roman" w:hAnsi="Times New Roman"/>
          <w:spacing w:val="4"/>
          <w:sz w:val="24"/>
          <w:szCs w:val="24"/>
        </w:rPr>
        <w:t xml:space="preserve"> </w:t>
      </w:r>
      <w:r>
        <w:rPr>
          <w:rFonts w:ascii="Times New Roman" w:hAnsi="Times New Roman"/>
          <w:spacing w:val="4"/>
          <w:sz w:val="24"/>
          <w:szCs w:val="24"/>
        </w:rPr>
        <w:t xml:space="preserve">полугодии 2014 года снизились темпы </w:t>
      </w:r>
      <w:r>
        <w:rPr>
          <w:rFonts w:ascii="Times New Roman" w:hAnsi="Times New Roman"/>
          <w:b/>
          <w:i/>
          <w:spacing w:val="4"/>
          <w:sz w:val="24"/>
          <w:szCs w:val="24"/>
        </w:rPr>
        <w:t>ввода в действие жилых домов</w:t>
      </w:r>
      <w:r>
        <w:rPr>
          <w:rFonts w:ascii="Times New Roman" w:hAnsi="Times New Roman"/>
          <w:spacing w:val="4"/>
          <w:sz w:val="24"/>
          <w:szCs w:val="24"/>
        </w:rPr>
        <w:t>. П</w:t>
      </w:r>
      <w:r>
        <w:rPr>
          <w:rFonts w:ascii="Times New Roman" w:hAnsi="Times New Roman"/>
          <w:spacing w:val="2"/>
          <w:sz w:val="24"/>
          <w:szCs w:val="24"/>
        </w:rPr>
        <w:t xml:space="preserve">редприятиями </w:t>
      </w:r>
      <w:r>
        <w:rPr>
          <w:rFonts w:ascii="Times New Roman" w:hAnsi="Times New Roman"/>
          <w:spacing w:val="16"/>
          <w:sz w:val="24"/>
          <w:szCs w:val="24"/>
        </w:rPr>
        <w:t xml:space="preserve">и организациями всех форм собственности и индивидуальными </w:t>
      </w:r>
      <w:r>
        <w:rPr>
          <w:rFonts w:ascii="Times New Roman" w:hAnsi="Times New Roman"/>
          <w:spacing w:val="4"/>
          <w:sz w:val="24"/>
          <w:szCs w:val="24"/>
        </w:rPr>
        <w:t xml:space="preserve">застройщиками введено в эксплуатацию 11,7 тыс. кв. метров жилья, что на 35,1% меньше сопоставимого показателя  прошлого года. Одним из факторов уменьшения введенного жилья является спад инвестиционной активности на рынке строительства жилья. </w:t>
      </w:r>
    </w:p>
    <w:p w:rsidR="004B6A68" w:rsidRDefault="004B6A68" w:rsidP="004B6A68">
      <w:pPr>
        <w:spacing w:after="0" w:line="240" w:lineRule="auto"/>
        <w:ind w:firstLine="709"/>
        <w:jc w:val="both"/>
        <w:rPr>
          <w:rFonts w:ascii="Times New Roman" w:hAnsi="Times New Roman"/>
          <w:spacing w:val="4"/>
          <w:sz w:val="24"/>
          <w:szCs w:val="24"/>
        </w:rPr>
      </w:pPr>
      <w:r>
        <w:rPr>
          <w:rFonts w:ascii="Times New Roman" w:hAnsi="Times New Roman"/>
          <w:spacing w:val="4"/>
          <w:sz w:val="24"/>
          <w:szCs w:val="24"/>
        </w:rPr>
        <w:t xml:space="preserve">Практически все города и районы республики в январе-июне 2014 года демонстрируют сокращение объемов построенного жилья, наибольший спад отмечен в Каменском районе и городе Каменка (на 87,6%), в городе Тирасполь (на 69,1%) и в Рыбницком районе и городе Рыбница (на 50,9%). </w:t>
      </w:r>
      <w:r>
        <w:rPr>
          <w:rFonts w:ascii="Times New Roman" w:hAnsi="Times New Roman"/>
          <w:sz w:val="24"/>
          <w:szCs w:val="24"/>
        </w:rPr>
        <w:t xml:space="preserve">Положительная динамика по вводу в действие жилых домов зафиксирована по </w:t>
      </w:r>
      <w:r>
        <w:rPr>
          <w:rFonts w:ascii="Times New Roman" w:hAnsi="Times New Roman"/>
          <w:spacing w:val="4"/>
          <w:sz w:val="24"/>
          <w:szCs w:val="24"/>
        </w:rPr>
        <w:t>Григориопольскому району и городу Григориополь в 3,8 раза и по Дубоссарскому району и городу Дубоссары на 15,5%.</w:t>
      </w:r>
    </w:p>
    <w:p w:rsidR="004B6A68" w:rsidRDefault="004B6A68" w:rsidP="004B6A6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sz w:val="24"/>
          <w:szCs w:val="24"/>
        </w:rPr>
        <w:t xml:space="preserve">В аграрном секторе </w:t>
      </w:r>
      <w:r>
        <w:rPr>
          <w:rFonts w:ascii="Times New Roman" w:hAnsi="Times New Roman"/>
          <w:sz w:val="24"/>
          <w:szCs w:val="24"/>
        </w:rPr>
        <w:t>республики отмечались положительные тенденции в развитии растениеводческой отрасли, чему способствовали благоприятные погодные условия текущего года.</w:t>
      </w:r>
    </w:p>
    <w:p w:rsidR="004B6A68" w:rsidRDefault="004B6A68" w:rsidP="004B6A68">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По оперативным данным Министерства сельского хозяйства и природных ресурсов ПМР по состоянию на 14 августа 2014 года валовой сбор зерновых</w:t>
      </w:r>
      <w:r>
        <w:rPr>
          <w:rFonts w:ascii="Times New Roman" w:hAnsi="Times New Roman"/>
          <w:sz w:val="24"/>
          <w:szCs w:val="24"/>
        </w:rPr>
        <w:br/>
        <w:t xml:space="preserve">и зернобобовых культур первой группы достиг 339 208,1 тонн, в том числе озимой пшеницы - 264 450,8 тонн, что на 2,7% и на 0,7% выше показателя на аналогичную дату 2013 года. </w:t>
      </w:r>
      <w:r w:rsidRPr="002E0E3D">
        <w:rPr>
          <w:rFonts w:ascii="Times New Roman" w:hAnsi="Times New Roman"/>
          <w:sz w:val="24"/>
          <w:szCs w:val="24"/>
        </w:rPr>
        <w:t>Средняя урожайность зерновых и зернобобовых культур</w:t>
      </w:r>
      <w:r>
        <w:rPr>
          <w:rFonts w:ascii="Times New Roman" w:hAnsi="Times New Roman"/>
          <w:sz w:val="24"/>
          <w:szCs w:val="24"/>
        </w:rPr>
        <w:t xml:space="preserve"> первой группы</w:t>
      </w:r>
      <w:r w:rsidRPr="002E0E3D">
        <w:rPr>
          <w:rFonts w:ascii="Times New Roman" w:hAnsi="Times New Roman"/>
          <w:sz w:val="24"/>
          <w:szCs w:val="24"/>
        </w:rPr>
        <w:t xml:space="preserve"> составила 3</w:t>
      </w:r>
      <w:r>
        <w:rPr>
          <w:rFonts w:ascii="Times New Roman" w:hAnsi="Times New Roman"/>
          <w:sz w:val="24"/>
          <w:szCs w:val="24"/>
        </w:rPr>
        <w:t>7,5</w:t>
      </w:r>
      <w:r w:rsidRPr="002E0E3D">
        <w:rPr>
          <w:rFonts w:ascii="Times New Roman" w:hAnsi="Times New Roman"/>
          <w:sz w:val="24"/>
          <w:szCs w:val="24"/>
        </w:rPr>
        <w:t xml:space="preserve"> ц/га,</w:t>
      </w:r>
      <w:r>
        <w:rPr>
          <w:rFonts w:ascii="Times New Roman" w:hAnsi="Times New Roman"/>
          <w:sz w:val="24"/>
          <w:szCs w:val="24"/>
        </w:rPr>
        <w:t xml:space="preserve"> в том числе </w:t>
      </w:r>
      <w:r w:rsidRPr="002E0E3D">
        <w:rPr>
          <w:rFonts w:ascii="Times New Roman" w:hAnsi="Times New Roman"/>
          <w:sz w:val="24"/>
          <w:szCs w:val="24"/>
        </w:rPr>
        <w:t>озимой пшеницы –</w:t>
      </w:r>
      <w:r>
        <w:rPr>
          <w:rFonts w:ascii="Times New Roman" w:hAnsi="Times New Roman"/>
          <w:sz w:val="24"/>
          <w:szCs w:val="24"/>
        </w:rPr>
        <w:t xml:space="preserve"> </w:t>
      </w:r>
      <w:r w:rsidRPr="002E0E3D">
        <w:rPr>
          <w:rFonts w:ascii="Times New Roman" w:hAnsi="Times New Roman"/>
          <w:sz w:val="24"/>
          <w:szCs w:val="24"/>
        </w:rPr>
        <w:t>4</w:t>
      </w:r>
      <w:r>
        <w:rPr>
          <w:rFonts w:ascii="Times New Roman" w:hAnsi="Times New Roman"/>
          <w:sz w:val="24"/>
          <w:szCs w:val="24"/>
        </w:rPr>
        <w:t>0,6</w:t>
      </w:r>
      <w:r w:rsidRPr="002E0E3D">
        <w:rPr>
          <w:rFonts w:ascii="Times New Roman" w:hAnsi="Times New Roman"/>
          <w:sz w:val="24"/>
          <w:szCs w:val="24"/>
        </w:rPr>
        <w:t xml:space="preserve"> ц/га против 36,</w:t>
      </w:r>
      <w:r>
        <w:rPr>
          <w:rFonts w:ascii="Times New Roman" w:hAnsi="Times New Roman"/>
          <w:sz w:val="24"/>
          <w:szCs w:val="24"/>
        </w:rPr>
        <w:t>0 ц/га и 39,7</w:t>
      </w:r>
      <w:r w:rsidRPr="002E0E3D">
        <w:rPr>
          <w:rFonts w:ascii="Times New Roman" w:hAnsi="Times New Roman"/>
          <w:sz w:val="24"/>
          <w:szCs w:val="24"/>
        </w:rPr>
        <w:t xml:space="preserve"> </w:t>
      </w:r>
      <w:r>
        <w:rPr>
          <w:rFonts w:ascii="Times New Roman" w:hAnsi="Times New Roman"/>
          <w:sz w:val="24"/>
          <w:szCs w:val="24"/>
        </w:rPr>
        <w:t>ц/г</w:t>
      </w:r>
      <w:r w:rsidRPr="002E0E3D">
        <w:rPr>
          <w:rFonts w:ascii="Times New Roman" w:hAnsi="Times New Roman"/>
          <w:sz w:val="24"/>
          <w:szCs w:val="24"/>
        </w:rPr>
        <w:t>а в 2013 году соответственно.</w:t>
      </w:r>
    </w:p>
    <w:p w:rsidR="004B6A68" w:rsidRDefault="004B6A68" w:rsidP="004B6A68">
      <w:pPr>
        <w:autoSpaceDE w:val="0"/>
        <w:autoSpaceDN w:val="0"/>
        <w:adjustRightInd w:val="0"/>
        <w:spacing w:after="0" w:line="240" w:lineRule="auto"/>
        <w:jc w:val="both"/>
        <w:rPr>
          <w:rFonts w:ascii="Times New Roman" w:hAnsi="Times New Roman"/>
          <w:sz w:val="28"/>
          <w:szCs w:val="28"/>
        </w:rPr>
      </w:pPr>
      <w:r>
        <w:rPr>
          <w:noProof/>
        </w:rPr>
        <w:lastRenderedPageBreak/>
        <w:drawing>
          <wp:inline distT="0" distB="0" distL="0" distR="0">
            <wp:extent cx="6115050" cy="2333625"/>
            <wp:effectExtent l="0" t="0" r="0" b="0"/>
            <wp:docPr id="17"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4B6A68" w:rsidRDefault="004B6A68" w:rsidP="004B6A68">
      <w:pPr>
        <w:autoSpaceDE w:val="0"/>
        <w:autoSpaceDN w:val="0"/>
        <w:adjustRightInd w:val="0"/>
        <w:spacing w:after="0" w:line="240" w:lineRule="auto"/>
        <w:ind w:firstLine="709"/>
        <w:jc w:val="both"/>
        <w:rPr>
          <w:rFonts w:ascii="Times New Roman" w:hAnsi="Times New Roman"/>
          <w:sz w:val="28"/>
          <w:szCs w:val="28"/>
        </w:rPr>
      </w:pPr>
    </w:p>
    <w:p w:rsidR="004B6A68" w:rsidRDefault="004B6A68" w:rsidP="004B6A68">
      <w:pPr>
        <w:autoSpaceDE w:val="0"/>
        <w:autoSpaceDN w:val="0"/>
        <w:adjustRightInd w:val="0"/>
        <w:spacing w:after="0" w:line="240" w:lineRule="auto"/>
        <w:jc w:val="both"/>
        <w:rPr>
          <w:rFonts w:ascii="Times New Roman" w:hAnsi="Times New Roman"/>
          <w:sz w:val="24"/>
          <w:szCs w:val="24"/>
        </w:rPr>
      </w:pPr>
      <w:r>
        <w:rPr>
          <w:noProof/>
        </w:rPr>
        <w:drawing>
          <wp:inline distT="0" distB="0" distL="0" distR="0">
            <wp:extent cx="6115050" cy="2190750"/>
            <wp:effectExtent l="0" t="0" r="0" b="0"/>
            <wp:docPr id="18"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4B6A68" w:rsidRDefault="004B6A68" w:rsidP="004B6A68">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Наилучшие результаты по валовому сбору зерновых и зернобобовых культур первой группы достигли сельскохозяйственные организации Григориопольского района –</w:t>
      </w:r>
      <w:r>
        <w:rPr>
          <w:rFonts w:ascii="Times New Roman" w:hAnsi="Times New Roman"/>
          <w:sz w:val="24"/>
          <w:szCs w:val="24"/>
        </w:rPr>
        <w:br/>
        <w:t>106,0 тыс. тонн (31,3% от общереспубликанского уровня) при средней урожайности</w:t>
      </w:r>
      <w:r>
        <w:rPr>
          <w:rFonts w:ascii="Times New Roman" w:hAnsi="Times New Roman"/>
          <w:sz w:val="24"/>
          <w:szCs w:val="24"/>
        </w:rPr>
        <w:br/>
        <w:t>38,4 ц/га, Рыбницкого района – 83,0 тыс. тонн (24,5%) при средней урожайности 41,6 ц/га, Слободзейского района – 80,0 тыс. тонн (23,6%) при средней урожайности 31,3 ц/га, Каменского района – 35,4 тыс. тонн (10,4%) при самой высокой средней урожайности по республике 49,7 ц/га.</w:t>
      </w:r>
    </w:p>
    <w:p w:rsidR="004B6A68" w:rsidRDefault="004B6A68" w:rsidP="004B6A68">
      <w:pPr>
        <w:autoSpaceDE w:val="0"/>
        <w:autoSpaceDN w:val="0"/>
        <w:adjustRightInd w:val="0"/>
        <w:spacing w:after="0" w:line="240" w:lineRule="auto"/>
        <w:ind w:left="-284" w:right="141"/>
        <w:jc w:val="both"/>
        <w:rPr>
          <w:rFonts w:ascii="Times New Roman" w:hAnsi="Times New Roman"/>
          <w:sz w:val="24"/>
          <w:szCs w:val="24"/>
        </w:rPr>
      </w:pPr>
      <w:r>
        <w:rPr>
          <w:noProof/>
        </w:rPr>
        <w:drawing>
          <wp:inline distT="0" distB="0" distL="0" distR="0">
            <wp:extent cx="6353175" cy="2343150"/>
            <wp:effectExtent l="0" t="0" r="0" b="0"/>
            <wp:docPr id="2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4B6A68" w:rsidRDefault="004B6A68" w:rsidP="004B6A68">
      <w:pPr>
        <w:autoSpaceDE w:val="0"/>
        <w:autoSpaceDN w:val="0"/>
        <w:adjustRightInd w:val="0"/>
        <w:spacing w:after="0" w:line="240" w:lineRule="auto"/>
        <w:ind w:left="142"/>
        <w:jc w:val="both"/>
        <w:rPr>
          <w:rFonts w:ascii="Times New Roman" w:hAnsi="Times New Roman"/>
          <w:b/>
          <w:sz w:val="15"/>
          <w:szCs w:val="15"/>
        </w:rPr>
      </w:pPr>
      <w:r>
        <w:rPr>
          <w:rFonts w:ascii="Times New Roman" w:hAnsi="Times New Roman"/>
          <w:b/>
          <w:sz w:val="15"/>
          <w:szCs w:val="15"/>
        </w:rPr>
        <w:t>* -темп роста (спада) к соответствующей дате прошлого года, %</w:t>
      </w:r>
    </w:p>
    <w:p w:rsidR="004B6A68" w:rsidRDefault="004B6A68" w:rsidP="004B6A68">
      <w:pPr>
        <w:tabs>
          <w:tab w:val="left" w:pos="284"/>
        </w:tabs>
        <w:autoSpaceDE w:val="0"/>
        <w:autoSpaceDN w:val="0"/>
        <w:adjustRightInd w:val="0"/>
        <w:spacing w:after="0" w:line="240" w:lineRule="auto"/>
        <w:jc w:val="center"/>
        <w:rPr>
          <w:rFonts w:ascii="Times New Roman" w:hAnsi="Times New Roman"/>
          <w:sz w:val="28"/>
          <w:szCs w:val="28"/>
        </w:rPr>
      </w:pPr>
      <w:r>
        <w:rPr>
          <w:noProof/>
        </w:rPr>
        <w:lastRenderedPageBreak/>
        <w:drawing>
          <wp:inline distT="0" distB="0" distL="0" distR="0">
            <wp:extent cx="6505575" cy="2781300"/>
            <wp:effectExtent l="0" t="0" r="0" b="0"/>
            <wp:docPr id="1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4B6A68" w:rsidRDefault="004B6A68" w:rsidP="004B6A68">
      <w:pPr>
        <w:autoSpaceDE w:val="0"/>
        <w:autoSpaceDN w:val="0"/>
        <w:adjustRightInd w:val="0"/>
        <w:spacing w:after="0" w:line="240" w:lineRule="auto"/>
        <w:ind w:left="142"/>
        <w:jc w:val="both"/>
        <w:rPr>
          <w:rFonts w:ascii="Times New Roman" w:hAnsi="Times New Roman"/>
          <w:b/>
          <w:sz w:val="15"/>
          <w:szCs w:val="15"/>
        </w:rPr>
      </w:pPr>
      <w:r>
        <w:rPr>
          <w:rFonts w:ascii="Times New Roman" w:hAnsi="Times New Roman"/>
          <w:b/>
          <w:sz w:val="15"/>
          <w:szCs w:val="15"/>
        </w:rPr>
        <w:t>* -темп роста (спада) к соответствующей дате прошлого года, %</w:t>
      </w:r>
    </w:p>
    <w:p w:rsidR="004B6A68" w:rsidRDefault="004B6A68" w:rsidP="004B6A68">
      <w:pPr>
        <w:autoSpaceDE w:val="0"/>
        <w:autoSpaceDN w:val="0"/>
        <w:adjustRightInd w:val="0"/>
        <w:spacing w:after="0" w:line="240" w:lineRule="auto"/>
        <w:jc w:val="both"/>
        <w:rPr>
          <w:rFonts w:ascii="Times New Roman" w:hAnsi="Times New Roman"/>
          <w:sz w:val="24"/>
          <w:szCs w:val="24"/>
        </w:rPr>
      </w:pPr>
    </w:p>
    <w:p w:rsidR="004B6A68" w:rsidRDefault="004B6A68" w:rsidP="004B6A6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 текущем году зафиксировано значительное увеличение валового сбора озимой пшеницы в Григориопльском районе – 78,8 тыс. тонн (29,8% от общереспубликанского уровня) при средней урожайности 42,9 ц/га, в Рыбницком районе – 64,9 тыс. тонн (24,5%) при средней урожайности 45,3 ц/га, в Слободзейском районе – 60,8 тыс. тонн (23,0%) при средней урожайности 32,8 ц/га и в Каменском районе – 30,5 тыс. тонн (11,5%) при самой высокой урожайности по республике – 54,1 ц/га.</w:t>
      </w:r>
    </w:p>
    <w:p w:rsidR="004B6A68" w:rsidRDefault="004B6A68" w:rsidP="004B6A68">
      <w:pPr>
        <w:autoSpaceDE w:val="0"/>
        <w:autoSpaceDN w:val="0"/>
        <w:adjustRightInd w:val="0"/>
        <w:spacing w:after="0" w:line="240" w:lineRule="auto"/>
        <w:ind w:firstLine="709"/>
        <w:jc w:val="both"/>
        <w:rPr>
          <w:color w:val="000000"/>
        </w:rPr>
      </w:pPr>
      <w:r>
        <w:rPr>
          <w:rFonts w:ascii="Times New Roman" w:hAnsi="Times New Roman"/>
          <w:sz w:val="24"/>
          <w:szCs w:val="24"/>
        </w:rPr>
        <w:t>Б</w:t>
      </w:r>
      <w:r w:rsidRPr="00463DCA">
        <w:rPr>
          <w:rFonts w:ascii="Times New Roman" w:hAnsi="Times New Roman"/>
          <w:sz w:val="24"/>
          <w:szCs w:val="24"/>
        </w:rPr>
        <w:t xml:space="preserve">лагодаря внедрению современных методов обработки почвы, энерго- и ресурсосберегающих технологий, восстановлению систем орошения, применению качественного семенного материала, новой техники, средств защиты растений отдельным сельхозпроизводителям удалось достичь и превысить прошлогодние рекордные показатели, как по </w:t>
      </w:r>
      <w:r>
        <w:rPr>
          <w:rFonts w:ascii="Times New Roman" w:hAnsi="Times New Roman"/>
          <w:sz w:val="24"/>
          <w:szCs w:val="24"/>
        </w:rPr>
        <w:t xml:space="preserve">валовому сбору зерна, </w:t>
      </w:r>
      <w:r w:rsidRPr="00463DCA">
        <w:rPr>
          <w:rFonts w:ascii="Times New Roman" w:hAnsi="Times New Roman"/>
          <w:sz w:val="24"/>
          <w:szCs w:val="24"/>
        </w:rPr>
        <w:t xml:space="preserve">так и по </w:t>
      </w:r>
      <w:r>
        <w:rPr>
          <w:rFonts w:ascii="Times New Roman" w:hAnsi="Times New Roman"/>
          <w:sz w:val="24"/>
          <w:szCs w:val="24"/>
        </w:rPr>
        <w:t>урожайности</w:t>
      </w:r>
      <w:r w:rsidRPr="00463DCA">
        <w:rPr>
          <w:rFonts w:ascii="Times New Roman" w:hAnsi="Times New Roman"/>
          <w:sz w:val="24"/>
          <w:szCs w:val="24"/>
        </w:rPr>
        <w:t xml:space="preserve">. Так, в Рыбницком районе ООО «Фиальт-Агро» получил </w:t>
      </w:r>
      <w:r>
        <w:rPr>
          <w:rFonts w:ascii="Times New Roman" w:hAnsi="Times New Roman"/>
          <w:sz w:val="24"/>
          <w:szCs w:val="24"/>
        </w:rPr>
        <w:t>урожайность п</w:t>
      </w:r>
      <w:r w:rsidRPr="00463DCA">
        <w:rPr>
          <w:rFonts w:ascii="Times New Roman" w:hAnsi="Times New Roman"/>
          <w:sz w:val="24"/>
          <w:szCs w:val="24"/>
        </w:rPr>
        <w:t>о озимой пшенице 65 ц/га, ООО «Петролюкс» - 63 ц/га,</w:t>
      </w:r>
      <w:r>
        <w:rPr>
          <w:rFonts w:ascii="Times New Roman" w:hAnsi="Times New Roman"/>
          <w:sz w:val="24"/>
          <w:szCs w:val="24"/>
        </w:rPr>
        <w:t xml:space="preserve"> </w:t>
      </w:r>
      <w:r w:rsidRPr="00463DCA">
        <w:rPr>
          <w:rFonts w:ascii="Times New Roman" w:hAnsi="Times New Roman"/>
          <w:sz w:val="24"/>
          <w:szCs w:val="24"/>
        </w:rPr>
        <w:t>ООО «Рист» - 62 ц/га, в Дубоссарском районе ООО «Сванис» и ООО «Рафлезия» получено 64 ц/га и 66 ц/га соответственно. В условиях 2014 года проявили свой потенциал сорта озимой пшеницы «Апачь» и «Щедрость», давшие в среднем 81</w:t>
      </w:r>
      <w:r>
        <w:rPr>
          <w:rFonts w:ascii="Times New Roman" w:hAnsi="Times New Roman"/>
          <w:sz w:val="24"/>
          <w:szCs w:val="24"/>
        </w:rPr>
        <w:t>,0</w:t>
      </w:r>
      <w:r w:rsidRPr="00463DCA">
        <w:rPr>
          <w:rFonts w:ascii="Times New Roman" w:hAnsi="Times New Roman"/>
          <w:sz w:val="24"/>
          <w:szCs w:val="24"/>
        </w:rPr>
        <w:t xml:space="preserve"> ц/га и 79,8 ц/га соответственно в Каменском и Слободзейском районах</w:t>
      </w:r>
      <w:r>
        <w:t xml:space="preserve">. </w:t>
      </w:r>
    </w:p>
    <w:p w:rsidR="004B6A68" w:rsidRPr="000E6FE3" w:rsidRDefault="004B6A68" w:rsidP="004B6A68">
      <w:pPr>
        <w:spacing w:after="0" w:line="240" w:lineRule="auto"/>
        <w:ind w:firstLine="709"/>
        <w:jc w:val="both"/>
        <w:rPr>
          <w:rFonts w:ascii="Times New Roman" w:hAnsi="Times New Roman"/>
          <w:sz w:val="24"/>
          <w:szCs w:val="24"/>
        </w:rPr>
      </w:pPr>
      <w:r w:rsidRPr="000E6FE3">
        <w:rPr>
          <w:rFonts w:ascii="Times New Roman" w:hAnsi="Times New Roman"/>
          <w:sz w:val="24"/>
          <w:szCs w:val="24"/>
        </w:rPr>
        <w:t xml:space="preserve">Общая ситуация </w:t>
      </w:r>
      <w:r w:rsidRPr="000E6FE3">
        <w:rPr>
          <w:rFonts w:ascii="Times New Roman" w:hAnsi="Times New Roman"/>
          <w:b/>
          <w:sz w:val="24"/>
          <w:szCs w:val="24"/>
        </w:rPr>
        <w:t>в животноводческой отрасли</w:t>
      </w:r>
      <w:r w:rsidRPr="000E6FE3">
        <w:rPr>
          <w:rFonts w:ascii="Times New Roman" w:hAnsi="Times New Roman"/>
          <w:sz w:val="24"/>
          <w:szCs w:val="24"/>
        </w:rPr>
        <w:t xml:space="preserve"> в январе-июне 2014 года характеризовалась разновекторными показателями, сокращением поголовья основных видов скота и приростом производственных показателей продукции животноводства</w:t>
      </w:r>
      <w:r>
        <w:rPr>
          <w:rFonts w:ascii="Times New Roman" w:hAnsi="Times New Roman"/>
          <w:sz w:val="24"/>
          <w:szCs w:val="24"/>
        </w:rPr>
        <w:t>.</w:t>
      </w:r>
    </w:p>
    <w:p w:rsidR="004B6A68" w:rsidRPr="000E6FE3" w:rsidRDefault="004B6A68" w:rsidP="004B6A68">
      <w:pPr>
        <w:spacing w:after="0" w:line="240" w:lineRule="auto"/>
        <w:ind w:firstLine="708"/>
        <w:jc w:val="both"/>
        <w:rPr>
          <w:rFonts w:ascii="Times New Roman" w:hAnsi="Times New Roman"/>
          <w:sz w:val="24"/>
          <w:szCs w:val="24"/>
        </w:rPr>
      </w:pPr>
      <w:r w:rsidRPr="000E6FE3">
        <w:rPr>
          <w:rFonts w:ascii="Times New Roman" w:hAnsi="Times New Roman"/>
          <w:sz w:val="24"/>
          <w:szCs w:val="24"/>
        </w:rPr>
        <w:t>Сдерживающими факторами развития животноводческой отрасли в республике, помимо высоких цен на корма, выступало отсутствие рынков сбыта и инвестиций в развитие отдельных подотраслей животноводства</w:t>
      </w:r>
      <w:r>
        <w:rPr>
          <w:rFonts w:ascii="Times New Roman" w:hAnsi="Times New Roman"/>
          <w:sz w:val="24"/>
          <w:szCs w:val="24"/>
        </w:rPr>
        <w:t>.</w:t>
      </w:r>
    </w:p>
    <w:p w:rsidR="004B6A68" w:rsidRDefault="004B6A68" w:rsidP="004B6A68">
      <w:pPr>
        <w:spacing w:after="0" w:line="240" w:lineRule="auto"/>
        <w:ind w:right="99" w:firstLine="709"/>
        <w:jc w:val="both"/>
        <w:rPr>
          <w:rFonts w:ascii="Times New Roman" w:hAnsi="Times New Roman"/>
          <w:sz w:val="24"/>
          <w:szCs w:val="24"/>
        </w:rPr>
      </w:pPr>
      <w:r>
        <w:rPr>
          <w:rFonts w:ascii="Times New Roman" w:hAnsi="Times New Roman"/>
          <w:sz w:val="24"/>
          <w:szCs w:val="24"/>
        </w:rPr>
        <w:t>По состоянию на 1 июля 2014 года к аналогичной дате 2013 года в организациях, осуществляющих сельскохозяйственное производство, отмечалось сокращение поголовья крупного рогатого скота на 4,6%, свиней – на 5,1%, в то же время возросло птицы всех возрастов на 11,3%.</w:t>
      </w:r>
    </w:p>
    <w:p w:rsidR="004B6A68" w:rsidRDefault="004B6A68" w:rsidP="004B6A6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Вместе с тем, в разрезе городов и районов республики зафиксирован прирост поголовья крупного рогатого скота в Григориопольском районе (на 11,9%) и в Дубоссарском районе (на 5,8%).</w:t>
      </w:r>
    </w:p>
    <w:p w:rsidR="004B6A68" w:rsidRDefault="004B6A68" w:rsidP="004B6A68">
      <w:pPr>
        <w:autoSpaceDE w:val="0"/>
        <w:autoSpaceDN w:val="0"/>
        <w:adjustRightInd w:val="0"/>
        <w:spacing w:after="0" w:line="240" w:lineRule="auto"/>
        <w:jc w:val="both"/>
        <w:rPr>
          <w:rFonts w:ascii="Times New Roman" w:hAnsi="Times New Roman"/>
          <w:sz w:val="24"/>
          <w:szCs w:val="24"/>
        </w:rPr>
      </w:pPr>
      <w:r w:rsidRPr="00414431">
        <w:rPr>
          <w:rFonts w:ascii="Times New Roman" w:hAnsi="Times New Roman"/>
          <w:noProof/>
          <w:sz w:val="24"/>
          <w:szCs w:val="24"/>
        </w:rPr>
        <w:lastRenderedPageBreak/>
        <w:drawing>
          <wp:inline distT="0" distB="0" distL="0" distR="0">
            <wp:extent cx="6241774" cy="2790908"/>
            <wp:effectExtent l="0" t="0" r="0" b="0"/>
            <wp:docPr id="2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4B6A68" w:rsidRDefault="004B6A68" w:rsidP="004B6A68">
      <w:pPr>
        <w:autoSpaceDE w:val="0"/>
        <w:autoSpaceDN w:val="0"/>
        <w:adjustRightInd w:val="0"/>
        <w:spacing w:after="0" w:line="240" w:lineRule="auto"/>
        <w:ind w:left="426"/>
        <w:jc w:val="both"/>
        <w:rPr>
          <w:rFonts w:ascii="Times New Roman" w:hAnsi="Times New Roman"/>
          <w:b/>
          <w:sz w:val="15"/>
          <w:szCs w:val="15"/>
        </w:rPr>
      </w:pPr>
      <w:r>
        <w:rPr>
          <w:rFonts w:ascii="Times New Roman" w:hAnsi="Times New Roman"/>
          <w:b/>
          <w:sz w:val="15"/>
          <w:szCs w:val="15"/>
        </w:rPr>
        <w:t>*-темп роста (спада) к соответствующей дате прошлого года, %</w:t>
      </w:r>
    </w:p>
    <w:p w:rsidR="004B6A68" w:rsidRDefault="004B6A68" w:rsidP="004B6A68">
      <w:pPr>
        <w:autoSpaceDE w:val="0"/>
        <w:autoSpaceDN w:val="0"/>
        <w:adjustRightInd w:val="0"/>
        <w:spacing w:after="0" w:line="240" w:lineRule="auto"/>
        <w:ind w:left="-284"/>
        <w:jc w:val="both"/>
        <w:rPr>
          <w:rFonts w:ascii="Times New Roman" w:hAnsi="Times New Roman"/>
          <w:sz w:val="24"/>
          <w:szCs w:val="24"/>
        </w:rPr>
      </w:pPr>
    </w:p>
    <w:p w:rsidR="004B6A68" w:rsidRDefault="004B6A68" w:rsidP="004B6A6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 сельскохозяйственных организациях, осуществляющих сельскохозяйственное производство, наблюдалось снижение поголовья свиней. Наибольшее уменьшение поголовья свиней отмечалось  в Рыбницком районе (на 32,7%) и в Григориопольском районе (на 28,9%). В городе Бендеры и в Каменском районе отмечен прирост поголовья свиней на 83,3% и на 68,3% соответственно.</w:t>
      </w:r>
    </w:p>
    <w:p w:rsidR="004B6A68" w:rsidRDefault="004B6A68" w:rsidP="004B6A68">
      <w:pPr>
        <w:autoSpaceDE w:val="0"/>
        <w:autoSpaceDN w:val="0"/>
        <w:adjustRightInd w:val="0"/>
        <w:spacing w:after="0" w:line="240" w:lineRule="auto"/>
        <w:jc w:val="both"/>
        <w:rPr>
          <w:rFonts w:ascii="Times New Roman" w:hAnsi="Times New Roman"/>
          <w:sz w:val="24"/>
          <w:szCs w:val="24"/>
        </w:rPr>
      </w:pPr>
      <w:r w:rsidRPr="00491F93">
        <w:rPr>
          <w:rFonts w:ascii="Times New Roman" w:hAnsi="Times New Roman"/>
          <w:noProof/>
          <w:sz w:val="24"/>
          <w:szCs w:val="24"/>
        </w:rPr>
        <w:drawing>
          <wp:inline distT="0" distB="0" distL="0" distR="0">
            <wp:extent cx="6186115" cy="2846567"/>
            <wp:effectExtent l="0" t="0" r="0" b="0"/>
            <wp:docPr id="2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4B6A68" w:rsidRDefault="004B6A68" w:rsidP="004B6A68">
      <w:pPr>
        <w:autoSpaceDE w:val="0"/>
        <w:autoSpaceDN w:val="0"/>
        <w:adjustRightInd w:val="0"/>
        <w:spacing w:after="0" w:line="240" w:lineRule="auto"/>
        <w:ind w:left="-284" w:firstLine="710"/>
        <w:jc w:val="both"/>
        <w:rPr>
          <w:rFonts w:ascii="Times New Roman" w:hAnsi="Times New Roman"/>
          <w:b/>
          <w:sz w:val="15"/>
          <w:szCs w:val="15"/>
        </w:rPr>
      </w:pPr>
      <w:r>
        <w:rPr>
          <w:rFonts w:ascii="Times New Roman" w:hAnsi="Times New Roman"/>
          <w:b/>
          <w:sz w:val="15"/>
          <w:szCs w:val="15"/>
        </w:rPr>
        <w:t>*-темп роста (спада) к соответствующей дате прошлого года, %</w:t>
      </w:r>
    </w:p>
    <w:p w:rsidR="004B6A68" w:rsidRDefault="004B6A68" w:rsidP="004B6A68">
      <w:pPr>
        <w:autoSpaceDE w:val="0"/>
        <w:autoSpaceDN w:val="0"/>
        <w:adjustRightInd w:val="0"/>
        <w:spacing w:after="0" w:line="240" w:lineRule="auto"/>
        <w:ind w:left="-284"/>
        <w:jc w:val="both"/>
        <w:rPr>
          <w:rFonts w:ascii="Times New Roman" w:hAnsi="Times New Roman"/>
          <w:sz w:val="24"/>
          <w:szCs w:val="24"/>
        </w:rPr>
      </w:pPr>
    </w:p>
    <w:p w:rsidR="004B6A68" w:rsidRDefault="004B6A68" w:rsidP="004B6A6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По состоянию на 1 июля 2014 года к аналогичной дате 2013 года в городе Бендеры и Дубоссарском районе возросла численность поголовья птицы всех возрастов на 83,3% и на 12,1% соответственно. В тоже время в Слободзейском, Рыбницком и Каменском районах поголовье птицы сократилось соответственно на 61,4%, 38,6% и на 9,8%.</w:t>
      </w:r>
    </w:p>
    <w:p w:rsidR="004B6A68" w:rsidRDefault="004B6A68" w:rsidP="004B6A68">
      <w:pPr>
        <w:autoSpaceDE w:val="0"/>
        <w:autoSpaceDN w:val="0"/>
        <w:adjustRightInd w:val="0"/>
        <w:spacing w:after="0" w:line="240" w:lineRule="auto"/>
        <w:jc w:val="both"/>
        <w:rPr>
          <w:rFonts w:ascii="Times New Roman" w:hAnsi="Times New Roman"/>
          <w:sz w:val="24"/>
          <w:szCs w:val="24"/>
        </w:rPr>
      </w:pPr>
    </w:p>
    <w:p w:rsidR="004B6A68" w:rsidRDefault="004B6A68" w:rsidP="004B6A68">
      <w:pPr>
        <w:autoSpaceDE w:val="0"/>
        <w:autoSpaceDN w:val="0"/>
        <w:adjustRightInd w:val="0"/>
        <w:spacing w:after="0" w:line="240" w:lineRule="auto"/>
        <w:jc w:val="both"/>
        <w:rPr>
          <w:rFonts w:ascii="Times New Roman" w:hAnsi="Times New Roman"/>
          <w:sz w:val="24"/>
          <w:szCs w:val="24"/>
        </w:rPr>
      </w:pPr>
      <w:r w:rsidRPr="00662F77">
        <w:rPr>
          <w:rFonts w:ascii="Times New Roman" w:hAnsi="Times New Roman"/>
          <w:noProof/>
          <w:sz w:val="24"/>
          <w:szCs w:val="24"/>
        </w:rPr>
        <w:lastRenderedPageBreak/>
        <w:drawing>
          <wp:inline distT="0" distB="0" distL="0" distR="0">
            <wp:extent cx="6058894" cy="3005593"/>
            <wp:effectExtent l="0" t="0" r="0" b="0"/>
            <wp:docPr id="2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4B6A68" w:rsidRDefault="004B6A68" w:rsidP="004B6A68">
      <w:pPr>
        <w:autoSpaceDE w:val="0"/>
        <w:autoSpaceDN w:val="0"/>
        <w:adjustRightInd w:val="0"/>
        <w:spacing w:after="0" w:line="240" w:lineRule="auto"/>
        <w:ind w:firstLine="426"/>
        <w:jc w:val="both"/>
        <w:rPr>
          <w:rFonts w:ascii="Times New Roman" w:hAnsi="Times New Roman"/>
          <w:b/>
          <w:sz w:val="15"/>
          <w:szCs w:val="15"/>
        </w:rPr>
      </w:pPr>
      <w:r>
        <w:rPr>
          <w:rFonts w:ascii="Times New Roman" w:hAnsi="Times New Roman"/>
          <w:b/>
          <w:sz w:val="15"/>
          <w:szCs w:val="15"/>
        </w:rPr>
        <w:t>*-темп роста (спада) к соответствующей дате прошлого года, %</w:t>
      </w:r>
    </w:p>
    <w:p w:rsidR="004B6A68" w:rsidRDefault="004B6A68" w:rsidP="004B6A68">
      <w:pPr>
        <w:autoSpaceDE w:val="0"/>
        <w:autoSpaceDN w:val="0"/>
        <w:adjustRightInd w:val="0"/>
        <w:spacing w:after="0" w:line="240" w:lineRule="auto"/>
        <w:jc w:val="both"/>
        <w:rPr>
          <w:rFonts w:ascii="Times New Roman" w:hAnsi="Times New Roman"/>
          <w:sz w:val="24"/>
          <w:szCs w:val="24"/>
        </w:rPr>
      </w:pPr>
    </w:p>
    <w:p w:rsidR="004B6A68" w:rsidRDefault="004B6A68" w:rsidP="004B6A6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 январе-июне 2014 года по отношению к январю-июню 2013 года выросло производство молока коровьего на 15,0% и яиц куриных на 39,8%, а производство мяса сократилось на 15,9%.</w:t>
      </w:r>
    </w:p>
    <w:p w:rsidR="004B6A68" w:rsidRDefault="004B6A68" w:rsidP="004B6A6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Наименьший объём реализации скота и птицы на убой (в живом весе) наблюдался в Каменском районе (на 61,6%), в городе Бендеры (на 38,2%), в Рыбником районе (на 29,3%), в Слободзейском районе (на 24,6%), при этом в Дубоссарском районе данный показатель увеличился (на 38,9%).</w:t>
      </w:r>
    </w:p>
    <w:p w:rsidR="004B6A68" w:rsidRDefault="004B6A68" w:rsidP="004B6A68">
      <w:pPr>
        <w:autoSpaceDE w:val="0"/>
        <w:autoSpaceDN w:val="0"/>
        <w:adjustRightInd w:val="0"/>
        <w:spacing w:after="0" w:line="240" w:lineRule="auto"/>
        <w:ind w:firstLine="709"/>
        <w:jc w:val="both"/>
        <w:rPr>
          <w:rFonts w:ascii="Times New Roman" w:hAnsi="Times New Roman"/>
          <w:sz w:val="24"/>
          <w:szCs w:val="24"/>
        </w:rPr>
      </w:pPr>
    </w:p>
    <w:p w:rsidR="004B6A68" w:rsidRDefault="004B6A68" w:rsidP="004B6A68">
      <w:pPr>
        <w:autoSpaceDE w:val="0"/>
        <w:autoSpaceDN w:val="0"/>
        <w:adjustRightInd w:val="0"/>
        <w:spacing w:after="0" w:line="240" w:lineRule="auto"/>
        <w:jc w:val="both"/>
        <w:rPr>
          <w:rFonts w:ascii="Times New Roman" w:hAnsi="Times New Roman"/>
          <w:sz w:val="24"/>
          <w:szCs w:val="24"/>
        </w:rPr>
      </w:pPr>
      <w:r w:rsidRPr="00110968">
        <w:rPr>
          <w:rFonts w:ascii="Times New Roman" w:hAnsi="Times New Roman"/>
          <w:noProof/>
          <w:sz w:val="24"/>
          <w:szCs w:val="24"/>
        </w:rPr>
        <w:drawing>
          <wp:inline distT="0" distB="0" distL="0" distR="0">
            <wp:extent cx="6345141" cy="2321781"/>
            <wp:effectExtent l="0" t="0" r="0" b="0"/>
            <wp:docPr id="26"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4B6A68" w:rsidRDefault="004B6A68" w:rsidP="004B6A68">
      <w:pPr>
        <w:autoSpaceDE w:val="0"/>
        <w:autoSpaceDN w:val="0"/>
        <w:adjustRightInd w:val="0"/>
        <w:spacing w:after="0" w:line="240" w:lineRule="auto"/>
        <w:ind w:firstLine="709"/>
        <w:jc w:val="both"/>
        <w:rPr>
          <w:rFonts w:ascii="Times New Roman" w:hAnsi="Times New Roman"/>
          <w:sz w:val="24"/>
          <w:szCs w:val="24"/>
        </w:rPr>
      </w:pPr>
    </w:p>
    <w:p w:rsidR="004B6A68" w:rsidRDefault="004B6A68" w:rsidP="004B6A68">
      <w:pPr>
        <w:tabs>
          <w:tab w:val="left" w:pos="3450"/>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В </w:t>
      </w:r>
      <w:r>
        <w:rPr>
          <w:rFonts w:ascii="Times New Roman" w:hAnsi="Times New Roman"/>
          <w:sz w:val="24"/>
          <w:szCs w:val="24"/>
          <w:lang w:val="en-US"/>
        </w:rPr>
        <w:t>I</w:t>
      </w:r>
      <w:r w:rsidRPr="00030BBB">
        <w:rPr>
          <w:rFonts w:ascii="Times New Roman" w:hAnsi="Times New Roman"/>
          <w:sz w:val="24"/>
          <w:szCs w:val="24"/>
        </w:rPr>
        <w:t xml:space="preserve"> </w:t>
      </w:r>
      <w:r>
        <w:rPr>
          <w:rFonts w:ascii="Times New Roman" w:hAnsi="Times New Roman"/>
          <w:sz w:val="24"/>
          <w:szCs w:val="24"/>
        </w:rPr>
        <w:t>полугодии 2014 года произошёл значительный прирост  производства молока коровьего в городе Бендеры (в 2,1 раза), в Григориопольском районе (на 44,5%),</w:t>
      </w:r>
      <w:r>
        <w:rPr>
          <w:rFonts w:ascii="Times New Roman" w:hAnsi="Times New Roman"/>
          <w:sz w:val="24"/>
          <w:szCs w:val="24"/>
        </w:rPr>
        <w:br/>
        <w:t>в Рыбницком районе (на 26,5%), при этом снижение производства молока отмечалось в Слободзейском районе (на 7,2%).</w:t>
      </w:r>
    </w:p>
    <w:p w:rsidR="004B6A68" w:rsidRDefault="004B6A68" w:rsidP="004B6A68">
      <w:pPr>
        <w:tabs>
          <w:tab w:val="left" w:pos="3450"/>
        </w:tabs>
        <w:autoSpaceDE w:val="0"/>
        <w:autoSpaceDN w:val="0"/>
        <w:adjustRightInd w:val="0"/>
        <w:spacing w:after="0" w:line="240" w:lineRule="auto"/>
        <w:ind w:firstLine="709"/>
        <w:jc w:val="both"/>
        <w:rPr>
          <w:rFonts w:ascii="Times New Roman" w:hAnsi="Times New Roman"/>
          <w:sz w:val="24"/>
          <w:szCs w:val="24"/>
        </w:rPr>
      </w:pPr>
    </w:p>
    <w:p w:rsidR="004B6A68" w:rsidRDefault="004B6A68" w:rsidP="004B6A68">
      <w:pPr>
        <w:tabs>
          <w:tab w:val="left" w:pos="3450"/>
        </w:tabs>
        <w:autoSpaceDE w:val="0"/>
        <w:autoSpaceDN w:val="0"/>
        <w:adjustRightInd w:val="0"/>
        <w:spacing w:after="0" w:line="240" w:lineRule="auto"/>
        <w:ind w:firstLine="709"/>
        <w:jc w:val="both"/>
        <w:rPr>
          <w:rFonts w:ascii="Times New Roman" w:hAnsi="Times New Roman"/>
          <w:sz w:val="24"/>
          <w:szCs w:val="24"/>
        </w:rPr>
      </w:pPr>
    </w:p>
    <w:p w:rsidR="004B6A68" w:rsidRDefault="004B6A68" w:rsidP="004B6A68">
      <w:pPr>
        <w:autoSpaceDE w:val="0"/>
        <w:autoSpaceDN w:val="0"/>
        <w:adjustRightInd w:val="0"/>
        <w:spacing w:after="0" w:line="240" w:lineRule="auto"/>
        <w:jc w:val="both"/>
        <w:rPr>
          <w:rFonts w:ascii="Times New Roman" w:hAnsi="Times New Roman"/>
          <w:sz w:val="24"/>
          <w:szCs w:val="24"/>
        </w:rPr>
      </w:pPr>
      <w:r w:rsidRPr="00D93841">
        <w:rPr>
          <w:rFonts w:ascii="Times New Roman" w:hAnsi="Times New Roman"/>
          <w:noProof/>
          <w:sz w:val="24"/>
          <w:szCs w:val="24"/>
        </w:rPr>
        <w:lastRenderedPageBreak/>
        <w:drawing>
          <wp:inline distT="0" distB="0" distL="0" distR="0">
            <wp:extent cx="6273580" cy="2321781"/>
            <wp:effectExtent l="0" t="0" r="0" b="0"/>
            <wp:docPr id="27"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4B6A68" w:rsidRDefault="004B6A68" w:rsidP="004B6A68">
      <w:pPr>
        <w:autoSpaceDE w:val="0"/>
        <w:autoSpaceDN w:val="0"/>
        <w:adjustRightInd w:val="0"/>
        <w:spacing w:after="0" w:line="240" w:lineRule="auto"/>
        <w:ind w:firstLine="709"/>
        <w:jc w:val="both"/>
        <w:rPr>
          <w:rFonts w:ascii="Times New Roman" w:hAnsi="Times New Roman"/>
          <w:sz w:val="24"/>
          <w:szCs w:val="24"/>
        </w:rPr>
      </w:pPr>
    </w:p>
    <w:p w:rsidR="004B6A68" w:rsidRDefault="004B6A68" w:rsidP="004B6A6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Основными производителями куриных яиц в республике являются организации Дубоссарского района (99,7% от общего количества куриных яиц). Средняя яйценоскость в этих организациях достигла 124 штуки яиц в расчёте на одну курицу несушку против</w:t>
      </w:r>
      <w:r>
        <w:rPr>
          <w:rFonts w:ascii="Times New Roman" w:hAnsi="Times New Roman"/>
          <w:sz w:val="24"/>
          <w:szCs w:val="24"/>
        </w:rPr>
        <w:br/>
        <w:t>156 штук яиц анализируемого периода прошлого года.</w:t>
      </w:r>
    </w:p>
    <w:p w:rsidR="004B6A68" w:rsidRDefault="004B6A68" w:rsidP="004B6A68">
      <w:pPr>
        <w:spacing w:after="0" w:line="240" w:lineRule="auto"/>
        <w:ind w:firstLine="709"/>
        <w:jc w:val="both"/>
        <w:rPr>
          <w:rFonts w:ascii="Times New Roman" w:hAnsi="Times New Roman"/>
          <w:sz w:val="24"/>
          <w:szCs w:val="24"/>
        </w:rPr>
      </w:pPr>
      <w:r w:rsidRPr="005713CA">
        <w:rPr>
          <w:rFonts w:ascii="Times New Roman" w:hAnsi="Times New Roman"/>
          <w:sz w:val="24"/>
          <w:szCs w:val="24"/>
        </w:rPr>
        <w:t>Замедление инфляционных процессов во всех основных сегментах потребительского рынка</w:t>
      </w:r>
      <w:r>
        <w:rPr>
          <w:rFonts w:ascii="Times New Roman" w:hAnsi="Times New Roman"/>
          <w:sz w:val="24"/>
          <w:szCs w:val="24"/>
        </w:rPr>
        <w:t xml:space="preserve"> городов и районов республики в совокупности с умеренным потребительским спросом предопределила объём розничных продаж товаров и услуг. В целом за январь - июнь 2014 года объем </w:t>
      </w:r>
      <w:r>
        <w:rPr>
          <w:rFonts w:ascii="Times New Roman" w:hAnsi="Times New Roman"/>
          <w:b/>
          <w:sz w:val="24"/>
          <w:szCs w:val="24"/>
        </w:rPr>
        <w:t>розничного товарооборота</w:t>
      </w:r>
      <w:r>
        <w:rPr>
          <w:rFonts w:ascii="Times New Roman" w:hAnsi="Times New Roman"/>
          <w:sz w:val="24"/>
          <w:szCs w:val="24"/>
        </w:rPr>
        <w:t xml:space="preserve"> городов и районов республики сложился в размере 3 576,0 млн. руб., снизившись по отношению к аналогичному периоду 2013 года в текущих и сопоставимых ценах на 0,3% и на 1,2% соответственно. Наименьшее снижение розничного товарооборота зарегистрировано в городе Тирасполь («-» на 3,0%), в Рыбницком районе и городе Рыбница («-» на 10,0%), в Слободзейском районе и  городе Слободзея («-» на 4,6%), при этом значительный прирост отмечен в Каменском районе и города Каменка («+» на 66,6%) и в Дубоссарском районе и городе Дубоссары («+» на 27,7%).</w:t>
      </w:r>
    </w:p>
    <w:p w:rsidR="004B6A68" w:rsidRDefault="004B6A68" w:rsidP="004B6A68">
      <w:pPr>
        <w:spacing w:after="0" w:line="240" w:lineRule="auto"/>
        <w:jc w:val="both"/>
        <w:rPr>
          <w:rFonts w:ascii="Times New Roman" w:hAnsi="Times New Roman"/>
          <w:sz w:val="24"/>
          <w:szCs w:val="24"/>
        </w:rPr>
      </w:pPr>
      <w:r>
        <w:rPr>
          <w:noProof/>
        </w:rPr>
        <w:drawing>
          <wp:inline distT="0" distB="0" distL="0" distR="0">
            <wp:extent cx="5943600" cy="1704975"/>
            <wp:effectExtent l="0" t="0" r="0" b="0"/>
            <wp:docPr id="28"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4B6A68" w:rsidRDefault="004B6A68" w:rsidP="004B6A68">
      <w:pPr>
        <w:spacing w:after="0" w:line="240" w:lineRule="auto"/>
        <w:ind w:firstLine="709"/>
        <w:jc w:val="both"/>
        <w:rPr>
          <w:rFonts w:ascii="Times New Roman" w:hAnsi="Times New Roman"/>
          <w:sz w:val="24"/>
          <w:szCs w:val="24"/>
        </w:rPr>
      </w:pPr>
    </w:p>
    <w:p w:rsidR="00042094" w:rsidRDefault="004B6A68" w:rsidP="004B6A68">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течение первой половины текущего года активно развивался сектор </w:t>
      </w:r>
      <w:r w:rsidRPr="000E3E58">
        <w:rPr>
          <w:rFonts w:ascii="Times New Roman" w:hAnsi="Times New Roman"/>
          <w:b/>
          <w:sz w:val="24"/>
          <w:szCs w:val="24"/>
        </w:rPr>
        <w:t>платных услуг населению,</w:t>
      </w:r>
      <w:r>
        <w:rPr>
          <w:rFonts w:ascii="Times New Roman" w:hAnsi="Times New Roman"/>
          <w:b/>
          <w:sz w:val="24"/>
          <w:szCs w:val="24"/>
        </w:rPr>
        <w:t xml:space="preserve"> </w:t>
      </w:r>
      <w:r w:rsidRPr="000E3E58">
        <w:rPr>
          <w:rFonts w:ascii="Times New Roman" w:hAnsi="Times New Roman"/>
          <w:sz w:val="24"/>
          <w:szCs w:val="24"/>
        </w:rPr>
        <w:t>динамика которого и определила общий тренд потребительского рынка</w:t>
      </w:r>
      <w:r>
        <w:rPr>
          <w:rFonts w:ascii="Times New Roman" w:hAnsi="Times New Roman"/>
          <w:sz w:val="24"/>
          <w:szCs w:val="24"/>
        </w:rPr>
        <w:t xml:space="preserve">. </w:t>
      </w:r>
    </w:p>
    <w:p w:rsidR="004B6A68" w:rsidRDefault="004B6A68" w:rsidP="004B6A68">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номинальном выражении организации всех форм собственности и физические лица оказали услуг на сумму 1 099,5 млн. руб. («+»5,7% в текущих ценах и «+» 4,5% в сопоставимых ценах). В разрезе городов и районов республики снижение объёма платных услуг отмечено лишь в городе Днестровск (на 11,9%) и в Каменском районе и городе Каменка (на 1,8%). Наиболее активное расширение объёма потреблённых услуг отмечено населением города Тирасполь, доля которых в общем объёме платных услуг составляет 50,3%. </w:t>
      </w:r>
    </w:p>
    <w:p w:rsidR="004B6A68" w:rsidRDefault="004B6A68" w:rsidP="004B6A68">
      <w:pPr>
        <w:spacing w:after="0" w:line="240" w:lineRule="auto"/>
        <w:ind w:firstLine="708"/>
        <w:jc w:val="both"/>
        <w:rPr>
          <w:rFonts w:ascii="Times New Roman" w:hAnsi="Times New Roman"/>
          <w:sz w:val="24"/>
          <w:szCs w:val="24"/>
        </w:rPr>
      </w:pPr>
      <w:r>
        <w:rPr>
          <w:rFonts w:ascii="Times New Roman" w:hAnsi="Times New Roman"/>
          <w:sz w:val="24"/>
          <w:szCs w:val="24"/>
        </w:rPr>
        <w:t>По итогам</w:t>
      </w:r>
      <w:r w:rsidRPr="009E5858">
        <w:rPr>
          <w:rFonts w:ascii="Times New Roman" w:hAnsi="Times New Roman"/>
          <w:sz w:val="24"/>
          <w:szCs w:val="24"/>
        </w:rPr>
        <w:t xml:space="preserve"> </w:t>
      </w:r>
      <w:r>
        <w:rPr>
          <w:rFonts w:ascii="Times New Roman" w:hAnsi="Times New Roman"/>
          <w:sz w:val="24"/>
          <w:szCs w:val="24"/>
        </w:rPr>
        <w:t>января-июня 2014 года о</w:t>
      </w:r>
      <w:r>
        <w:rPr>
          <w:rFonts w:ascii="Times New Roman" w:hAnsi="Times New Roman"/>
          <w:spacing w:val="4"/>
          <w:sz w:val="24"/>
          <w:szCs w:val="24"/>
        </w:rPr>
        <w:t xml:space="preserve">рганизациями городов и районов </w:t>
      </w:r>
      <w:r>
        <w:rPr>
          <w:rFonts w:ascii="Times New Roman" w:hAnsi="Times New Roman"/>
          <w:sz w:val="24"/>
          <w:szCs w:val="24"/>
        </w:rPr>
        <w:t xml:space="preserve">республики (кроме субъектов малого предпринимательства, банков, страховых и бюджетных </w:t>
      </w:r>
      <w:r>
        <w:rPr>
          <w:rFonts w:ascii="Times New Roman" w:hAnsi="Times New Roman"/>
          <w:sz w:val="24"/>
          <w:szCs w:val="24"/>
        </w:rPr>
        <w:lastRenderedPageBreak/>
        <w:t xml:space="preserve">организаций) был получен </w:t>
      </w:r>
      <w:r>
        <w:rPr>
          <w:rFonts w:ascii="Times New Roman" w:hAnsi="Times New Roman"/>
          <w:b/>
          <w:i/>
          <w:sz w:val="24"/>
          <w:szCs w:val="24"/>
        </w:rPr>
        <w:t>положительный сальдированный результат до налогообложения</w:t>
      </w:r>
      <w:r>
        <w:rPr>
          <w:rFonts w:ascii="Times New Roman" w:hAnsi="Times New Roman"/>
          <w:sz w:val="24"/>
          <w:szCs w:val="24"/>
        </w:rPr>
        <w:t xml:space="preserve"> в сумме 478,7 млн. руб., что в 2,6 раза больше сопоставимого показателя прошлого года. </w:t>
      </w:r>
    </w:p>
    <w:p w:rsidR="00F14F6E" w:rsidRDefault="00F14F6E" w:rsidP="00F14F6E">
      <w:pPr>
        <w:spacing w:after="0" w:line="240" w:lineRule="auto"/>
        <w:ind w:firstLine="708"/>
        <w:jc w:val="both"/>
        <w:rPr>
          <w:rFonts w:ascii="Times New Roman" w:hAnsi="Times New Roman"/>
          <w:sz w:val="24"/>
          <w:szCs w:val="24"/>
        </w:rPr>
      </w:pPr>
      <w:r>
        <w:rPr>
          <w:rFonts w:ascii="Times New Roman" w:hAnsi="Times New Roman"/>
          <w:sz w:val="24"/>
          <w:szCs w:val="24"/>
        </w:rPr>
        <w:t>В разрезе городов и районов положительный финансовый результат до налогообложения получен во всех городах и районах республики, кроме Рыбницкого района и города Рыбница, а также Дубоссарского района и города Дубоссары, где величина убытков составила соответственно 139,4 млн. руб. и 6,2 млн. руб.</w:t>
      </w:r>
    </w:p>
    <w:p w:rsidR="004B6A68" w:rsidRDefault="004B6A68" w:rsidP="004B6A68">
      <w:pPr>
        <w:spacing w:after="0" w:line="240" w:lineRule="auto"/>
        <w:ind w:firstLine="708"/>
        <w:jc w:val="both"/>
        <w:rPr>
          <w:rFonts w:ascii="Times New Roman" w:hAnsi="Times New Roman"/>
          <w:sz w:val="24"/>
          <w:szCs w:val="24"/>
        </w:rPr>
      </w:pPr>
      <w:r>
        <w:rPr>
          <w:rFonts w:ascii="Times New Roman" w:hAnsi="Times New Roman"/>
          <w:sz w:val="24"/>
          <w:szCs w:val="24"/>
        </w:rPr>
        <w:t xml:space="preserve">После уплаты налога на доходы и иных обязательных платежей из прибыли, фактическим результатом деятельности хозяйствующих субъектов городов и районов республики в январе-июне 2014 года явилась прибыль в размере 92,9 млн. руб. </w:t>
      </w:r>
      <w:r w:rsidR="00042094">
        <w:rPr>
          <w:rFonts w:ascii="Times New Roman" w:hAnsi="Times New Roman"/>
          <w:sz w:val="24"/>
          <w:szCs w:val="24"/>
        </w:rPr>
        <w:t xml:space="preserve">                       </w:t>
      </w:r>
      <w:r>
        <w:rPr>
          <w:rFonts w:ascii="Times New Roman" w:hAnsi="Times New Roman"/>
          <w:sz w:val="24"/>
          <w:szCs w:val="24"/>
        </w:rPr>
        <w:t>(в январе-июне 2013 года – убыток 162,2 млн. руб.).</w:t>
      </w:r>
    </w:p>
    <w:p w:rsidR="004B6A68" w:rsidRDefault="004B6A68" w:rsidP="004B6A68">
      <w:pPr>
        <w:spacing w:after="0" w:line="240" w:lineRule="auto"/>
        <w:ind w:left="-426"/>
        <w:jc w:val="center"/>
        <w:rPr>
          <w:rFonts w:ascii="Times New Roman" w:hAnsi="Times New Roman"/>
          <w:sz w:val="24"/>
          <w:szCs w:val="24"/>
        </w:rPr>
      </w:pPr>
      <w:r>
        <w:rPr>
          <w:noProof/>
        </w:rPr>
        <w:drawing>
          <wp:inline distT="0" distB="0" distL="0" distR="0">
            <wp:extent cx="6368995" cy="2941983"/>
            <wp:effectExtent l="0" t="0" r="0" b="0"/>
            <wp:docPr id="2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4B6A68" w:rsidRDefault="004B6A68" w:rsidP="004B6A68">
      <w:pPr>
        <w:spacing w:after="0" w:line="240" w:lineRule="auto"/>
        <w:ind w:firstLine="708"/>
        <w:jc w:val="both"/>
        <w:rPr>
          <w:rFonts w:ascii="Times New Roman" w:hAnsi="Times New Roman"/>
          <w:sz w:val="24"/>
          <w:szCs w:val="24"/>
        </w:rPr>
      </w:pPr>
      <w:r>
        <w:rPr>
          <w:rFonts w:ascii="Times New Roman" w:hAnsi="Times New Roman"/>
          <w:sz w:val="24"/>
          <w:szCs w:val="24"/>
        </w:rPr>
        <w:t>Основное влияние на полученную прибыль в январе-июне 2014 года оказала отрицательная динамика показателей финансово-хозяйственной деятельности предприятий Рыбницкого района и города Рыбница (-161,6 млн. руб.), что обусловлено неполной загрузкой произ</w:t>
      </w:r>
      <w:r w:rsidR="00F14F6E">
        <w:rPr>
          <w:rFonts w:ascii="Times New Roman" w:hAnsi="Times New Roman"/>
          <w:sz w:val="24"/>
          <w:szCs w:val="24"/>
        </w:rPr>
        <w:t xml:space="preserve">водственных мощностей крупного </w:t>
      </w:r>
      <w:r>
        <w:rPr>
          <w:rFonts w:ascii="Times New Roman" w:hAnsi="Times New Roman"/>
          <w:sz w:val="24"/>
          <w:szCs w:val="24"/>
        </w:rPr>
        <w:t xml:space="preserve">предприятия </w:t>
      </w:r>
      <w:r w:rsidR="00F14F6E">
        <w:rPr>
          <w:rFonts w:ascii="Times New Roman" w:hAnsi="Times New Roman"/>
          <w:sz w:val="24"/>
          <w:szCs w:val="24"/>
        </w:rPr>
        <w:t xml:space="preserve">                         </w:t>
      </w:r>
      <w:r>
        <w:rPr>
          <w:rFonts w:ascii="Times New Roman" w:hAnsi="Times New Roman"/>
          <w:sz w:val="24"/>
          <w:szCs w:val="24"/>
        </w:rPr>
        <w:t>ОАО «Молдавский металлургический завод».</w:t>
      </w:r>
    </w:p>
    <w:p w:rsidR="004B6A68" w:rsidRDefault="004B6A68" w:rsidP="004B6A68">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 январь-июнь 2014 года </w:t>
      </w:r>
      <w:r>
        <w:rPr>
          <w:rFonts w:ascii="Times New Roman" w:hAnsi="Times New Roman"/>
          <w:b/>
          <w:i/>
          <w:sz w:val="24"/>
          <w:szCs w:val="24"/>
        </w:rPr>
        <w:t>среднемесячная номинальная начисленная заработная плата</w:t>
      </w:r>
      <w:r>
        <w:rPr>
          <w:rFonts w:ascii="Times New Roman" w:hAnsi="Times New Roman"/>
          <w:sz w:val="24"/>
          <w:szCs w:val="24"/>
        </w:rPr>
        <w:t xml:space="preserve"> одного работника по республике (без субъектов малого предпринимательства) составила 4 020 руб. или 362 долл. США, увеличившись по сравнению с аналогичным периодом 2013 года на 9,8%. </w:t>
      </w:r>
    </w:p>
    <w:p w:rsidR="004B6A68" w:rsidRDefault="004B6A68" w:rsidP="004B6A68">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Наиболее высокий размер средней заработной платы отмечен в городе Днестровск (5 241 руб.) и городе Тирасполь (4 611 руб.), что на 30,4% и на 14,7% соответственно выше, чем размер средней заработной платы по республике. Несмотря на повышение средней заработной платы по городам и районам республики, сохраняется тенденция отставания от среднереспубликанского уровня в таких городах и районах как: Каменском районе и городе Каменка – на 26,0%, Григориопольском районе и городе Григориополь – на 24,7%, Слободзейском районе и городе Слободзея – на 23,9%, Дубоссарском районе и городе Дубоссары – на 10,9%, в городе Бендеры – на 10,7%.</w:t>
      </w:r>
    </w:p>
    <w:p w:rsidR="004B6A68" w:rsidRDefault="004B6A68" w:rsidP="004B6A68">
      <w:pPr>
        <w:widowControl w:val="0"/>
        <w:spacing w:after="0" w:line="240" w:lineRule="auto"/>
        <w:ind w:firstLine="709"/>
        <w:jc w:val="both"/>
        <w:rPr>
          <w:rFonts w:ascii="Times New Roman" w:hAnsi="Times New Roman"/>
          <w:sz w:val="24"/>
          <w:szCs w:val="24"/>
        </w:rPr>
      </w:pPr>
    </w:p>
    <w:p w:rsidR="004B6A68" w:rsidRDefault="004B6A68" w:rsidP="00042094">
      <w:pPr>
        <w:widowControl w:val="0"/>
        <w:spacing w:after="0" w:line="240" w:lineRule="auto"/>
        <w:ind w:firstLine="284"/>
        <w:jc w:val="both"/>
        <w:rPr>
          <w:rFonts w:ascii="Times New Roman" w:eastAsia="SimSun" w:hAnsi="Times New Roman"/>
          <w:sz w:val="24"/>
          <w:szCs w:val="24"/>
          <w:lang w:eastAsia="zh-CN"/>
        </w:rPr>
      </w:pPr>
      <w:r w:rsidRPr="00F42944">
        <w:rPr>
          <w:rFonts w:ascii="Times New Roman" w:eastAsia="SimSun" w:hAnsi="Times New Roman"/>
          <w:noProof/>
          <w:sz w:val="24"/>
          <w:szCs w:val="24"/>
        </w:rPr>
        <w:lastRenderedPageBreak/>
        <w:drawing>
          <wp:inline distT="0" distB="0" distL="0" distR="0">
            <wp:extent cx="5743575" cy="3448050"/>
            <wp:effectExtent l="0" t="0" r="0" b="0"/>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4B6A68" w:rsidRDefault="004B6A68" w:rsidP="004B6A68">
      <w:pPr>
        <w:autoSpaceDE w:val="0"/>
        <w:autoSpaceDN w:val="0"/>
        <w:adjustRightInd w:val="0"/>
        <w:spacing w:after="0" w:line="240" w:lineRule="auto"/>
        <w:ind w:firstLine="709"/>
        <w:jc w:val="both"/>
        <w:rPr>
          <w:rFonts w:ascii="Times New Roman" w:hAnsi="Times New Roman"/>
          <w:sz w:val="24"/>
          <w:szCs w:val="24"/>
        </w:rPr>
      </w:pPr>
      <w:r>
        <w:rPr>
          <w:rFonts w:ascii="Times New Roman" w:eastAsia="SimSun" w:hAnsi="Times New Roman"/>
          <w:sz w:val="24"/>
          <w:szCs w:val="24"/>
          <w:lang w:eastAsia="zh-CN"/>
        </w:rPr>
        <w:t xml:space="preserve">Таким образом, итоги </w:t>
      </w:r>
      <w:r>
        <w:rPr>
          <w:rFonts w:ascii="Times New Roman" w:hAnsi="Times New Roman"/>
          <w:sz w:val="24"/>
          <w:szCs w:val="24"/>
        </w:rPr>
        <w:t xml:space="preserve">социально-экономического развития городов и районов республики в январе-июне 2014 года обусловлены </w:t>
      </w:r>
      <w:r w:rsidR="00F14F6E">
        <w:rPr>
          <w:rFonts w:ascii="Times New Roman" w:hAnsi="Times New Roman"/>
          <w:sz w:val="24"/>
          <w:szCs w:val="24"/>
        </w:rPr>
        <w:t>сложной</w:t>
      </w:r>
      <w:r>
        <w:rPr>
          <w:rFonts w:ascii="Times New Roman" w:hAnsi="Times New Roman"/>
          <w:sz w:val="24"/>
          <w:szCs w:val="24"/>
        </w:rPr>
        <w:t xml:space="preserve"> ситуацией в реальном секторе, но возобновление </w:t>
      </w:r>
      <w:r w:rsidRPr="00B653AD">
        <w:rPr>
          <w:rFonts w:ascii="Times New Roman" w:hAnsi="Times New Roman"/>
          <w:sz w:val="24"/>
          <w:szCs w:val="24"/>
        </w:rPr>
        <w:t>работ</w:t>
      </w:r>
      <w:r>
        <w:rPr>
          <w:rFonts w:ascii="Times New Roman" w:hAnsi="Times New Roman"/>
          <w:sz w:val="24"/>
          <w:szCs w:val="24"/>
        </w:rPr>
        <w:t>ы</w:t>
      </w:r>
      <w:r w:rsidRPr="00B653AD">
        <w:rPr>
          <w:rFonts w:ascii="Times New Roman" w:hAnsi="Times New Roman"/>
          <w:sz w:val="24"/>
          <w:szCs w:val="24"/>
        </w:rPr>
        <w:t xml:space="preserve"> ведущих предприятий индустрии, простаивающих или существенно снизивших объемы производства в I полугодии 2013 года, стал</w:t>
      </w:r>
      <w:r>
        <w:rPr>
          <w:rFonts w:ascii="Times New Roman" w:hAnsi="Times New Roman"/>
          <w:sz w:val="24"/>
          <w:szCs w:val="24"/>
        </w:rPr>
        <w:t>о</w:t>
      </w:r>
      <w:r w:rsidRPr="00B653AD">
        <w:rPr>
          <w:rFonts w:ascii="Times New Roman" w:hAnsi="Times New Roman"/>
          <w:sz w:val="24"/>
          <w:szCs w:val="24"/>
        </w:rPr>
        <w:t xml:space="preserve"> </w:t>
      </w:r>
      <w:r>
        <w:rPr>
          <w:rFonts w:ascii="Times New Roman" w:hAnsi="Times New Roman"/>
          <w:sz w:val="24"/>
          <w:szCs w:val="24"/>
        </w:rPr>
        <w:t xml:space="preserve">ключевым </w:t>
      </w:r>
      <w:r w:rsidRPr="00B653AD">
        <w:rPr>
          <w:rFonts w:ascii="Times New Roman" w:hAnsi="Times New Roman"/>
          <w:sz w:val="24"/>
          <w:szCs w:val="24"/>
        </w:rPr>
        <w:t>фактором</w:t>
      </w:r>
      <w:r>
        <w:rPr>
          <w:rFonts w:ascii="Times New Roman" w:hAnsi="Times New Roman"/>
          <w:sz w:val="24"/>
          <w:szCs w:val="24"/>
        </w:rPr>
        <w:t xml:space="preserve">, определяющим </w:t>
      </w:r>
      <w:r w:rsidRPr="00B653AD">
        <w:rPr>
          <w:rFonts w:ascii="Times New Roman" w:hAnsi="Times New Roman"/>
          <w:sz w:val="24"/>
          <w:szCs w:val="24"/>
        </w:rPr>
        <w:t xml:space="preserve">динамику </w:t>
      </w:r>
      <w:r>
        <w:rPr>
          <w:rFonts w:ascii="Times New Roman" w:hAnsi="Times New Roman"/>
          <w:sz w:val="24"/>
          <w:szCs w:val="24"/>
        </w:rPr>
        <w:t xml:space="preserve">макроэкономических показателей </w:t>
      </w:r>
      <w:r w:rsidRPr="00B653AD">
        <w:rPr>
          <w:rFonts w:ascii="Times New Roman" w:hAnsi="Times New Roman"/>
          <w:sz w:val="24"/>
          <w:szCs w:val="24"/>
        </w:rPr>
        <w:t>в</w:t>
      </w:r>
      <w:r w:rsidR="00F14F6E">
        <w:rPr>
          <w:rFonts w:ascii="Times New Roman" w:hAnsi="Times New Roman"/>
          <w:sz w:val="24"/>
          <w:szCs w:val="24"/>
        </w:rPr>
        <w:t xml:space="preserve">                                  </w:t>
      </w:r>
      <w:r w:rsidRPr="00B653AD">
        <w:rPr>
          <w:rFonts w:ascii="Times New Roman" w:hAnsi="Times New Roman"/>
          <w:sz w:val="24"/>
          <w:szCs w:val="24"/>
          <w:lang w:val="en-US"/>
        </w:rPr>
        <w:t>I</w:t>
      </w:r>
      <w:r w:rsidRPr="00B653AD">
        <w:rPr>
          <w:rFonts w:ascii="Times New Roman" w:hAnsi="Times New Roman"/>
          <w:sz w:val="24"/>
          <w:szCs w:val="24"/>
        </w:rPr>
        <w:t xml:space="preserve"> полугодии 2014 год</w:t>
      </w:r>
      <w:r>
        <w:rPr>
          <w:rFonts w:ascii="Times New Roman" w:hAnsi="Times New Roman"/>
          <w:sz w:val="24"/>
          <w:szCs w:val="24"/>
        </w:rPr>
        <w:t>а</w:t>
      </w:r>
      <w:r w:rsidRPr="00B653AD">
        <w:rPr>
          <w:rFonts w:ascii="Times New Roman" w:hAnsi="Times New Roman"/>
          <w:sz w:val="24"/>
          <w:szCs w:val="24"/>
        </w:rPr>
        <w:t>.</w:t>
      </w: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pPr>
    </w:p>
    <w:p w:rsidR="00DE2491" w:rsidRDefault="00DE2491" w:rsidP="00A963E6">
      <w:pPr>
        <w:spacing w:after="0" w:line="240" w:lineRule="auto"/>
        <w:jc w:val="both"/>
        <w:rPr>
          <w:rFonts w:ascii="Times New Roman" w:hAnsi="Times New Roman"/>
          <w:sz w:val="24"/>
          <w:szCs w:val="24"/>
        </w:rPr>
        <w:sectPr w:rsidR="00DE2491" w:rsidSect="00182792">
          <w:pgSz w:w="11906" w:h="16838" w:code="9"/>
          <w:pgMar w:top="1134" w:right="851" w:bottom="1134" w:left="1701" w:header="709" w:footer="709" w:gutter="0"/>
          <w:cols w:space="708"/>
          <w:titlePg/>
          <w:docGrid w:linePitch="360"/>
        </w:sectPr>
      </w:pPr>
    </w:p>
    <w:tbl>
      <w:tblPr>
        <w:tblpPr w:leftFromText="180" w:rightFromText="180" w:vertAnchor="page" w:horzAnchor="margin" w:tblpXSpec="center" w:tblpY="451"/>
        <w:tblW w:w="10121" w:type="dxa"/>
        <w:tblLayout w:type="fixed"/>
        <w:tblLook w:val="00A0"/>
      </w:tblPr>
      <w:tblGrid>
        <w:gridCol w:w="10121"/>
      </w:tblGrid>
      <w:tr w:rsidR="00DE2491" w:rsidRPr="00407470" w:rsidTr="00A963E6">
        <w:trPr>
          <w:trHeight w:val="140"/>
        </w:trPr>
        <w:tc>
          <w:tcPr>
            <w:tcW w:w="10121" w:type="dxa"/>
            <w:tcBorders>
              <w:top w:val="nil"/>
              <w:left w:val="nil"/>
              <w:bottom w:val="nil"/>
              <w:right w:val="nil"/>
            </w:tcBorders>
            <w:vAlign w:val="bottom"/>
          </w:tcPr>
          <w:p w:rsidR="00DE2491" w:rsidRPr="00E86D11" w:rsidRDefault="00DE2491" w:rsidP="00A963E6">
            <w:pPr>
              <w:spacing w:after="0" w:line="240" w:lineRule="auto"/>
              <w:rPr>
                <w:rFonts w:ascii="Times New Roman" w:hAnsi="Times New Roman"/>
                <w:b/>
                <w:bCs/>
                <w:color w:val="000000"/>
                <w:sz w:val="24"/>
                <w:szCs w:val="24"/>
              </w:rPr>
            </w:pPr>
          </w:p>
        </w:tc>
      </w:tr>
    </w:tbl>
    <w:tbl>
      <w:tblPr>
        <w:tblW w:w="9796" w:type="dxa"/>
        <w:tblInd w:w="93" w:type="dxa"/>
        <w:tblLayout w:type="fixed"/>
        <w:tblLook w:val="04A0"/>
      </w:tblPr>
      <w:tblGrid>
        <w:gridCol w:w="3760"/>
        <w:gridCol w:w="650"/>
        <w:gridCol w:w="401"/>
        <w:gridCol w:w="733"/>
        <w:gridCol w:w="1275"/>
        <w:gridCol w:w="1276"/>
        <w:gridCol w:w="1701"/>
      </w:tblGrid>
      <w:tr w:rsidR="00A963E6" w:rsidRPr="00FA3AE7" w:rsidTr="00A963E6">
        <w:trPr>
          <w:trHeight w:val="255"/>
        </w:trPr>
        <w:tc>
          <w:tcPr>
            <w:tcW w:w="9796" w:type="dxa"/>
            <w:gridSpan w:val="7"/>
            <w:tcBorders>
              <w:top w:val="nil"/>
              <w:left w:val="nil"/>
              <w:bottom w:val="nil"/>
              <w:right w:val="nil"/>
            </w:tcBorders>
            <w:shd w:val="clear" w:color="auto" w:fill="auto"/>
            <w:vAlign w:val="bottom"/>
            <w:hideMark/>
          </w:tcPr>
          <w:p w:rsidR="00A963E6" w:rsidRPr="00FA3AE7" w:rsidRDefault="00A963E6" w:rsidP="00CF16D1">
            <w:pPr>
              <w:spacing w:after="0" w:line="240" w:lineRule="auto"/>
              <w:jc w:val="right"/>
              <w:rPr>
                <w:rFonts w:ascii="Times New Roman" w:hAnsi="Times New Roman"/>
                <w:color w:val="000000"/>
              </w:rPr>
            </w:pPr>
            <w:r w:rsidRPr="00FA3AE7">
              <w:rPr>
                <w:rFonts w:ascii="Times New Roman" w:hAnsi="Times New Roman"/>
                <w:color w:val="000000"/>
              </w:rPr>
              <w:t>Приложение №1</w:t>
            </w:r>
          </w:p>
        </w:tc>
      </w:tr>
      <w:tr w:rsidR="00A963E6" w:rsidRPr="00FA3AE7" w:rsidTr="00A963E6">
        <w:trPr>
          <w:trHeight w:val="585"/>
        </w:trPr>
        <w:tc>
          <w:tcPr>
            <w:tcW w:w="9796" w:type="dxa"/>
            <w:gridSpan w:val="7"/>
            <w:tcBorders>
              <w:top w:val="nil"/>
              <w:left w:val="nil"/>
              <w:bottom w:val="nil"/>
              <w:right w:val="nil"/>
            </w:tcBorders>
            <w:shd w:val="clear" w:color="auto" w:fill="auto"/>
            <w:vAlign w:val="bottom"/>
            <w:hideMark/>
          </w:tcPr>
          <w:p w:rsidR="00A963E6" w:rsidRPr="00FA3AE7" w:rsidRDefault="00A963E6" w:rsidP="00CF16D1">
            <w:pPr>
              <w:spacing w:after="0" w:line="240" w:lineRule="auto"/>
              <w:jc w:val="center"/>
              <w:rPr>
                <w:rFonts w:ascii="Times New Roman" w:hAnsi="Times New Roman"/>
                <w:b/>
                <w:bCs/>
                <w:color w:val="000000"/>
              </w:rPr>
            </w:pPr>
            <w:r w:rsidRPr="00FA3AE7">
              <w:rPr>
                <w:rFonts w:ascii="Times New Roman" w:hAnsi="Times New Roman"/>
                <w:b/>
                <w:bCs/>
                <w:color w:val="000000"/>
              </w:rPr>
              <w:t>Основные макроэкономические показатели Приднестровской Молдавской Республики за  январь-июнь 2014 года</w:t>
            </w:r>
          </w:p>
        </w:tc>
      </w:tr>
      <w:tr w:rsidR="00A963E6" w:rsidRPr="00FA3AE7" w:rsidTr="00A963E6">
        <w:trPr>
          <w:trHeight w:val="112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963E6" w:rsidRPr="00FA3AE7" w:rsidRDefault="00A963E6" w:rsidP="00CF16D1">
            <w:pPr>
              <w:spacing w:after="0" w:line="240" w:lineRule="auto"/>
              <w:jc w:val="center"/>
              <w:rPr>
                <w:rFonts w:ascii="Times New Roman" w:hAnsi="Times New Roman"/>
                <w:b/>
                <w:color w:val="000000"/>
                <w:sz w:val="20"/>
                <w:szCs w:val="20"/>
              </w:rPr>
            </w:pPr>
            <w:r w:rsidRPr="00FA3AE7">
              <w:rPr>
                <w:rFonts w:ascii="Times New Roman" w:hAnsi="Times New Roman"/>
                <w:b/>
                <w:color w:val="000000"/>
                <w:sz w:val="20"/>
                <w:szCs w:val="20"/>
              </w:rPr>
              <w:t>Показатели</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A963E6" w:rsidRPr="00FA3AE7" w:rsidRDefault="00A963E6" w:rsidP="00CF16D1">
            <w:pPr>
              <w:spacing w:after="0" w:line="240" w:lineRule="auto"/>
              <w:jc w:val="center"/>
              <w:rPr>
                <w:rFonts w:ascii="Times New Roman" w:hAnsi="Times New Roman"/>
                <w:b/>
                <w:color w:val="000000"/>
                <w:sz w:val="20"/>
                <w:szCs w:val="20"/>
              </w:rPr>
            </w:pPr>
            <w:r w:rsidRPr="00FA3AE7">
              <w:rPr>
                <w:rFonts w:ascii="Times New Roman" w:hAnsi="Times New Roman"/>
                <w:b/>
                <w:color w:val="000000"/>
                <w:sz w:val="20"/>
                <w:szCs w:val="20"/>
              </w:rPr>
              <w:t>Ед. изм.</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963E6" w:rsidRDefault="00A963E6" w:rsidP="00CF16D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Факт за I полугодие</w:t>
            </w:r>
          </w:p>
          <w:p w:rsidR="00A963E6" w:rsidRPr="00FA3AE7" w:rsidRDefault="00A963E6" w:rsidP="00CF16D1">
            <w:pPr>
              <w:spacing w:after="0" w:line="240" w:lineRule="auto"/>
              <w:jc w:val="center"/>
              <w:rPr>
                <w:rFonts w:ascii="Times New Roman" w:hAnsi="Times New Roman"/>
                <w:b/>
                <w:bCs/>
                <w:color w:val="000000"/>
                <w:sz w:val="20"/>
                <w:szCs w:val="20"/>
              </w:rPr>
            </w:pPr>
            <w:r w:rsidRPr="00FA3AE7">
              <w:rPr>
                <w:rFonts w:ascii="Times New Roman" w:hAnsi="Times New Roman"/>
                <w:b/>
                <w:bCs/>
                <w:color w:val="000000"/>
                <w:sz w:val="20"/>
                <w:szCs w:val="20"/>
              </w:rPr>
              <w:t>2013 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963E6" w:rsidRPr="00FA3AE7" w:rsidRDefault="00A963E6" w:rsidP="00CF16D1">
            <w:pPr>
              <w:spacing w:after="0" w:line="240" w:lineRule="auto"/>
              <w:jc w:val="center"/>
              <w:rPr>
                <w:rFonts w:ascii="Times New Roman" w:hAnsi="Times New Roman"/>
                <w:b/>
                <w:bCs/>
                <w:sz w:val="20"/>
                <w:szCs w:val="20"/>
              </w:rPr>
            </w:pPr>
            <w:r w:rsidRPr="00FA3AE7">
              <w:rPr>
                <w:rFonts w:ascii="Times New Roman" w:hAnsi="Times New Roman"/>
                <w:b/>
                <w:bCs/>
                <w:sz w:val="20"/>
                <w:szCs w:val="20"/>
              </w:rPr>
              <w:t>Факт за I полугодие  2014 г.</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b/>
                <w:bCs/>
                <w:sz w:val="20"/>
                <w:szCs w:val="20"/>
              </w:rPr>
            </w:pPr>
            <w:r w:rsidRPr="00FA3AE7">
              <w:rPr>
                <w:rFonts w:ascii="Times New Roman" w:hAnsi="Times New Roman"/>
                <w:b/>
                <w:bCs/>
                <w:sz w:val="20"/>
                <w:szCs w:val="20"/>
              </w:rPr>
              <w:t xml:space="preserve">Темп роста*  </w:t>
            </w:r>
            <w:r>
              <w:rPr>
                <w:rFonts w:ascii="Times New Roman" w:hAnsi="Times New Roman"/>
                <w:b/>
                <w:bCs/>
                <w:sz w:val="20"/>
                <w:szCs w:val="20"/>
              </w:rPr>
              <w:t>I полугодия</w:t>
            </w:r>
            <w:r w:rsidRPr="00FA3AE7">
              <w:rPr>
                <w:rFonts w:ascii="Times New Roman" w:hAnsi="Times New Roman"/>
                <w:b/>
                <w:bCs/>
                <w:sz w:val="20"/>
                <w:szCs w:val="20"/>
              </w:rPr>
              <w:t xml:space="preserve"> </w:t>
            </w:r>
            <w:r>
              <w:rPr>
                <w:rFonts w:ascii="Times New Roman" w:hAnsi="Times New Roman"/>
                <w:b/>
                <w:bCs/>
                <w:sz w:val="20"/>
                <w:szCs w:val="20"/>
              </w:rPr>
              <w:t xml:space="preserve">    2014 г. к I полугодию </w:t>
            </w:r>
            <w:r w:rsidRPr="00FA3AE7">
              <w:rPr>
                <w:rFonts w:ascii="Times New Roman" w:hAnsi="Times New Roman"/>
                <w:b/>
                <w:bCs/>
                <w:sz w:val="20"/>
                <w:szCs w:val="20"/>
              </w:rPr>
              <w:t xml:space="preserve">             2013 г., %</w:t>
            </w:r>
          </w:p>
        </w:tc>
      </w:tr>
      <w:tr w:rsidR="00A963E6" w:rsidRPr="00FA3AE7" w:rsidTr="00A963E6">
        <w:trPr>
          <w:trHeight w:val="258"/>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b/>
                <w:color w:val="000000"/>
                <w:sz w:val="20"/>
                <w:szCs w:val="20"/>
              </w:rPr>
            </w:pPr>
            <w:r w:rsidRPr="00FA3AE7">
              <w:rPr>
                <w:rFonts w:ascii="Times New Roman" w:hAnsi="Times New Roman"/>
                <w:b/>
                <w:color w:val="000000"/>
                <w:sz w:val="20"/>
                <w:szCs w:val="20"/>
              </w:rPr>
              <w:t>1</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b/>
                <w:color w:val="000000"/>
                <w:sz w:val="20"/>
                <w:szCs w:val="20"/>
              </w:rPr>
            </w:pPr>
            <w:r w:rsidRPr="00FA3AE7">
              <w:rPr>
                <w:rFonts w:ascii="Times New Roman" w:hAnsi="Times New Roman"/>
                <w:b/>
                <w:color w:val="000000"/>
                <w:sz w:val="20"/>
                <w:szCs w:val="20"/>
              </w:rPr>
              <w:t>2</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b/>
                <w:color w:val="000000"/>
                <w:sz w:val="20"/>
                <w:szCs w:val="20"/>
              </w:rPr>
            </w:pPr>
            <w:r w:rsidRPr="00FA3AE7">
              <w:rPr>
                <w:rFonts w:ascii="Times New Roman" w:hAnsi="Times New Roman"/>
                <w:b/>
                <w:color w:val="000000"/>
                <w:sz w:val="20"/>
                <w:szCs w:val="20"/>
              </w:rPr>
              <w:t>3</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b/>
                <w:sz w:val="20"/>
                <w:szCs w:val="20"/>
              </w:rPr>
            </w:pPr>
            <w:r w:rsidRPr="00FA3AE7">
              <w:rPr>
                <w:rFonts w:ascii="Times New Roman" w:hAnsi="Times New Roman"/>
                <w:b/>
                <w:sz w:val="20"/>
                <w:szCs w:val="20"/>
              </w:rPr>
              <w:t>4</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b/>
                <w:color w:val="1F497D"/>
                <w:sz w:val="20"/>
                <w:szCs w:val="20"/>
              </w:rPr>
            </w:pPr>
            <w:r w:rsidRPr="00FA3AE7">
              <w:rPr>
                <w:rFonts w:ascii="Times New Roman" w:hAnsi="Times New Roman"/>
                <w:b/>
                <w:color w:val="1F497D"/>
                <w:sz w:val="20"/>
                <w:szCs w:val="20"/>
              </w:rPr>
              <w:t>5</w:t>
            </w:r>
          </w:p>
        </w:tc>
      </w:tr>
      <w:tr w:rsidR="00A963E6" w:rsidRPr="00FA3AE7" w:rsidTr="00A963E6">
        <w:trPr>
          <w:trHeight w:val="300"/>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Валовой внутренний продукт</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млн. руб.</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4 246,8</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4 767,5</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109,5</w:t>
            </w:r>
          </w:p>
        </w:tc>
      </w:tr>
      <w:tr w:rsidR="00A963E6" w:rsidRPr="00FA3AE7" w:rsidTr="00A963E6">
        <w:trPr>
          <w:trHeight w:val="285"/>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Валовой внутренний продукт</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млн. дол.</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382,6</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429,5</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109,5</w:t>
            </w:r>
          </w:p>
        </w:tc>
      </w:tr>
      <w:tr w:rsidR="00A963E6" w:rsidRPr="00FA3AE7" w:rsidTr="00A963E6">
        <w:trPr>
          <w:trHeight w:val="384"/>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Объем промышленного производства (оценка)** (в текущих ценах)</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млн. руб.</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3 387,3</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5 218,7</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145,6</w:t>
            </w:r>
          </w:p>
        </w:tc>
      </w:tr>
      <w:tr w:rsidR="00A963E6" w:rsidRPr="00FA3AE7" w:rsidTr="00A963E6">
        <w:trPr>
          <w:trHeight w:val="475"/>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в том числе по предприятиям промышленности (в текущих ценах)</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млн. руб.</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3 214,6</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4 945,2</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146,9</w:t>
            </w:r>
          </w:p>
        </w:tc>
      </w:tr>
      <w:tr w:rsidR="00A963E6" w:rsidRPr="00FA3AE7" w:rsidTr="00A963E6">
        <w:trPr>
          <w:trHeight w:val="509"/>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 xml:space="preserve">Объем промышленного производства по полному кругу предприятий </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млн. дол.</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305,2</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470,2</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79,8</w:t>
            </w:r>
          </w:p>
        </w:tc>
      </w:tr>
      <w:tr w:rsidR="00A963E6" w:rsidRPr="00FA3AE7" w:rsidTr="00A963E6">
        <w:trPr>
          <w:trHeight w:val="262"/>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 xml:space="preserve">в том числе по предприятия промышленности </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млн. дол.</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289,6</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445,5</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146,9</w:t>
            </w:r>
          </w:p>
        </w:tc>
      </w:tr>
      <w:tr w:rsidR="00A963E6" w:rsidRPr="00FA3AE7" w:rsidTr="00A963E6">
        <w:trPr>
          <w:trHeight w:val="419"/>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Объем сельскохозяйственного производства (в текущих ценах)</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млн. руб.</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392,2</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415,3</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106,6</w:t>
            </w:r>
          </w:p>
        </w:tc>
      </w:tr>
      <w:tr w:rsidR="00A963E6" w:rsidRPr="00FA3AE7" w:rsidTr="00A963E6">
        <w:trPr>
          <w:trHeight w:val="287"/>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Объем сельскохозяйственного производства</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дол.</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35,3</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37,4</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105,9</w:t>
            </w:r>
          </w:p>
        </w:tc>
      </w:tr>
      <w:tr w:rsidR="00A963E6" w:rsidRPr="00FA3AE7" w:rsidTr="00A963E6">
        <w:trPr>
          <w:trHeight w:val="419"/>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 xml:space="preserve">Объем перевозок грузов организациями автомобильного транспорта </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тыс. тонн</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511,3</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1 070,6</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2,1р.</w:t>
            </w:r>
          </w:p>
        </w:tc>
      </w:tr>
      <w:tr w:rsidR="00A963E6" w:rsidRPr="00FA3AE7" w:rsidTr="00A963E6">
        <w:trPr>
          <w:trHeight w:val="795"/>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Инвестиции в основной капитал, с учетом оценки субъектов малого предпринимательства и индивидуальных застройщиков (в текущих ценах)</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руб.</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729,2</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711,70</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82,6</w:t>
            </w:r>
          </w:p>
        </w:tc>
      </w:tr>
      <w:tr w:rsidR="00A963E6" w:rsidRPr="00FA3AE7" w:rsidTr="00A963E6">
        <w:trPr>
          <w:trHeight w:val="580"/>
        </w:trPr>
        <w:tc>
          <w:tcPr>
            <w:tcW w:w="4410" w:type="dxa"/>
            <w:gridSpan w:val="2"/>
            <w:tcBorders>
              <w:top w:val="nil"/>
              <w:left w:val="single" w:sz="4" w:space="0" w:color="auto"/>
              <w:bottom w:val="single" w:sz="4" w:space="0" w:color="auto"/>
              <w:right w:val="single" w:sz="4" w:space="0" w:color="auto"/>
            </w:tcBorders>
            <w:shd w:val="clear" w:color="auto" w:fill="auto"/>
            <w:vAlign w:val="center"/>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Ввод в действие жилых домов</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кв. м. общей площади</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18 060,0</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11 721,70</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64,9</w:t>
            </w:r>
          </w:p>
        </w:tc>
      </w:tr>
      <w:tr w:rsidR="00A963E6" w:rsidRPr="00FA3AE7" w:rsidTr="00A963E6">
        <w:trPr>
          <w:trHeight w:val="696"/>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Общий объем розничного товарооборота + общественное питание и платные услуги населению</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руб.</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4 613,5</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4 675,40</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100,1</w:t>
            </w:r>
          </w:p>
        </w:tc>
      </w:tr>
      <w:tr w:rsidR="00A963E6" w:rsidRPr="00FA3AE7" w:rsidTr="00A963E6">
        <w:trPr>
          <w:trHeight w:val="423"/>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Розничный товарооборот +общественное питание</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p>
        </w:tc>
      </w:tr>
      <w:tr w:rsidR="00A963E6" w:rsidRPr="00FA3AE7" w:rsidTr="00A963E6">
        <w:trPr>
          <w:trHeight w:val="231"/>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в текущих ценах</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руб.</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3 561,4</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3 756,00</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99,7</w:t>
            </w:r>
          </w:p>
        </w:tc>
      </w:tr>
      <w:tr w:rsidR="00A963E6" w:rsidRPr="00FA3AE7" w:rsidTr="00A963E6">
        <w:trPr>
          <w:trHeight w:val="300"/>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в сопоставимых ценах</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104,1</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98,8</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х</w:t>
            </w:r>
          </w:p>
        </w:tc>
      </w:tr>
      <w:tr w:rsidR="00A963E6" w:rsidRPr="00FA3AE7" w:rsidTr="00A963E6">
        <w:trPr>
          <w:trHeight w:val="300"/>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Объем платных услуг</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p>
        </w:tc>
      </w:tr>
      <w:tr w:rsidR="00A963E6" w:rsidRPr="00FA3AE7" w:rsidTr="00A963E6">
        <w:trPr>
          <w:trHeight w:val="109"/>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в текущих ценах</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руб.</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1 052,1</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1 099,50</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105,7</w:t>
            </w:r>
          </w:p>
        </w:tc>
      </w:tr>
      <w:tr w:rsidR="00A963E6" w:rsidRPr="00FA3AE7" w:rsidTr="00A963E6">
        <w:trPr>
          <w:trHeight w:val="228"/>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в сопоставимых ценах</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103,1</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104,5</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х</w:t>
            </w:r>
          </w:p>
        </w:tc>
      </w:tr>
      <w:tr w:rsidR="00A963E6" w:rsidRPr="00FA3AE7" w:rsidTr="00A963E6">
        <w:trPr>
          <w:trHeight w:val="189"/>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Внешнеторговый оборот</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дол.</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959,4</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1 187,6</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123,6</w:t>
            </w:r>
          </w:p>
        </w:tc>
      </w:tr>
      <w:tr w:rsidR="00A963E6" w:rsidRPr="00FA3AE7" w:rsidTr="00A963E6">
        <w:trPr>
          <w:trHeight w:val="166"/>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Экспорт товаров</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дол.</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211,8</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363,0</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171,4</w:t>
            </w:r>
          </w:p>
        </w:tc>
      </w:tr>
      <w:tr w:rsidR="00A963E6" w:rsidRPr="00FA3AE7" w:rsidTr="00A963E6">
        <w:trPr>
          <w:trHeight w:val="283"/>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Импорт товаров</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дол.</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747,6</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824,60</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110,1</w:t>
            </w:r>
          </w:p>
        </w:tc>
      </w:tr>
      <w:tr w:rsidR="00A963E6" w:rsidRPr="00FA3AE7" w:rsidTr="00A963E6">
        <w:trPr>
          <w:trHeight w:val="412"/>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Сальдо внешнеторгового оборота (+;-)</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дол.</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-535,8</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-461,7</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х</w:t>
            </w:r>
          </w:p>
        </w:tc>
      </w:tr>
      <w:tr w:rsidR="00A963E6" w:rsidRPr="00FA3AE7" w:rsidTr="00A963E6">
        <w:trPr>
          <w:trHeight w:val="423"/>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Фонд заработной платы, включая субъекты предпринимательства (оценка)</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руб.</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2 290,30</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2 508,00</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109,9</w:t>
            </w:r>
          </w:p>
        </w:tc>
      </w:tr>
      <w:tr w:rsidR="00A963E6" w:rsidRPr="00FA3AE7" w:rsidTr="00A963E6">
        <w:trPr>
          <w:trHeight w:val="280"/>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Фонд заработной платы</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руб.</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2 078,30</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2 275,90</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109,6</w:t>
            </w:r>
          </w:p>
        </w:tc>
      </w:tr>
      <w:tr w:rsidR="00A963E6" w:rsidRPr="00FA3AE7" w:rsidTr="00A963E6">
        <w:trPr>
          <w:trHeight w:val="595"/>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Среднесписочная численность работающих, включая субъекты предпринимательства (оценка)</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тыс. чел.</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12</w:t>
            </w:r>
            <w:r>
              <w:rPr>
                <w:rFonts w:ascii="Times New Roman" w:hAnsi="Times New Roman"/>
                <w:color w:val="000000"/>
                <w:sz w:val="20"/>
                <w:szCs w:val="20"/>
              </w:rPr>
              <w:t>6</w:t>
            </w:r>
            <w:r w:rsidRPr="00FA3AE7">
              <w:rPr>
                <w:rFonts w:ascii="Times New Roman" w:hAnsi="Times New Roman"/>
                <w:color w:val="000000"/>
                <w:sz w:val="20"/>
                <w:szCs w:val="20"/>
              </w:rPr>
              <w:t>,3</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121,3</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99,8</w:t>
            </w:r>
          </w:p>
        </w:tc>
      </w:tr>
      <w:tr w:rsidR="00A963E6" w:rsidRPr="00FA3AE7" w:rsidTr="00A963E6">
        <w:trPr>
          <w:trHeight w:val="604"/>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Среднемесячная заработная плата, включая субъекты предпринимательства (оценка)</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руб.</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3 571</w:t>
            </w:r>
          </w:p>
        </w:tc>
        <w:tc>
          <w:tcPr>
            <w:tcW w:w="1276"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3 930</w:t>
            </w:r>
          </w:p>
        </w:tc>
        <w:tc>
          <w:tcPr>
            <w:tcW w:w="1701"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109,9</w:t>
            </w:r>
          </w:p>
        </w:tc>
      </w:tr>
      <w:tr w:rsidR="00A963E6" w:rsidRPr="00FA3AE7" w:rsidTr="00A963E6">
        <w:trPr>
          <w:trHeight w:val="437"/>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Среднемесячная заработная плата одного работника</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руб.</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3 656</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4 020</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109,9</w:t>
            </w:r>
          </w:p>
        </w:tc>
      </w:tr>
      <w:tr w:rsidR="00A963E6" w:rsidRPr="00FA3AE7" w:rsidTr="00A963E6">
        <w:trPr>
          <w:trHeight w:val="647"/>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Среднемесячная заработная плата одного работника</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дол.</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329</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362</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109,7</w:t>
            </w:r>
          </w:p>
        </w:tc>
      </w:tr>
      <w:tr w:rsidR="00A963E6" w:rsidRPr="00FA3AE7" w:rsidTr="00A963E6">
        <w:trPr>
          <w:trHeight w:val="300"/>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963E6" w:rsidRPr="00FA3AE7" w:rsidRDefault="00A963E6" w:rsidP="00A963E6">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lastRenderedPageBreak/>
              <w:t>1</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A963E6" w:rsidRPr="00FA3AE7" w:rsidRDefault="00A963E6" w:rsidP="00A963E6">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2</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A963E6" w:rsidRPr="00FA3AE7" w:rsidRDefault="00A963E6" w:rsidP="00A963E6">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3</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A963E6" w:rsidRPr="00FA3AE7" w:rsidRDefault="00A963E6" w:rsidP="00A963E6">
            <w:pPr>
              <w:spacing w:after="0" w:line="240" w:lineRule="auto"/>
              <w:jc w:val="center"/>
              <w:rPr>
                <w:rFonts w:ascii="Times New Roman" w:hAnsi="Times New Roman"/>
                <w:color w:val="1F497D"/>
                <w:sz w:val="20"/>
                <w:szCs w:val="20"/>
              </w:rPr>
            </w:pPr>
            <w:r>
              <w:rPr>
                <w:rFonts w:ascii="Times New Roman" w:hAnsi="Times New Roman"/>
                <w:color w:val="1F497D"/>
                <w:sz w:val="20"/>
                <w:szCs w:val="20"/>
              </w:rPr>
              <w:t>4</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A963E6" w:rsidRPr="00FA3AE7" w:rsidRDefault="00A963E6" w:rsidP="00A963E6">
            <w:pPr>
              <w:spacing w:after="0" w:line="240" w:lineRule="auto"/>
              <w:jc w:val="center"/>
              <w:rPr>
                <w:rFonts w:ascii="Times New Roman" w:hAnsi="Times New Roman"/>
                <w:color w:val="1F497D"/>
                <w:sz w:val="20"/>
                <w:szCs w:val="20"/>
              </w:rPr>
            </w:pPr>
            <w:r>
              <w:rPr>
                <w:rFonts w:ascii="Times New Roman" w:hAnsi="Times New Roman"/>
                <w:color w:val="1F497D"/>
                <w:sz w:val="20"/>
                <w:szCs w:val="20"/>
              </w:rPr>
              <w:t>5</w:t>
            </w:r>
          </w:p>
        </w:tc>
      </w:tr>
      <w:tr w:rsidR="00A963E6" w:rsidRPr="00FA3AE7" w:rsidTr="00A963E6">
        <w:trPr>
          <w:trHeight w:val="540"/>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Сводный индекс потребительских цен (инфляция)</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103,42***</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101,96***</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102,24</w:t>
            </w:r>
          </w:p>
        </w:tc>
      </w:tr>
      <w:tr w:rsidR="00A963E6" w:rsidRPr="00FA3AE7" w:rsidTr="00A963E6">
        <w:trPr>
          <w:trHeight w:val="547"/>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Индекс цен производителей на промышленную продукцию</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100,13***</w:t>
            </w: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110,78***</w:t>
            </w: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sz w:val="20"/>
                <w:szCs w:val="20"/>
              </w:rPr>
            </w:pPr>
            <w:r w:rsidRPr="00FA3AE7">
              <w:rPr>
                <w:rFonts w:ascii="Times New Roman" w:hAnsi="Times New Roman"/>
                <w:sz w:val="20"/>
                <w:szCs w:val="20"/>
              </w:rPr>
              <w:t>104,12</w:t>
            </w:r>
          </w:p>
        </w:tc>
      </w:tr>
      <w:tr w:rsidR="00A963E6" w:rsidRPr="00FA3AE7" w:rsidTr="00A963E6">
        <w:trPr>
          <w:trHeight w:val="300"/>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Прибыль, всего:</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1F497D"/>
                <w:sz w:val="20"/>
                <w:szCs w:val="20"/>
              </w:rPr>
            </w:pPr>
          </w:p>
        </w:tc>
        <w:tc>
          <w:tcPr>
            <w:tcW w:w="1701"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1F497D"/>
                <w:sz w:val="20"/>
                <w:szCs w:val="20"/>
              </w:rPr>
            </w:pPr>
          </w:p>
        </w:tc>
      </w:tr>
      <w:tr w:rsidR="00A963E6" w:rsidRPr="00FA3AE7" w:rsidTr="00A963E6">
        <w:trPr>
          <w:trHeight w:val="300"/>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в текущих ценах</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руб.</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177,1</w:t>
            </w:r>
          </w:p>
        </w:tc>
        <w:tc>
          <w:tcPr>
            <w:tcW w:w="1276"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478,7</w:t>
            </w:r>
          </w:p>
        </w:tc>
        <w:tc>
          <w:tcPr>
            <w:tcW w:w="1701"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257,5</w:t>
            </w:r>
          </w:p>
        </w:tc>
      </w:tr>
      <w:tr w:rsidR="00A963E6" w:rsidRPr="00FA3AE7" w:rsidTr="00A963E6">
        <w:trPr>
          <w:trHeight w:val="285"/>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в долларовом выражении</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дол.</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16,0</w:t>
            </w:r>
          </w:p>
        </w:tc>
        <w:tc>
          <w:tcPr>
            <w:tcW w:w="1276"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43,1</w:t>
            </w:r>
          </w:p>
        </w:tc>
        <w:tc>
          <w:tcPr>
            <w:tcW w:w="1701"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256,6</w:t>
            </w:r>
          </w:p>
        </w:tc>
      </w:tr>
      <w:tr w:rsidR="00A963E6" w:rsidRPr="00FA3AE7" w:rsidTr="00A963E6">
        <w:trPr>
          <w:trHeight w:val="300"/>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в том числе:</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p>
        </w:tc>
        <w:tc>
          <w:tcPr>
            <w:tcW w:w="1701"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p>
        </w:tc>
      </w:tr>
      <w:tr w:rsidR="00A963E6" w:rsidRPr="00FA3AE7" w:rsidTr="00A963E6">
        <w:trPr>
          <w:trHeight w:val="300"/>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 xml:space="preserve">в промышленности </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p>
        </w:tc>
        <w:tc>
          <w:tcPr>
            <w:tcW w:w="1701"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p>
        </w:tc>
      </w:tr>
      <w:tr w:rsidR="00A963E6" w:rsidRPr="00FA3AE7" w:rsidTr="00A963E6">
        <w:trPr>
          <w:trHeight w:val="285"/>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в текущих ценах</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руб.</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-196,7</w:t>
            </w:r>
          </w:p>
        </w:tc>
        <w:tc>
          <w:tcPr>
            <w:tcW w:w="1276"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50,2</w:t>
            </w:r>
          </w:p>
        </w:tc>
        <w:tc>
          <w:tcPr>
            <w:tcW w:w="1701" w:type="dxa"/>
            <w:tcBorders>
              <w:top w:val="nil"/>
              <w:left w:val="nil"/>
              <w:bottom w:val="single" w:sz="4" w:space="0" w:color="auto"/>
              <w:right w:val="single" w:sz="4" w:space="0" w:color="auto"/>
            </w:tcBorders>
            <w:shd w:val="clear" w:color="000000" w:fill="FFFFFF"/>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w:t>
            </w:r>
          </w:p>
        </w:tc>
      </w:tr>
      <w:tr w:rsidR="00A963E6" w:rsidRPr="00FA3AE7" w:rsidTr="00A963E6">
        <w:trPr>
          <w:trHeight w:val="285"/>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в долларовом выражении</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дол.</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-17,7</w:t>
            </w:r>
          </w:p>
        </w:tc>
        <w:tc>
          <w:tcPr>
            <w:tcW w:w="1276"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4,5</w:t>
            </w:r>
          </w:p>
        </w:tc>
        <w:tc>
          <w:tcPr>
            <w:tcW w:w="1701"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w:t>
            </w:r>
          </w:p>
        </w:tc>
      </w:tr>
      <w:tr w:rsidR="00A963E6" w:rsidRPr="00FA3AE7" w:rsidTr="00A963E6">
        <w:trPr>
          <w:trHeight w:val="300"/>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в сельском хозяйстве</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p>
        </w:tc>
        <w:tc>
          <w:tcPr>
            <w:tcW w:w="1701"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p>
        </w:tc>
      </w:tr>
      <w:tr w:rsidR="00A963E6" w:rsidRPr="00FA3AE7" w:rsidTr="00A963E6">
        <w:trPr>
          <w:trHeight w:val="300"/>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в текущих ценах</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руб.</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4,4</w:t>
            </w:r>
          </w:p>
        </w:tc>
        <w:tc>
          <w:tcPr>
            <w:tcW w:w="1276"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35,7</w:t>
            </w:r>
          </w:p>
        </w:tc>
        <w:tc>
          <w:tcPr>
            <w:tcW w:w="1701"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811,4</w:t>
            </w:r>
          </w:p>
        </w:tc>
      </w:tr>
      <w:tr w:rsidR="00A963E6" w:rsidRPr="00FA3AE7" w:rsidTr="00A963E6">
        <w:trPr>
          <w:trHeight w:val="270"/>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в долларовом выражении</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дол.</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0,4</w:t>
            </w:r>
          </w:p>
        </w:tc>
        <w:tc>
          <w:tcPr>
            <w:tcW w:w="1276"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3,2</w:t>
            </w:r>
          </w:p>
        </w:tc>
        <w:tc>
          <w:tcPr>
            <w:tcW w:w="1701"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800,0</w:t>
            </w:r>
          </w:p>
        </w:tc>
      </w:tr>
      <w:tr w:rsidR="00A963E6" w:rsidRPr="00FA3AE7" w:rsidTr="00A963E6">
        <w:trPr>
          <w:trHeight w:val="371"/>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Рентабельность реализованной продукции, всего</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9,0</w:t>
            </w:r>
          </w:p>
        </w:tc>
        <w:tc>
          <w:tcPr>
            <w:tcW w:w="1276"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8,9</w:t>
            </w:r>
          </w:p>
        </w:tc>
        <w:tc>
          <w:tcPr>
            <w:tcW w:w="1701"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х</w:t>
            </w:r>
          </w:p>
        </w:tc>
      </w:tr>
      <w:tr w:rsidR="00A963E6" w:rsidRPr="00FA3AE7" w:rsidTr="00A963E6">
        <w:trPr>
          <w:trHeight w:val="300"/>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в том числе:</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p>
        </w:tc>
        <w:tc>
          <w:tcPr>
            <w:tcW w:w="1701"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p>
        </w:tc>
      </w:tr>
      <w:tr w:rsidR="00A963E6" w:rsidRPr="00FA3AE7" w:rsidTr="00A963E6">
        <w:trPr>
          <w:trHeight w:val="300"/>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 xml:space="preserve">в промышленности </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9,9</w:t>
            </w:r>
          </w:p>
        </w:tc>
        <w:tc>
          <w:tcPr>
            <w:tcW w:w="1276"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8,5</w:t>
            </w:r>
          </w:p>
        </w:tc>
        <w:tc>
          <w:tcPr>
            <w:tcW w:w="1701"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х</w:t>
            </w:r>
          </w:p>
        </w:tc>
      </w:tr>
      <w:tr w:rsidR="00A963E6" w:rsidRPr="00FA3AE7" w:rsidTr="00A963E6">
        <w:trPr>
          <w:trHeight w:val="300"/>
        </w:trPr>
        <w:tc>
          <w:tcPr>
            <w:tcW w:w="4410" w:type="dxa"/>
            <w:gridSpan w:val="2"/>
            <w:tcBorders>
              <w:top w:val="nil"/>
              <w:left w:val="single" w:sz="4" w:space="0" w:color="auto"/>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в сельском хозяйстве</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8,3</w:t>
            </w:r>
          </w:p>
        </w:tc>
        <w:tc>
          <w:tcPr>
            <w:tcW w:w="1276"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21,7</w:t>
            </w:r>
          </w:p>
        </w:tc>
        <w:tc>
          <w:tcPr>
            <w:tcW w:w="1701"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х</w:t>
            </w:r>
          </w:p>
        </w:tc>
      </w:tr>
      <w:tr w:rsidR="00A963E6" w:rsidRPr="00FA3AE7" w:rsidTr="00A963E6">
        <w:trPr>
          <w:trHeight w:val="192"/>
        </w:trPr>
        <w:tc>
          <w:tcPr>
            <w:tcW w:w="441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Доходы Консолидированного бюджета</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руб.</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1 318,5</w:t>
            </w:r>
          </w:p>
        </w:tc>
        <w:tc>
          <w:tcPr>
            <w:tcW w:w="1276"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1 594,50</w:t>
            </w:r>
          </w:p>
        </w:tc>
        <w:tc>
          <w:tcPr>
            <w:tcW w:w="1701"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120,9</w:t>
            </w:r>
          </w:p>
        </w:tc>
      </w:tr>
      <w:tr w:rsidR="00A963E6" w:rsidRPr="00FA3AE7" w:rsidTr="00A963E6">
        <w:trPr>
          <w:trHeight w:val="240"/>
        </w:trPr>
        <w:tc>
          <w:tcPr>
            <w:tcW w:w="4410" w:type="dxa"/>
            <w:gridSpan w:val="2"/>
            <w:vMerge/>
            <w:tcBorders>
              <w:top w:val="nil"/>
              <w:left w:val="single" w:sz="4" w:space="0" w:color="auto"/>
              <w:bottom w:val="single" w:sz="4" w:space="0" w:color="000000"/>
              <w:right w:val="single" w:sz="4" w:space="0" w:color="auto"/>
            </w:tcBorders>
            <w:vAlign w:val="center"/>
            <w:hideMark/>
          </w:tcPr>
          <w:p w:rsidR="00A963E6" w:rsidRPr="00FA3AE7" w:rsidRDefault="00A963E6" w:rsidP="00CF16D1">
            <w:pPr>
              <w:spacing w:after="0" w:line="240" w:lineRule="auto"/>
              <w:rPr>
                <w:rFonts w:ascii="Times New Roman" w:hAnsi="Times New Roman"/>
                <w:color w:val="000000"/>
                <w:sz w:val="20"/>
                <w:szCs w:val="20"/>
              </w:rPr>
            </w:pP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дол.</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118,8</w:t>
            </w:r>
          </w:p>
        </w:tc>
        <w:tc>
          <w:tcPr>
            <w:tcW w:w="1276"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143,6</w:t>
            </w:r>
          </w:p>
        </w:tc>
        <w:tc>
          <w:tcPr>
            <w:tcW w:w="1701"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120,9</w:t>
            </w:r>
          </w:p>
        </w:tc>
      </w:tr>
      <w:tr w:rsidR="00A963E6" w:rsidRPr="00FA3AE7" w:rsidTr="00A963E6">
        <w:trPr>
          <w:trHeight w:val="270"/>
        </w:trPr>
        <w:tc>
          <w:tcPr>
            <w:tcW w:w="441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Доходы Республиканского бюджета</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руб.</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881,60</w:t>
            </w:r>
          </w:p>
        </w:tc>
        <w:tc>
          <w:tcPr>
            <w:tcW w:w="1276"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1 142,90</w:t>
            </w:r>
          </w:p>
        </w:tc>
        <w:tc>
          <w:tcPr>
            <w:tcW w:w="1701"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129,6</w:t>
            </w:r>
          </w:p>
        </w:tc>
      </w:tr>
      <w:tr w:rsidR="00A963E6" w:rsidRPr="00FA3AE7" w:rsidTr="00A963E6">
        <w:trPr>
          <w:trHeight w:val="270"/>
        </w:trPr>
        <w:tc>
          <w:tcPr>
            <w:tcW w:w="4410" w:type="dxa"/>
            <w:gridSpan w:val="2"/>
            <w:vMerge/>
            <w:tcBorders>
              <w:top w:val="nil"/>
              <w:left w:val="single" w:sz="4" w:space="0" w:color="auto"/>
              <w:bottom w:val="single" w:sz="4" w:space="0" w:color="000000"/>
              <w:right w:val="single" w:sz="4" w:space="0" w:color="auto"/>
            </w:tcBorders>
            <w:vAlign w:val="center"/>
            <w:hideMark/>
          </w:tcPr>
          <w:p w:rsidR="00A963E6" w:rsidRPr="00FA3AE7" w:rsidRDefault="00A963E6" w:rsidP="00CF16D1">
            <w:pPr>
              <w:spacing w:after="0" w:line="240" w:lineRule="auto"/>
              <w:rPr>
                <w:rFonts w:ascii="Times New Roman" w:hAnsi="Times New Roman"/>
                <w:color w:val="000000"/>
                <w:sz w:val="20"/>
                <w:szCs w:val="20"/>
              </w:rPr>
            </w:pP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дол.</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79,4</w:t>
            </w:r>
          </w:p>
        </w:tc>
        <w:tc>
          <w:tcPr>
            <w:tcW w:w="1276"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103,0</w:t>
            </w:r>
          </w:p>
        </w:tc>
        <w:tc>
          <w:tcPr>
            <w:tcW w:w="1701"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129,7</w:t>
            </w:r>
          </w:p>
        </w:tc>
      </w:tr>
      <w:tr w:rsidR="00A963E6" w:rsidRPr="00FA3AE7" w:rsidTr="00A963E6">
        <w:trPr>
          <w:trHeight w:val="270"/>
        </w:trPr>
        <w:tc>
          <w:tcPr>
            <w:tcW w:w="441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Доходы местных бюджетов</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руб.</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437,0</w:t>
            </w:r>
          </w:p>
        </w:tc>
        <w:tc>
          <w:tcPr>
            <w:tcW w:w="1276"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451,6</w:t>
            </w:r>
          </w:p>
        </w:tc>
        <w:tc>
          <w:tcPr>
            <w:tcW w:w="1701"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103,3</w:t>
            </w:r>
          </w:p>
        </w:tc>
      </w:tr>
      <w:tr w:rsidR="00A963E6" w:rsidRPr="00FA3AE7" w:rsidTr="00A963E6">
        <w:trPr>
          <w:trHeight w:val="255"/>
        </w:trPr>
        <w:tc>
          <w:tcPr>
            <w:tcW w:w="4410" w:type="dxa"/>
            <w:gridSpan w:val="2"/>
            <w:vMerge/>
            <w:tcBorders>
              <w:top w:val="nil"/>
              <w:left w:val="single" w:sz="4" w:space="0" w:color="auto"/>
              <w:bottom w:val="single" w:sz="4" w:space="0" w:color="000000"/>
              <w:right w:val="single" w:sz="4" w:space="0" w:color="auto"/>
            </w:tcBorders>
            <w:vAlign w:val="center"/>
            <w:hideMark/>
          </w:tcPr>
          <w:p w:rsidR="00A963E6" w:rsidRPr="00FA3AE7" w:rsidRDefault="00A963E6" w:rsidP="00CF16D1">
            <w:pPr>
              <w:spacing w:after="0" w:line="240" w:lineRule="auto"/>
              <w:rPr>
                <w:rFonts w:ascii="Times New Roman" w:hAnsi="Times New Roman"/>
                <w:color w:val="000000"/>
                <w:sz w:val="20"/>
                <w:szCs w:val="20"/>
              </w:rPr>
            </w:pP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дол.</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39,4</w:t>
            </w:r>
          </w:p>
        </w:tc>
        <w:tc>
          <w:tcPr>
            <w:tcW w:w="1276"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40,7</w:t>
            </w:r>
          </w:p>
        </w:tc>
        <w:tc>
          <w:tcPr>
            <w:tcW w:w="1701"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103,3</w:t>
            </w:r>
          </w:p>
        </w:tc>
      </w:tr>
      <w:tr w:rsidR="00A963E6" w:rsidRPr="00FA3AE7" w:rsidTr="00A963E6">
        <w:trPr>
          <w:trHeight w:val="270"/>
        </w:trPr>
        <w:tc>
          <w:tcPr>
            <w:tcW w:w="441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Расходы Консолидированного бюджета</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руб.</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1 659,9</w:t>
            </w:r>
          </w:p>
        </w:tc>
        <w:tc>
          <w:tcPr>
            <w:tcW w:w="1276"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2 021,2</w:t>
            </w:r>
          </w:p>
        </w:tc>
        <w:tc>
          <w:tcPr>
            <w:tcW w:w="1701"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121,8</w:t>
            </w:r>
          </w:p>
        </w:tc>
      </w:tr>
      <w:tr w:rsidR="00A963E6" w:rsidRPr="00FA3AE7" w:rsidTr="00A963E6">
        <w:trPr>
          <w:trHeight w:val="162"/>
        </w:trPr>
        <w:tc>
          <w:tcPr>
            <w:tcW w:w="4410" w:type="dxa"/>
            <w:gridSpan w:val="2"/>
            <w:vMerge/>
            <w:tcBorders>
              <w:top w:val="nil"/>
              <w:left w:val="single" w:sz="4" w:space="0" w:color="auto"/>
              <w:bottom w:val="single" w:sz="4" w:space="0" w:color="000000"/>
              <w:right w:val="single" w:sz="4" w:space="0" w:color="auto"/>
            </w:tcBorders>
            <w:vAlign w:val="center"/>
            <w:hideMark/>
          </w:tcPr>
          <w:p w:rsidR="00A963E6" w:rsidRPr="00FA3AE7" w:rsidRDefault="00A963E6" w:rsidP="00CF16D1">
            <w:pPr>
              <w:spacing w:after="0" w:line="240" w:lineRule="auto"/>
              <w:rPr>
                <w:rFonts w:ascii="Times New Roman" w:hAnsi="Times New Roman"/>
                <w:color w:val="000000"/>
                <w:sz w:val="20"/>
                <w:szCs w:val="20"/>
              </w:rPr>
            </w:pP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дол.</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149,5</w:t>
            </w:r>
          </w:p>
        </w:tc>
        <w:tc>
          <w:tcPr>
            <w:tcW w:w="1276"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182,1</w:t>
            </w:r>
          </w:p>
        </w:tc>
        <w:tc>
          <w:tcPr>
            <w:tcW w:w="1701"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121,8</w:t>
            </w:r>
          </w:p>
        </w:tc>
      </w:tr>
      <w:tr w:rsidR="00A963E6" w:rsidRPr="00FA3AE7" w:rsidTr="00A963E6">
        <w:trPr>
          <w:trHeight w:val="300"/>
        </w:trPr>
        <w:tc>
          <w:tcPr>
            <w:tcW w:w="441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Расходы Республиканского бюджета</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руб.</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1 126,1</w:t>
            </w:r>
          </w:p>
        </w:tc>
        <w:tc>
          <w:tcPr>
            <w:tcW w:w="1276"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1 458,1</w:t>
            </w:r>
          </w:p>
        </w:tc>
        <w:tc>
          <w:tcPr>
            <w:tcW w:w="1701"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129,5</w:t>
            </w:r>
          </w:p>
        </w:tc>
      </w:tr>
      <w:tr w:rsidR="00A963E6" w:rsidRPr="00FA3AE7" w:rsidTr="00A963E6">
        <w:trPr>
          <w:trHeight w:val="240"/>
        </w:trPr>
        <w:tc>
          <w:tcPr>
            <w:tcW w:w="4410" w:type="dxa"/>
            <w:gridSpan w:val="2"/>
            <w:vMerge/>
            <w:tcBorders>
              <w:top w:val="nil"/>
              <w:left w:val="single" w:sz="4" w:space="0" w:color="auto"/>
              <w:bottom w:val="single" w:sz="4" w:space="0" w:color="000000"/>
              <w:right w:val="single" w:sz="4" w:space="0" w:color="auto"/>
            </w:tcBorders>
            <w:vAlign w:val="center"/>
            <w:hideMark/>
          </w:tcPr>
          <w:p w:rsidR="00A963E6" w:rsidRPr="00FA3AE7" w:rsidRDefault="00A963E6" w:rsidP="00CF16D1">
            <w:pPr>
              <w:spacing w:after="0" w:line="240" w:lineRule="auto"/>
              <w:rPr>
                <w:rFonts w:ascii="Times New Roman" w:hAnsi="Times New Roman"/>
                <w:color w:val="000000"/>
                <w:sz w:val="20"/>
                <w:szCs w:val="20"/>
              </w:rPr>
            </w:pP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дол.</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101,5</w:t>
            </w:r>
          </w:p>
        </w:tc>
        <w:tc>
          <w:tcPr>
            <w:tcW w:w="1276"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131,4</w:t>
            </w:r>
          </w:p>
        </w:tc>
        <w:tc>
          <w:tcPr>
            <w:tcW w:w="1701"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129,5</w:t>
            </w:r>
          </w:p>
        </w:tc>
      </w:tr>
      <w:tr w:rsidR="00A963E6" w:rsidRPr="00FA3AE7" w:rsidTr="00A963E6">
        <w:trPr>
          <w:trHeight w:val="255"/>
        </w:trPr>
        <w:tc>
          <w:tcPr>
            <w:tcW w:w="441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963E6" w:rsidRPr="00FA3AE7" w:rsidRDefault="00A963E6" w:rsidP="00CF16D1">
            <w:pPr>
              <w:spacing w:after="0" w:line="240" w:lineRule="auto"/>
              <w:rPr>
                <w:rFonts w:ascii="Times New Roman" w:hAnsi="Times New Roman"/>
                <w:color w:val="000000"/>
                <w:sz w:val="20"/>
                <w:szCs w:val="20"/>
              </w:rPr>
            </w:pPr>
            <w:r w:rsidRPr="00FA3AE7">
              <w:rPr>
                <w:rFonts w:ascii="Times New Roman" w:hAnsi="Times New Roman"/>
                <w:color w:val="000000"/>
                <w:sz w:val="20"/>
                <w:szCs w:val="20"/>
              </w:rPr>
              <w:t>Расходы местных бюджетов</w:t>
            </w: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руб.</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533,9</w:t>
            </w:r>
          </w:p>
        </w:tc>
        <w:tc>
          <w:tcPr>
            <w:tcW w:w="1276"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563,1</w:t>
            </w:r>
          </w:p>
        </w:tc>
        <w:tc>
          <w:tcPr>
            <w:tcW w:w="1701"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105,5</w:t>
            </w:r>
          </w:p>
        </w:tc>
      </w:tr>
      <w:tr w:rsidR="00A963E6" w:rsidRPr="00FA3AE7" w:rsidTr="00A963E6">
        <w:trPr>
          <w:trHeight w:val="315"/>
        </w:trPr>
        <w:tc>
          <w:tcPr>
            <w:tcW w:w="4410" w:type="dxa"/>
            <w:gridSpan w:val="2"/>
            <w:vMerge/>
            <w:tcBorders>
              <w:top w:val="nil"/>
              <w:left w:val="single" w:sz="4" w:space="0" w:color="auto"/>
              <w:bottom w:val="single" w:sz="4" w:space="0" w:color="000000"/>
              <w:right w:val="single" w:sz="4" w:space="0" w:color="auto"/>
            </w:tcBorders>
            <w:vAlign w:val="center"/>
            <w:hideMark/>
          </w:tcPr>
          <w:p w:rsidR="00A963E6" w:rsidRPr="00FA3AE7" w:rsidRDefault="00A963E6" w:rsidP="00CF16D1">
            <w:pPr>
              <w:spacing w:after="0" w:line="240" w:lineRule="auto"/>
              <w:rPr>
                <w:rFonts w:ascii="Times New Roman" w:hAnsi="Times New Roman"/>
                <w:color w:val="000000"/>
                <w:sz w:val="20"/>
                <w:szCs w:val="20"/>
              </w:rPr>
            </w:pPr>
          </w:p>
        </w:tc>
        <w:tc>
          <w:tcPr>
            <w:tcW w:w="1134" w:type="dxa"/>
            <w:gridSpan w:val="2"/>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млн. дол.</w:t>
            </w:r>
          </w:p>
        </w:tc>
        <w:tc>
          <w:tcPr>
            <w:tcW w:w="1275" w:type="dxa"/>
            <w:tcBorders>
              <w:top w:val="nil"/>
              <w:left w:val="nil"/>
              <w:bottom w:val="single" w:sz="4" w:space="0" w:color="auto"/>
              <w:right w:val="single" w:sz="4" w:space="0" w:color="auto"/>
            </w:tcBorders>
            <w:shd w:val="clear" w:color="auto" w:fill="auto"/>
            <w:vAlign w:val="bottom"/>
            <w:hideMark/>
          </w:tcPr>
          <w:p w:rsidR="00A963E6" w:rsidRPr="00FA3AE7" w:rsidRDefault="00A963E6" w:rsidP="00CF16D1">
            <w:pPr>
              <w:spacing w:after="0" w:line="240" w:lineRule="auto"/>
              <w:jc w:val="center"/>
              <w:rPr>
                <w:rFonts w:ascii="Times New Roman" w:hAnsi="Times New Roman"/>
                <w:color w:val="000000"/>
                <w:sz w:val="20"/>
                <w:szCs w:val="20"/>
              </w:rPr>
            </w:pPr>
            <w:r w:rsidRPr="00FA3AE7">
              <w:rPr>
                <w:rFonts w:ascii="Times New Roman" w:hAnsi="Times New Roman"/>
                <w:color w:val="000000"/>
                <w:sz w:val="20"/>
                <w:szCs w:val="20"/>
              </w:rPr>
              <w:t>48,1</w:t>
            </w:r>
          </w:p>
        </w:tc>
        <w:tc>
          <w:tcPr>
            <w:tcW w:w="1276"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50,7</w:t>
            </w:r>
          </w:p>
        </w:tc>
        <w:tc>
          <w:tcPr>
            <w:tcW w:w="1701" w:type="dxa"/>
            <w:tcBorders>
              <w:top w:val="nil"/>
              <w:left w:val="nil"/>
              <w:bottom w:val="single" w:sz="4" w:space="0" w:color="auto"/>
              <w:right w:val="single" w:sz="4" w:space="0" w:color="auto"/>
            </w:tcBorders>
            <w:shd w:val="clear" w:color="000000" w:fill="FFFFFF"/>
            <w:vAlign w:val="bottom"/>
            <w:hideMark/>
          </w:tcPr>
          <w:p w:rsidR="00A963E6" w:rsidRPr="00FA3AE7" w:rsidRDefault="00A963E6" w:rsidP="00CF16D1">
            <w:pPr>
              <w:spacing w:after="0" w:line="240" w:lineRule="auto"/>
              <w:jc w:val="center"/>
              <w:rPr>
                <w:rFonts w:ascii="Times New Roman" w:hAnsi="Times New Roman"/>
                <w:color w:val="1F497D"/>
                <w:sz w:val="20"/>
                <w:szCs w:val="20"/>
              </w:rPr>
            </w:pPr>
            <w:r w:rsidRPr="00FA3AE7">
              <w:rPr>
                <w:rFonts w:ascii="Times New Roman" w:hAnsi="Times New Roman"/>
                <w:color w:val="1F497D"/>
                <w:sz w:val="20"/>
                <w:szCs w:val="20"/>
              </w:rPr>
              <w:t>105,4</w:t>
            </w:r>
          </w:p>
        </w:tc>
      </w:tr>
      <w:tr w:rsidR="00A963E6" w:rsidRPr="00FA3AE7" w:rsidTr="00A963E6">
        <w:trPr>
          <w:trHeight w:val="300"/>
        </w:trPr>
        <w:tc>
          <w:tcPr>
            <w:tcW w:w="4410" w:type="dxa"/>
            <w:gridSpan w:val="2"/>
            <w:tcBorders>
              <w:top w:val="nil"/>
              <w:left w:val="nil"/>
              <w:bottom w:val="nil"/>
              <w:right w:val="nil"/>
            </w:tcBorders>
            <w:shd w:val="clear" w:color="auto" w:fill="auto"/>
            <w:noWrap/>
            <w:vAlign w:val="bottom"/>
            <w:hideMark/>
          </w:tcPr>
          <w:p w:rsidR="00A963E6" w:rsidRPr="00FA3AE7" w:rsidRDefault="00A963E6" w:rsidP="00CF16D1">
            <w:pPr>
              <w:spacing w:after="0" w:line="240" w:lineRule="auto"/>
              <w:rPr>
                <w:rFonts w:ascii="Times New Roman" w:hAnsi="Times New Roman"/>
                <w:color w:val="000000"/>
                <w:sz w:val="18"/>
                <w:szCs w:val="18"/>
              </w:rPr>
            </w:pPr>
            <w:r w:rsidRPr="00FA3AE7">
              <w:rPr>
                <w:rFonts w:ascii="Times New Roman" w:hAnsi="Times New Roman"/>
                <w:color w:val="000000"/>
                <w:sz w:val="18"/>
                <w:szCs w:val="18"/>
              </w:rPr>
              <w:t>* - темпы пересчитаны к уточненным данным</w:t>
            </w:r>
          </w:p>
        </w:tc>
        <w:tc>
          <w:tcPr>
            <w:tcW w:w="1134" w:type="dxa"/>
            <w:gridSpan w:val="2"/>
            <w:tcBorders>
              <w:top w:val="nil"/>
              <w:left w:val="nil"/>
              <w:bottom w:val="nil"/>
              <w:right w:val="nil"/>
            </w:tcBorders>
            <w:shd w:val="clear" w:color="auto" w:fill="auto"/>
            <w:noWrap/>
            <w:vAlign w:val="bottom"/>
            <w:hideMark/>
          </w:tcPr>
          <w:p w:rsidR="00A963E6" w:rsidRPr="00FA3AE7" w:rsidRDefault="00A963E6" w:rsidP="00CF16D1">
            <w:pPr>
              <w:spacing w:after="0" w:line="240" w:lineRule="auto"/>
              <w:rPr>
                <w:rFonts w:ascii="Times New Roman" w:hAnsi="Times New Roman"/>
                <w:color w:val="000000"/>
                <w:sz w:val="18"/>
                <w:szCs w:val="18"/>
              </w:rPr>
            </w:pPr>
          </w:p>
        </w:tc>
        <w:tc>
          <w:tcPr>
            <w:tcW w:w="1275" w:type="dxa"/>
            <w:tcBorders>
              <w:top w:val="nil"/>
              <w:left w:val="nil"/>
              <w:bottom w:val="nil"/>
              <w:right w:val="nil"/>
            </w:tcBorders>
            <w:shd w:val="clear" w:color="auto" w:fill="auto"/>
            <w:noWrap/>
            <w:vAlign w:val="bottom"/>
            <w:hideMark/>
          </w:tcPr>
          <w:p w:rsidR="00A963E6" w:rsidRPr="00FA3AE7" w:rsidRDefault="00A963E6" w:rsidP="00CF16D1">
            <w:pPr>
              <w:spacing w:after="0" w:line="240" w:lineRule="auto"/>
              <w:rPr>
                <w:rFonts w:ascii="Times New Roman" w:hAnsi="Times New Roman"/>
                <w:color w:val="000000"/>
                <w:sz w:val="18"/>
                <w:szCs w:val="18"/>
              </w:rPr>
            </w:pPr>
          </w:p>
        </w:tc>
        <w:tc>
          <w:tcPr>
            <w:tcW w:w="1276" w:type="dxa"/>
            <w:tcBorders>
              <w:top w:val="nil"/>
              <w:left w:val="nil"/>
              <w:bottom w:val="nil"/>
              <w:right w:val="nil"/>
            </w:tcBorders>
            <w:shd w:val="clear" w:color="auto" w:fill="auto"/>
            <w:noWrap/>
            <w:vAlign w:val="bottom"/>
            <w:hideMark/>
          </w:tcPr>
          <w:p w:rsidR="00A963E6" w:rsidRPr="00FA3AE7" w:rsidRDefault="00A963E6" w:rsidP="00CF16D1">
            <w:pPr>
              <w:spacing w:after="0" w:line="240" w:lineRule="auto"/>
              <w:rPr>
                <w:color w:val="000000"/>
              </w:rPr>
            </w:pPr>
          </w:p>
        </w:tc>
        <w:tc>
          <w:tcPr>
            <w:tcW w:w="1701" w:type="dxa"/>
            <w:tcBorders>
              <w:top w:val="nil"/>
              <w:left w:val="nil"/>
              <w:bottom w:val="nil"/>
              <w:right w:val="nil"/>
            </w:tcBorders>
            <w:shd w:val="clear" w:color="auto" w:fill="auto"/>
            <w:noWrap/>
            <w:vAlign w:val="bottom"/>
            <w:hideMark/>
          </w:tcPr>
          <w:p w:rsidR="00A963E6" w:rsidRPr="00FA3AE7" w:rsidRDefault="00A963E6" w:rsidP="00CF16D1">
            <w:pPr>
              <w:spacing w:after="0" w:line="240" w:lineRule="auto"/>
              <w:rPr>
                <w:color w:val="000000"/>
              </w:rPr>
            </w:pPr>
          </w:p>
        </w:tc>
      </w:tr>
      <w:tr w:rsidR="00A963E6" w:rsidRPr="00FA3AE7" w:rsidTr="00A963E6">
        <w:trPr>
          <w:trHeight w:val="300"/>
        </w:trPr>
        <w:tc>
          <w:tcPr>
            <w:tcW w:w="6819" w:type="dxa"/>
            <w:gridSpan w:val="5"/>
            <w:tcBorders>
              <w:top w:val="nil"/>
              <w:left w:val="nil"/>
              <w:bottom w:val="nil"/>
              <w:right w:val="nil"/>
            </w:tcBorders>
            <w:shd w:val="clear" w:color="auto" w:fill="auto"/>
            <w:noWrap/>
            <w:vAlign w:val="bottom"/>
            <w:hideMark/>
          </w:tcPr>
          <w:p w:rsidR="00A963E6" w:rsidRPr="00FA3AE7" w:rsidRDefault="00A963E6" w:rsidP="00CF16D1">
            <w:pPr>
              <w:spacing w:after="0" w:line="240" w:lineRule="auto"/>
              <w:rPr>
                <w:rFonts w:ascii="Times New Roman" w:hAnsi="Times New Roman"/>
                <w:color w:val="000000"/>
                <w:sz w:val="18"/>
                <w:szCs w:val="18"/>
              </w:rPr>
            </w:pPr>
            <w:r w:rsidRPr="00FA3AE7">
              <w:rPr>
                <w:rFonts w:ascii="Times New Roman" w:hAnsi="Times New Roman"/>
                <w:color w:val="000000"/>
                <w:sz w:val="18"/>
                <w:szCs w:val="18"/>
              </w:rPr>
              <w:t>** - с учетом объемов субъектов малого предпринимательства</w:t>
            </w:r>
          </w:p>
        </w:tc>
        <w:tc>
          <w:tcPr>
            <w:tcW w:w="1276" w:type="dxa"/>
            <w:tcBorders>
              <w:top w:val="nil"/>
              <w:left w:val="nil"/>
              <w:bottom w:val="nil"/>
              <w:right w:val="nil"/>
            </w:tcBorders>
            <w:shd w:val="clear" w:color="auto" w:fill="auto"/>
            <w:noWrap/>
            <w:vAlign w:val="bottom"/>
            <w:hideMark/>
          </w:tcPr>
          <w:p w:rsidR="00A963E6" w:rsidRPr="00FA3AE7" w:rsidRDefault="00A963E6" w:rsidP="00CF16D1">
            <w:pPr>
              <w:spacing w:after="0" w:line="240" w:lineRule="auto"/>
              <w:rPr>
                <w:color w:val="000000"/>
              </w:rPr>
            </w:pPr>
          </w:p>
        </w:tc>
        <w:tc>
          <w:tcPr>
            <w:tcW w:w="1701" w:type="dxa"/>
            <w:tcBorders>
              <w:top w:val="nil"/>
              <w:left w:val="nil"/>
              <w:bottom w:val="nil"/>
              <w:right w:val="nil"/>
            </w:tcBorders>
            <w:shd w:val="clear" w:color="auto" w:fill="auto"/>
            <w:noWrap/>
            <w:vAlign w:val="bottom"/>
            <w:hideMark/>
          </w:tcPr>
          <w:p w:rsidR="00A963E6" w:rsidRPr="00FA3AE7" w:rsidRDefault="00A963E6" w:rsidP="00CF16D1">
            <w:pPr>
              <w:spacing w:after="0" w:line="240" w:lineRule="auto"/>
              <w:rPr>
                <w:color w:val="000000"/>
              </w:rPr>
            </w:pPr>
          </w:p>
        </w:tc>
      </w:tr>
      <w:tr w:rsidR="00A963E6" w:rsidRPr="00FA3AE7" w:rsidTr="00A963E6">
        <w:trPr>
          <w:trHeight w:val="300"/>
        </w:trPr>
        <w:tc>
          <w:tcPr>
            <w:tcW w:w="3760" w:type="dxa"/>
            <w:tcBorders>
              <w:top w:val="nil"/>
              <w:left w:val="nil"/>
              <w:bottom w:val="nil"/>
              <w:right w:val="nil"/>
            </w:tcBorders>
            <w:shd w:val="clear" w:color="auto" w:fill="auto"/>
            <w:noWrap/>
            <w:vAlign w:val="bottom"/>
            <w:hideMark/>
          </w:tcPr>
          <w:p w:rsidR="00A963E6" w:rsidRPr="00FA3AE7" w:rsidRDefault="00A963E6" w:rsidP="00CF16D1">
            <w:pPr>
              <w:spacing w:after="0" w:line="240" w:lineRule="auto"/>
              <w:rPr>
                <w:rFonts w:ascii="Times New Roman" w:hAnsi="Times New Roman"/>
                <w:color w:val="000000"/>
                <w:sz w:val="18"/>
                <w:szCs w:val="18"/>
              </w:rPr>
            </w:pPr>
            <w:r w:rsidRPr="00FA3AE7">
              <w:rPr>
                <w:rFonts w:ascii="Times New Roman" w:hAnsi="Times New Roman"/>
                <w:color w:val="000000"/>
                <w:sz w:val="18"/>
                <w:szCs w:val="18"/>
              </w:rPr>
              <w:t>*** - к декабрю предыдущего года</w:t>
            </w:r>
          </w:p>
        </w:tc>
        <w:tc>
          <w:tcPr>
            <w:tcW w:w="1051" w:type="dxa"/>
            <w:gridSpan w:val="2"/>
            <w:tcBorders>
              <w:top w:val="nil"/>
              <w:left w:val="nil"/>
              <w:bottom w:val="nil"/>
              <w:right w:val="nil"/>
            </w:tcBorders>
            <w:shd w:val="clear" w:color="auto" w:fill="auto"/>
            <w:noWrap/>
            <w:vAlign w:val="bottom"/>
            <w:hideMark/>
          </w:tcPr>
          <w:p w:rsidR="00A963E6" w:rsidRPr="00FA3AE7" w:rsidRDefault="00A963E6" w:rsidP="00CF16D1">
            <w:pPr>
              <w:spacing w:after="0" w:line="240" w:lineRule="auto"/>
              <w:rPr>
                <w:rFonts w:ascii="Times New Roman" w:hAnsi="Times New Roman"/>
                <w:color w:val="000000"/>
                <w:sz w:val="18"/>
                <w:szCs w:val="18"/>
              </w:rPr>
            </w:pPr>
          </w:p>
        </w:tc>
        <w:tc>
          <w:tcPr>
            <w:tcW w:w="2008" w:type="dxa"/>
            <w:gridSpan w:val="2"/>
            <w:tcBorders>
              <w:top w:val="nil"/>
              <w:left w:val="nil"/>
              <w:bottom w:val="nil"/>
              <w:right w:val="nil"/>
            </w:tcBorders>
            <w:shd w:val="clear" w:color="auto" w:fill="auto"/>
            <w:noWrap/>
            <w:vAlign w:val="bottom"/>
            <w:hideMark/>
          </w:tcPr>
          <w:p w:rsidR="00A963E6" w:rsidRPr="00FA3AE7" w:rsidRDefault="00A963E6" w:rsidP="00CF16D1">
            <w:pPr>
              <w:spacing w:after="0" w:line="240" w:lineRule="auto"/>
              <w:rPr>
                <w:rFonts w:ascii="Times New Roman" w:hAnsi="Times New Roman"/>
                <w:color w:val="000000"/>
                <w:sz w:val="18"/>
                <w:szCs w:val="18"/>
              </w:rPr>
            </w:pPr>
          </w:p>
        </w:tc>
        <w:tc>
          <w:tcPr>
            <w:tcW w:w="1276" w:type="dxa"/>
            <w:tcBorders>
              <w:top w:val="nil"/>
              <w:left w:val="nil"/>
              <w:bottom w:val="nil"/>
              <w:right w:val="nil"/>
            </w:tcBorders>
            <w:shd w:val="clear" w:color="auto" w:fill="auto"/>
            <w:noWrap/>
            <w:vAlign w:val="bottom"/>
            <w:hideMark/>
          </w:tcPr>
          <w:p w:rsidR="00A963E6" w:rsidRPr="00FA3AE7" w:rsidRDefault="00A963E6" w:rsidP="00CF16D1">
            <w:pPr>
              <w:spacing w:after="0" w:line="240" w:lineRule="auto"/>
              <w:rPr>
                <w:color w:val="000000"/>
              </w:rPr>
            </w:pPr>
          </w:p>
        </w:tc>
        <w:tc>
          <w:tcPr>
            <w:tcW w:w="1701" w:type="dxa"/>
            <w:tcBorders>
              <w:top w:val="nil"/>
              <w:left w:val="nil"/>
              <w:bottom w:val="nil"/>
              <w:right w:val="nil"/>
            </w:tcBorders>
            <w:shd w:val="clear" w:color="auto" w:fill="auto"/>
            <w:noWrap/>
            <w:vAlign w:val="bottom"/>
            <w:hideMark/>
          </w:tcPr>
          <w:p w:rsidR="00A963E6" w:rsidRPr="00FA3AE7" w:rsidRDefault="00A963E6" w:rsidP="00CF16D1">
            <w:pPr>
              <w:spacing w:after="0" w:line="240" w:lineRule="auto"/>
              <w:rPr>
                <w:color w:val="000000"/>
              </w:rPr>
            </w:pPr>
          </w:p>
        </w:tc>
      </w:tr>
    </w:tbl>
    <w:p w:rsidR="00A963E6" w:rsidRDefault="00A963E6" w:rsidP="00A963E6"/>
    <w:p w:rsidR="00DE2491" w:rsidRDefault="00DE2491" w:rsidP="00005A3C">
      <w:pPr>
        <w:spacing w:after="0" w:line="240" w:lineRule="auto"/>
        <w:ind w:firstLine="709"/>
        <w:jc w:val="both"/>
        <w:rPr>
          <w:rFonts w:ascii="Times New Roman" w:hAnsi="Times New Roman"/>
          <w:sz w:val="24"/>
          <w:szCs w:val="24"/>
        </w:rPr>
      </w:pPr>
    </w:p>
    <w:p w:rsidR="00DE2491" w:rsidRDefault="00DE2491" w:rsidP="00005A3C">
      <w:pPr>
        <w:spacing w:after="0" w:line="240" w:lineRule="auto"/>
        <w:ind w:firstLine="709"/>
        <w:jc w:val="both"/>
        <w:rPr>
          <w:rFonts w:ascii="Times New Roman" w:hAnsi="Times New Roman"/>
          <w:sz w:val="24"/>
          <w:szCs w:val="24"/>
        </w:rPr>
        <w:sectPr w:rsidR="00DE2491" w:rsidSect="00142E26">
          <w:pgSz w:w="11906" w:h="16838" w:code="9"/>
          <w:pgMar w:top="1134" w:right="851" w:bottom="1134" w:left="1701" w:header="709" w:footer="709" w:gutter="0"/>
          <w:cols w:space="708"/>
          <w:titlePg/>
          <w:docGrid w:linePitch="360"/>
        </w:sectPr>
      </w:pPr>
    </w:p>
    <w:p w:rsidR="00042094" w:rsidRPr="00042094" w:rsidRDefault="00042094" w:rsidP="00042094">
      <w:pPr>
        <w:keepNext/>
        <w:spacing w:after="0" w:line="240" w:lineRule="auto"/>
        <w:jc w:val="right"/>
        <w:rPr>
          <w:rFonts w:ascii="Times New Roman" w:hAnsi="Times New Roman"/>
          <w:b/>
          <w:bCs/>
          <w:sz w:val="24"/>
          <w:szCs w:val="24"/>
        </w:rPr>
      </w:pPr>
      <w:r w:rsidRPr="00042094">
        <w:rPr>
          <w:rFonts w:ascii="Times New Roman" w:hAnsi="Times New Roman"/>
          <w:b/>
          <w:bCs/>
          <w:sz w:val="24"/>
          <w:szCs w:val="24"/>
        </w:rPr>
        <w:lastRenderedPageBreak/>
        <w:t>Приложение №2</w:t>
      </w:r>
    </w:p>
    <w:p w:rsidR="00042094" w:rsidRPr="00042094" w:rsidRDefault="00042094" w:rsidP="00042094">
      <w:pPr>
        <w:spacing w:after="0" w:line="240" w:lineRule="auto"/>
        <w:ind w:firstLine="709"/>
        <w:jc w:val="right"/>
        <w:rPr>
          <w:rFonts w:ascii="Times New Roman" w:hAnsi="Times New Roman"/>
          <w:b/>
          <w:sz w:val="24"/>
          <w:szCs w:val="24"/>
        </w:rPr>
      </w:pPr>
    </w:p>
    <w:p w:rsidR="00042094" w:rsidRPr="00042094" w:rsidRDefault="00042094" w:rsidP="00042094">
      <w:pPr>
        <w:spacing w:after="0" w:line="240" w:lineRule="auto"/>
        <w:jc w:val="center"/>
        <w:rPr>
          <w:rFonts w:ascii="Times New Roman" w:hAnsi="Times New Roman"/>
          <w:b/>
          <w:sz w:val="24"/>
          <w:szCs w:val="24"/>
        </w:rPr>
      </w:pPr>
      <w:r w:rsidRPr="00042094">
        <w:rPr>
          <w:rFonts w:ascii="Times New Roman" w:hAnsi="Times New Roman"/>
          <w:b/>
          <w:sz w:val="24"/>
          <w:szCs w:val="24"/>
        </w:rPr>
        <w:t>Динамика и структура промышленного производства и реализации продукции по отраслям промышленности</w:t>
      </w:r>
    </w:p>
    <w:p w:rsidR="00042094" w:rsidRPr="004C49D8" w:rsidRDefault="00042094" w:rsidP="00042094">
      <w:pPr>
        <w:spacing w:after="0" w:line="240" w:lineRule="auto"/>
        <w:jc w:val="center"/>
        <w:rPr>
          <w:rFonts w:ascii="Times New Roman" w:hAnsi="Times New Roman"/>
          <w:b/>
          <w:sz w:val="28"/>
          <w:szCs w:val="28"/>
        </w:rPr>
      </w:pPr>
    </w:p>
    <w:tbl>
      <w:tblPr>
        <w:tblW w:w="9622" w:type="dxa"/>
        <w:tblInd w:w="-72" w:type="dxa"/>
        <w:tblLayout w:type="fixed"/>
        <w:tblLook w:val="0000"/>
      </w:tblPr>
      <w:tblGrid>
        <w:gridCol w:w="3183"/>
        <w:gridCol w:w="933"/>
        <w:gridCol w:w="784"/>
        <w:gridCol w:w="1140"/>
        <w:gridCol w:w="862"/>
        <w:gridCol w:w="882"/>
        <w:gridCol w:w="843"/>
        <w:gridCol w:w="995"/>
      </w:tblGrid>
      <w:tr w:rsidR="00042094" w:rsidRPr="004C49D8" w:rsidTr="00042094">
        <w:trPr>
          <w:cantSplit/>
          <w:trHeight w:val="366"/>
        </w:trPr>
        <w:tc>
          <w:tcPr>
            <w:tcW w:w="31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42094" w:rsidRPr="004C49D8" w:rsidRDefault="00042094" w:rsidP="00042094">
            <w:pPr>
              <w:spacing w:after="0" w:line="240" w:lineRule="auto"/>
              <w:ind w:left="-108" w:right="-108"/>
              <w:jc w:val="center"/>
              <w:rPr>
                <w:rFonts w:ascii="Times New Roman" w:hAnsi="Times New Roman"/>
                <w:sz w:val="24"/>
                <w:szCs w:val="24"/>
              </w:rPr>
            </w:pPr>
            <w:r w:rsidRPr="004C49D8">
              <w:rPr>
                <w:rFonts w:ascii="Times New Roman" w:hAnsi="Times New Roman"/>
                <w:sz w:val="24"/>
                <w:szCs w:val="24"/>
              </w:rPr>
              <w:t>Название отраслей промышленности</w:t>
            </w:r>
          </w:p>
        </w:tc>
        <w:tc>
          <w:tcPr>
            <w:tcW w:w="3718" w:type="dxa"/>
            <w:gridSpan w:val="4"/>
            <w:tcBorders>
              <w:top w:val="single" w:sz="4" w:space="0" w:color="auto"/>
              <w:left w:val="nil"/>
              <w:bottom w:val="single" w:sz="4" w:space="0" w:color="auto"/>
              <w:right w:val="single" w:sz="4" w:space="0" w:color="auto"/>
            </w:tcBorders>
            <w:shd w:val="clear" w:color="auto" w:fill="auto"/>
            <w:noWrap/>
            <w:vAlign w:val="center"/>
          </w:tcPr>
          <w:p w:rsidR="00042094" w:rsidRPr="004C49D8" w:rsidRDefault="00042094" w:rsidP="00042094">
            <w:pPr>
              <w:spacing w:after="0" w:line="240" w:lineRule="auto"/>
              <w:jc w:val="center"/>
              <w:rPr>
                <w:rFonts w:ascii="Times New Roman" w:hAnsi="Times New Roman"/>
                <w:sz w:val="24"/>
                <w:szCs w:val="24"/>
              </w:rPr>
            </w:pPr>
            <w:r w:rsidRPr="004C49D8">
              <w:rPr>
                <w:rFonts w:ascii="Times New Roman" w:hAnsi="Times New Roman"/>
                <w:sz w:val="24"/>
                <w:szCs w:val="24"/>
              </w:rPr>
              <w:t>Объем промышленного производства</w:t>
            </w:r>
          </w:p>
        </w:tc>
        <w:tc>
          <w:tcPr>
            <w:tcW w:w="88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42094" w:rsidRPr="004C49D8" w:rsidRDefault="00042094" w:rsidP="00042094">
            <w:pPr>
              <w:spacing w:after="0" w:line="240" w:lineRule="auto"/>
              <w:jc w:val="center"/>
              <w:rPr>
                <w:rFonts w:ascii="Times New Roman" w:hAnsi="Times New Roman"/>
                <w:sz w:val="24"/>
                <w:szCs w:val="24"/>
              </w:rPr>
            </w:pPr>
            <w:r w:rsidRPr="004C49D8">
              <w:rPr>
                <w:rFonts w:ascii="Times New Roman" w:hAnsi="Times New Roman"/>
                <w:sz w:val="24"/>
                <w:szCs w:val="24"/>
              </w:rPr>
              <w:t>Удельный вес отрасли в общем объеме производства, %</w:t>
            </w:r>
          </w:p>
        </w:tc>
        <w:tc>
          <w:tcPr>
            <w:tcW w:w="1838" w:type="dxa"/>
            <w:gridSpan w:val="2"/>
            <w:tcBorders>
              <w:top w:val="single" w:sz="4" w:space="0" w:color="auto"/>
              <w:left w:val="nil"/>
              <w:bottom w:val="single" w:sz="4" w:space="0" w:color="auto"/>
              <w:right w:val="single" w:sz="4" w:space="0" w:color="auto"/>
            </w:tcBorders>
            <w:shd w:val="clear" w:color="auto" w:fill="auto"/>
          </w:tcPr>
          <w:p w:rsidR="00042094" w:rsidRPr="004C49D8" w:rsidRDefault="00042094" w:rsidP="00042094">
            <w:pPr>
              <w:spacing w:after="0" w:line="240" w:lineRule="auto"/>
              <w:ind w:left="-169"/>
              <w:jc w:val="center"/>
              <w:rPr>
                <w:rFonts w:ascii="Times New Roman" w:hAnsi="Times New Roman"/>
                <w:sz w:val="24"/>
                <w:szCs w:val="24"/>
              </w:rPr>
            </w:pPr>
            <w:r w:rsidRPr="004C49D8">
              <w:rPr>
                <w:rFonts w:ascii="Times New Roman" w:hAnsi="Times New Roman"/>
                <w:sz w:val="24"/>
                <w:szCs w:val="24"/>
              </w:rPr>
              <w:t>Объем реализованной продукции</w:t>
            </w:r>
          </w:p>
        </w:tc>
      </w:tr>
      <w:tr w:rsidR="00042094" w:rsidRPr="004C49D8" w:rsidTr="00042094">
        <w:trPr>
          <w:cantSplit/>
          <w:trHeight w:val="2587"/>
        </w:trPr>
        <w:tc>
          <w:tcPr>
            <w:tcW w:w="31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42094" w:rsidRPr="004C49D8" w:rsidRDefault="00042094" w:rsidP="00042094">
            <w:pPr>
              <w:spacing w:after="0" w:line="240" w:lineRule="auto"/>
              <w:ind w:left="-108" w:right="-108"/>
              <w:rPr>
                <w:rFonts w:ascii="Times New Roman" w:hAnsi="Times New Roman"/>
                <w:sz w:val="24"/>
                <w:szCs w:val="24"/>
              </w:rPr>
            </w:pP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tcPr>
          <w:p w:rsidR="00042094" w:rsidRPr="004C49D8" w:rsidRDefault="00042094" w:rsidP="00042094">
            <w:pPr>
              <w:suppressAutoHyphens/>
              <w:spacing w:after="0" w:line="240" w:lineRule="auto"/>
              <w:jc w:val="center"/>
              <w:rPr>
                <w:rFonts w:ascii="Times New Roman" w:hAnsi="Times New Roman"/>
                <w:snapToGrid w:val="0"/>
                <w:sz w:val="24"/>
                <w:szCs w:val="24"/>
              </w:rPr>
            </w:pPr>
            <w:r>
              <w:rPr>
                <w:rFonts w:ascii="Times New Roman" w:hAnsi="Times New Roman"/>
                <w:snapToGrid w:val="0"/>
                <w:sz w:val="24"/>
                <w:szCs w:val="24"/>
                <w:lang w:val="en-US"/>
              </w:rPr>
              <w:t>I</w:t>
            </w:r>
            <w:r>
              <w:rPr>
                <w:rFonts w:ascii="Times New Roman" w:hAnsi="Times New Roman"/>
                <w:snapToGrid w:val="0"/>
                <w:sz w:val="24"/>
                <w:szCs w:val="24"/>
              </w:rPr>
              <w:t xml:space="preserve"> полугодие</w:t>
            </w:r>
            <w:r w:rsidRPr="004C49D8">
              <w:rPr>
                <w:rFonts w:ascii="Times New Roman" w:hAnsi="Times New Roman"/>
                <w:snapToGrid w:val="0"/>
                <w:sz w:val="24"/>
                <w:szCs w:val="24"/>
              </w:rPr>
              <w:t xml:space="preserve"> 20</w:t>
            </w:r>
            <w:r>
              <w:rPr>
                <w:rFonts w:ascii="Times New Roman" w:hAnsi="Times New Roman"/>
                <w:snapToGrid w:val="0"/>
                <w:sz w:val="24"/>
                <w:szCs w:val="24"/>
              </w:rPr>
              <w:t>14</w:t>
            </w:r>
            <w:r w:rsidRPr="004C49D8">
              <w:rPr>
                <w:rFonts w:ascii="Times New Roman" w:hAnsi="Times New Roman"/>
                <w:snapToGrid w:val="0"/>
                <w:sz w:val="24"/>
                <w:szCs w:val="24"/>
              </w:rPr>
              <w:t xml:space="preserve"> г.,</w:t>
            </w:r>
          </w:p>
          <w:p w:rsidR="00042094" w:rsidRPr="004C49D8" w:rsidRDefault="00042094" w:rsidP="00042094">
            <w:pPr>
              <w:suppressAutoHyphens/>
              <w:spacing w:after="0" w:line="240" w:lineRule="auto"/>
              <w:jc w:val="center"/>
              <w:rPr>
                <w:rFonts w:ascii="Times New Roman" w:hAnsi="Times New Roman"/>
                <w:snapToGrid w:val="0"/>
                <w:sz w:val="24"/>
                <w:szCs w:val="24"/>
              </w:rPr>
            </w:pPr>
            <w:r w:rsidRPr="004C49D8">
              <w:rPr>
                <w:rFonts w:ascii="Times New Roman" w:hAnsi="Times New Roman"/>
                <w:snapToGrid w:val="0"/>
                <w:sz w:val="24"/>
                <w:szCs w:val="24"/>
              </w:rPr>
              <w:t>млн. дол</w:t>
            </w:r>
            <w:r>
              <w:rPr>
                <w:rFonts w:ascii="Times New Roman" w:hAnsi="Times New Roman"/>
                <w:snapToGrid w:val="0"/>
                <w:sz w:val="24"/>
                <w:szCs w:val="24"/>
              </w:rPr>
              <w:t>л</w:t>
            </w:r>
            <w:r w:rsidRPr="004C49D8">
              <w:rPr>
                <w:rFonts w:ascii="Times New Roman" w:hAnsi="Times New Roman"/>
                <w:snapToGrid w:val="0"/>
                <w:sz w:val="24"/>
                <w:szCs w:val="24"/>
              </w:rPr>
              <w:t>.</w:t>
            </w:r>
          </w:p>
        </w:tc>
        <w:tc>
          <w:tcPr>
            <w:tcW w:w="784" w:type="dxa"/>
            <w:tcBorders>
              <w:top w:val="single" w:sz="4" w:space="0" w:color="auto"/>
              <w:left w:val="nil"/>
              <w:bottom w:val="single" w:sz="4" w:space="0" w:color="auto"/>
              <w:right w:val="single" w:sz="4" w:space="0" w:color="auto"/>
            </w:tcBorders>
            <w:shd w:val="clear" w:color="auto" w:fill="auto"/>
            <w:textDirection w:val="btLr"/>
            <w:vAlign w:val="center"/>
          </w:tcPr>
          <w:p w:rsidR="00042094" w:rsidRPr="00FE5CAF" w:rsidRDefault="00042094" w:rsidP="00042094">
            <w:pPr>
              <w:pStyle w:val="afc"/>
              <w:ind w:left="0" w:right="0"/>
              <w:rPr>
                <w:b w:val="0"/>
                <w:snapToGrid w:val="0"/>
                <w:sz w:val="24"/>
                <w:szCs w:val="24"/>
              </w:rPr>
            </w:pPr>
            <w:r w:rsidRPr="00FE5CAF">
              <w:rPr>
                <w:b w:val="0"/>
                <w:sz w:val="24"/>
                <w:szCs w:val="24"/>
              </w:rPr>
              <w:t>Темп роста</w:t>
            </w:r>
          </w:p>
          <w:p w:rsidR="00042094" w:rsidRPr="00FE5CAF" w:rsidRDefault="00042094" w:rsidP="00042094">
            <w:pPr>
              <w:pStyle w:val="afc"/>
              <w:ind w:left="0" w:right="0"/>
              <w:rPr>
                <w:b w:val="0"/>
                <w:snapToGrid w:val="0"/>
                <w:sz w:val="24"/>
                <w:szCs w:val="24"/>
              </w:rPr>
            </w:pPr>
            <w:r w:rsidRPr="007F1991">
              <w:rPr>
                <w:b w:val="0"/>
                <w:snapToGrid w:val="0"/>
                <w:sz w:val="24"/>
                <w:szCs w:val="24"/>
                <w:lang w:val="en-US"/>
              </w:rPr>
              <w:t>I</w:t>
            </w:r>
            <w:r w:rsidRPr="007F1991">
              <w:rPr>
                <w:b w:val="0"/>
                <w:snapToGrid w:val="0"/>
                <w:sz w:val="24"/>
                <w:szCs w:val="24"/>
              </w:rPr>
              <w:t xml:space="preserve"> полугоди</w:t>
            </w:r>
            <w:r>
              <w:rPr>
                <w:b w:val="0"/>
                <w:snapToGrid w:val="0"/>
                <w:sz w:val="24"/>
                <w:szCs w:val="24"/>
              </w:rPr>
              <w:t>е</w:t>
            </w:r>
            <w:r w:rsidRPr="00FE5CAF">
              <w:rPr>
                <w:b w:val="0"/>
                <w:snapToGrid w:val="0"/>
                <w:sz w:val="24"/>
                <w:szCs w:val="24"/>
              </w:rPr>
              <w:t xml:space="preserve"> 201</w:t>
            </w:r>
            <w:r>
              <w:rPr>
                <w:b w:val="0"/>
                <w:snapToGrid w:val="0"/>
                <w:sz w:val="24"/>
                <w:szCs w:val="24"/>
              </w:rPr>
              <w:t>4</w:t>
            </w:r>
            <w:r w:rsidRPr="00FE5CAF">
              <w:rPr>
                <w:b w:val="0"/>
                <w:snapToGrid w:val="0"/>
                <w:sz w:val="24"/>
                <w:szCs w:val="24"/>
              </w:rPr>
              <w:t xml:space="preserve"> г.</w:t>
            </w:r>
          </w:p>
          <w:p w:rsidR="00042094" w:rsidRPr="004C49D8" w:rsidRDefault="00042094" w:rsidP="00042094">
            <w:pPr>
              <w:suppressAutoHyphens/>
              <w:spacing w:after="0" w:line="240" w:lineRule="auto"/>
              <w:jc w:val="center"/>
              <w:rPr>
                <w:rFonts w:ascii="Times New Roman" w:hAnsi="Times New Roman"/>
                <w:snapToGrid w:val="0"/>
                <w:sz w:val="24"/>
                <w:szCs w:val="24"/>
              </w:rPr>
            </w:pPr>
            <w:r w:rsidRPr="00FE5CAF">
              <w:rPr>
                <w:rFonts w:ascii="Times New Roman" w:hAnsi="Times New Roman"/>
                <w:snapToGrid w:val="0"/>
                <w:sz w:val="24"/>
                <w:szCs w:val="24"/>
              </w:rPr>
              <w:t xml:space="preserve">к </w:t>
            </w:r>
            <w:r w:rsidRPr="007F1991">
              <w:rPr>
                <w:rFonts w:ascii="Times New Roman" w:hAnsi="Times New Roman"/>
                <w:snapToGrid w:val="0"/>
                <w:sz w:val="24"/>
                <w:szCs w:val="24"/>
              </w:rPr>
              <w:t>I полугодию</w:t>
            </w:r>
            <w:r w:rsidRPr="00FE5CAF">
              <w:rPr>
                <w:rFonts w:ascii="Times New Roman" w:hAnsi="Times New Roman"/>
                <w:snapToGrid w:val="0"/>
                <w:sz w:val="24"/>
                <w:szCs w:val="24"/>
              </w:rPr>
              <w:t xml:space="preserve"> 201</w:t>
            </w:r>
            <w:r>
              <w:rPr>
                <w:rFonts w:ascii="Times New Roman" w:hAnsi="Times New Roman"/>
                <w:snapToGrid w:val="0"/>
                <w:sz w:val="24"/>
                <w:szCs w:val="24"/>
              </w:rPr>
              <w:t>3</w:t>
            </w:r>
            <w:r w:rsidRPr="00FE5CAF">
              <w:rPr>
                <w:rFonts w:ascii="Times New Roman" w:hAnsi="Times New Roman"/>
                <w:snapToGrid w:val="0"/>
                <w:sz w:val="24"/>
                <w:szCs w:val="24"/>
              </w:rPr>
              <w:t xml:space="preserve"> г.</w:t>
            </w:r>
            <w:r w:rsidRPr="00FE5CAF">
              <w:rPr>
                <w:rFonts w:ascii="Times New Roman" w:hAnsi="Times New Roman"/>
                <w:sz w:val="24"/>
                <w:szCs w:val="24"/>
              </w:rPr>
              <w:t>, %</w:t>
            </w:r>
          </w:p>
        </w:tc>
        <w:tc>
          <w:tcPr>
            <w:tcW w:w="1140" w:type="dxa"/>
            <w:tcBorders>
              <w:top w:val="single" w:sz="4" w:space="0" w:color="auto"/>
              <w:left w:val="nil"/>
              <w:bottom w:val="single" w:sz="4" w:space="0" w:color="auto"/>
              <w:right w:val="single" w:sz="4" w:space="0" w:color="auto"/>
            </w:tcBorders>
            <w:shd w:val="clear" w:color="auto" w:fill="auto"/>
            <w:textDirection w:val="btLr"/>
            <w:vAlign w:val="center"/>
          </w:tcPr>
          <w:p w:rsidR="00042094" w:rsidRPr="004C49D8" w:rsidRDefault="00042094" w:rsidP="00042094">
            <w:pPr>
              <w:spacing w:after="0" w:line="240" w:lineRule="auto"/>
              <w:jc w:val="center"/>
              <w:rPr>
                <w:rFonts w:ascii="Times New Roman" w:hAnsi="Times New Roman"/>
                <w:sz w:val="24"/>
                <w:szCs w:val="24"/>
              </w:rPr>
            </w:pPr>
            <w:r>
              <w:rPr>
                <w:rFonts w:ascii="Times New Roman" w:hAnsi="Times New Roman"/>
                <w:snapToGrid w:val="0"/>
                <w:sz w:val="24"/>
                <w:szCs w:val="24"/>
                <w:lang w:val="en-US"/>
              </w:rPr>
              <w:t>I</w:t>
            </w:r>
            <w:r>
              <w:rPr>
                <w:rFonts w:ascii="Times New Roman" w:hAnsi="Times New Roman"/>
                <w:snapToGrid w:val="0"/>
                <w:sz w:val="24"/>
                <w:szCs w:val="24"/>
              </w:rPr>
              <w:t xml:space="preserve"> полугодие</w:t>
            </w:r>
            <w:r w:rsidRPr="004C49D8">
              <w:rPr>
                <w:rFonts w:ascii="Times New Roman" w:hAnsi="Times New Roman"/>
                <w:snapToGrid w:val="0"/>
                <w:sz w:val="24"/>
                <w:szCs w:val="24"/>
              </w:rPr>
              <w:t xml:space="preserve"> 20</w:t>
            </w:r>
            <w:r>
              <w:rPr>
                <w:rFonts w:ascii="Times New Roman" w:hAnsi="Times New Roman"/>
                <w:snapToGrid w:val="0"/>
                <w:sz w:val="24"/>
                <w:szCs w:val="24"/>
              </w:rPr>
              <w:t>14</w:t>
            </w:r>
            <w:r w:rsidRPr="004C49D8">
              <w:rPr>
                <w:rFonts w:ascii="Times New Roman" w:hAnsi="Times New Roman"/>
                <w:snapToGrid w:val="0"/>
                <w:sz w:val="24"/>
                <w:szCs w:val="24"/>
              </w:rPr>
              <w:t xml:space="preserve"> г.</w:t>
            </w:r>
            <w:r w:rsidRPr="004C49D8">
              <w:rPr>
                <w:rFonts w:ascii="Times New Roman" w:hAnsi="Times New Roman"/>
                <w:sz w:val="24"/>
                <w:szCs w:val="24"/>
              </w:rPr>
              <w:t>в текущих ценах</w:t>
            </w:r>
            <w:r>
              <w:rPr>
                <w:rFonts w:ascii="Times New Roman" w:hAnsi="Times New Roman"/>
                <w:sz w:val="24"/>
                <w:szCs w:val="24"/>
              </w:rPr>
              <w:t>,</w:t>
            </w:r>
          </w:p>
          <w:p w:rsidR="00042094" w:rsidRPr="004C49D8" w:rsidRDefault="00042094" w:rsidP="00042094">
            <w:pPr>
              <w:spacing w:after="0" w:line="240" w:lineRule="auto"/>
              <w:jc w:val="center"/>
              <w:rPr>
                <w:rFonts w:ascii="Times New Roman" w:hAnsi="Times New Roman"/>
                <w:sz w:val="24"/>
                <w:szCs w:val="24"/>
              </w:rPr>
            </w:pPr>
            <w:r w:rsidRPr="004C49D8">
              <w:rPr>
                <w:rFonts w:ascii="Times New Roman" w:hAnsi="Times New Roman"/>
                <w:sz w:val="24"/>
                <w:szCs w:val="24"/>
              </w:rPr>
              <w:t>млн. руб.</w:t>
            </w:r>
          </w:p>
        </w:tc>
        <w:tc>
          <w:tcPr>
            <w:tcW w:w="862" w:type="dxa"/>
            <w:tcBorders>
              <w:top w:val="single" w:sz="4" w:space="0" w:color="auto"/>
              <w:left w:val="nil"/>
              <w:bottom w:val="single" w:sz="4" w:space="0" w:color="auto"/>
              <w:right w:val="single" w:sz="4" w:space="0" w:color="auto"/>
            </w:tcBorders>
            <w:shd w:val="clear" w:color="auto" w:fill="auto"/>
            <w:textDirection w:val="btLr"/>
            <w:vAlign w:val="center"/>
          </w:tcPr>
          <w:p w:rsidR="00042094" w:rsidRPr="00FE5CAF" w:rsidRDefault="00042094" w:rsidP="00042094">
            <w:pPr>
              <w:pStyle w:val="afc"/>
              <w:ind w:left="0" w:right="0"/>
              <w:rPr>
                <w:b w:val="0"/>
                <w:snapToGrid w:val="0"/>
                <w:sz w:val="24"/>
                <w:szCs w:val="24"/>
              </w:rPr>
            </w:pPr>
            <w:r w:rsidRPr="00FE5CAF">
              <w:rPr>
                <w:b w:val="0"/>
                <w:sz w:val="24"/>
                <w:szCs w:val="24"/>
              </w:rPr>
              <w:t>Темп роста</w:t>
            </w:r>
          </w:p>
          <w:p w:rsidR="00042094" w:rsidRPr="00FE5CAF" w:rsidRDefault="00042094" w:rsidP="00042094">
            <w:pPr>
              <w:pStyle w:val="afc"/>
              <w:ind w:left="0" w:right="0"/>
              <w:rPr>
                <w:b w:val="0"/>
                <w:snapToGrid w:val="0"/>
                <w:sz w:val="24"/>
                <w:szCs w:val="24"/>
              </w:rPr>
            </w:pPr>
            <w:r w:rsidRPr="007F1991">
              <w:rPr>
                <w:b w:val="0"/>
                <w:snapToGrid w:val="0"/>
                <w:sz w:val="24"/>
                <w:szCs w:val="24"/>
                <w:lang w:val="en-US"/>
              </w:rPr>
              <w:t>I</w:t>
            </w:r>
            <w:r w:rsidRPr="007F1991">
              <w:rPr>
                <w:b w:val="0"/>
                <w:snapToGrid w:val="0"/>
                <w:sz w:val="24"/>
                <w:szCs w:val="24"/>
              </w:rPr>
              <w:t xml:space="preserve"> полугоди</w:t>
            </w:r>
            <w:r>
              <w:rPr>
                <w:b w:val="0"/>
                <w:snapToGrid w:val="0"/>
                <w:sz w:val="24"/>
                <w:szCs w:val="24"/>
              </w:rPr>
              <w:t>е</w:t>
            </w:r>
            <w:r w:rsidRPr="00FE5CAF">
              <w:rPr>
                <w:b w:val="0"/>
                <w:snapToGrid w:val="0"/>
                <w:sz w:val="24"/>
                <w:szCs w:val="24"/>
              </w:rPr>
              <w:t xml:space="preserve"> 201</w:t>
            </w:r>
            <w:r>
              <w:rPr>
                <w:b w:val="0"/>
                <w:snapToGrid w:val="0"/>
                <w:sz w:val="24"/>
                <w:szCs w:val="24"/>
              </w:rPr>
              <w:t>4</w:t>
            </w:r>
            <w:r w:rsidRPr="00FE5CAF">
              <w:rPr>
                <w:b w:val="0"/>
                <w:snapToGrid w:val="0"/>
                <w:sz w:val="24"/>
                <w:szCs w:val="24"/>
              </w:rPr>
              <w:t xml:space="preserve"> г.</w:t>
            </w:r>
          </w:p>
          <w:p w:rsidR="00042094" w:rsidRPr="004C49D8" w:rsidRDefault="00042094" w:rsidP="00042094">
            <w:pPr>
              <w:suppressAutoHyphens/>
              <w:spacing w:after="0" w:line="240" w:lineRule="auto"/>
              <w:jc w:val="center"/>
              <w:rPr>
                <w:rFonts w:ascii="Times New Roman" w:hAnsi="Times New Roman"/>
                <w:snapToGrid w:val="0"/>
                <w:sz w:val="24"/>
                <w:szCs w:val="24"/>
              </w:rPr>
            </w:pPr>
            <w:r w:rsidRPr="00FE5CAF">
              <w:rPr>
                <w:rFonts w:ascii="Times New Roman" w:hAnsi="Times New Roman"/>
                <w:snapToGrid w:val="0"/>
                <w:sz w:val="24"/>
                <w:szCs w:val="24"/>
              </w:rPr>
              <w:t xml:space="preserve">к </w:t>
            </w:r>
            <w:r w:rsidRPr="007F1991">
              <w:rPr>
                <w:rFonts w:ascii="Times New Roman" w:hAnsi="Times New Roman"/>
                <w:snapToGrid w:val="0"/>
                <w:sz w:val="24"/>
                <w:szCs w:val="24"/>
              </w:rPr>
              <w:t>I полугодию</w:t>
            </w:r>
            <w:r w:rsidRPr="00FE5CAF">
              <w:rPr>
                <w:rFonts w:ascii="Times New Roman" w:hAnsi="Times New Roman"/>
                <w:snapToGrid w:val="0"/>
                <w:sz w:val="24"/>
                <w:szCs w:val="24"/>
              </w:rPr>
              <w:t xml:space="preserve"> 201</w:t>
            </w:r>
            <w:r>
              <w:rPr>
                <w:rFonts w:ascii="Times New Roman" w:hAnsi="Times New Roman"/>
                <w:snapToGrid w:val="0"/>
                <w:sz w:val="24"/>
                <w:szCs w:val="24"/>
              </w:rPr>
              <w:t>3</w:t>
            </w:r>
            <w:r w:rsidRPr="00FE5CAF">
              <w:rPr>
                <w:rFonts w:ascii="Times New Roman" w:hAnsi="Times New Roman"/>
                <w:snapToGrid w:val="0"/>
                <w:sz w:val="24"/>
                <w:szCs w:val="24"/>
              </w:rPr>
              <w:t xml:space="preserve"> г.</w:t>
            </w:r>
            <w:r w:rsidRPr="00FE5CAF">
              <w:rPr>
                <w:rFonts w:ascii="Times New Roman" w:hAnsi="Times New Roman"/>
                <w:sz w:val="24"/>
                <w:szCs w:val="24"/>
              </w:rPr>
              <w:t>, %</w:t>
            </w:r>
          </w:p>
        </w:tc>
        <w:tc>
          <w:tcPr>
            <w:tcW w:w="8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42094" w:rsidRPr="004C49D8" w:rsidRDefault="00042094" w:rsidP="00042094">
            <w:pPr>
              <w:spacing w:after="0" w:line="240" w:lineRule="auto"/>
              <w:jc w:val="center"/>
              <w:rPr>
                <w:rFonts w:ascii="Times New Roman" w:hAnsi="Times New Roman"/>
                <w:sz w:val="24"/>
                <w:szCs w:val="24"/>
              </w:rPr>
            </w:pPr>
          </w:p>
        </w:tc>
        <w:tc>
          <w:tcPr>
            <w:tcW w:w="843" w:type="dxa"/>
            <w:tcBorders>
              <w:top w:val="nil"/>
              <w:left w:val="nil"/>
              <w:bottom w:val="single" w:sz="4" w:space="0" w:color="auto"/>
              <w:right w:val="single" w:sz="4" w:space="0" w:color="auto"/>
            </w:tcBorders>
            <w:shd w:val="clear" w:color="auto" w:fill="auto"/>
            <w:textDirection w:val="btLr"/>
            <w:vAlign w:val="center"/>
          </w:tcPr>
          <w:p w:rsidR="00042094" w:rsidRPr="004C49D8" w:rsidRDefault="00042094" w:rsidP="00042094">
            <w:pPr>
              <w:spacing w:after="0" w:line="240" w:lineRule="auto"/>
              <w:jc w:val="center"/>
              <w:rPr>
                <w:rFonts w:ascii="Times New Roman" w:hAnsi="Times New Roman"/>
                <w:sz w:val="24"/>
                <w:szCs w:val="24"/>
              </w:rPr>
            </w:pPr>
            <w:r>
              <w:rPr>
                <w:rFonts w:ascii="Times New Roman" w:hAnsi="Times New Roman"/>
                <w:snapToGrid w:val="0"/>
                <w:sz w:val="24"/>
                <w:szCs w:val="24"/>
                <w:lang w:val="en-US"/>
              </w:rPr>
              <w:t>I</w:t>
            </w:r>
            <w:r>
              <w:rPr>
                <w:rFonts w:ascii="Times New Roman" w:hAnsi="Times New Roman"/>
                <w:snapToGrid w:val="0"/>
                <w:sz w:val="24"/>
                <w:szCs w:val="24"/>
              </w:rPr>
              <w:t xml:space="preserve"> полугодие</w:t>
            </w:r>
            <w:r w:rsidRPr="004C49D8">
              <w:rPr>
                <w:rFonts w:ascii="Times New Roman" w:hAnsi="Times New Roman"/>
                <w:snapToGrid w:val="0"/>
                <w:sz w:val="24"/>
                <w:szCs w:val="24"/>
              </w:rPr>
              <w:t xml:space="preserve"> 20</w:t>
            </w:r>
            <w:r>
              <w:rPr>
                <w:rFonts w:ascii="Times New Roman" w:hAnsi="Times New Roman"/>
                <w:snapToGrid w:val="0"/>
                <w:sz w:val="24"/>
                <w:szCs w:val="24"/>
              </w:rPr>
              <w:t>14</w:t>
            </w:r>
            <w:r w:rsidRPr="004C49D8">
              <w:rPr>
                <w:rFonts w:ascii="Times New Roman" w:hAnsi="Times New Roman"/>
                <w:snapToGrid w:val="0"/>
                <w:sz w:val="24"/>
                <w:szCs w:val="24"/>
              </w:rPr>
              <w:t xml:space="preserve"> г</w:t>
            </w:r>
            <w:r>
              <w:rPr>
                <w:rFonts w:ascii="Times New Roman" w:hAnsi="Times New Roman"/>
                <w:snapToGrid w:val="0"/>
                <w:sz w:val="24"/>
                <w:szCs w:val="24"/>
              </w:rPr>
              <w:t>.,</w:t>
            </w:r>
            <w:r>
              <w:rPr>
                <w:rFonts w:ascii="Times New Roman" w:hAnsi="Times New Roman"/>
                <w:sz w:val="24"/>
                <w:szCs w:val="24"/>
              </w:rPr>
              <w:t xml:space="preserve">    </w:t>
            </w:r>
            <w:r w:rsidRPr="004C49D8">
              <w:rPr>
                <w:rFonts w:ascii="Times New Roman" w:hAnsi="Times New Roman"/>
                <w:sz w:val="24"/>
                <w:szCs w:val="24"/>
              </w:rPr>
              <w:t xml:space="preserve"> млн. руб.</w:t>
            </w:r>
          </w:p>
        </w:tc>
        <w:tc>
          <w:tcPr>
            <w:tcW w:w="995" w:type="dxa"/>
            <w:tcBorders>
              <w:top w:val="nil"/>
              <w:left w:val="nil"/>
              <w:bottom w:val="single" w:sz="4" w:space="0" w:color="auto"/>
              <w:right w:val="single" w:sz="4" w:space="0" w:color="auto"/>
            </w:tcBorders>
            <w:shd w:val="clear" w:color="auto" w:fill="auto"/>
            <w:textDirection w:val="btLr"/>
            <w:vAlign w:val="center"/>
          </w:tcPr>
          <w:p w:rsidR="00042094" w:rsidRPr="00FE5CAF" w:rsidRDefault="00042094" w:rsidP="00042094">
            <w:pPr>
              <w:pStyle w:val="afc"/>
              <w:ind w:left="0" w:right="0"/>
              <w:rPr>
                <w:b w:val="0"/>
                <w:snapToGrid w:val="0"/>
                <w:sz w:val="24"/>
                <w:szCs w:val="24"/>
              </w:rPr>
            </w:pPr>
            <w:r w:rsidRPr="00FE5CAF">
              <w:rPr>
                <w:b w:val="0"/>
                <w:sz w:val="24"/>
                <w:szCs w:val="24"/>
              </w:rPr>
              <w:t>Темп роста</w:t>
            </w:r>
          </w:p>
          <w:p w:rsidR="00042094" w:rsidRPr="00FE5CAF" w:rsidRDefault="00042094" w:rsidP="00042094">
            <w:pPr>
              <w:pStyle w:val="afc"/>
              <w:ind w:left="0" w:right="0"/>
              <w:rPr>
                <w:b w:val="0"/>
                <w:snapToGrid w:val="0"/>
                <w:sz w:val="24"/>
                <w:szCs w:val="24"/>
              </w:rPr>
            </w:pPr>
            <w:r w:rsidRPr="007F1991">
              <w:rPr>
                <w:b w:val="0"/>
                <w:snapToGrid w:val="0"/>
                <w:sz w:val="24"/>
                <w:szCs w:val="24"/>
                <w:lang w:val="en-US"/>
              </w:rPr>
              <w:t>I</w:t>
            </w:r>
            <w:r w:rsidRPr="007F1991">
              <w:rPr>
                <w:b w:val="0"/>
                <w:snapToGrid w:val="0"/>
                <w:sz w:val="24"/>
                <w:szCs w:val="24"/>
              </w:rPr>
              <w:t xml:space="preserve"> полугоди</w:t>
            </w:r>
            <w:r>
              <w:rPr>
                <w:b w:val="0"/>
                <w:snapToGrid w:val="0"/>
                <w:sz w:val="24"/>
                <w:szCs w:val="24"/>
              </w:rPr>
              <w:t>е</w:t>
            </w:r>
            <w:r w:rsidRPr="00FE5CAF">
              <w:rPr>
                <w:b w:val="0"/>
                <w:snapToGrid w:val="0"/>
                <w:sz w:val="24"/>
                <w:szCs w:val="24"/>
              </w:rPr>
              <w:t xml:space="preserve"> 201</w:t>
            </w:r>
            <w:r>
              <w:rPr>
                <w:b w:val="0"/>
                <w:snapToGrid w:val="0"/>
                <w:sz w:val="24"/>
                <w:szCs w:val="24"/>
              </w:rPr>
              <w:t>4</w:t>
            </w:r>
            <w:r w:rsidRPr="00FE5CAF">
              <w:rPr>
                <w:b w:val="0"/>
                <w:snapToGrid w:val="0"/>
                <w:sz w:val="24"/>
                <w:szCs w:val="24"/>
              </w:rPr>
              <w:t xml:space="preserve"> г.</w:t>
            </w:r>
          </w:p>
          <w:p w:rsidR="00042094" w:rsidRPr="004C49D8" w:rsidRDefault="00042094" w:rsidP="00042094">
            <w:pPr>
              <w:suppressAutoHyphens/>
              <w:spacing w:after="0" w:line="240" w:lineRule="auto"/>
              <w:jc w:val="center"/>
              <w:rPr>
                <w:rFonts w:ascii="Times New Roman" w:hAnsi="Times New Roman"/>
                <w:snapToGrid w:val="0"/>
                <w:sz w:val="24"/>
                <w:szCs w:val="24"/>
              </w:rPr>
            </w:pPr>
            <w:r w:rsidRPr="00FE5CAF">
              <w:rPr>
                <w:rFonts w:ascii="Times New Roman" w:hAnsi="Times New Roman"/>
                <w:snapToGrid w:val="0"/>
                <w:sz w:val="24"/>
                <w:szCs w:val="24"/>
              </w:rPr>
              <w:t xml:space="preserve">к </w:t>
            </w:r>
            <w:r w:rsidRPr="007F1991">
              <w:rPr>
                <w:rFonts w:ascii="Times New Roman" w:hAnsi="Times New Roman"/>
                <w:snapToGrid w:val="0"/>
                <w:sz w:val="24"/>
                <w:szCs w:val="24"/>
              </w:rPr>
              <w:t>I полугодию</w:t>
            </w:r>
            <w:r w:rsidRPr="00FE5CAF">
              <w:rPr>
                <w:rFonts w:ascii="Times New Roman" w:hAnsi="Times New Roman"/>
                <w:snapToGrid w:val="0"/>
                <w:sz w:val="24"/>
                <w:szCs w:val="24"/>
              </w:rPr>
              <w:t xml:space="preserve"> 201</w:t>
            </w:r>
            <w:r>
              <w:rPr>
                <w:rFonts w:ascii="Times New Roman" w:hAnsi="Times New Roman"/>
                <w:snapToGrid w:val="0"/>
                <w:sz w:val="24"/>
                <w:szCs w:val="24"/>
              </w:rPr>
              <w:t>3</w:t>
            </w:r>
            <w:r w:rsidRPr="00FE5CAF">
              <w:rPr>
                <w:rFonts w:ascii="Times New Roman" w:hAnsi="Times New Roman"/>
                <w:snapToGrid w:val="0"/>
                <w:sz w:val="24"/>
                <w:szCs w:val="24"/>
              </w:rPr>
              <w:t xml:space="preserve"> г.</w:t>
            </w:r>
            <w:r w:rsidRPr="00FE5CAF">
              <w:rPr>
                <w:rFonts w:ascii="Times New Roman" w:hAnsi="Times New Roman"/>
                <w:sz w:val="24"/>
                <w:szCs w:val="24"/>
              </w:rPr>
              <w:t>, %</w:t>
            </w:r>
          </w:p>
        </w:tc>
      </w:tr>
      <w:tr w:rsidR="00042094" w:rsidRPr="004C49D8" w:rsidTr="00042094">
        <w:trPr>
          <w:trHeight w:val="332"/>
        </w:trPr>
        <w:tc>
          <w:tcPr>
            <w:tcW w:w="3183" w:type="dxa"/>
            <w:tcBorders>
              <w:top w:val="nil"/>
              <w:left w:val="single" w:sz="4" w:space="0" w:color="auto"/>
              <w:bottom w:val="single" w:sz="4" w:space="0" w:color="auto"/>
              <w:right w:val="single" w:sz="4" w:space="0" w:color="auto"/>
            </w:tcBorders>
            <w:shd w:val="clear" w:color="auto" w:fill="auto"/>
            <w:vAlign w:val="bottom"/>
          </w:tcPr>
          <w:p w:rsidR="00042094" w:rsidRPr="004C49D8" w:rsidRDefault="00042094" w:rsidP="00042094">
            <w:pPr>
              <w:spacing w:after="0" w:line="240" w:lineRule="auto"/>
              <w:ind w:left="-108" w:right="-108"/>
              <w:rPr>
                <w:rFonts w:ascii="Times New Roman" w:hAnsi="Times New Roman"/>
                <w:sz w:val="24"/>
                <w:szCs w:val="24"/>
              </w:rPr>
            </w:pPr>
            <w:r w:rsidRPr="004C49D8">
              <w:rPr>
                <w:rFonts w:ascii="Times New Roman" w:hAnsi="Times New Roman"/>
                <w:sz w:val="24"/>
                <w:szCs w:val="24"/>
              </w:rPr>
              <w:t>Электроэнергетика</w:t>
            </w:r>
          </w:p>
        </w:tc>
        <w:tc>
          <w:tcPr>
            <w:tcW w:w="933" w:type="dxa"/>
            <w:tcBorders>
              <w:top w:val="single" w:sz="4" w:space="0" w:color="auto"/>
              <w:left w:val="nil"/>
              <w:bottom w:val="single" w:sz="6" w:space="0" w:color="auto"/>
              <w:right w:val="single" w:sz="6" w:space="0" w:color="auto"/>
            </w:tcBorders>
            <w:shd w:val="clear" w:color="auto" w:fill="auto"/>
            <w:vAlign w:val="bottom"/>
          </w:tcPr>
          <w:p w:rsidR="00042094" w:rsidRPr="00E1179C" w:rsidRDefault="00042094" w:rsidP="00042094">
            <w:pPr>
              <w:spacing w:after="0" w:line="240" w:lineRule="auto"/>
              <w:ind w:right="-108"/>
              <w:rPr>
                <w:rFonts w:ascii="Times New Roman" w:hAnsi="Times New Roman"/>
                <w:sz w:val="24"/>
                <w:szCs w:val="24"/>
              </w:rPr>
            </w:pPr>
            <w:r w:rsidRPr="00E1179C">
              <w:rPr>
                <w:rFonts w:ascii="Times New Roman" w:hAnsi="Times New Roman"/>
                <w:sz w:val="24"/>
                <w:szCs w:val="24"/>
              </w:rPr>
              <w:t>156,1</w:t>
            </w:r>
          </w:p>
        </w:tc>
        <w:tc>
          <w:tcPr>
            <w:tcW w:w="784" w:type="dxa"/>
            <w:tcBorders>
              <w:top w:val="single" w:sz="4" w:space="0" w:color="auto"/>
              <w:left w:val="single" w:sz="6" w:space="0" w:color="auto"/>
              <w:bottom w:val="single" w:sz="6" w:space="0" w:color="auto"/>
              <w:right w:val="single" w:sz="6" w:space="0" w:color="auto"/>
            </w:tcBorders>
            <w:shd w:val="clear" w:color="auto" w:fill="auto"/>
            <w:vAlign w:val="bottom"/>
          </w:tcPr>
          <w:p w:rsidR="00042094" w:rsidRPr="00E1179C" w:rsidRDefault="00042094" w:rsidP="00042094">
            <w:pPr>
              <w:spacing w:after="0" w:line="240" w:lineRule="auto"/>
              <w:ind w:right="-108"/>
              <w:rPr>
                <w:rFonts w:ascii="Times New Roman" w:hAnsi="Times New Roman"/>
                <w:sz w:val="24"/>
                <w:szCs w:val="24"/>
              </w:rPr>
            </w:pPr>
            <w:r w:rsidRPr="00E1179C">
              <w:rPr>
                <w:rFonts w:ascii="Times New Roman" w:hAnsi="Times New Roman"/>
                <w:sz w:val="24"/>
                <w:szCs w:val="24"/>
              </w:rPr>
              <w:t>123,0</w:t>
            </w:r>
          </w:p>
        </w:tc>
        <w:tc>
          <w:tcPr>
            <w:tcW w:w="1140" w:type="dxa"/>
            <w:tcBorders>
              <w:top w:val="single" w:sz="4" w:space="0" w:color="auto"/>
              <w:left w:val="single" w:sz="6" w:space="0" w:color="auto"/>
              <w:bottom w:val="single" w:sz="6" w:space="0" w:color="auto"/>
              <w:right w:val="single" w:sz="6" w:space="0" w:color="auto"/>
            </w:tcBorders>
            <w:shd w:val="clear" w:color="auto" w:fill="auto"/>
            <w:vAlign w:val="bottom"/>
          </w:tcPr>
          <w:p w:rsidR="00042094" w:rsidRPr="00E1179C" w:rsidRDefault="00042094" w:rsidP="00042094">
            <w:pPr>
              <w:spacing w:after="0" w:line="240" w:lineRule="auto"/>
              <w:jc w:val="center"/>
              <w:rPr>
                <w:rFonts w:ascii="Times New Roman" w:hAnsi="Times New Roman"/>
                <w:sz w:val="24"/>
                <w:szCs w:val="24"/>
              </w:rPr>
            </w:pPr>
            <w:r w:rsidRPr="00E1179C">
              <w:rPr>
                <w:rFonts w:ascii="Times New Roman" w:hAnsi="Times New Roman"/>
                <w:sz w:val="24"/>
                <w:szCs w:val="24"/>
              </w:rPr>
              <w:t>1 733,1</w:t>
            </w:r>
          </w:p>
        </w:tc>
        <w:tc>
          <w:tcPr>
            <w:tcW w:w="862" w:type="dxa"/>
            <w:tcBorders>
              <w:top w:val="single" w:sz="4" w:space="0" w:color="auto"/>
              <w:left w:val="single" w:sz="6" w:space="0" w:color="auto"/>
              <w:bottom w:val="single" w:sz="6" w:space="0" w:color="auto"/>
              <w:right w:val="single" w:sz="4" w:space="0" w:color="auto"/>
            </w:tcBorders>
            <w:shd w:val="clear" w:color="auto" w:fill="auto"/>
            <w:vAlign w:val="bottom"/>
          </w:tcPr>
          <w:p w:rsidR="00042094" w:rsidRPr="00E1179C" w:rsidRDefault="00042094" w:rsidP="00042094">
            <w:pPr>
              <w:spacing w:after="0" w:line="240" w:lineRule="auto"/>
              <w:jc w:val="center"/>
              <w:rPr>
                <w:rFonts w:ascii="Times New Roman" w:hAnsi="Times New Roman"/>
                <w:sz w:val="24"/>
                <w:szCs w:val="24"/>
              </w:rPr>
            </w:pPr>
            <w:r w:rsidRPr="00E1179C">
              <w:rPr>
                <w:rFonts w:ascii="Times New Roman" w:hAnsi="Times New Roman"/>
                <w:sz w:val="24"/>
                <w:szCs w:val="24"/>
              </w:rPr>
              <w:t>123,0</w:t>
            </w:r>
          </w:p>
        </w:tc>
        <w:tc>
          <w:tcPr>
            <w:tcW w:w="882" w:type="dxa"/>
            <w:tcBorders>
              <w:top w:val="nil"/>
              <w:left w:val="nil"/>
              <w:bottom w:val="single" w:sz="4" w:space="0" w:color="auto"/>
              <w:right w:val="single" w:sz="4" w:space="0" w:color="auto"/>
            </w:tcBorders>
            <w:shd w:val="clear" w:color="auto" w:fill="auto"/>
            <w:vAlign w:val="bottom"/>
          </w:tcPr>
          <w:p w:rsidR="00042094" w:rsidRPr="00E1179C" w:rsidRDefault="00042094" w:rsidP="00042094">
            <w:pPr>
              <w:spacing w:after="0" w:line="240" w:lineRule="auto"/>
              <w:jc w:val="center"/>
              <w:rPr>
                <w:rFonts w:ascii="Times New Roman" w:hAnsi="Times New Roman"/>
                <w:sz w:val="24"/>
                <w:szCs w:val="24"/>
                <w:highlight w:val="yellow"/>
              </w:rPr>
            </w:pPr>
            <w:r w:rsidRPr="00E1179C">
              <w:rPr>
                <w:rFonts w:ascii="Times New Roman" w:hAnsi="Times New Roman"/>
                <w:sz w:val="24"/>
                <w:szCs w:val="24"/>
              </w:rPr>
              <w:t>35,1</w:t>
            </w:r>
          </w:p>
        </w:tc>
        <w:tc>
          <w:tcPr>
            <w:tcW w:w="843" w:type="dxa"/>
            <w:tcBorders>
              <w:top w:val="nil"/>
              <w:left w:val="nil"/>
              <w:bottom w:val="single" w:sz="4" w:space="0" w:color="auto"/>
              <w:right w:val="single" w:sz="4" w:space="0" w:color="auto"/>
            </w:tcBorders>
            <w:shd w:val="clear" w:color="auto" w:fill="auto"/>
            <w:noWrap/>
            <w:vAlign w:val="bottom"/>
          </w:tcPr>
          <w:p w:rsidR="00042094" w:rsidRPr="00E1179C" w:rsidRDefault="00042094" w:rsidP="00042094">
            <w:pPr>
              <w:spacing w:after="0" w:line="240" w:lineRule="auto"/>
              <w:ind w:left="-108" w:right="-66"/>
              <w:jc w:val="center"/>
              <w:rPr>
                <w:rFonts w:ascii="Times New Roman" w:hAnsi="Times New Roman"/>
                <w:sz w:val="24"/>
                <w:szCs w:val="24"/>
              </w:rPr>
            </w:pPr>
            <w:r w:rsidRPr="00E1179C">
              <w:rPr>
                <w:rFonts w:ascii="Times New Roman" w:hAnsi="Times New Roman"/>
                <w:sz w:val="24"/>
                <w:szCs w:val="24"/>
              </w:rPr>
              <w:t>1 701,7</w:t>
            </w:r>
          </w:p>
        </w:tc>
        <w:tc>
          <w:tcPr>
            <w:tcW w:w="995" w:type="dxa"/>
            <w:tcBorders>
              <w:top w:val="nil"/>
              <w:left w:val="nil"/>
              <w:bottom w:val="single" w:sz="4" w:space="0" w:color="auto"/>
              <w:right w:val="single" w:sz="4" w:space="0" w:color="auto"/>
            </w:tcBorders>
            <w:shd w:val="clear" w:color="auto" w:fill="auto"/>
            <w:noWrap/>
            <w:vAlign w:val="bottom"/>
          </w:tcPr>
          <w:p w:rsidR="00042094" w:rsidRPr="00E1179C" w:rsidRDefault="00042094" w:rsidP="00042094">
            <w:pPr>
              <w:spacing w:after="0" w:line="240" w:lineRule="auto"/>
              <w:ind w:left="-65"/>
              <w:jc w:val="center"/>
              <w:rPr>
                <w:rFonts w:ascii="Times New Roman" w:hAnsi="Times New Roman"/>
                <w:sz w:val="24"/>
                <w:szCs w:val="24"/>
              </w:rPr>
            </w:pPr>
            <w:r w:rsidRPr="00E1179C">
              <w:rPr>
                <w:rFonts w:ascii="Times New Roman" w:hAnsi="Times New Roman"/>
                <w:sz w:val="24"/>
                <w:szCs w:val="24"/>
              </w:rPr>
              <w:t>123,7</w:t>
            </w:r>
          </w:p>
        </w:tc>
      </w:tr>
      <w:tr w:rsidR="00042094" w:rsidRPr="004C49D8" w:rsidTr="00042094">
        <w:trPr>
          <w:trHeight w:val="302"/>
        </w:trPr>
        <w:tc>
          <w:tcPr>
            <w:tcW w:w="3183" w:type="dxa"/>
            <w:tcBorders>
              <w:top w:val="nil"/>
              <w:left w:val="single" w:sz="4" w:space="0" w:color="auto"/>
              <w:bottom w:val="single" w:sz="4" w:space="0" w:color="auto"/>
              <w:right w:val="single" w:sz="4" w:space="0" w:color="auto"/>
            </w:tcBorders>
            <w:shd w:val="clear" w:color="auto" w:fill="auto"/>
            <w:vAlign w:val="bottom"/>
          </w:tcPr>
          <w:p w:rsidR="00042094" w:rsidRPr="004C49D8" w:rsidRDefault="00042094" w:rsidP="00042094">
            <w:pPr>
              <w:spacing w:after="0" w:line="240" w:lineRule="auto"/>
              <w:ind w:left="-108" w:right="-108"/>
              <w:rPr>
                <w:rFonts w:ascii="Times New Roman" w:hAnsi="Times New Roman"/>
                <w:sz w:val="24"/>
                <w:szCs w:val="24"/>
              </w:rPr>
            </w:pPr>
            <w:r w:rsidRPr="004C49D8">
              <w:rPr>
                <w:rFonts w:ascii="Times New Roman" w:hAnsi="Times New Roman"/>
                <w:sz w:val="24"/>
                <w:szCs w:val="24"/>
              </w:rPr>
              <w:t>Черная металлургия</w:t>
            </w:r>
          </w:p>
        </w:tc>
        <w:tc>
          <w:tcPr>
            <w:tcW w:w="933" w:type="dxa"/>
            <w:tcBorders>
              <w:top w:val="single" w:sz="6" w:space="0" w:color="auto"/>
              <w:left w:val="nil"/>
              <w:bottom w:val="single" w:sz="6" w:space="0" w:color="auto"/>
              <w:right w:val="single" w:sz="6" w:space="0" w:color="auto"/>
            </w:tcBorders>
            <w:shd w:val="clear" w:color="auto" w:fill="auto"/>
            <w:vAlign w:val="bottom"/>
          </w:tcPr>
          <w:p w:rsidR="00042094" w:rsidRPr="00E1179C" w:rsidRDefault="00042094" w:rsidP="00042094">
            <w:pPr>
              <w:spacing w:after="0" w:line="240" w:lineRule="auto"/>
              <w:rPr>
                <w:rFonts w:ascii="Times New Roman" w:hAnsi="Times New Roman"/>
                <w:sz w:val="24"/>
                <w:szCs w:val="24"/>
                <w:highlight w:val="yellow"/>
              </w:rPr>
            </w:pPr>
            <w:r w:rsidRPr="00DE750C">
              <w:rPr>
                <w:rFonts w:ascii="Times New Roman" w:hAnsi="Times New Roman"/>
                <w:sz w:val="24"/>
                <w:szCs w:val="24"/>
              </w:rPr>
              <w:t>120,6</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042094" w:rsidRPr="00DE750C" w:rsidRDefault="00042094" w:rsidP="00042094">
            <w:pPr>
              <w:spacing w:after="0" w:line="240" w:lineRule="auto"/>
              <w:ind w:right="-108"/>
              <w:rPr>
                <w:rFonts w:ascii="Times New Roman" w:hAnsi="Times New Roman"/>
                <w:sz w:val="24"/>
                <w:szCs w:val="24"/>
              </w:rPr>
            </w:pPr>
            <w:r w:rsidRPr="00DE750C">
              <w:rPr>
                <w:rFonts w:ascii="Times New Roman" w:hAnsi="Times New Roman"/>
                <w:sz w:val="24"/>
                <w:szCs w:val="24"/>
              </w:rPr>
              <w:t>111 р</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042094" w:rsidRPr="00DE750C"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1 339,2</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042094" w:rsidRPr="00DE750C" w:rsidRDefault="00042094" w:rsidP="00042094">
            <w:pPr>
              <w:spacing w:after="0" w:line="240" w:lineRule="auto"/>
              <w:rPr>
                <w:rFonts w:ascii="Times New Roman" w:hAnsi="Times New Roman"/>
                <w:sz w:val="24"/>
                <w:szCs w:val="24"/>
              </w:rPr>
            </w:pPr>
            <w:r w:rsidRPr="00DE750C">
              <w:rPr>
                <w:rFonts w:ascii="Times New Roman" w:hAnsi="Times New Roman"/>
                <w:sz w:val="24"/>
                <w:szCs w:val="24"/>
              </w:rPr>
              <w:t>111 р</w:t>
            </w:r>
          </w:p>
        </w:tc>
        <w:tc>
          <w:tcPr>
            <w:tcW w:w="882" w:type="dxa"/>
            <w:tcBorders>
              <w:top w:val="nil"/>
              <w:left w:val="nil"/>
              <w:bottom w:val="single" w:sz="4" w:space="0" w:color="auto"/>
              <w:right w:val="single" w:sz="4" w:space="0" w:color="auto"/>
            </w:tcBorders>
            <w:shd w:val="clear" w:color="auto" w:fill="auto"/>
            <w:vAlign w:val="bottom"/>
          </w:tcPr>
          <w:p w:rsidR="00042094" w:rsidRPr="00E1179C" w:rsidRDefault="00042094" w:rsidP="00042094">
            <w:pPr>
              <w:spacing w:after="0" w:line="240" w:lineRule="auto"/>
              <w:jc w:val="center"/>
              <w:rPr>
                <w:rFonts w:ascii="Times New Roman" w:hAnsi="Times New Roman"/>
                <w:sz w:val="24"/>
                <w:szCs w:val="24"/>
                <w:highlight w:val="yellow"/>
              </w:rPr>
            </w:pPr>
            <w:r w:rsidRPr="00DE750C">
              <w:rPr>
                <w:rFonts w:ascii="Times New Roman" w:hAnsi="Times New Roman"/>
                <w:sz w:val="24"/>
                <w:szCs w:val="24"/>
              </w:rPr>
              <w:t>27,1</w:t>
            </w:r>
          </w:p>
        </w:tc>
        <w:tc>
          <w:tcPr>
            <w:tcW w:w="843" w:type="dxa"/>
            <w:tcBorders>
              <w:top w:val="nil"/>
              <w:left w:val="nil"/>
              <w:bottom w:val="single" w:sz="4" w:space="0" w:color="auto"/>
              <w:right w:val="single" w:sz="4" w:space="0" w:color="auto"/>
            </w:tcBorders>
            <w:shd w:val="clear" w:color="auto" w:fill="auto"/>
            <w:noWrap/>
            <w:vAlign w:val="bottom"/>
          </w:tcPr>
          <w:p w:rsidR="00042094" w:rsidRPr="00E1179C" w:rsidRDefault="00042094" w:rsidP="00042094">
            <w:pPr>
              <w:spacing w:after="0" w:line="240" w:lineRule="auto"/>
              <w:ind w:left="-108" w:right="-66"/>
              <w:jc w:val="center"/>
              <w:rPr>
                <w:rFonts w:ascii="Times New Roman" w:hAnsi="Times New Roman"/>
                <w:sz w:val="24"/>
                <w:szCs w:val="24"/>
                <w:highlight w:val="yellow"/>
              </w:rPr>
            </w:pPr>
            <w:r w:rsidRPr="00DE750C">
              <w:rPr>
                <w:rFonts w:ascii="Times New Roman" w:hAnsi="Times New Roman"/>
                <w:sz w:val="24"/>
                <w:szCs w:val="24"/>
              </w:rPr>
              <w:t>1 338,5</w:t>
            </w:r>
          </w:p>
        </w:tc>
        <w:tc>
          <w:tcPr>
            <w:tcW w:w="995" w:type="dxa"/>
            <w:tcBorders>
              <w:top w:val="nil"/>
              <w:left w:val="nil"/>
              <w:bottom w:val="single" w:sz="4" w:space="0" w:color="auto"/>
              <w:right w:val="single" w:sz="4" w:space="0" w:color="auto"/>
            </w:tcBorders>
            <w:shd w:val="clear" w:color="auto" w:fill="auto"/>
            <w:noWrap/>
            <w:vAlign w:val="bottom"/>
          </w:tcPr>
          <w:p w:rsidR="00042094" w:rsidRPr="00E1179C" w:rsidRDefault="00042094" w:rsidP="00042094">
            <w:pPr>
              <w:spacing w:after="0" w:line="240" w:lineRule="auto"/>
              <w:ind w:left="-95"/>
              <w:jc w:val="center"/>
              <w:rPr>
                <w:rFonts w:ascii="Times New Roman" w:hAnsi="Times New Roman"/>
                <w:sz w:val="24"/>
                <w:szCs w:val="24"/>
                <w:highlight w:val="yellow"/>
              </w:rPr>
            </w:pPr>
            <w:r w:rsidRPr="00DE750C">
              <w:rPr>
                <w:rFonts w:ascii="Times New Roman" w:hAnsi="Times New Roman"/>
                <w:sz w:val="24"/>
                <w:szCs w:val="24"/>
              </w:rPr>
              <w:t>125 р</w:t>
            </w:r>
          </w:p>
        </w:tc>
      </w:tr>
      <w:tr w:rsidR="00042094" w:rsidRPr="00DE750C" w:rsidTr="00042094">
        <w:trPr>
          <w:trHeight w:val="453"/>
        </w:trPr>
        <w:tc>
          <w:tcPr>
            <w:tcW w:w="3183" w:type="dxa"/>
            <w:tcBorders>
              <w:top w:val="nil"/>
              <w:left w:val="single" w:sz="4" w:space="0" w:color="auto"/>
              <w:bottom w:val="single" w:sz="4" w:space="0" w:color="auto"/>
              <w:right w:val="single" w:sz="4" w:space="0" w:color="auto"/>
            </w:tcBorders>
            <w:shd w:val="clear" w:color="auto" w:fill="auto"/>
            <w:vAlign w:val="bottom"/>
          </w:tcPr>
          <w:p w:rsidR="00042094" w:rsidRPr="004C49D8" w:rsidRDefault="00042094" w:rsidP="00042094">
            <w:pPr>
              <w:spacing w:after="0" w:line="240" w:lineRule="auto"/>
              <w:ind w:left="-108" w:right="-108"/>
              <w:rPr>
                <w:rFonts w:ascii="Times New Roman" w:hAnsi="Times New Roman"/>
                <w:sz w:val="24"/>
                <w:szCs w:val="24"/>
              </w:rPr>
            </w:pPr>
            <w:r w:rsidRPr="004C49D8">
              <w:rPr>
                <w:rFonts w:ascii="Times New Roman" w:hAnsi="Times New Roman"/>
                <w:sz w:val="24"/>
                <w:szCs w:val="24"/>
              </w:rPr>
              <w:t>Химическая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042094" w:rsidRPr="00E1179C" w:rsidRDefault="00042094" w:rsidP="00042094">
            <w:pPr>
              <w:spacing w:after="0" w:line="240" w:lineRule="auto"/>
              <w:jc w:val="center"/>
              <w:rPr>
                <w:rFonts w:ascii="Times New Roman" w:hAnsi="Times New Roman"/>
                <w:sz w:val="24"/>
                <w:szCs w:val="24"/>
                <w:highlight w:val="yellow"/>
              </w:rPr>
            </w:pPr>
            <w:r w:rsidRPr="00DE750C">
              <w:rPr>
                <w:rFonts w:ascii="Times New Roman" w:hAnsi="Times New Roman"/>
                <w:sz w:val="24"/>
                <w:szCs w:val="24"/>
              </w:rPr>
              <w:t>9,4</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042094" w:rsidRPr="00E1179C" w:rsidRDefault="00042094" w:rsidP="00042094">
            <w:pPr>
              <w:spacing w:after="0" w:line="240" w:lineRule="auto"/>
              <w:ind w:right="-108"/>
              <w:jc w:val="center"/>
              <w:rPr>
                <w:rFonts w:ascii="Times New Roman" w:hAnsi="Times New Roman"/>
                <w:sz w:val="24"/>
                <w:szCs w:val="24"/>
                <w:highlight w:val="yellow"/>
              </w:rPr>
            </w:pPr>
            <w:r w:rsidRPr="00DE750C">
              <w:rPr>
                <w:rFonts w:ascii="Times New Roman" w:hAnsi="Times New Roman"/>
                <w:sz w:val="24"/>
                <w:szCs w:val="24"/>
              </w:rPr>
              <w:t>95,4</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042094" w:rsidRPr="00DE750C" w:rsidRDefault="00042094" w:rsidP="00042094">
            <w:pPr>
              <w:spacing w:after="0" w:line="240" w:lineRule="auto"/>
              <w:jc w:val="center"/>
              <w:rPr>
                <w:rFonts w:ascii="Times New Roman" w:hAnsi="Times New Roman"/>
                <w:sz w:val="24"/>
                <w:szCs w:val="24"/>
              </w:rPr>
            </w:pPr>
            <w:r w:rsidRPr="00DE750C">
              <w:rPr>
                <w:rFonts w:ascii="Times New Roman" w:hAnsi="Times New Roman"/>
                <w:sz w:val="24"/>
                <w:szCs w:val="24"/>
              </w:rPr>
              <w:t>104,3</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042094" w:rsidRPr="00DE750C" w:rsidRDefault="00042094" w:rsidP="00042094">
            <w:pPr>
              <w:spacing w:after="0" w:line="240" w:lineRule="auto"/>
              <w:jc w:val="center"/>
              <w:rPr>
                <w:rFonts w:ascii="Times New Roman" w:hAnsi="Times New Roman"/>
                <w:sz w:val="24"/>
                <w:szCs w:val="24"/>
              </w:rPr>
            </w:pPr>
            <w:r w:rsidRPr="00DE750C">
              <w:rPr>
                <w:rFonts w:ascii="Times New Roman" w:hAnsi="Times New Roman"/>
                <w:sz w:val="24"/>
                <w:szCs w:val="24"/>
              </w:rPr>
              <w:t>95,4</w:t>
            </w:r>
          </w:p>
        </w:tc>
        <w:tc>
          <w:tcPr>
            <w:tcW w:w="882" w:type="dxa"/>
            <w:tcBorders>
              <w:top w:val="nil"/>
              <w:left w:val="nil"/>
              <w:bottom w:val="single" w:sz="4" w:space="0" w:color="auto"/>
              <w:right w:val="single" w:sz="4" w:space="0" w:color="auto"/>
            </w:tcBorders>
            <w:shd w:val="clear" w:color="auto" w:fill="auto"/>
            <w:vAlign w:val="bottom"/>
          </w:tcPr>
          <w:p w:rsidR="00042094" w:rsidRPr="00DE750C" w:rsidRDefault="00042094" w:rsidP="00042094">
            <w:pPr>
              <w:spacing w:after="0" w:line="240" w:lineRule="auto"/>
              <w:jc w:val="center"/>
              <w:rPr>
                <w:rFonts w:ascii="Times New Roman" w:hAnsi="Times New Roman"/>
                <w:sz w:val="24"/>
                <w:szCs w:val="24"/>
              </w:rPr>
            </w:pPr>
            <w:r w:rsidRPr="00DE750C">
              <w:rPr>
                <w:rFonts w:ascii="Times New Roman" w:hAnsi="Times New Roman"/>
                <w:sz w:val="24"/>
                <w:szCs w:val="24"/>
              </w:rPr>
              <w:t>2,1</w:t>
            </w:r>
          </w:p>
        </w:tc>
        <w:tc>
          <w:tcPr>
            <w:tcW w:w="843" w:type="dxa"/>
            <w:tcBorders>
              <w:top w:val="nil"/>
              <w:left w:val="nil"/>
              <w:bottom w:val="single" w:sz="4" w:space="0" w:color="auto"/>
              <w:right w:val="single" w:sz="4" w:space="0" w:color="auto"/>
            </w:tcBorders>
            <w:shd w:val="clear" w:color="auto" w:fill="auto"/>
            <w:vAlign w:val="bottom"/>
          </w:tcPr>
          <w:p w:rsidR="00042094" w:rsidRPr="00DE750C" w:rsidRDefault="00042094" w:rsidP="00042094">
            <w:pPr>
              <w:spacing w:after="0" w:line="240" w:lineRule="auto"/>
              <w:ind w:left="-108" w:right="-66"/>
              <w:jc w:val="center"/>
              <w:rPr>
                <w:rFonts w:ascii="Times New Roman" w:hAnsi="Times New Roman"/>
                <w:sz w:val="24"/>
                <w:szCs w:val="24"/>
              </w:rPr>
            </w:pPr>
            <w:r>
              <w:rPr>
                <w:rFonts w:ascii="Times New Roman" w:hAnsi="Times New Roman"/>
                <w:sz w:val="24"/>
                <w:szCs w:val="24"/>
              </w:rPr>
              <w:t>89</w:t>
            </w:r>
            <w:r w:rsidRPr="00DE750C">
              <w:rPr>
                <w:rFonts w:ascii="Times New Roman" w:hAnsi="Times New Roman"/>
                <w:sz w:val="24"/>
                <w:szCs w:val="24"/>
              </w:rPr>
              <w:t>,</w:t>
            </w:r>
            <w:r>
              <w:rPr>
                <w:rFonts w:ascii="Times New Roman" w:hAnsi="Times New Roman"/>
                <w:sz w:val="24"/>
                <w:szCs w:val="24"/>
              </w:rPr>
              <w:t>4</w:t>
            </w:r>
          </w:p>
        </w:tc>
        <w:tc>
          <w:tcPr>
            <w:tcW w:w="995" w:type="dxa"/>
            <w:tcBorders>
              <w:top w:val="nil"/>
              <w:left w:val="nil"/>
              <w:bottom w:val="single" w:sz="4" w:space="0" w:color="auto"/>
              <w:right w:val="single" w:sz="4" w:space="0" w:color="auto"/>
            </w:tcBorders>
            <w:shd w:val="clear" w:color="auto" w:fill="auto"/>
            <w:vAlign w:val="bottom"/>
          </w:tcPr>
          <w:p w:rsidR="00042094" w:rsidRPr="00DE750C" w:rsidRDefault="00042094" w:rsidP="00042094">
            <w:pPr>
              <w:spacing w:after="0" w:line="240" w:lineRule="auto"/>
              <w:ind w:right="-108"/>
              <w:jc w:val="center"/>
              <w:rPr>
                <w:rFonts w:ascii="Times New Roman" w:hAnsi="Times New Roman"/>
                <w:sz w:val="24"/>
                <w:szCs w:val="24"/>
              </w:rPr>
            </w:pPr>
            <w:r w:rsidRPr="00DE750C">
              <w:rPr>
                <w:rFonts w:ascii="Times New Roman" w:hAnsi="Times New Roman"/>
                <w:sz w:val="24"/>
                <w:szCs w:val="24"/>
              </w:rPr>
              <w:t>92,5</w:t>
            </w:r>
          </w:p>
        </w:tc>
      </w:tr>
      <w:tr w:rsidR="00042094" w:rsidRPr="004C49D8" w:rsidTr="00042094">
        <w:trPr>
          <w:trHeight w:val="335"/>
        </w:trPr>
        <w:tc>
          <w:tcPr>
            <w:tcW w:w="3183" w:type="dxa"/>
            <w:tcBorders>
              <w:top w:val="nil"/>
              <w:left w:val="single" w:sz="4" w:space="0" w:color="auto"/>
              <w:bottom w:val="single" w:sz="4" w:space="0" w:color="auto"/>
              <w:right w:val="single" w:sz="4" w:space="0" w:color="auto"/>
            </w:tcBorders>
            <w:shd w:val="clear" w:color="auto" w:fill="auto"/>
            <w:vAlign w:val="bottom"/>
          </w:tcPr>
          <w:p w:rsidR="00042094" w:rsidRPr="004C49D8" w:rsidRDefault="00042094" w:rsidP="00042094">
            <w:pPr>
              <w:spacing w:after="0" w:line="240" w:lineRule="auto"/>
              <w:ind w:left="-108" w:right="-108"/>
              <w:rPr>
                <w:rFonts w:ascii="Times New Roman" w:hAnsi="Times New Roman"/>
                <w:sz w:val="24"/>
                <w:szCs w:val="24"/>
              </w:rPr>
            </w:pPr>
            <w:r w:rsidRPr="004C49D8">
              <w:rPr>
                <w:rFonts w:ascii="Times New Roman" w:hAnsi="Times New Roman"/>
                <w:sz w:val="24"/>
                <w:szCs w:val="24"/>
              </w:rPr>
              <w:t>Машиностроение</w:t>
            </w:r>
            <w:r>
              <w:rPr>
                <w:rFonts w:ascii="Times New Roman" w:hAnsi="Times New Roman"/>
                <w:sz w:val="24"/>
                <w:szCs w:val="24"/>
              </w:rPr>
              <w:t xml:space="preserve"> и </w:t>
            </w:r>
            <w:r w:rsidRPr="004C49D8">
              <w:rPr>
                <w:rFonts w:ascii="Times New Roman" w:hAnsi="Times New Roman"/>
                <w:sz w:val="24"/>
                <w:szCs w:val="24"/>
              </w:rPr>
              <w:t>металлообработка</w:t>
            </w:r>
          </w:p>
        </w:tc>
        <w:tc>
          <w:tcPr>
            <w:tcW w:w="933" w:type="dxa"/>
            <w:tcBorders>
              <w:top w:val="single" w:sz="6" w:space="0" w:color="auto"/>
              <w:left w:val="nil"/>
              <w:bottom w:val="single" w:sz="6" w:space="0" w:color="auto"/>
              <w:right w:val="single" w:sz="6" w:space="0" w:color="auto"/>
            </w:tcBorders>
            <w:shd w:val="clear" w:color="auto" w:fill="auto"/>
            <w:vAlign w:val="bottom"/>
          </w:tcPr>
          <w:p w:rsidR="00042094" w:rsidRPr="00DE750C" w:rsidRDefault="00042094" w:rsidP="00042094">
            <w:pPr>
              <w:spacing w:after="0" w:line="240" w:lineRule="auto"/>
              <w:jc w:val="center"/>
              <w:rPr>
                <w:rFonts w:ascii="Times New Roman" w:hAnsi="Times New Roman"/>
                <w:sz w:val="24"/>
                <w:szCs w:val="24"/>
              </w:rPr>
            </w:pPr>
            <w:r w:rsidRPr="00DE750C">
              <w:rPr>
                <w:rFonts w:ascii="Times New Roman" w:hAnsi="Times New Roman"/>
                <w:sz w:val="24"/>
                <w:szCs w:val="24"/>
              </w:rPr>
              <w:t>9,4</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042094" w:rsidRPr="00DE750C" w:rsidRDefault="00042094" w:rsidP="00042094">
            <w:pPr>
              <w:spacing w:after="0" w:line="240" w:lineRule="auto"/>
              <w:ind w:right="-108"/>
              <w:jc w:val="center"/>
              <w:rPr>
                <w:rFonts w:ascii="Times New Roman" w:hAnsi="Times New Roman"/>
                <w:sz w:val="24"/>
                <w:szCs w:val="24"/>
              </w:rPr>
            </w:pPr>
            <w:r w:rsidRPr="00DE750C">
              <w:rPr>
                <w:rFonts w:ascii="Times New Roman" w:hAnsi="Times New Roman"/>
                <w:sz w:val="24"/>
                <w:szCs w:val="24"/>
              </w:rPr>
              <w:t>87,2</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042094" w:rsidRPr="00DE750C" w:rsidRDefault="00042094" w:rsidP="00042094">
            <w:pPr>
              <w:spacing w:after="0" w:line="240" w:lineRule="auto"/>
              <w:jc w:val="center"/>
              <w:rPr>
                <w:rFonts w:ascii="Times New Roman" w:hAnsi="Times New Roman"/>
                <w:sz w:val="24"/>
                <w:szCs w:val="24"/>
              </w:rPr>
            </w:pPr>
            <w:r w:rsidRPr="00DE750C">
              <w:rPr>
                <w:rFonts w:ascii="Times New Roman" w:hAnsi="Times New Roman"/>
                <w:sz w:val="24"/>
                <w:szCs w:val="24"/>
              </w:rPr>
              <w:t>103,9</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042094" w:rsidRPr="00DE750C" w:rsidRDefault="00042094" w:rsidP="00042094">
            <w:pPr>
              <w:spacing w:after="0" w:line="240" w:lineRule="auto"/>
              <w:jc w:val="center"/>
              <w:rPr>
                <w:rFonts w:ascii="Times New Roman" w:hAnsi="Times New Roman"/>
                <w:sz w:val="24"/>
                <w:szCs w:val="24"/>
              </w:rPr>
            </w:pPr>
            <w:r w:rsidRPr="00DE750C">
              <w:rPr>
                <w:rFonts w:ascii="Times New Roman" w:hAnsi="Times New Roman"/>
                <w:sz w:val="24"/>
                <w:szCs w:val="24"/>
              </w:rPr>
              <w:t>87,2</w:t>
            </w:r>
          </w:p>
        </w:tc>
        <w:tc>
          <w:tcPr>
            <w:tcW w:w="882" w:type="dxa"/>
            <w:tcBorders>
              <w:top w:val="nil"/>
              <w:left w:val="nil"/>
              <w:bottom w:val="single" w:sz="4" w:space="0" w:color="auto"/>
              <w:right w:val="single" w:sz="4" w:space="0" w:color="auto"/>
            </w:tcBorders>
            <w:shd w:val="clear" w:color="auto" w:fill="auto"/>
            <w:vAlign w:val="bottom"/>
          </w:tcPr>
          <w:p w:rsidR="00042094" w:rsidRPr="00E1179C" w:rsidRDefault="00042094" w:rsidP="00042094">
            <w:pPr>
              <w:spacing w:after="0" w:line="240" w:lineRule="auto"/>
              <w:jc w:val="center"/>
              <w:rPr>
                <w:rFonts w:ascii="Times New Roman" w:hAnsi="Times New Roman"/>
                <w:sz w:val="24"/>
                <w:szCs w:val="24"/>
                <w:highlight w:val="yellow"/>
              </w:rPr>
            </w:pPr>
            <w:r w:rsidRPr="002427E6">
              <w:rPr>
                <w:rFonts w:ascii="Times New Roman" w:hAnsi="Times New Roman"/>
                <w:sz w:val="24"/>
                <w:szCs w:val="24"/>
              </w:rPr>
              <w:t>2,</w:t>
            </w:r>
            <w:r>
              <w:rPr>
                <w:rFonts w:ascii="Times New Roman" w:hAnsi="Times New Roman"/>
                <w:sz w:val="24"/>
                <w:szCs w:val="24"/>
              </w:rPr>
              <w:t>0</w:t>
            </w:r>
          </w:p>
        </w:tc>
        <w:tc>
          <w:tcPr>
            <w:tcW w:w="843" w:type="dxa"/>
            <w:tcBorders>
              <w:top w:val="nil"/>
              <w:left w:val="nil"/>
              <w:bottom w:val="single" w:sz="4" w:space="0" w:color="auto"/>
              <w:right w:val="single" w:sz="4" w:space="0" w:color="auto"/>
            </w:tcBorders>
            <w:shd w:val="clear" w:color="auto" w:fill="auto"/>
            <w:vAlign w:val="bottom"/>
          </w:tcPr>
          <w:p w:rsidR="00042094" w:rsidRPr="00E1179C" w:rsidRDefault="00042094" w:rsidP="00042094">
            <w:pPr>
              <w:spacing w:after="0" w:line="240" w:lineRule="auto"/>
              <w:ind w:left="-108" w:right="-66"/>
              <w:jc w:val="center"/>
              <w:rPr>
                <w:rFonts w:ascii="Times New Roman" w:hAnsi="Times New Roman"/>
                <w:sz w:val="24"/>
                <w:szCs w:val="24"/>
                <w:highlight w:val="yellow"/>
              </w:rPr>
            </w:pPr>
            <w:r w:rsidRPr="002427E6">
              <w:rPr>
                <w:rFonts w:ascii="Times New Roman" w:hAnsi="Times New Roman"/>
                <w:sz w:val="24"/>
                <w:szCs w:val="24"/>
              </w:rPr>
              <w:t>104,5</w:t>
            </w:r>
          </w:p>
        </w:tc>
        <w:tc>
          <w:tcPr>
            <w:tcW w:w="995" w:type="dxa"/>
            <w:tcBorders>
              <w:top w:val="nil"/>
              <w:left w:val="nil"/>
              <w:bottom w:val="single" w:sz="4" w:space="0" w:color="auto"/>
              <w:right w:val="single" w:sz="4" w:space="0" w:color="auto"/>
            </w:tcBorders>
            <w:shd w:val="clear" w:color="auto" w:fill="auto"/>
            <w:vAlign w:val="bottom"/>
          </w:tcPr>
          <w:p w:rsidR="00042094" w:rsidRPr="00E1179C" w:rsidRDefault="00042094" w:rsidP="00042094">
            <w:pPr>
              <w:spacing w:after="0" w:line="240" w:lineRule="auto"/>
              <w:jc w:val="center"/>
              <w:rPr>
                <w:rFonts w:ascii="Times New Roman" w:hAnsi="Times New Roman"/>
                <w:sz w:val="24"/>
                <w:szCs w:val="24"/>
                <w:highlight w:val="yellow"/>
              </w:rPr>
            </w:pPr>
            <w:r w:rsidRPr="002427E6">
              <w:rPr>
                <w:rFonts w:ascii="Times New Roman" w:hAnsi="Times New Roman"/>
                <w:sz w:val="24"/>
                <w:szCs w:val="24"/>
              </w:rPr>
              <w:t>88,5</w:t>
            </w:r>
          </w:p>
        </w:tc>
      </w:tr>
      <w:tr w:rsidR="00042094" w:rsidRPr="004C49D8" w:rsidTr="00042094">
        <w:trPr>
          <w:trHeight w:val="414"/>
        </w:trPr>
        <w:tc>
          <w:tcPr>
            <w:tcW w:w="3183" w:type="dxa"/>
            <w:tcBorders>
              <w:top w:val="nil"/>
              <w:left w:val="single" w:sz="4" w:space="0" w:color="auto"/>
              <w:bottom w:val="single" w:sz="4" w:space="0" w:color="auto"/>
              <w:right w:val="single" w:sz="4" w:space="0" w:color="auto"/>
            </w:tcBorders>
            <w:shd w:val="clear" w:color="auto" w:fill="auto"/>
            <w:vAlign w:val="bottom"/>
          </w:tcPr>
          <w:p w:rsidR="00042094" w:rsidRPr="004C49D8" w:rsidRDefault="00042094" w:rsidP="00042094">
            <w:pPr>
              <w:spacing w:after="0" w:line="240" w:lineRule="auto"/>
              <w:ind w:left="-108" w:right="-108"/>
              <w:rPr>
                <w:rFonts w:ascii="Times New Roman" w:hAnsi="Times New Roman"/>
                <w:sz w:val="24"/>
                <w:szCs w:val="24"/>
              </w:rPr>
            </w:pPr>
            <w:r w:rsidRPr="004C49D8">
              <w:rPr>
                <w:rFonts w:ascii="Times New Roman" w:hAnsi="Times New Roman"/>
                <w:sz w:val="24"/>
                <w:szCs w:val="24"/>
              </w:rPr>
              <w:t>Электротехническая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042094" w:rsidRPr="002427E6" w:rsidRDefault="00042094" w:rsidP="00042094">
            <w:pPr>
              <w:spacing w:after="0" w:line="240" w:lineRule="auto"/>
              <w:jc w:val="center"/>
              <w:rPr>
                <w:rFonts w:ascii="Times New Roman" w:hAnsi="Times New Roman"/>
                <w:sz w:val="24"/>
                <w:szCs w:val="24"/>
              </w:rPr>
            </w:pPr>
            <w:r w:rsidRPr="002427E6">
              <w:rPr>
                <w:rFonts w:ascii="Times New Roman" w:hAnsi="Times New Roman"/>
                <w:sz w:val="24"/>
                <w:szCs w:val="24"/>
              </w:rPr>
              <w:t>7,4</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042094" w:rsidRPr="002427E6" w:rsidRDefault="00042094" w:rsidP="00042094">
            <w:pPr>
              <w:spacing w:after="0" w:line="240" w:lineRule="auto"/>
              <w:ind w:right="-108"/>
              <w:jc w:val="center"/>
              <w:rPr>
                <w:rFonts w:ascii="Times New Roman" w:hAnsi="Times New Roman"/>
                <w:sz w:val="24"/>
                <w:szCs w:val="24"/>
              </w:rPr>
            </w:pPr>
            <w:r w:rsidRPr="002427E6">
              <w:rPr>
                <w:rFonts w:ascii="Times New Roman" w:hAnsi="Times New Roman"/>
                <w:sz w:val="24"/>
                <w:szCs w:val="24"/>
              </w:rPr>
              <w:t>77,8</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042094" w:rsidRPr="00E1179C" w:rsidRDefault="00042094" w:rsidP="00042094">
            <w:pPr>
              <w:spacing w:after="0" w:line="240" w:lineRule="auto"/>
              <w:jc w:val="center"/>
              <w:rPr>
                <w:rFonts w:ascii="Times New Roman" w:hAnsi="Times New Roman"/>
                <w:sz w:val="24"/>
                <w:szCs w:val="24"/>
                <w:highlight w:val="yellow"/>
              </w:rPr>
            </w:pPr>
            <w:r w:rsidRPr="002427E6">
              <w:rPr>
                <w:rFonts w:ascii="Times New Roman" w:hAnsi="Times New Roman"/>
                <w:sz w:val="24"/>
                <w:szCs w:val="24"/>
              </w:rPr>
              <w:t>81,6</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042094" w:rsidRPr="002427E6" w:rsidRDefault="00042094" w:rsidP="00042094">
            <w:pPr>
              <w:spacing w:after="0" w:line="240" w:lineRule="auto"/>
              <w:jc w:val="center"/>
              <w:rPr>
                <w:rFonts w:ascii="Times New Roman" w:hAnsi="Times New Roman"/>
                <w:sz w:val="24"/>
                <w:szCs w:val="24"/>
              </w:rPr>
            </w:pPr>
            <w:r w:rsidRPr="002427E6">
              <w:rPr>
                <w:rFonts w:ascii="Times New Roman" w:hAnsi="Times New Roman"/>
                <w:sz w:val="24"/>
                <w:szCs w:val="24"/>
              </w:rPr>
              <w:t>77,8</w:t>
            </w:r>
          </w:p>
        </w:tc>
        <w:tc>
          <w:tcPr>
            <w:tcW w:w="882" w:type="dxa"/>
            <w:tcBorders>
              <w:top w:val="nil"/>
              <w:left w:val="nil"/>
              <w:bottom w:val="single" w:sz="4" w:space="0" w:color="auto"/>
              <w:right w:val="single" w:sz="4" w:space="0" w:color="auto"/>
            </w:tcBorders>
            <w:shd w:val="clear" w:color="auto" w:fill="auto"/>
            <w:vAlign w:val="bottom"/>
          </w:tcPr>
          <w:p w:rsidR="00042094" w:rsidRPr="002427E6" w:rsidRDefault="00042094" w:rsidP="00042094">
            <w:pPr>
              <w:spacing w:after="0" w:line="240" w:lineRule="auto"/>
              <w:jc w:val="center"/>
              <w:rPr>
                <w:rFonts w:ascii="Times New Roman" w:hAnsi="Times New Roman"/>
                <w:sz w:val="24"/>
                <w:szCs w:val="24"/>
              </w:rPr>
            </w:pPr>
            <w:r w:rsidRPr="002427E6">
              <w:rPr>
                <w:rFonts w:ascii="Times New Roman" w:hAnsi="Times New Roman"/>
                <w:sz w:val="24"/>
                <w:szCs w:val="24"/>
              </w:rPr>
              <w:t>1,7</w:t>
            </w:r>
          </w:p>
        </w:tc>
        <w:tc>
          <w:tcPr>
            <w:tcW w:w="843" w:type="dxa"/>
            <w:tcBorders>
              <w:top w:val="nil"/>
              <w:left w:val="nil"/>
              <w:bottom w:val="single" w:sz="4" w:space="0" w:color="auto"/>
              <w:right w:val="single" w:sz="4" w:space="0" w:color="auto"/>
            </w:tcBorders>
            <w:shd w:val="clear" w:color="auto" w:fill="auto"/>
            <w:vAlign w:val="bottom"/>
          </w:tcPr>
          <w:p w:rsidR="00042094" w:rsidRPr="002427E6" w:rsidRDefault="00042094" w:rsidP="00042094">
            <w:pPr>
              <w:spacing w:after="0" w:line="240" w:lineRule="auto"/>
              <w:ind w:left="-108" w:right="-66"/>
              <w:jc w:val="center"/>
              <w:rPr>
                <w:rFonts w:ascii="Times New Roman" w:hAnsi="Times New Roman"/>
                <w:sz w:val="24"/>
                <w:szCs w:val="24"/>
              </w:rPr>
            </w:pPr>
            <w:r w:rsidRPr="002427E6">
              <w:rPr>
                <w:rFonts w:ascii="Times New Roman" w:hAnsi="Times New Roman"/>
                <w:sz w:val="24"/>
                <w:szCs w:val="24"/>
              </w:rPr>
              <w:t>105,5</w:t>
            </w:r>
          </w:p>
        </w:tc>
        <w:tc>
          <w:tcPr>
            <w:tcW w:w="995" w:type="dxa"/>
            <w:tcBorders>
              <w:top w:val="nil"/>
              <w:left w:val="nil"/>
              <w:bottom w:val="single" w:sz="4" w:space="0" w:color="auto"/>
              <w:right w:val="single" w:sz="4" w:space="0" w:color="auto"/>
            </w:tcBorders>
            <w:shd w:val="clear" w:color="auto" w:fill="auto"/>
            <w:vAlign w:val="bottom"/>
          </w:tcPr>
          <w:p w:rsidR="00042094" w:rsidRPr="002427E6" w:rsidRDefault="00042094" w:rsidP="00042094">
            <w:pPr>
              <w:spacing w:after="0" w:line="240" w:lineRule="auto"/>
              <w:jc w:val="center"/>
              <w:rPr>
                <w:rFonts w:ascii="Times New Roman" w:hAnsi="Times New Roman"/>
                <w:sz w:val="24"/>
                <w:szCs w:val="24"/>
              </w:rPr>
            </w:pPr>
            <w:r w:rsidRPr="002427E6">
              <w:rPr>
                <w:rFonts w:ascii="Times New Roman" w:hAnsi="Times New Roman"/>
                <w:sz w:val="24"/>
                <w:szCs w:val="24"/>
              </w:rPr>
              <w:t>93,9</w:t>
            </w:r>
          </w:p>
        </w:tc>
      </w:tr>
      <w:tr w:rsidR="00042094" w:rsidRPr="004C49D8" w:rsidTr="00042094">
        <w:trPr>
          <w:trHeight w:val="492"/>
        </w:trPr>
        <w:tc>
          <w:tcPr>
            <w:tcW w:w="3183" w:type="dxa"/>
            <w:tcBorders>
              <w:top w:val="nil"/>
              <w:left w:val="single" w:sz="4" w:space="0" w:color="auto"/>
              <w:bottom w:val="single" w:sz="4" w:space="0" w:color="auto"/>
              <w:right w:val="single" w:sz="4" w:space="0" w:color="auto"/>
            </w:tcBorders>
            <w:shd w:val="clear" w:color="auto" w:fill="auto"/>
            <w:vAlign w:val="bottom"/>
          </w:tcPr>
          <w:p w:rsidR="00042094" w:rsidRPr="004C49D8" w:rsidRDefault="00042094" w:rsidP="00042094">
            <w:pPr>
              <w:spacing w:after="0" w:line="240" w:lineRule="auto"/>
              <w:ind w:left="-108" w:right="-108"/>
              <w:rPr>
                <w:rFonts w:ascii="Times New Roman" w:hAnsi="Times New Roman"/>
                <w:sz w:val="24"/>
                <w:szCs w:val="24"/>
              </w:rPr>
            </w:pPr>
            <w:r>
              <w:rPr>
                <w:rFonts w:ascii="Times New Roman" w:hAnsi="Times New Roman"/>
                <w:sz w:val="24"/>
                <w:szCs w:val="24"/>
              </w:rPr>
              <w:t>Лесная и д</w:t>
            </w:r>
            <w:r w:rsidRPr="004C49D8">
              <w:rPr>
                <w:rFonts w:ascii="Times New Roman" w:hAnsi="Times New Roman"/>
                <w:sz w:val="24"/>
                <w:szCs w:val="24"/>
              </w:rPr>
              <w:t>еревообрабатывающая</w:t>
            </w:r>
            <w:r>
              <w:rPr>
                <w:rFonts w:ascii="Times New Roman" w:hAnsi="Times New Roman"/>
                <w:sz w:val="24"/>
                <w:szCs w:val="24"/>
              </w:rPr>
              <w:t xml:space="preserve">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042094" w:rsidRPr="002427E6" w:rsidRDefault="00042094" w:rsidP="00042094">
            <w:pPr>
              <w:spacing w:after="0" w:line="240" w:lineRule="auto"/>
              <w:jc w:val="center"/>
              <w:rPr>
                <w:rFonts w:ascii="Times New Roman" w:hAnsi="Times New Roman"/>
                <w:sz w:val="24"/>
                <w:szCs w:val="24"/>
              </w:rPr>
            </w:pPr>
            <w:r w:rsidRPr="002427E6">
              <w:rPr>
                <w:rFonts w:ascii="Times New Roman" w:hAnsi="Times New Roman"/>
                <w:sz w:val="24"/>
                <w:szCs w:val="24"/>
              </w:rPr>
              <w:t>0,9</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042094" w:rsidRPr="002427E6" w:rsidRDefault="00042094" w:rsidP="00042094">
            <w:pPr>
              <w:spacing w:after="0" w:line="240" w:lineRule="auto"/>
              <w:ind w:right="-108"/>
              <w:jc w:val="center"/>
              <w:rPr>
                <w:rFonts w:ascii="Times New Roman" w:hAnsi="Times New Roman"/>
                <w:sz w:val="24"/>
                <w:szCs w:val="24"/>
              </w:rPr>
            </w:pPr>
            <w:r w:rsidRPr="002427E6">
              <w:rPr>
                <w:rFonts w:ascii="Times New Roman" w:hAnsi="Times New Roman"/>
                <w:sz w:val="24"/>
                <w:szCs w:val="24"/>
              </w:rPr>
              <w:t>143,3</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042094" w:rsidRPr="002427E6" w:rsidRDefault="00042094" w:rsidP="00042094">
            <w:pPr>
              <w:spacing w:after="0" w:line="240" w:lineRule="auto"/>
              <w:jc w:val="center"/>
              <w:rPr>
                <w:rFonts w:ascii="Times New Roman" w:hAnsi="Times New Roman"/>
                <w:sz w:val="24"/>
                <w:szCs w:val="24"/>
              </w:rPr>
            </w:pPr>
            <w:r w:rsidRPr="002427E6">
              <w:rPr>
                <w:rFonts w:ascii="Times New Roman" w:hAnsi="Times New Roman"/>
                <w:sz w:val="24"/>
                <w:szCs w:val="24"/>
              </w:rPr>
              <w:t>9,6</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042094" w:rsidRPr="002427E6" w:rsidRDefault="00042094" w:rsidP="00042094">
            <w:pPr>
              <w:spacing w:after="0" w:line="240" w:lineRule="auto"/>
              <w:jc w:val="center"/>
              <w:rPr>
                <w:rFonts w:ascii="Times New Roman" w:hAnsi="Times New Roman"/>
                <w:sz w:val="24"/>
                <w:szCs w:val="24"/>
              </w:rPr>
            </w:pPr>
            <w:r w:rsidRPr="002427E6">
              <w:rPr>
                <w:rFonts w:ascii="Times New Roman" w:hAnsi="Times New Roman"/>
                <w:sz w:val="24"/>
                <w:szCs w:val="24"/>
              </w:rPr>
              <w:t>143,2</w:t>
            </w:r>
          </w:p>
        </w:tc>
        <w:tc>
          <w:tcPr>
            <w:tcW w:w="882" w:type="dxa"/>
            <w:tcBorders>
              <w:top w:val="nil"/>
              <w:left w:val="nil"/>
              <w:bottom w:val="single" w:sz="4" w:space="0" w:color="auto"/>
              <w:right w:val="single" w:sz="4" w:space="0" w:color="auto"/>
            </w:tcBorders>
            <w:shd w:val="clear" w:color="auto" w:fill="auto"/>
            <w:vAlign w:val="bottom"/>
          </w:tcPr>
          <w:p w:rsidR="00042094" w:rsidRPr="002427E6" w:rsidRDefault="00042094" w:rsidP="00042094">
            <w:pPr>
              <w:spacing w:after="0" w:line="20" w:lineRule="atLeast"/>
              <w:jc w:val="center"/>
              <w:rPr>
                <w:rFonts w:ascii="Times New Roman" w:hAnsi="Times New Roman"/>
                <w:sz w:val="24"/>
                <w:szCs w:val="24"/>
              </w:rPr>
            </w:pPr>
            <w:r w:rsidRPr="002427E6">
              <w:rPr>
                <w:rFonts w:ascii="Times New Roman" w:hAnsi="Times New Roman"/>
                <w:sz w:val="24"/>
                <w:szCs w:val="24"/>
              </w:rPr>
              <w:t>0,2</w:t>
            </w:r>
          </w:p>
        </w:tc>
        <w:tc>
          <w:tcPr>
            <w:tcW w:w="843" w:type="dxa"/>
            <w:tcBorders>
              <w:top w:val="nil"/>
              <w:left w:val="nil"/>
              <w:bottom w:val="single" w:sz="4" w:space="0" w:color="auto"/>
              <w:right w:val="single" w:sz="4" w:space="0" w:color="auto"/>
            </w:tcBorders>
            <w:shd w:val="clear" w:color="auto" w:fill="auto"/>
            <w:vAlign w:val="bottom"/>
          </w:tcPr>
          <w:p w:rsidR="00042094" w:rsidRPr="002427E6" w:rsidRDefault="00042094" w:rsidP="00042094">
            <w:pPr>
              <w:spacing w:after="0" w:line="240" w:lineRule="auto"/>
              <w:ind w:left="-108" w:right="-66"/>
              <w:jc w:val="center"/>
              <w:rPr>
                <w:rFonts w:ascii="Times New Roman" w:hAnsi="Times New Roman"/>
                <w:sz w:val="24"/>
                <w:szCs w:val="24"/>
              </w:rPr>
            </w:pPr>
            <w:r w:rsidRPr="002427E6">
              <w:rPr>
                <w:rFonts w:ascii="Times New Roman" w:hAnsi="Times New Roman"/>
                <w:sz w:val="24"/>
                <w:szCs w:val="24"/>
              </w:rPr>
              <w:t>8,5</w:t>
            </w:r>
          </w:p>
        </w:tc>
        <w:tc>
          <w:tcPr>
            <w:tcW w:w="995" w:type="dxa"/>
            <w:tcBorders>
              <w:top w:val="nil"/>
              <w:left w:val="nil"/>
              <w:bottom w:val="single" w:sz="4" w:space="0" w:color="auto"/>
              <w:right w:val="single" w:sz="4" w:space="0" w:color="auto"/>
            </w:tcBorders>
            <w:shd w:val="clear" w:color="auto" w:fill="auto"/>
            <w:vAlign w:val="bottom"/>
          </w:tcPr>
          <w:p w:rsidR="00042094" w:rsidRPr="002427E6" w:rsidRDefault="00042094" w:rsidP="00042094">
            <w:pPr>
              <w:spacing w:after="0" w:line="240" w:lineRule="auto"/>
              <w:jc w:val="center"/>
              <w:rPr>
                <w:rFonts w:ascii="Times New Roman" w:hAnsi="Times New Roman"/>
                <w:sz w:val="24"/>
                <w:szCs w:val="24"/>
              </w:rPr>
            </w:pPr>
            <w:r w:rsidRPr="002427E6">
              <w:rPr>
                <w:rFonts w:ascii="Times New Roman" w:hAnsi="Times New Roman"/>
                <w:sz w:val="24"/>
                <w:szCs w:val="24"/>
              </w:rPr>
              <w:t>196,6</w:t>
            </w:r>
          </w:p>
        </w:tc>
      </w:tr>
      <w:tr w:rsidR="00042094" w:rsidRPr="004C49D8" w:rsidTr="00042094">
        <w:trPr>
          <w:trHeight w:val="514"/>
        </w:trPr>
        <w:tc>
          <w:tcPr>
            <w:tcW w:w="3183" w:type="dxa"/>
            <w:tcBorders>
              <w:top w:val="nil"/>
              <w:left w:val="single" w:sz="4" w:space="0" w:color="auto"/>
              <w:bottom w:val="single" w:sz="4" w:space="0" w:color="auto"/>
              <w:right w:val="single" w:sz="4" w:space="0" w:color="auto"/>
            </w:tcBorders>
            <w:shd w:val="clear" w:color="auto" w:fill="auto"/>
            <w:vAlign w:val="bottom"/>
          </w:tcPr>
          <w:p w:rsidR="00042094" w:rsidRPr="004C49D8" w:rsidRDefault="00042094" w:rsidP="00042094">
            <w:pPr>
              <w:spacing w:after="0" w:line="240" w:lineRule="auto"/>
              <w:ind w:left="-108" w:right="-108"/>
              <w:rPr>
                <w:rFonts w:ascii="Times New Roman" w:hAnsi="Times New Roman"/>
                <w:sz w:val="24"/>
                <w:szCs w:val="24"/>
              </w:rPr>
            </w:pPr>
            <w:r w:rsidRPr="004C49D8">
              <w:rPr>
                <w:rFonts w:ascii="Times New Roman" w:hAnsi="Times New Roman"/>
                <w:sz w:val="24"/>
                <w:szCs w:val="24"/>
              </w:rPr>
              <w:t>Промышленность стройматериалов</w:t>
            </w:r>
          </w:p>
        </w:tc>
        <w:tc>
          <w:tcPr>
            <w:tcW w:w="933" w:type="dxa"/>
            <w:tcBorders>
              <w:top w:val="single" w:sz="6" w:space="0" w:color="auto"/>
              <w:left w:val="nil"/>
              <w:bottom w:val="single" w:sz="6" w:space="0" w:color="auto"/>
              <w:right w:val="single" w:sz="6" w:space="0" w:color="auto"/>
            </w:tcBorders>
            <w:shd w:val="clear" w:color="auto" w:fill="auto"/>
            <w:vAlign w:val="bottom"/>
          </w:tcPr>
          <w:p w:rsidR="00042094" w:rsidRPr="00103153" w:rsidRDefault="00042094" w:rsidP="00042094">
            <w:pPr>
              <w:spacing w:after="0" w:line="240" w:lineRule="auto"/>
              <w:jc w:val="center"/>
              <w:rPr>
                <w:rFonts w:ascii="Times New Roman" w:hAnsi="Times New Roman"/>
                <w:sz w:val="24"/>
                <w:szCs w:val="24"/>
              </w:rPr>
            </w:pPr>
            <w:r w:rsidRPr="00103153">
              <w:rPr>
                <w:rFonts w:ascii="Times New Roman" w:hAnsi="Times New Roman"/>
                <w:sz w:val="24"/>
                <w:szCs w:val="24"/>
              </w:rPr>
              <w:t>24,7</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042094" w:rsidRPr="00103153" w:rsidRDefault="00042094" w:rsidP="00042094">
            <w:pPr>
              <w:spacing w:after="0" w:line="240" w:lineRule="auto"/>
              <w:ind w:right="-108"/>
              <w:jc w:val="center"/>
              <w:rPr>
                <w:rFonts w:ascii="Times New Roman" w:hAnsi="Times New Roman"/>
                <w:sz w:val="24"/>
                <w:szCs w:val="24"/>
              </w:rPr>
            </w:pPr>
            <w:r w:rsidRPr="00103153">
              <w:rPr>
                <w:rFonts w:ascii="Times New Roman" w:hAnsi="Times New Roman"/>
                <w:sz w:val="24"/>
                <w:szCs w:val="24"/>
              </w:rPr>
              <w:t>171,2</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042094" w:rsidRPr="00103153" w:rsidRDefault="00042094" w:rsidP="00042094">
            <w:pPr>
              <w:spacing w:after="0" w:line="240" w:lineRule="auto"/>
              <w:jc w:val="center"/>
              <w:rPr>
                <w:rFonts w:ascii="Times New Roman" w:hAnsi="Times New Roman"/>
                <w:sz w:val="24"/>
                <w:szCs w:val="24"/>
              </w:rPr>
            </w:pPr>
            <w:r w:rsidRPr="00103153">
              <w:rPr>
                <w:rFonts w:ascii="Times New Roman" w:hAnsi="Times New Roman"/>
                <w:sz w:val="24"/>
                <w:szCs w:val="24"/>
              </w:rPr>
              <w:t>274,7</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042094" w:rsidRPr="00103153" w:rsidRDefault="00042094" w:rsidP="00042094">
            <w:pPr>
              <w:spacing w:after="0" w:line="240" w:lineRule="auto"/>
              <w:jc w:val="center"/>
              <w:rPr>
                <w:rFonts w:ascii="Times New Roman" w:hAnsi="Times New Roman"/>
                <w:sz w:val="24"/>
                <w:szCs w:val="24"/>
              </w:rPr>
            </w:pPr>
            <w:r w:rsidRPr="00103153">
              <w:rPr>
                <w:rFonts w:ascii="Times New Roman" w:hAnsi="Times New Roman"/>
                <w:sz w:val="24"/>
                <w:szCs w:val="24"/>
              </w:rPr>
              <w:t>171,2</w:t>
            </w:r>
          </w:p>
        </w:tc>
        <w:tc>
          <w:tcPr>
            <w:tcW w:w="882" w:type="dxa"/>
            <w:tcBorders>
              <w:top w:val="nil"/>
              <w:left w:val="nil"/>
              <w:bottom w:val="single" w:sz="4" w:space="0" w:color="auto"/>
              <w:right w:val="single" w:sz="4" w:space="0" w:color="auto"/>
            </w:tcBorders>
            <w:shd w:val="clear" w:color="auto" w:fill="auto"/>
            <w:vAlign w:val="bottom"/>
          </w:tcPr>
          <w:p w:rsidR="00042094" w:rsidRPr="00E1179C" w:rsidRDefault="00042094" w:rsidP="00042094">
            <w:pPr>
              <w:spacing w:after="0" w:line="20" w:lineRule="atLeast"/>
              <w:jc w:val="center"/>
              <w:rPr>
                <w:rFonts w:ascii="Times New Roman" w:hAnsi="Times New Roman"/>
                <w:sz w:val="24"/>
                <w:szCs w:val="24"/>
                <w:highlight w:val="yellow"/>
              </w:rPr>
            </w:pPr>
            <w:r w:rsidRPr="00103153">
              <w:rPr>
                <w:rFonts w:ascii="Times New Roman" w:hAnsi="Times New Roman"/>
                <w:sz w:val="24"/>
                <w:szCs w:val="24"/>
              </w:rPr>
              <w:t>5,</w:t>
            </w:r>
            <w:r>
              <w:rPr>
                <w:rFonts w:ascii="Times New Roman" w:hAnsi="Times New Roman"/>
                <w:sz w:val="24"/>
                <w:szCs w:val="24"/>
              </w:rPr>
              <w:t>5</w:t>
            </w:r>
          </w:p>
        </w:tc>
        <w:tc>
          <w:tcPr>
            <w:tcW w:w="843" w:type="dxa"/>
            <w:tcBorders>
              <w:top w:val="nil"/>
              <w:left w:val="nil"/>
              <w:bottom w:val="single" w:sz="4" w:space="0" w:color="auto"/>
              <w:right w:val="single" w:sz="4" w:space="0" w:color="auto"/>
            </w:tcBorders>
            <w:shd w:val="clear" w:color="auto" w:fill="auto"/>
            <w:vAlign w:val="bottom"/>
          </w:tcPr>
          <w:p w:rsidR="00042094" w:rsidRPr="00103153" w:rsidRDefault="00042094" w:rsidP="00042094">
            <w:pPr>
              <w:spacing w:after="0" w:line="240" w:lineRule="auto"/>
              <w:ind w:left="-108" w:right="-66"/>
              <w:jc w:val="center"/>
              <w:rPr>
                <w:rFonts w:ascii="Times New Roman" w:hAnsi="Times New Roman"/>
                <w:sz w:val="24"/>
                <w:szCs w:val="24"/>
              </w:rPr>
            </w:pPr>
            <w:r w:rsidRPr="00103153">
              <w:rPr>
                <w:rFonts w:ascii="Times New Roman" w:hAnsi="Times New Roman"/>
                <w:sz w:val="24"/>
                <w:szCs w:val="24"/>
              </w:rPr>
              <w:t>284,3</w:t>
            </w:r>
          </w:p>
        </w:tc>
        <w:tc>
          <w:tcPr>
            <w:tcW w:w="995" w:type="dxa"/>
            <w:tcBorders>
              <w:top w:val="nil"/>
              <w:left w:val="nil"/>
              <w:bottom w:val="single" w:sz="4" w:space="0" w:color="auto"/>
              <w:right w:val="single" w:sz="4" w:space="0" w:color="auto"/>
            </w:tcBorders>
            <w:shd w:val="clear" w:color="auto" w:fill="auto"/>
            <w:vAlign w:val="bottom"/>
          </w:tcPr>
          <w:p w:rsidR="00042094" w:rsidRPr="00103153" w:rsidRDefault="00042094" w:rsidP="00042094">
            <w:pPr>
              <w:spacing w:after="0" w:line="240" w:lineRule="auto"/>
              <w:jc w:val="center"/>
              <w:rPr>
                <w:rFonts w:ascii="Times New Roman" w:hAnsi="Times New Roman"/>
                <w:sz w:val="24"/>
                <w:szCs w:val="24"/>
              </w:rPr>
            </w:pPr>
            <w:r w:rsidRPr="00103153">
              <w:rPr>
                <w:rFonts w:ascii="Times New Roman" w:hAnsi="Times New Roman"/>
                <w:sz w:val="24"/>
                <w:szCs w:val="24"/>
              </w:rPr>
              <w:t>175,6</w:t>
            </w:r>
          </w:p>
        </w:tc>
      </w:tr>
      <w:tr w:rsidR="00042094" w:rsidRPr="004C49D8" w:rsidTr="00042094">
        <w:trPr>
          <w:trHeight w:val="370"/>
        </w:trPr>
        <w:tc>
          <w:tcPr>
            <w:tcW w:w="3183" w:type="dxa"/>
            <w:tcBorders>
              <w:top w:val="nil"/>
              <w:left w:val="single" w:sz="4" w:space="0" w:color="auto"/>
              <w:bottom w:val="single" w:sz="4" w:space="0" w:color="auto"/>
              <w:right w:val="single" w:sz="4" w:space="0" w:color="auto"/>
            </w:tcBorders>
            <w:shd w:val="clear" w:color="auto" w:fill="auto"/>
            <w:vAlign w:val="bottom"/>
          </w:tcPr>
          <w:p w:rsidR="00042094" w:rsidRPr="004C49D8" w:rsidRDefault="00042094" w:rsidP="00042094">
            <w:pPr>
              <w:spacing w:after="0" w:line="240" w:lineRule="auto"/>
              <w:ind w:left="-108" w:right="-108"/>
              <w:rPr>
                <w:rFonts w:ascii="Times New Roman" w:hAnsi="Times New Roman"/>
                <w:sz w:val="24"/>
                <w:szCs w:val="24"/>
              </w:rPr>
            </w:pPr>
            <w:r w:rsidRPr="004C49D8">
              <w:rPr>
                <w:rFonts w:ascii="Times New Roman" w:hAnsi="Times New Roman"/>
                <w:sz w:val="24"/>
                <w:szCs w:val="24"/>
              </w:rPr>
              <w:t>Легкая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042094" w:rsidRPr="00E1179C" w:rsidRDefault="00042094" w:rsidP="00042094">
            <w:pPr>
              <w:spacing w:after="0" w:line="240" w:lineRule="auto"/>
              <w:jc w:val="center"/>
              <w:rPr>
                <w:rFonts w:ascii="Times New Roman" w:hAnsi="Times New Roman"/>
                <w:sz w:val="24"/>
                <w:szCs w:val="24"/>
                <w:highlight w:val="yellow"/>
              </w:rPr>
            </w:pPr>
            <w:r w:rsidRPr="00292C69">
              <w:rPr>
                <w:rFonts w:ascii="Times New Roman" w:hAnsi="Times New Roman"/>
                <w:sz w:val="24"/>
                <w:szCs w:val="24"/>
              </w:rPr>
              <w:t>57,8</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042094" w:rsidRPr="00292C69" w:rsidRDefault="00042094" w:rsidP="00042094">
            <w:pPr>
              <w:spacing w:after="0" w:line="240" w:lineRule="auto"/>
              <w:ind w:right="-108"/>
              <w:jc w:val="center"/>
              <w:rPr>
                <w:rFonts w:ascii="Times New Roman" w:hAnsi="Times New Roman"/>
                <w:sz w:val="24"/>
                <w:szCs w:val="24"/>
              </w:rPr>
            </w:pPr>
            <w:r w:rsidRPr="00292C69">
              <w:rPr>
                <w:rFonts w:ascii="Times New Roman" w:hAnsi="Times New Roman"/>
                <w:sz w:val="24"/>
                <w:szCs w:val="24"/>
              </w:rPr>
              <w:t>90,7</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042094" w:rsidRPr="00292C69"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642,2</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042094" w:rsidRPr="00292C69"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90</w:t>
            </w:r>
            <w:r w:rsidRPr="00292C69">
              <w:rPr>
                <w:rFonts w:ascii="Times New Roman" w:hAnsi="Times New Roman"/>
                <w:sz w:val="24"/>
                <w:szCs w:val="24"/>
              </w:rPr>
              <w:t>,</w:t>
            </w:r>
            <w:r>
              <w:rPr>
                <w:rFonts w:ascii="Times New Roman" w:hAnsi="Times New Roman"/>
                <w:sz w:val="24"/>
                <w:szCs w:val="24"/>
              </w:rPr>
              <w:t>7</w:t>
            </w:r>
          </w:p>
        </w:tc>
        <w:tc>
          <w:tcPr>
            <w:tcW w:w="882" w:type="dxa"/>
            <w:tcBorders>
              <w:top w:val="nil"/>
              <w:left w:val="nil"/>
              <w:bottom w:val="single" w:sz="4" w:space="0" w:color="auto"/>
              <w:right w:val="single" w:sz="4" w:space="0" w:color="auto"/>
            </w:tcBorders>
            <w:shd w:val="clear" w:color="auto" w:fill="auto"/>
            <w:vAlign w:val="bottom"/>
          </w:tcPr>
          <w:p w:rsidR="00042094" w:rsidRPr="00E1179C" w:rsidRDefault="00042094" w:rsidP="00042094">
            <w:pPr>
              <w:spacing w:after="0" w:line="20" w:lineRule="atLeast"/>
              <w:jc w:val="center"/>
              <w:rPr>
                <w:rFonts w:ascii="Times New Roman" w:hAnsi="Times New Roman"/>
                <w:sz w:val="24"/>
                <w:szCs w:val="24"/>
                <w:highlight w:val="yellow"/>
              </w:rPr>
            </w:pPr>
            <w:r w:rsidRPr="00292C69">
              <w:rPr>
                <w:rFonts w:ascii="Times New Roman" w:hAnsi="Times New Roman"/>
                <w:sz w:val="24"/>
                <w:szCs w:val="24"/>
              </w:rPr>
              <w:t>13,0</w:t>
            </w:r>
          </w:p>
        </w:tc>
        <w:tc>
          <w:tcPr>
            <w:tcW w:w="843" w:type="dxa"/>
            <w:tcBorders>
              <w:top w:val="nil"/>
              <w:left w:val="nil"/>
              <w:bottom w:val="single" w:sz="4" w:space="0" w:color="auto"/>
              <w:right w:val="single" w:sz="4" w:space="0" w:color="auto"/>
            </w:tcBorders>
            <w:shd w:val="clear" w:color="auto" w:fill="auto"/>
            <w:vAlign w:val="bottom"/>
          </w:tcPr>
          <w:p w:rsidR="00042094" w:rsidRPr="00292C69" w:rsidRDefault="00042094" w:rsidP="00042094">
            <w:pPr>
              <w:spacing w:after="0" w:line="240" w:lineRule="auto"/>
              <w:ind w:left="-108" w:right="-66"/>
              <w:jc w:val="center"/>
              <w:rPr>
                <w:rFonts w:ascii="Times New Roman" w:hAnsi="Times New Roman"/>
                <w:sz w:val="24"/>
                <w:szCs w:val="24"/>
              </w:rPr>
            </w:pPr>
            <w:r w:rsidRPr="00292C69">
              <w:rPr>
                <w:rFonts w:ascii="Times New Roman" w:hAnsi="Times New Roman"/>
                <w:sz w:val="24"/>
                <w:szCs w:val="24"/>
              </w:rPr>
              <w:t>650,4</w:t>
            </w:r>
          </w:p>
        </w:tc>
        <w:tc>
          <w:tcPr>
            <w:tcW w:w="995" w:type="dxa"/>
            <w:tcBorders>
              <w:top w:val="nil"/>
              <w:left w:val="nil"/>
              <w:bottom w:val="single" w:sz="4" w:space="0" w:color="auto"/>
              <w:right w:val="single" w:sz="4" w:space="0" w:color="auto"/>
            </w:tcBorders>
            <w:shd w:val="clear" w:color="auto" w:fill="auto"/>
            <w:vAlign w:val="bottom"/>
          </w:tcPr>
          <w:p w:rsidR="00042094" w:rsidRPr="00292C69" w:rsidRDefault="00042094" w:rsidP="00042094">
            <w:pPr>
              <w:spacing w:after="0" w:line="240" w:lineRule="auto"/>
              <w:jc w:val="center"/>
              <w:rPr>
                <w:rFonts w:ascii="Times New Roman" w:hAnsi="Times New Roman"/>
                <w:sz w:val="24"/>
                <w:szCs w:val="24"/>
              </w:rPr>
            </w:pPr>
            <w:r w:rsidRPr="00292C69">
              <w:rPr>
                <w:rFonts w:ascii="Times New Roman" w:hAnsi="Times New Roman"/>
                <w:sz w:val="24"/>
                <w:szCs w:val="24"/>
              </w:rPr>
              <w:t>84,7</w:t>
            </w:r>
          </w:p>
        </w:tc>
      </w:tr>
      <w:tr w:rsidR="00042094" w:rsidRPr="004C49D8" w:rsidTr="00042094">
        <w:trPr>
          <w:trHeight w:val="239"/>
        </w:trPr>
        <w:tc>
          <w:tcPr>
            <w:tcW w:w="3183" w:type="dxa"/>
            <w:tcBorders>
              <w:top w:val="nil"/>
              <w:left w:val="single" w:sz="4" w:space="0" w:color="auto"/>
              <w:bottom w:val="single" w:sz="4" w:space="0" w:color="auto"/>
              <w:right w:val="single" w:sz="4" w:space="0" w:color="auto"/>
            </w:tcBorders>
            <w:shd w:val="clear" w:color="auto" w:fill="auto"/>
            <w:vAlign w:val="bottom"/>
          </w:tcPr>
          <w:p w:rsidR="00042094" w:rsidRPr="004C49D8" w:rsidRDefault="00042094" w:rsidP="00042094">
            <w:pPr>
              <w:spacing w:after="0" w:line="240" w:lineRule="auto"/>
              <w:ind w:left="-108" w:right="-108"/>
              <w:rPr>
                <w:rFonts w:ascii="Times New Roman" w:hAnsi="Times New Roman"/>
                <w:sz w:val="24"/>
                <w:szCs w:val="24"/>
              </w:rPr>
            </w:pPr>
            <w:r w:rsidRPr="004C49D8">
              <w:rPr>
                <w:rFonts w:ascii="Times New Roman" w:hAnsi="Times New Roman"/>
                <w:sz w:val="24"/>
                <w:szCs w:val="24"/>
              </w:rPr>
              <w:t>Пищевая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042094" w:rsidRPr="00292C69" w:rsidRDefault="00042094" w:rsidP="00042094">
            <w:pPr>
              <w:spacing w:after="0" w:line="240" w:lineRule="auto"/>
              <w:jc w:val="center"/>
              <w:rPr>
                <w:rFonts w:ascii="Times New Roman" w:hAnsi="Times New Roman"/>
                <w:sz w:val="24"/>
                <w:szCs w:val="24"/>
              </w:rPr>
            </w:pPr>
            <w:r w:rsidRPr="00292C69">
              <w:rPr>
                <w:rFonts w:ascii="Times New Roman" w:hAnsi="Times New Roman"/>
                <w:sz w:val="24"/>
                <w:szCs w:val="24"/>
              </w:rPr>
              <w:t>52,3</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042094" w:rsidRPr="00292C69" w:rsidRDefault="00042094" w:rsidP="00042094">
            <w:pPr>
              <w:spacing w:after="0" w:line="240" w:lineRule="auto"/>
              <w:ind w:right="-108"/>
              <w:jc w:val="center"/>
              <w:rPr>
                <w:rFonts w:ascii="Times New Roman" w:hAnsi="Times New Roman"/>
                <w:sz w:val="24"/>
                <w:szCs w:val="24"/>
              </w:rPr>
            </w:pPr>
            <w:r w:rsidRPr="00292C69">
              <w:rPr>
                <w:rFonts w:ascii="Times New Roman" w:hAnsi="Times New Roman"/>
                <w:sz w:val="24"/>
                <w:szCs w:val="24"/>
              </w:rPr>
              <w:t>89,2</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042094" w:rsidRPr="00292C69" w:rsidRDefault="00042094" w:rsidP="00042094">
            <w:pPr>
              <w:spacing w:after="0" w:line="240" w:lineRule="auto"/>
              <w:jc w:val="center"/>
              <w:rPr>
                <w:rFonts w:ascii="Times New Roman" w:hAnsi="Times New Roman"/>
                <w:sz w:val="24"/>
                <w:szCs w:val="24"/>
              </w:rPr>
            </w:pPr>
            <w:r w:rsidRPr="00292C69">
              <w:rPr>
                <w:rFonts w:ascii="Times New Roman" w:hAnsi="Times New Roman"/>
                <w:sz w:val="24"/>
                <w:szCs w:val="24"/>
              </w:rPr>
              <w:t>580,6</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042094" w:rsidRPr="00292C69" w:rsidRDefault="00042094" w:rsidP="00042094">
            <w:pPr>
              <w:spacing w:after="0" w:line="240" w:lineRule="auto"/>
              <w:jc w:val="center"/>
              <w:rPr>
                <w:rFonts w:ascii="Times New Roman" w:hAnsi="Times New Roman"/>
                <w:sz w:val="24"/>
                <w:szCs w:val="24"/>
              </w:rPr>
            </w:pPr>
            <w:r w:rsidRPr="00292C69">
              <w:rPr>
                <w:rFonts w:ascii="Times New Roman" w:hAnsi="Times New Roman"/>
                <w:sz w:val="24"/>
                <w:szCs w:val="24"/>
              </w:rPr>
              <w:t>89,2</w:t>
            </w:r>
          </w:p>
        </w:tc>
        <w:tc>
          <w:tcPr>
            <w:tcW w:w="882" w:type="dxa"/>
            <w:tcBorders>
              <w:top w:val="nil"/>
              <w:left w:val="nil"/>
              <w:bottom w:val="single" w:sz="4" w:space="0" w:color="auto"/>
              <w:right w:val="single" w:sz="4" w:space="0" w:color="auto"/>
            </w:tcBorders>
            <w:shd w:val="clear" w:color="auto" w:fill="auto"/>
            <w:vAlign w:val="bottom"/>
          </w:tcPr>
          <w:p w:rsidR="00042094" w:rsidRPr="00292C69" w:rsidRDefault="00042094" w:rsidP="00042094">
            <w:pPr>
              <w:spacing w:after="0" w:line="20" w:lineRule="atLeast"/>
              <w:jc w:val="center"/>
              <w:rPr>
                <w:rFonts w:ascii="Times New Roman" w:hAnsi="Times New Roman"/>
                <w:sz w:val="24"/>
                <w:szCs w:val="24"/>
              </w:rPr>
            </w:pPr>
            <w:r w:rsidRPr="00292C69">
              <w:rPr>
                <w:rFonts w:ascii="Times New Roman" w:hAnsi="Times New Roman"/>
                <w:sz w:val="24"/>
                <w:szCs w:val="24"/>
              </w:rPr>
              <w:t>11,</w:t>
            </w:r>
            <w:r>
              <w:rPr>
                <w:rFonts w:ascii="Times New Roman" w:hAnsi="Times New Roman"/>
                <w:sz w:val="24"/>
                <w:szCs w:val="24"/>
              </w:rPr>
              <w:t>7</w:t>
            </w:r>
          </w:p>
        </w:tc>
        <w:tc>
          <w:tcPr>
            <w:tcW w:w="843" w:type="dxa"/>
            <w:tcBorders>
              <w:top w:val="nil"/>
              <w:left w:val="nil"/>
              <w:bottom w:val="single" w:sz="4" w:space="0" w:color="auto"/>
              <w:right w:val="single" w:sz="4" w:space="0" w:color="auto"/>
            </w:tcBorders>
            <w:shd w:val="clear" w:color="auto" w:fill="auto"/>
            <w:vAlign w:val="bottom"/>
          </w:tcPr>
          <w:p w:rsidR="00042094" w:rsidRPr="00292C69" w:rsidRDefault="00042094" w:rsidP="00042094">
            <w:pPr>
              <w:spacing w:after="0" w:line="240" w:lineRule="auto"/>
              <w:ind w:left="-108" w:right="-66"/>
              <w:jc w:val="center"/>
              <w:rPr>
                <w:rFonts w:ascii="Times New Roman" w:hAnsi="Times New Roman"/>
                <w:sz w:val="24"/>
                <w:szCs w:val="24"/>
              </w:rPr>
            </w:pPr>
            <w:r w:rsidRPr="00292C69">
              <w:rPr>
                <w:rFonts w:ascii="Times New Roman" w:hAnsi="Times New Roman"/>
                <w:sz w:val="24"/>
                <w:szCs w:val="24"/>
              </w:rPr>
              <w:t>284,3</w:t>
            </w:r>
          </w:p>
        </w:tc>
        <w:tc>
          <w:tcPr>
            <w:tcW w:w="995" w:type="dxa"/>
            <w:tcBorders>
              <w:top w:val="nil"/>
              <w:left w:val="nil"/>
              <w:bottom w:val="single" w:sz="4" w:space="0" w:color="auto"/>
              <w:right w:val="single" w:sz="4" w:space="0" w:color="auto"/>
            </w:tcBorders>
            <w:shd w:val="clear" w:color="auto" w:fill="auto"/>
            <w:vAlign w:val="bottom"/>
          </w:tcPr>
          <w:p w:rsidR="00042094" w:rsidRPr="00E1179C" w:rsidRDefault="00042094" w:rsidP="00042094">
            <w:pPr>
              <w:spacing w:after="0" w:line="240" w:lineRule="auto"/>
              <w:jc w:val="center"/>
              <w:rPr>
                <w:rFonts w:ascii="Times New Roman" w:hAnsi="Times New Roman"/>
                <w:sz w:val="24"/>
                <w:szCs w:val="24"/>
                <w:highlight w:val="yellow"/>
              </w:rPr>
            </w:pPr>
            <w:r w:rsidRPr="00292C69">
              <w:rPr>
                <w:rFonts w:ascii="Times New Roman" w:hAnsi="Times New Roman"/>
                <w:sz w:val="24"/>
                <w:szCs w:val="24"/>
              </w:rPr>
              <w:t>175,6</w:t>
            </w:r>
          </w:p>
        </w:tc>
      </w:tr>
      <w:tr w:rsidR="00042094" w:rsidRPr="004C49D8" w:rsidTr="00042094">
        <w:trPr>
          <w:trHeight w:val="362"/>
        </w:trPr>
        <w:tc>
          <w:tcPr>
            <w:tcW w:w="3183" w:type="dxa"/>
            <w:tcBorders>
              <w:top w:val="nil"/>
              <w:left w:val="single" w:sz="4" w:space="0" w:color="auto"/>
              <w:bottom w:val="single" w:sz="4" w:space="0" w:color="auto"/>
              <w:right w:val="single" w:sz="4" w:space="0" w:color="auto"/>
            </w:tcBorders>
            <w:shd w:val="clear" w:color="auto" w:fill="auto"/>
            <w:vAlign w:val="bottom"/>
          </w:tcPr>
          <w:p w:rsidR="00042094" w:rsidRPr="004C49D8" w:rsidRDefault="00042094" w:rsidP="00042094">
            <w:pPr>
              <w:spacing w:after="0" w:line="240" w:lineRule="auto"/>
              <w:ind w:left="-108" w:right="-108"/>
              <w:rPr>
                <w:rFonts w:ascii="Times New Roman" w:hAnsi="Times New Roman"/>
                <w:sz w:val="24"/>
                <w:szCs w:val="24"/>
              </w:rPr>
            </w:pPr>
            <w:r w:rsidRPr="004C49D8">
              <w:rPr>
                <w:rFonts w:ascii="Times New Roman" w:hAnsi="Times New Roman"/>
                <w:sz w:val="24"/>
                <w:szCs w:val="24"/>
              </w:rPr>
              <w:t>Мукомольно-крупяная</w:t>
            </w:r>
            <w:r>
              <w:rPr>
                <w:rFonts w:ascii="Times New Roman" w:hAnsi="Times New Roman"/>
                <w:sz w:val="24"/>
                <w:szCs w:val="24"/>
              </w:rPr>
              <w:t xml:space="preserve"> и комбикормовая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042094" w:rsidRPr="00292C69" w:rsidRDefault="00042094" w:rsidP="00042094">
            <w:pPr>
              <w:spacing w:after="0" w:line="240" w:lineRule="auto"/>
              <w:jc w:val="center"/>
              <w:rPr>
                <w:rFonts w:ascii="Times New Roman" w:hAnsi="Times New Roman"/>
                <w:sz w:val="24"/>
                <w:szCs w:val="24"/>
              </w:rPr>
            </w:pPr>
            <w:r w:rsidRPr="00292C69">
              <w:rPr>
                <w:rFonts w:ascii="Times New Roman" w:hAnsi="Times New Roman"/>
                <w:sz w:val="24"/>
                <w:szCs w:val="24"/>
              </w:rPr>
              <w:t>5,9</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042094" w:rsidRPr="00292C69" w:rsidRDefault="00042094" w:rsidP="00042094">
            <w:pPr>
              <w:spacing w:after="0" w:line="240" w:lineRule="auto"/>
              <w:ind w:right="-108"/>
              <w:jc w:val="center"/>
              <w:rPr>
                <w:rFonts w:ascii="Times New Roman" w:hAnsi="Times New Roman"/>
                <w:sz w:val="24"/>
                <w:szCs w:val="24"/>
              </w:rPr>
            </w:pPr>
            <w:r w:rsidRPr="00292C69">
              <w:rPr>
                <w:rFonts w:ascii="Times New Roman" w:hAnsi="Times New Roman"/>
                <w:sz w:val="24"/>
                <w:szCs w:val="24"/>
              </w:rPr>
              <w:t>88,7</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042094" w:rsidRPr="00292C69" w:rsidRDefault="00042094" w:rsidP="00042094">
            <w:pPr>
              <w:spacing w:after="0" w:line="240" w:lineRule="auto"/>
              <w:jc w:val="center"/>
              <w:rPr>
                <w:rFonts w:ascii="Times New Roman" w:hAnsi="Times New Roman"/>
                <w:sz w:val="24"/>
                <w:szCs w:val="24"/>
              </w:rPr>
            </w:pPr>
            <w:r w:rsidRPr="00292C69">
              <w:rPr>
                <w:rFonts w:ascii="Times New Roman" w:hAnsi="Times New Roman"/>
                <w:sz w:val="24"/>
                <w:szCs w:val="24"/>
              </w:rPr>
              <w:t>65,9</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042094" w:rsidRPr="00292C69" w:rsidRDefault="00042094" w:rsidP="00042094">
            <w:pPr>
              <w:spacing w:after="0" w:line="240" w:lineRule="auto"/>
              <w:jc w:val="center"/>
              <w:rPr>
                <w:rFonts w:ascii="Times New Roman" w:hAnsi="Times New Roman"/>
                <w:sz w:val="24"/>
                <w:szCs w:val="24"/>
              </w:rPr>
            </w:pPr>
            <w:r w:rsidRPr="00292C69">
              <w:rPr>
                <w:rFonts w:ascii="Times New Roman" w:hAnsi="Times New Roman"/>
                <w:sz w:val="24"/>
                <w:szCs w:val="24"/>
              </w:rPr>
              <w:t>88,7</w:t>
            </w:r>
          </w:p>
        </w:tc>
        <w:tc>
          <w:tcPr>
            <w:tcW w:w="882" w:type="dxa"/>
            <w:tcBorders>
              <w:top w:val="nil"/>
              <w:left w:val="nil"/>
              <w:bottom w:val="single" w:sz="4" w:space="0" w:color="auto"/>
              <w:right w:val="single" w:sz="4" w:space="0" w:color="auto"/>
            </w:tcBorders>
            <w:shd w:val="clear" w:color="auto" w:fill="auto"/>
            <w:vAlign w:val="bottom"/>
          </w:tcPr>
          <w:p w:rsidR="00042094" w:rsidRPr="00292C69" w:rsidRDefault="00042094" w:rsidP="00042094">
            <w:pPr>
              <w:spacing w:after="0" w:line="20" w:lineRule="atLeast"/>
              <w:jc w:val="center"/>
              <w:rPr>
                <w:rFonts w:ascii="Times New Roman" w:hAnsi="Times New Roman"/>
                <w:sz w:val="24"/>
                <w:szCs w:val="24"/>
              </w:rPr>
            </w:pPr>
            <w:r w:rsidRPr="00292C69">
              <w:rPr>
                <w:rFonts w:ascii="Times New Roman" w:hAnsi="Times New Roman"/>
                <w:sz w:val="24"/>
                <w:szCs w:val="24"/>
              </w:rPr>
              <w:t>1,4</w:t>
            </w:r>
          </w:p>
        </w:tc>
        <w:tc>
          <w:tcPr>
            <w:tcW w:w="843" w:type="dxa"/>
            <w:tcBorders>
              <w:top w:val="nil"/>
              <w:left w:val="nil"/>
              <w:bottom w:val="single" w:sz="4" w:space="0" w:color="auto"/>
              <w:right w:val="single" w:sz="4" w:space="0" w:color="auto"/>
            </w:tcBorders>
            <w:shd w:val="clear" w:color="auto" w:fill="auto"/>
            <w:vAlign w:val="bottom"/>
          </w:tcPr>
          <w:p w:rsidR="00042094" w:rsidRPr="00292C69" w:rsidRDefault="00042094" w:rsidP="00042094">
            <w:pPr>
              <w:spacing w:after="0" w:line="240" w:lineRule="auto"/>
              <w:ind w:left="-108" w:right="-66"/>
              <w:jc w:val="center"/>
              <w:rPr>
                <w:rFonts w:ascii="Times New Roman" w:hAnsi="Times New Roman"/>
                <w:sz w:val="24"/>
                <w:szCs w:val="24"/>
              </w:rPr>
            </w:pPr>
            <w:r w:rsidRPr="00292C69">
              <w:rPr>
                <w:rFonts w:ascii="Times New Roman" w:hAnsi="Times New Roman"/>
                <w:sz w:val="24"/>
                <w:szCs w:val="24"/>
              </w:rPr>
              <w:t>68,2</w:t>
            </w:r>
          </w:p>
        </w:tc>
        <w:tc>
          <w:tcPr>
            <w:tcW w:w="995" w:type="dxa"/>
            <w:tcBorders>
              <w:top w:val="nil"/>
              <w:left w:val="nil"/>
              <w:bottom w:val="single" w:sz="4" w:space="0" w:color="auto"/>
              <w:right w:val="single" w:sz="4" w:space="0" w:color="auto"/>
            </w:tcBorders>
            <w:shd w:val="clear" w:color="auto" w:fill="auto"/>
            <w:vAlign w:val="bottom"/>
          </w:tcPr>
          <w:p w:rsidR="00042094" w:rsidRPr="00292C69" w:rsidRDefault="00042094" w:rsidP="00042094">
            <w:pPr>
              <w:spacing w:after="0" w:line="240" w:lineRule="auto"/>
              <w:ind w:right="-33"/>
              <w:jc w:val="center"/>
              <w:rPr>
                <w:rFonts w:ascii="Times New Roman" w:hAnsi="Times New Roman"/>
                <w:sz w:val="24"/>
                <w:szCs w:val="24"/>
              </w:rPr>
            </w:pPr>
            <w:r w:rsidRPr="00292C69">
              <w:rPr>
                <w:rFonts w:ascii="Times New Roman" w:hAnsi="Times New Roman"/>
                <w:sz w:val="24"/>
                <w:szCs w:val="24"/>
              </w:rPr>
              <w:t>89,2</w:t>
            </w:r>
          </w:p>
        </w:tc>
      </w:tr>
      <w:tr w:rsidR="00042094" w:rsidRPr="004C49D8" w:rsidTr="00042094">
        <w:trPr>
          <w:trHeight w:val="129"/>
        </w:trPr>
        <w:tc>
          <w:tcPr>
            <w:tcW w:w="3183" w:type="dxa"/>
            <w:tcBorders>
              <w:top w:val="nil"/>
              <w:left w:val="single" w:sz="4" w:space="0" w:color="auto"/>
              <w:bottom w:val="single" w:sz="4" w:space="0" w:color="auto"/>
              <w:right w:val="single" w:sz="4" w:space="0" w:color="auto"/>
            </w:tcBorders>
            <w:shd w:val="clear" w:color="auto" w:fill="auto"/>
            <w:vAlign w:val="bottom"/>
          </w:tcPr>
          <w:p w:rsidR="00042094" w:rsidRPr="004C49D8" w:rsidRDefault="00042094" w:rsidP="00042094">
            <w:pPr>
              <w:spacing w:after="0" w:line="240" w:lineRule="auto"/>
              <w:ind w:left="-108" w:right="-108"/>
              <w:rPr>
                <w:rFonts w:ascii="Times New Roman" w:hAnsi="Times New Roman"/>
                <w:sz w:val="24"/>
                <w:szCs w:val="24"/>
              </w:rPr>
            </w:pPr>
            <w:r w:rsidRPr="004C49D8">
              <w:rPr>
                <w:rFonts w:ascii="Times New Roman" w:hAnsi="Times New Roman"/>
                <w:sz w:val="24"/>
                <w:szCs w:val="24"/>
              </w:rPr>
              <w:t>Полиграфическая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042094" w:rsidRPr="00292C69" w:rsidRDefault="00042094" w:rsidP="00042094">
            <w:pPr>
              <w:spacing w:after="0" w:line="240" w:lineRule="auto"/>
              <w:jc w:val="center"/>
              <w:rPr>
                <w:rFonts w:ascii="Times New Roman" w:hAnsi="Times New Roman"/>
                <w:sz w:val="24"/>
                <w:szCs w:val="24"/>
              </w:rPr>
            </w:pPr>
            <w:r w:rsidRPr="00292C69">
              <w:rPr>
                <w:rFonts w:ascii="Times New Roman" w:hAnsi="Times New Roman"/>
                <w:sz w:val="24"/>
                <w:szCs w:val="24"/>
              </w:rPr>
              <w:t>0,9</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042094" w:rsidRPr="00292C69" w:rsidRDefault="00042094" w:rsidP="00042094">
            <w:pPr>
              <w:spacing w:after="0" w:line="240" w:lineRule="auto"/>
              <w:ind w:right="-108"/>
              <w:jc w:val="center"/>
              <w:rPr>
                <w:rFonts w:ascii="Times New Roman" w:hAnsi="Times New Roman"/>
                <w:sz w:val="24"/>
                <w:szCs w:val="24"/>
              </w:rPr>
            </w:pPr>
            <w:r w:rsidRPr="00292C69">
              <w:rPr>
                <w:rFonts w:ascii="Times New Roman" w:hAnsi="Times New Roman"/>
                <w:sz w:val="24"/>
                <w:szCs w:val="24"/>
              </w:rPr>
              <w:t>80,4</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042094" w:rsidRPr="00292C69" w:rsidRDefault="00042094" w:rsidP="00042094">
            <w:pPr>
              <w:spacing w:after="0" w:line="240" w:lineRule="auto"/>
              <w:jc w:val="center"/>
              <w:rPr>
                <w:rFonts w:ascii="Times New Roman" w:hAnsi="Times New Roman"/>
                <w:sz w:val="24"/>
                <w:szCs w:val="24"/>
              </w:rPr>
            </w:pPr>
            <w:r w:rsidRPr="00292C69">
              <w:rPr>
                <w:rFonts w:ascii="Times New Roman" w:hAnsi="Times New Roman"/>
                <w:sz w:val="24"/>
                <w:szCs w:val="24"/>
              </w:rPr>
              <w:t>10,0</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042094" w:rsidRPr="00292C69" w:rsidRDefault="00042094" w:rsidP="00042094">
            <w:pPr>
              <w:spacing w:after="0" w:line="240" w:lineRule="auto"/>
              <w:jc w:val="center"/>
              <w:rPr>
                <w:rFonts w:ascii="Times New Roman" w:hAnsi="Times New Roman"/>
                <w:sz w:val="24"/>
                <w:szCs w:val="24"/>
              </w:rPr>
            </w:pPr>
            <w:r w:rsidRPr="00292C69">
              <w:rPr>
                <w:rFonts w:ascii="Times New Roman" w:hAnsi="Times New Roman"/>
                <w:sz w:val="24"/>
                <w:szCs w:val="24"/>
              </w:rPr>
              <w:t>80,4</w:t>
            </w:r>
          </w:p>
        </w:tc>
        <w:tc>
          <w:tcPr>
            <w:tcW w:w="882" w:type="dxa"/>
            <w:tcBorders>
              <w:top w:val="nil"/>
              <w:left w:val="nil"/>
              <w:bottom w:val="single" w:sz="4" w:space="0" w:color="auto"/>
              <w:right w:val="single" w:sz="4" w:space="0" w:color="auto"/>
            </w:tcBorders>
            <w:shd w:val="clear" w:color="auto" w:fill="auto"/>
            <w:vAlign w:val="bottom"/>
          </w:tcPr>
          <w:p w:rsidR="00042094" w:rsidRPr="00C47E4E" w:rsidRDefault="00042094" w:rsidP="00042094">
            <w:pPr>
              <w:spacing w:after="0" w:line="20" w:lineRule="atLeast"/>
              <w:jc w:val="center"/>
              <w:rPr>
                <w:rFonts w:ascii="Times New Roman" w:hAnsi="Times New Roman"/>
                <w:sz w:val="24"/>
                <w:szCs w:val="24"/>
              </w:rPr>
            </w:pPr>
            <w:r w:rsidRPr="00C47E4E">
              <w:rPr>
                <w:rFonts w:ascii="Times New Roman" w:hAnsi="Times New Roman"/>
                <w:sz w:val="24"/>
                <w:szCs w:val="24"/>
              </w:rPr>
              <w:t>0,2</w:t>
            </w:r>
          </w:p>
        </w:tc>
        <w:tc>
          <w:tcPr>
            <w:tcW w:w="843" w:type="dxa"/>
            <w:tcBorders>
              <w:top w:val="nil"/>
              <w:left w:val="nil"/>
              <w:bottom w:val="single" w:sz="4" w:space="0" w:color="auto"/>
              <w:right w:val="single" w:sz="4" w:space="0" w:color="auto"/>
            </w:tcBorders>
            <w:shd w:val="clear" w:color="auto" w:fill="auto"/>
            <w:vAlign w:val="bottom"/>
          </w:tcPr>
          <w:p w:rsidR="00042094" w:rsidRPr="00C47E4E" w:rsidRDefault="00042094" w:rsidP="00042094">
            <w:pPr>
              <w:spacing w:after="0" w:line="240" w:lineRule="auto"/>
              <w:ind w:left="-108" w:right="-66"/>
              <w:jc w:val="center"/>
              <w:rPr>
                <w:rFonts w:ascii="Times New Roman" w:hAnsi="Times New Roman"/>
                <w:sz w:val="24"/>
                <w:szCs w:val="24"/>
              </w:rPr>
            </w:pPr>
            <w:r w:rsidRPr="00C47E4E">
              <w:rPr>
                <w:rFonts w:ascii="Times New Roman" w:hAnsi="Times New Roman"/>
                <w:sz w:val="24"/>
                <w:szCs w:val="24"/>
              </w:rPr>
              <w:t>9,8</w:t>
            </w:r>
          </w:p>
        </w:tc>
        <w:tc>
          <w:tcPr>
            <w:tcW w:w="995" w:type="dxa"/>
            <w:tcBorders>
              <w:top w:val="nil"/>
              <w:left w:val="nil"/>
              <w:bottom w:val="single" w:sz="4" w:space="0" w:color="auto"/>
              <w:right w:val="single" w:sz="4" w:space="0" w:color="auto"/>
            </w:tcBorders>
            <w:shd w:val="clear" w:color="auto" w:fill="auto"/>
            <w:vAlign w:val="bottom"/>
          </w:tcPr>
          <w:p w:rsidR="00042094" w:rsidRPr="00C47E4E" w:rsidRDefault="00042094" w:rsidP="00042094">
            <w:pPr>
              <w:spacing w:after="0" w:line="240" w:lineRule="auto"/>
              <w:jc w:val="center"/>
              <w:rPr>
                <w:rFonts w:ascii="Times New Roman" w:hAnsi="Times New Roman"/>
                <w:sz w:val="24"/>
                <w:szCs w:val="24"/>
              </w:rPr>
            </w:pPr>
            <w:r w:rsidRPr="00C47E4E">
              <w:rPr>
                <w:rFonts w:ascii="Times New Roman" w:hAnsi="Times New Roman"/>
                <w:sz w:val="24"/>
                <w:szCs w:val="24"/>
              </w:rPr>
              <w:t>78,0</w:t>
            </w:r>
          </w:p>
        </w:tc>
      </w:tr>
      <w:tr w:rsidR="00042094" w:rsidRPr="00C47E4E" w:rsidTr="00042094">
        <w:trPr>
          <w:trHeight w:val="227"/>
        </w:trPr>
        <w:tc>
          <w:tcPr>
            <w:tcW w:w="3183" w:type="dxa"/>
            <w:tcBorders>
              <w:top w:val="nil"/>
              <w:left w:val="single" w:sz="4" w:space="0" w:color="auto"/>
              <w:bottom w:val="single" w:sz="4" w:space="0" w:color="auto"/>
              <w:right w:val="single" w:sz="4" w:space="0" w:color="auto"/>
            </w:tcBorders>
            <w:shd w:val="clear" w:color="auto" w:fill="auto"/>
            <w:vAlign w:val="bottom"/>
          </w:tcPr>
          <w:p w:rsidR="00042094" w:rsidRPr="004C49D8" w:rsidRDefault="00042094" w:rsidP="00042094">
            <w:pPr>
              <w:spacing w:after="0" w:line="240" w:lineRule="auto"/>
              <w:ind w:left="-108" w:right="-108"/>
              <w:rPr>
                <w:rFonts w:ascii="Times New Roman" w:hAnsi="Times New Roman"/>
                <w:sz w:val="24"/>
                <w:szCs w:val="24"/>
              </w:rPr>
            </w:pPr>
            <w:r w:rsidRPr="004C49D8">
              <w:rPr>
                <w:rFonts w:ascii="Times New Roman" w:hAnsi="Times New Roman"/>
                <w:sz w:val="24"/>
                <w:szCs w:val="24"/>
              </w:rPr>
              <w:t>ИТОГО по ПМР</w:t>
            </w:r>
          </w:p>
        </w:tc>
        <w:tc>
          <w:tcPr>
            <w:tcW w:w="933" w:type="dxa"/>
            <w:tcBorders>
              <w:top w:val="single" w:sz="6" w:space="0" w:color="auto"/>
              <w:left w:val="nil"/>
              <w:bottom w:val="single" w:sz="4" w:space="0" w:color="auto"/>
              <w:right w:val="single" w:sz="6" w:space="0" w:color="auto"/>
            </w:tcBorders>
            <w:shd w:val="clear" w:color="auto" w:fill="auto"/>
            <w:vAlign w:val="bottom"/>
          </w:tcPr>
          <w:p w:rsidR="00042094" w:rsidRPr="00C47E4E" w:rsidRDefault="00042094" w:rsidP="00042094">
            <w:pPr>
              <w:spacing w:after="0" w:line="240" w:lineRule="auto"/>
              <w:ind w:left="-74" w:right="-94"/>
              <w:jc w:val="center"/>
              <w:rPr>
                <w:rFonts w:ascii="Times New Roman" w:hAnsi="Times New Roman"/>
                <w:sz w:val="24"/>
                <w:szCs w:val="24"/>
              </w:rPr>
            </w:pPr>
            <w:r w:rsidRPr="00C47E4E">
              <w:rPr>
                <w:rFonts w:ascii="Times New Roman" w:hAnsi="Times New Roman"/>
                <w:sz w:val="24"/>
                <w:szCs w:val="24"/>
              </w:rPr>
              <w:t>445,5</w:t>
            </w:r>
          </w:p>
        </w:tc>
        <w:tc>
          <w:tcPr>
            <w:tcW w:w="784" w:type="dxa"/>
            <w:tcBorders>
              <w:top w:val="single" w:sz="6" w:space="0" w:color="auto"/>
              <w:left w:val="single" w:sz="6" w:space="0" w:color="auto"/>
              <w:bottom w:val="single" w:sz="4" w:space="0" w:color="auto"/>
              <w:right w:val="single" w:sz="6" w:space="0" w:color="auto"/>
            </w:tcBorders>
            <w:shd w:val="clear" w:color="auto" w:fill="auto"/>
            <w:vAlign w:val="bottom"/>
          </w:tcPr>
          <w:p w:rsidR="00042094" w:rsidRPr="00C47E4E" w:rsidRDefault="00042094" w:rsidP="00042094">
            <w:pPr>
              <w:spacing w:after="0" w:line="240" w:lineRule="auto"/>
              <w:ind w:right="-108"/>
              <w:jc w:val="center"/>
              <w:rPr>
                <w:rFonts w:ascii="Times New Roman" w:hAnsi="Times New Roman"/>
                <w:sz w:val="24"/>
                <w:szCs w:val="24"/>
              </w:rPr>
            </w:pPr>
            <w:r w:rsidRPr="00C47E4E">
              <w:rPr>
                <w:rFonts w:ascii="Times New Roman" w:hAnsi="Times New Roman"/>
                <w:sz w:val="24"/>
                <w:szCs w:val="24"/>
              </w:rPr>
              <w:t>146,9</w:t>
            </w:r>
          </w:p>
        </w:tc>
        <w:tc>
          <w:tcPr>
            <w:tcW w:w="1140" w:type="dxa"/>
            <w:tcBorders>
              <w:top w:val="single" w:sz="6" w:space="0" w:color="auto"/>
              <w:left w:val="single" w:sz="6" w:space="0" w:color="auto"/>
              <w:bottom w:val="single" w:sz="4" w:space="0" w:color="auto"/>
              <w:right w:val="single" w:sz="6" w:space="0" w:color="auto"/>
            </w:tcBorders>
            <w:shd w:val="clear" w:color="auto" w:fill="auto"/>
            <w:vAlign w:val="bottom"/>
          </w:tcPr>
          <w:p w:rsidR="00042094" w:rsidRPr="00C47E4E" w:rsidRDefault="00042094" w:rsidP="00042094">
            <w:pPr>
              <w:spacing w:after="0" w:line="240" w:lineRule="auto"/>
              <w:jc w:val="center"/>
              <w:rPr>
                <w:rFonts w:ascii="Times New Roman" w:hAnsi="Times New Roman"/>
                <w:sz w:val="24"/>
                <w:szCs w:val="24"/>
              </w:rPr>
            </w:pPr>
            <w:r w:rsidRPr="00C47E4E">
              <w:rPr>
                <w:rFonts w:ascii="Times New Roman" w:hAnsi="Times New Roman"/>
                <w:sz w:val="24"/>
                <w:szCs w:val="24"/>
              </w:rPr>
              <w:t>4 945,2</w:t>
            </w:r>
          </w:p>
        </w:tc>
        <w:tc>
          <w:tcPr>
            <w:tcW w:w="862" w:type="dxa"/>
            <w:tcBorders>
              <w:top w:val="single" w:sz="6" w:space="0" w:color="auto"/>
              <w:left w:val="single" w:sz="6" w:space="0" w:color="auto"/>
              <w:bottom w:val="single" w:sz="4" w:space="0" w:color="auto"/>
              <w:right w:val="single" w:sz="4" w:space="0" w:color="auto"/>
            </w:tcBorders>
            <w:shd w:val="clear" w:color="auto" w:fill="auto"/>
            <w:vAlign w:val="bottom"/>
          </w:tcPr>
          <w:p w:rsidR="00042094" w:rsidRPr="00C47E4E" w:rsidRDefault="00042094" w:rsidP="00042094">
            <w:pPr>
              <w:spacing w:after="0" w:line="240" w:lineRule="auto"/>
              <w:jc w:val="center"/>
              <w:rPr>
                <w:rFonts w:ascii="Times New Roman" w:hAnsi="Times New Roman"/>
                <w:sz w:val="24"/>
                <w:szCs w:val="24"/>
              </w:rPr>
            </w:pPr>
            <w:r w:rsidRPr="00C47E4E">
              <w:rPr>
                <w:rFonts w:ascii="Times New Roman" w:hAnsi="Times New Roman"/>
                <w:sz w:val="24"/>
                <w:szCs w:val="24"/>
              </w:rPr>
              <w:t>146,9</w:t>
            </w:r>
          </w:p>
        </w:tc>
        <w:tc>
          <w:tcPr>
            <w:tcW w:w="882" w:type="dxa"/>
            <w:tcBorders>
              <w:top w:val="nil"/>
              <w:left w:val="nil"/>
              <w:bottom w:val="single" w:sz="4" w:space="0" w:color="auto"/>
              <w:right w:val="single" w:sz="4" w:space="0" w:color="auto"/>
            </w:tcBorders>
            <w:shd w:val="clear" w:color="auto" w:fill="auto"/>
            <w:vAlign w:val="bottom"/>
          </w:tcPr>
          <w:p w:rsidR="00042094" w:rsidRPr="00C47E4E" w:rsidRDefault="00042094" w:rsidP="00042094">
            <w:pPr>
              <w:spacing w:after="0" w:line="20" w:lineRule="atLeast"/>
              <w:jc w:val="center"/>
              <w:rPr>
                <w:rFonts w:ascii="Times New Roman" w:hAnsi="Times New Roman"/>
                <w:sz w:val="24"/>
                <w:szCs w:val="24"/>
              </w:rPr>
            </w:pPr>
            <w:r w:rsidRPr="00C47E4E">
              <w:rPr>
                <w:rFonts w:ascii="Times New Roman" w:hAnsi="Times New Roman"/>
                <w:sz w:val="24"/>
                <w:szCs w:val="24"/>
              </w:rPr>
              <w:t>100,0</w:t>
            </w:r>
          </w:p>
        </w:tc>
        <w:tc>
          <w:tcPr>
            <w:tcW w:w="843" w:type="dxa"/>
            <w:tcBorders>
              <w:top w:val="nil"/>
              <w:left w:val="nil"/>
              <w:bottom w:val="single" w:sz="4" w:space="0" w:color="auto"/>
              <w:right w:val="single" w:sz="4" w:space="0" w:color="auto"/>
            </w:tcBorders>
            <w:shd w:val="clear" w:color="auto" w:fill="auto"/>
            <w:vAlign w:val="bottom"/>
          </w:tcPr>
          <w:p w:rsidR="00042094" w:rsidRPr="00C47E4E" w:rsidRDefault="00042094" w:rsidP="00042094">
            <w:pPr>
              <w:spacing w:after="0" w:line="240" w:lineRule="auto"/>
              <w:ind w:left="-108" w:right="-66"/>
              <w:jc w:val="center"/>
              <w:rPr>
                <w:rFonts w:ascii="Times New Roman" w:hAnsi="Times New Roman"/>
                <w:sz w:val="24"/>
                <w:szCs w:val="24"/>
              </w:rPr>
            </w:pPr>
            <w:r w:rsidRPr="00C47E4E">
              <w:rPr>
                <w:rFonts w:ascii="Times New Roman" w:hAnsi="Times New Roman"/>
                <w:sz w:val="24"/>
                <w:szCs w:val="24"/>
              </w:rPr>
              <w:t>4 910,0</w:t>
            </w:r>
          </w:p>
        </w:tc>
        <w:tc>
          <w:tcPr>
            <w:tcW w:w="995" w:type="dxa"/>
            <w:tcBorders>
              <w:top w:val="nil"/>
              <w:left w:val="nil"/>
              <w:bottom w:val="single" w:sz="4" w:space="0" w:color="auto"/>
              <w:right w:val="single" w:sz="4" w:space="0" w:color="auto"/>
            </w:tcBorders>
            <w:shd w:val="clear" w:color="auto" w:fill="auto"/>
            <w:vAlign w:val="bottom"/>
          </w:tcPr>
          <w:p w:rsidR="00042094" w:rsidRPr="00C47E4E" w:rsidRDefault="00042094" w:rsidP="00042094">
            <w:pPr>
              <w:spacing w:after="0" w:line="240" w:lineRule="auto"/>
              <w:jc w:val="center"/>
              <w:rPr>
                <w:rFonts w:ascii="Times New Roman" w:hAnsi="Times New Roman"/>
                <w:sz w:val="24"/>
                <w:szCs w:val="24"/>
              </w:rPr>
            </w:pPr>
            <w:r w:rsidRPr="00C47E4E">
              <w:rPr>
                <w:rFonts w:ascii="Times New Roman" w:hAnsi="Times New Roman"/>
                <w:sz w:val="24"/>
                <w:szCs w:val="24"/>
              </w:rPr>
              <w:t>146,8</w:t>
            </w:r>
          </w:p>
        </w:tc>
      </w:tr>
    </w:tbl>
    <w:p w:rsidR="00042094" w:rsidRDefault="00042094" w:rsidP="00042094">
      <w:pPr>
        <w:spacing w:after="0" w:line="240" w:lineRule="auto"/>
        <w:ind w:firstLine="709"/>
        <w:jc w:val="right"/>
        <w:rPr>
          <w:rFonts w:ascii="Times New Roman" w:hAnsi="Times New Roman"/>
          <w:b/>
          <w:sz w:val="28"/>
          <w:szCs w:val="28"/>
        </w:rPr>
      </w:pPr>
    </w:p>
    <w:p w:rsidR="00042094" w:rsidRDefault="00042094" w:rsidP="00042094"/>
    <w:p w:rsidR="00DE2491" w:rsidRDefault="00DE2491" w:rsidP="00390B87"/>
    <w:p w:rsidR="00DE2491" w:rsidRDefault="00DE2491" w:rsidP="00390B87"/>
    <w:p w:rsidR="00DE2491" w:rsidRDefault="00DE2491" w:rsidP="00303C0D">
      <w:pPr>
        <w:spacing w:after="0" w:line="240" w:lineRule="auto"/>
        <w:ind w:firstLine="709"/>
        <w:jc w:val="right"/>
        <w:rPr>
          <w:rFonts w:ascii="Times New Roman" w:hAnsi="Times New Roman"/>
          <w:b/>
          <w:sz w:val="24"/>
          <w:szCs w:val="24"/>
        </w:rPr>
      </w:pPr>
    </w:p>
    <w:p w:rsidR="00DE2491" w:rsidRDefault="00DE2491" w:rsidP="00303C0D">
      <w:pPr>
        <w:spacing w:after="0" w:line="240" w:lineRule="auto"/>
        <w:ind w:firstLine="709"/>
        <w:jc w:val="right"/>
        <w:rPr>
          <w:rFonts w:ascii="Times New Roman" w:hAnsi="Times New Roman"/>
          <w:b/>
          <w:sz w:val="24"/>
          <w:szCs w:val="24"/>
        </w:rPr>
      </w:pPr>
    </w:p>
    <w:p w:rsidR="00DE2491" w:rsidRDefault="00DE2491" w:rsidP="00303C0D">
      <w:pPr>
        <w:spacing w:after="0" w:line="240" w:lineRule="auto"/>
        <w:ind w:firstLine="709"/>
        <w:jc w:val="right"/>
        <w:rPr>
          <w:rFonts w:ascii="Times New Roman" w:hAnsi="Times New Roman"/>
          <w:b/>
          <w:sz w:val="24"/>
          <w:szCs w:val="24"/>
        </w:rPr>
      </w:pPr>
    </w:p>
    <w:p w:rsidR="00DE2491" w:rsidRDefault="00DE2491" w:rsidP="00303C0D">
      <w:pPr>
        <w:spacing w:after="0" w:line="240" w:lineRule="auto"/>
        <w:ind w:firstLine="709"/>
        <w:jc w:val="right"/>
        <w:rPr>
          <w:rFonts w:ascii="Times New Roman" w:hAnsi="Times New Roman"/>
          <w:b/>
          <w:sz w:val="24"/>
          <w:szCs w:val="24"/>
        </w:rPr>
      </w:pPr>
    </w:p>
    <w:p w:rsidR="00DE2491" w:rsidRDefault="00DE2491" w:rsidP="00303C0D">
      <w:pPr>
        <w:spacing w:after="0" w:line="240" w:lineRule="auto"/>
        <w:ind w:firstLine="709"/>
        <w:jc w:val="right"/>
        <w:rPr>
          <w:rFonts w:ascii="Times New Roman" w:hAnsi="Times New Roman"/>
          <w:b/>
          <w:sz w:val="24"/>
          <w:szCs w:val="24"/>
        </w:rPr>
      </w:pPr>
    </w:p>
    <w:p w:rsidR="00042094" w:rsidRDefault="00042094" w:rsidP="00303C0D">
      <w:pPr>
        <w:spacing w:after="0" w:line="240" w:lineRule="auto"/>
        <w:ind w:firstLine="709"/>
        <w:jc w:val="right"/>
        <w:rPr>
          <w:rFonts w:ascii="Times New Roman" w:hAnsi="Times New Roman"/>
          <w:b/>
          <w:sz w:val="24"/>
          <w:szCs w:val="24"/>
        </w:rPr>
      </w:pPr>
    </w:p>
    <w:p w:rsidR="00042094" w:rsidRPr="00E62A9B" w:rsidRDefault="00042094" w:rsidP="00042094">
      <w:pPr>
        <w:spacing w:after="0" w:line="240" w:lineRule="auto"/>
        <w:ind w:firstLine="709"/>
        <w:jc w:val="right"/>
        <w:rPr>
          <w:rFonts w:ascii="Times New Roman" w:hAnsi="Times New Roman"/>
          <w:b/>
          <w:sz w:val="24"/>
          <w:szCs w:val="24"/>
        </w:rPr>
      </w:pPr>
      <w:r w:rsidRPr="00042094">
        <w:rPr>
          <w:rFonts w:ascii="Times New Roman" w:hAnsi="Times New Roman"/>
          <w:b/>
          <w:sz w:val="24"/>
          <w:szCs w:val="24"/>
        </w:rPr>
        <w:lastRenderedPageBreak/>
        <w:t>Приложение№3</w:t>
      </w:r>
    </w:p>
    <w:p w:rsidR="00042094" w:rsidRPr="003C3C12" w:rsidRDefault="00042094" w:rsidP="00042094">
      <w:pPr>
        <w:spacing w:after="0" w:line="240" w:lineRule="auto"/>
        <w:jc w:val="center"/>
        <w:rPr>
          <w:rFonts w:ascii="Times New Roman" w:hAnsi="Times New Roman"/>
          <w:b/>
          <w:sz w:val="28"/>
          <w:szCs w:val="28"/>
          <w:highlight w:val="cyan"/>
        </w:rPr>
      </w:pPr>
    </w:p>
    <w:p w:rsidR="00042094" w:rsidRPr="00E62A9B" w:rsidRDefault="00042094" w:rsidP="00042094">
      <w:pPr>
        <w:spacing w:after="0" w:line="240" w:lineRule="auto"/>
        <w:jc w:val="center"/>
        <w:rPr>
          <w:rFonts w:ascii="Times New Roman" w:hAnsi="Times New Roman"/>
          <w:b/>
          <w:sz w:val="24"/>
          <w:szCs w:val="24"/>
        </w:rPr>
      </w:pPr>
      <w:r w:rsidRPr="00E62A9B">
        <w:rPr>
          <w:rFonts w:ascii="Times New Roman" w:hAnsi="Times New Roman"/>
          <w:b/>
          <w:sz w:val="24"/>
          <w:szCs w:val="24"/>
        </w:rPr>
        <w:t>Основные показатели развития малого предпринимательства</w:t>
      </w:r>
    </w:p>
    <w:p w:rsidR="00042094" w:rsidRPr="00E62A9B" w:rsidRDefault="00042094" w:rsidP="00042094">
      <w:pPr>
        <w:spacing w:after="0" w:line="240" w:lineRule="auto"/>
        <w:jc w:val="center"/>
        <w:rPr>
          <w:rFonts w:ascii="Times New Roman" w:hAnsi="Times New Roman"/>
          <w:b/>
          <w:sz w:val="24"/>
          <w:szCs w:val="24"/>
        </w:rPr>
      </w:pPr>
      <w:r w:rsidRPr="00E62A9B">
        <w:rPr>
          <w:rFonts w:ascii="Times New Roman" w:hAnsi="Times New Roman"/>
          <w:b/>
          <w:sz w:val="24"/>
          <w:szCs w:val="24"/>
        </w:rPr>
        <w:t xml:space="preserve">за </w:t>
      </w:r>
      <w:r>
        <w:rPr>
          <w:rFonts w:ascii="Times New Roman" w:hAnsi="Times New Roman"/>
          <w:b/>
          <w:sz w:val="24"/>
          <w:szCs w:val="24"/>
        </w:rPr>
        <w:t xml:space="preserve">январь – июнь </w:t>
      </w:r>
      <w:r w:rsidRPr="00E62A9B">
        <w:rPr>
          <w:rFonts w:ascii="Times New Roman" w:hAnsi="Times New Roman"/>
          <w:b/>
          <w:sz w:val="24"/>
          <w:szCs w:val="24"/>
        </w:rPr>
        <w:t>201</w:t>
      </w:r>
      <w:r>
        <w:rPr>
          <w:rFonts w:ascii="Times New Roman" w:hAnsi="Times New Roman"/>
          <w:b/>
          <w:sz w:val="24"/>
          <w:szCs w:val="24"/>
        </w:rPr>
        <w:t>4</w:t>
      </w:r>
      <w:r w:rsidRPr="00E62A9B">
        <w:rPr>
          <w:rFonts w:ascii="Times New Roman" w:hAnsi="Times New Roman"/>
          <w:b/>
          <w:sz w:val="24"/>
          <w:szCs w:val="24"/>
        </w:rPr>
        <w:t xml:space="preserve"> год</w:t>
      </w:r>
      <w:r>
        <w:rPr>
          <w:rFonts w:ascii="Times New Roman" w:hAnsi="Times New Roman"/>
          <w:b/>
          <w:sz w:val="24"/>
          <w:szCs w:val="24"/>
        </w:rPr>
        <w:t>а</w:t>
      </w:r>
    </w:p>
    <w:p w:rsidR="00042094" w:rsidRPr="003C3C12" w:rsidRDefault="00042094" w:rsidP="00042094">
      <w:pPr>
        <w:spacing w:after="0" w:line="240" w:lineRule="auto"/>
        <w:jc w:val="center"/>
        <w:rPr>
          <w:rFonts w:ascii="Times New Roman" w:hAnsi="Times New Roman"/>
          <w:b/>
          <w:sz w:val="20"/>
          <w:szCs w:val="20"/>
        </w:rPr>
      </w:pPr>
    </w:p>
    <w:tbl>
      <w:tblPr>
        <w:tblW w:w="9556" w:type="dxa"/>
        <w:tblInd w:w="94" w:type="dxa"/>
        <w:tblLayout w:type="fixed"/>
        <w:tblLook w:val="0000"/>
      </w:tblPr>
      <w:tblGrid>
        <w:gridCol w:w="4694"/>
        <w:gridCol w:w="1260"/>
        <w:gridCol w:w="1260"/>
        <w:gridCol w:w="1260"/>
        <w:gridCol w:w="1082"/>
      </w:tblGrid>
      <w:tr w:rsidR="00042094" w:rsidRPr="00E62A9B" w:rsidTr="00042094">
        <w:trPr>
          <w:trHeight w:val="255"/>
        </w:trPr>
        <w:tc>
          <w:tcPr>
            <w:tcW w:w="469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b/>
                <w:bCs/>
                <w:color w:val="000000"/>
                <w:sz w:val="24"/>
                <w:szCs w:val="24"/>
              </w:rPr>
            </w:pPr>
            <w:r w:rsidRPr="00E62A9B">
              <w:rPr>
                <w:rFonts w:ascii="Times New Roman" w:hAnsi="Times New Roman"/>
                <w:b/>
                <w:bCs/>
                <w:color w:val="000000"/>
                <w:sz w:val="24"/>
                <w:szCs w:val="24"/>
              </w:rPr>
              <w:t>Показатели</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42094" w:rsidRPr="00E62A9B" w:rsidRDefault="00042094" w:rsidP="00042094">
            <w:pPr>
              <w:spacing w:after="0" w:line="240" w:lineRule="auto"/>
              <w:ind w:left="-108" w:right="-84"/>
              <w:jc w:val="center"/>
              <w:rPr>
                <w:rFonts w:ascii="Times New Roman" w:hAnsi="Times New Roman"/>
                <w:b/>
                <w:bCs/>
                <w:color w:val="000000"/>
                <w:sz w:val="24"/>
                <w:szCs w:val="24"/>
              </w:rPr>
            </w:pPr>
            <w:r w:rsidRPr="00E62A9B">
              <w:rPr>
                <w:rFonts w:ascii="Times New Roman" w:hAnsi="Times New Roman"/>
                <w:b/>
                <w:bCs/>
                <w:color w:val="000000"/>
                <w:sz w:val="24"/>
                <w:szCs w:val="24"/>
              </w:rPr>
              <w:t>Ед. измерения</w:t>
            </w:r>
          </w:p>
        </w:tc>
        <w:tc>
          <w:tcPr>
            <w:tcW w:w="2520" w:type="dxa"/>
            <w:gridSpan w:val="2"/>
            <w:tcBorders>
              <w:top w:val="single" w:sz="8" w:space="0" w:color="auto"/>
              <w:left w:val="nil"/>
              <w:bottom w:val="single" w:sz="4" w:space="0" w:color="auto"/>
              <w:right w:val="single" w:sz="8" w:space="0" w:color="000000"/>
            </w:tcBorders>
            <w:shd w:val="clear" w:color="auto" w:fill="auto"/>
            <w:vAlign w:val="center"/>
          </w:tcPr>
          <w:p w:rsidR="00042094" w:rsidRPr="00E62A9B" w:rsidRDefault="00042094" w:rsidP="00042094">
            <w:pPr>
              <w:spacing w:after="0" w:line="240" w:lineRule="auto"/>
              <w:jc w:val="center"/>
              <w:rPr>
                <w:rFonts w:ascii="Times New Roman" w:hAnsi="Times New Roman"/>
                <w:b/>
                <w:bCs/>
                <w:color w:val="000000"/>
                <w:sz w:val="24"/>
                <w:szCs w:val="24"/>
              </w:rPr>
            </w:pPr>
            <w:r w:rsidRPr="00E62A9B">
              <w:rPr>
                <w:rFonts w:ascii="Times New Roman" w:hAnsi="Times New Roman"/>
                <w:b/>
                <w:bCs/>
                <w:color w:val="000000"/>
                <w:sz w:val="24"/>
                <w:szCs w:val="24"/>
              </w:rPr>
              <w:t>Факт</w:t>
            </w:r>
          </w:p>
        </w:tc>
        <w:tc>
          <w:tcPr>
            <w:tcW w:w="108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42094" w:rsidRPr="000D1EF0" w:rsidRDefault="00042094" w:rsidP="00042094">
            <w:pPr>
              <w:spacing w:after="0" w:line="240" w:lineRule="auto"/>
              <w:ind w:left="-108" w:right="-108"/>
              <w:jc w:val="center"/>
              <w:rPr>
                <w:rFonts w:ascii="Times New Roman" w:hAnsi="Times New Roman"/>
                <w:b/>
                <w:bCs/>
                <w:color w:val="000000"/>
                <w:sz w:val="24"/>
                <w:szCs w:val="24"/>
              </w:rPr>
            </w:pPr>
            <w:r>
              <w:rPr>
                <w:rFonts w:ascii="Times New Roman" w:hAnsi="Times New Roman"/>
                <w:b/>
                <w:bCs/>
                <w:color w:val="000000"/>
                <w:sz w:val="24"/>
                <w:szCs w:val="24"/>
                <w:lang w:val="en-US"/>
              </w:rPr>
              <w:t>I</w:t>
            </w:r>
            <w:r>
              <w:rPr>
                <w:rFonts w:ascii="Times New Roman" w:hAnsi="Times New Roman"/>
                <w:b/>
                <w:bCs/>
                <w:color w:val="000000"/>
                <w:sz w:val="24"/>
                <w:szCs w:val="24"/>
              </w:rPr>
              <w:t xml:space="preserve"> полуг. 2014 г. к I полуг. 2013 г., %</w:t>
            </w:r>
          </w:p>
        </w:tc>
      </w:tr>
      <w:tr w:rsidR="00042094" w:rsidRPr="00E62A9B" w:rsidTr="00042094">
        <w:trPr>
          <w:trHeight w:val="525"/>
        </w:trPr>
        <w:tc>
          <w:tcPr>
            <w:tcW w:w="4694" w:type="dxa"/>
            <w:vMerge/>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both"/>
              <w:rPr>
                <w:rFonts w:ascii="Times New Roman" w:hAnsi="Times New Roman"/>
                <w:b/>
                <w:bCs/>
                <w:color w:val="000000"/>
                <w:sz w:val="24"/>
                <w:szCs w:val="24"/>
              </w:rPr>
            </w:pPr>
          </w:p>
        </w:tc>
        <w:tc>
          <w:tcPr>
            <w:tcW w:w="12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b/>
                <w:bCs/>
                <w:color w:val="000000"/>
                <w:sz w:val="24"/>
                <w:szCs w:val="24"/>
              </w:rPr>
            </w:pPr>
          </w:p>
        </w:tc>
        <w:tc>
          <w:tcPr>
            <w:tcW w:w="1260" w:type="dxa"/>
            <w:tcBorders>
              <w:top w:val="nil"/>
              <w:left w:val="nil"/>
              <w:bottom w:val="single" w:sz="8" w:space="0" w:color="auto"/>
              <w:right w:val="single" w:sz="8" w:space="0" w:color="auto"/>
            </w:tcBorders>
            <w:shd w:val="clear" w:color="auto" w:fill="auto"/>
            <w:vAlign w:val="center"/>
          </w:tcPr>
          <w:p w:rsidR="00042094" w:rsidRPr="00E62A9B" w:rsidRDefault="00042094" w:rsidP="00042094">
            <w:pPr>
              <w:spacing w:after="0" w:line="240" w:lineRule="auto"/>
              <w:ind w:left="-62" w:right="-103"/>
              <w:jc w:val="center"/>
              <w:rPr>
                <w:rFonts w:ascii="Times New Roman" w:hAnsi="Times New Roman"/>
                <w:b/>
                <w:bCs/>
                <w:color w:val="000000"/>
                <w:sz w:val="24"/>
                <w:szCs w:val="24"/>
              </w:rPr>
            </w:pPr>
            <w:r w:rsidRPr="00E62A9B">
              <w:rPr>
                <w:rFonts w:ascii="Times New Roman" w:hAnsi="Times New Roman"/>
                <w:b/>
                <w:bCs/>
                <w:color w:val="000000"/>
                <w:sz w:val="24"/>
                <w:szCs w:val="24"/>
              </w:rPr>
              <w:t xml:space="preserve">За </w:t>
            </w:r>
            <w:r>
              <w:rPr>
                <w:rFonts w:ascii="Times New Roman" w:hAnsi="Times New Roman"/>
                <w:b/>
                <w:bCs/>
                <w:color w:val="000000"/>
                <w:sz w:val="24"/>
                <w:szCs w:val="24"/>
                <w:lang w:val="en-US"/>
              </w:rPr>
              <w:t>I</w:t>
            </w:r>
            <w:r>
              <w:rPr>
                <w:rFonts w:ascii="Times New Roman" w:hAnsi="Times New Roman"/>
                <w:b/>
                <w:bCs/>
                <w:color w:val="000000"/>
                <w:sz w:val="24"/>
                <w:szCs w:val="24"/>
              </w:rPr>
              <w:t xml:space="preserve"> полугодие </w:t>
            </w:r>
            <w:r w:rsidRPr="00E62A9B">
              <w:rPr>
                <w:rFonts w:ascii="Times New Roman" w:hAnsi="Times New Roman"/>
                <w:b/>
                <w:bCs/>
                <w:color w:val="000000"/>
                <w:sz w:val="24"/>
                <w:szCs w:val="24"/>
              </w:rPr>
              <w:t>201</w:t>
            </w:r>
            <w:r>
              <w:rPr>
                <w:rFonts w:ascii="Times New Roman" w:hAnsi="Times New Roman"/>
                <w:b/>
                <w:bCs/>
                <w:color w:val="000000"/>
                <w:sz w:val="24"/>
                <w:szCs w:val="24"/>
              </w:rPr>
              <w:t>4</w:t>
            </w:r>
            <w:r w:rsidRPr="00E62A9B">
              <w:rPr>
                <w:rFonts w:ascii="Times New Roman" w:hAnsi="Times New Roman"/>
                <w:b/>
                <w:bCs/>
                <w:color w:val="000000"/>
                <w:sz w:val="24"/>
                <w:szCs w:val="24"/>
              </w:rPr>
              <w:t xml:space="preserve"> г.</w:t>
            </w:r>
          </w:p>
        </w:tc>
        <w:tc>
          <w:tcPr>
            <w:tcW w:w="1260" w:type="dxa"/>
            <w:tcBorders>
              <w:top w:val="nil"/>
              <w:left w:val="nil"/>
              <w:bottom w:val="single" w:sz="8" w:space="0" w:color="auto"/>
              <w:right w:val="single" w:sz="8" w:space="0" w:color="auto"/>
            </w:tcBorders>
            <w:shd w:val="clear" w:color="auto" w:fill="auto"/>
            <w:vAlign w:val="center"/>
          </w:tcPr>
          <w:p w:rsidR="00042094" w:rsidRPr="00E62A9B" w:rsidRDefault="00042094" w:rsidP="00042094">
            <w:pPr>
              <w:spacing w:after="0" w:line="240" w:lineRule="auto"/>
              <w:ind w:left="-62" w:right="-103"/>
              <w:jc w:val="center"/>
              <w:rPr>
                <w:rFonts w:ascii="Times New Roman" w:hAnsi="Times New Roman"/>
                <w:b/>
                <w:bCs/>
                <w:color w:val="000000"/>
                <w:sz w:val="24"/>
                <w:szCs w:val="24"/>
              </w:rPr>
            </w:pPr>
            <w:r w:rsidRPr="00E62A9B">
              <w:rPr>
                <w:rFonts w:ascii="Times New Roman" w:hAnsi="Times New Roman"/>
                <w:b/>
                <w:bCs/>
                <w:color w:val="000000"/>
                <w:sz w:val="24"/>
                <w:szCs w:val="24"/>
              </w:rPr>
              <w:t xml:space="preserve">За </w:t>
            </w:r>
            <w:r>
              <w:rPr>
                <w:rFonts w:ascii="Times New Roman" w:hAnsi="Times New Roman"/>
                <w:b/>
                <w:bCs/>
                <w:color w:val="000000"/>
                <w:sz w:val="24"/>
                <w:szCs w:val="24"/>
                <w:lang w:val="en-US"/>
              </w:rPr>
              <w:t>I</w:t>
            </w:r>
            <w:r w:rsidRPr="000D1EF0">
              <w:rPr>
                <w:rFonts w:ascii="Times New Roman" w:hAnsi="Times New Roman"/>
                <w:b/>
                <w:bCs/>
                <w:color w:val="000000"/>
                <w:sz w:val="24"/>
                <w:szCs w:val="24"/>
              </w:rPr>
              <w:t xml:space="preserve"> полугодие </w:t>
            </w:r>
            <w:r w:rsidRPr="00E62A9B">
              <w:rPr>
                <w:rFonts w:ascii="Times New Roman" w:hAnsi="Times New Roman"/>
                <w:b/>
                <w:bCs/>
                <w:color w:val="000000"/>
                <w:sz w:val="24"/>
                <w:szCs w:val="24"/>
              </w:rPr>
              <w:t>201</w:t>
            </w:r>
            <w:r>
              <w:rPr>
                <w:rFonts w:ascii="Times New Roman" w:hAnsi="Times New Roman"/>
                <w:b/>
                <w:bCs/>
                <w:color w:val="000000"/>
                <w:sz w:val="24"/>
                <w:szCs w:val="24"/>
              </w:rPr>
              <w:t>3</w:t>
            </w:r>
            <w:r w:rsidRPr="00E62A9B">
              <w:rPr>
                <w:rFonts w:ascii="Times New Roman" w:hAnsi="Times New Roman"/>
                <w:b/>
                <w:bCs/>
                <w:color w:val="000000"/>
                <w:sz w:val="24"/>
                <w:szCs w:val="24"/>
              </w:rPr>
              <w:t xml:space="preserve"> г.</w:t>
            </w:r>
          </w:p>
        </w:tc>
        <w:tc>
          <w:tcPr>
            <w:tcW w:w="1082" w:type="dxa"/>
            <w:vMerge/>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ind w:right="-108"/>
              <w:jc w:val="center"/>
              <w:rPr>
                <w:rFonts w:ascii="Times New Roman" w:hAnsi="Times New Roman"/>
                <w:b/>
                <w:bCs/>
                <w:color w:val="000000"/>
                <w:sz w:val="24"/>
                <w:szCs w:val="24"/>
              </w:rPr>
            </w:pPr>
          </w:p>
        </w:tc>
      </w:tr>
      <w:tr w:rsidR="00042094" w:rsidRPr="00E62A9B" w:rsidTr="00042094">
        <w:trPr>
          <w:trHeight w:val="301"/>
        </w:trPr>
        <w:tc>
          <w:tcPr>
            <w:tcW w:w="4694" w:type="dxa"/>
            <w:tcBorders>
              <w:top w:val="single" w:sz="8" w:space="0" w:color="auto"/>
              <w:left w:val="single" w:sz="8" w:space="0" w:color="auto"/>
              <w:bottom w:val="single" w:sz="8" w:space="0" w:color="auto"/>
              <w:right w:val="single" w:sz="8" w:space="0" w:color="auto"/>
            </w:tcBorders>
            <w:shd w:val="clear" w:color="auto" w:fill="auto"/>
          </w:tcPr>
          <w:p w:rsidR="00042094" w:rsidRPr="00E62A9B" w:rsidRDefault="00042094" w:rsidP="00042094">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Количество отчитавшихся предприятий</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единиц</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4 091</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4 039</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ind w:right="-108"/>
              <w:jc w:val="center"/>
              <w:rPr>
                <w:rFonts w:ascii="Times New Roman" w:hAnsi="Times New Roman"/>
                <w:color w:val="000000"/>
                <w:sz w:val="24"/>
                <w:szCs w:val="24"/>
              </w:rPr>
            </w:pPr>
            <w:r>
              <w:rPr>
                <w:rFonts w:ascii="Times New Roman" w:hAnsi="Times New Roman"/>
                <w:color w:val="000000"/>
                <w:sz w:val="24"/>
                <w:szCs w:val="24"/>
              </w:rPr>
              <w:t>101,3</w:t>
            </w:r>
          </w:p>
        </w:tc>
      </w:tr>
      <w:tr w:rsidR="00042094" w:rsidRPr="00E62A9B" w:rsidTr="00042094">
        <w:trPr>
          <w:trHeight w:val="615"/>
        </w:trPr>
        <w:tc>
          <w:tcPr>
            <w:tcW w:w="4694" w:type="dxa"/>
            <w:tcBorders>
              <w:top w:val="single" w:sz="8" w:space="0" w:color="auto"/>
              <w:left w:val="single" w:sz="8" w:space="0" w:color="auto"/>
              <w:bottom w:val="single" w:sz="8" w:space="0" w:color="auto"/>
              <w:right w:val="single" w:sz="8" w:space="0" w:color="auto"/>
            </w:tcBorders>
            <w:shd w:val="clear" w:color="auto" w:fill="auto"/>
          </w:tcPr>
          <w:p w:rsidR="00042094" w:rsidRPr="00E62A9B" w:rsidRDefault="00042094" w:rsidP="00042094">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 xml:space="preserve">Среднесписочная численность работников списочного состава (без внешних совместителей) </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чел.</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16 269</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16 397</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ind w:right="-108"/>
              <w:jc w:val="center"/>
              <w:rPr>
                <w:rFonts w:ascii="Times New Roman" w:hAnsi="Times New Roman"/>
                <w:color w:val="000000"/>
                <w:sz w:val="24"/>
                <w:szCs w:val="24"/>
              </w:rPr>
            </w:pPr>
            <w:r>
              <w:rPr>
                <w:rFonts w:ascii="Times New Roman" w:hAnsi="Times New Roman"/>
                <w:color w:val="000000"/>
                <w:sz w:val="24"/>
                <w:szCs w:val="24"/>
              </w:rPr>
              <w:t>99,2</w:t>
            </w:r>
          </w:p>
        </w:tc>
      </w:tr>
      <w:tr w:rsidR="00042094" w:rsidRPr="00E62A9B" w:rsidTr="00042094">
        <w:trPr>
          <w:trHeight w:val="270"/>
        </w:trPr>
        <w:tc>
          <w:tcPr>
            <w:tcW w:w="4694" w:type="dxa"/>
            <w:tcBorders>
              <w:top w:val="single" w:sz="8" w:space="0" w:color="auto"/>
              <w:left w:val="single" w:sz="8" w:space="0" w:color="auto"/>
              <w:bottom w:val="single" w:sz="8" w:space="0" w:color="auto"/>
              <w:right w:val="single" w:sz="8" w:space="0" w:color="auto"/>
            </w:tcBorders>
            <w:shd w:val="clear" w:color="auto" w:fill="auto"/>
          </w:tcPr>
          <w:p w:rsidR="00042094" w:rsidRPr="00E62A9B" w:rsidRDefault="00042094" w:rsidP="00042094">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Фонд начисленной заработной платы</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млн. руб.</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232 087,5</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207 454,1</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ind w:right="-108"/>
              <w:jc w:val="center"/>
              <w:rPr>
                <w:rFonts w:ascii="Times New Roman" w:hAnsi="Times New Roman"/>
                <w:sz w:val="24"/>
                <w:szCs w:val="24"/>
              </w:rPr>
            </w:pPr>
            <w:r>
              <w:rPr>
                <w:rFonts w:ascii="Times New Roman" w:hAnsi="Times New Roman"/>
                <w:sz w:val="24"/>
                <w:szCs w:val="24"/>
              </w:rPr>
              <w:t>111,9</w:t>
            </w:r>
          </w:p>
        </w:tc>
      </w:tr>
      <w:tr w:rsidR="00042094" w:rsidRPr="00E62A9B" w:rsidTr="00042094">
        <w:trPr>
          <w:trHeight w:val="423"/>
        </w:trPr>
        <w:tc>
          <w:tcPr>
            <w:tcW w:w="4694" w:type="dxa"/>
            <w:tcBorders>
              <w:top w:val="single" w:sz="8" w:space="0" w:color="auto"/>
              <w:left w:val="single" w:sz="8" w:space="0" w:color="auto"/>
              <w:bottom w:val="single" w:sz="8" w:space="0" w:color="auto"/>
              <w:right w:val="single" w:sz="8" w:space="0" w:color="auto"/>
            </w:tcBorders>
            <w:shd w:val="clear" w:color="auto" w:fill="auto"/>
          </w:tcPr>
          <w:p w:rsidR="00042094" w:rsidRPr="00E62A9B" w:rsidRDefault="00042094" w:rsidP="00042094">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Среднемесячная номинальная заработная плата одного работника</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руб.</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3 283,4</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2 937,1</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ind w:right="-108"/>
              <w:jc w:val="center"/>
              <w:rPr>
                <w:rFonts w:ascii="Times New Roman" w:hAnsi="Times New Roman"/>
                <w:sz w:val="24"/>
                <w:szCs w:val="24"/>
              </w:rPr>
            </w:pPr>
            <w:r>
              <w:rPr>
                <w:rFonts w:ascii="Times New Roman" w:hAnsi="Times New Roman"/>
                <w:sz w:val="24"/>
                <w:szCs w:val="24"/>
              </w:rPr>
              <w:t>111,8</w:t>
            </w:r>
          </w:p>
        </w:tc>
      </w:tr>
      <w:tr w:rsidR="00042094" w:rsidRPr="00E62A9B" w:rsidTr="00042094">
        <w:trPr>
          <w:trHeight w:val="281"/>
        </w:trPr>
        <w:tc>
          <w:tcPr>
            <w:tcW w:w="4694" w:type="dxa"/>
            <w:tcBorders>
              <w:top w:val="single" w:sz="8" w:space="0" w:color="auto"/>
              <w:left w:val="single" w:sz="8" w:space="0" w:color="auto"/>
              <w:bottom w:val="single" w:sz="8" w:space="0" w:color="auto"/>
              <w:right w:val="single" w:sz="8" w:space="0" w:color="auto"/>
            </w:tcBorders>
            <w:shd w:val="clear" w:color="auto" w:fill="auto"/>
          </w:tcPr>
          <w:p w:rsidR="00042094" w:rsidRPr="00E62A9B" w:rsidRDefault="00042094" w:rsidP="00042094">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Доход (выручка) от реализации</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млн. руб.</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ind w:left="-94" w:right="-138"/>
              <w:jc w:val="center"/>
              <w:rPr>
                <w:rFonts w:ascii="Times New Roman" w:hAnsi="Times New Roman"/>
                <w:sz w:val="24"/>
                <w:szCs w:val="24"/>
              </w:rPr>
            </w:pPr>
            <w:r>
              <w:rPr>
                <w:rFonts w:ascii="Times New Roman" w:hAnsi="Times New Roman"/>
                <w:sz w:val="24"/>
                <w:szCs w:val="24"/>
              </w:rPr>
              <w:t>1 988 921,0</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ind w:left="-78" w:right="-153"/>
              <w:jc w:val="center"/>
              <w:rPr>
                <w:rFonts w:ascii="Times New Roman" w:hAnsi="Times New Roman"/>
                <w:sz w:val="24"/>
                <w:szCs w:val="24"/>
              </w:rPr>
            </w:pPr>
            <w:r>
              <w:rPr>
                <w:rFonts w:ascii="Times New Roman" w:hAnsi="Times New Roman"/>
                <w:sz w:val="24"/>
                <w:szCs w:val="24"/>
              </w:rPr>
              <w:t>1 617 433,3</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ind w:right="-108"/>
              <w:jc w:val="center"/>
              <w:rPr>
                <w:rFonts w:ascii="Times New Roman" w:hAnsi="Times New Roman"/>
                <w:sz w:val="24"/>
                <w:szCs w:val="24"/>
              </w:rPr>
            </w:pPr>
            <w:r>
              <w:rPr>
                <w:rFonts w:ascii="Times New Roman" w:hAnsi="Times New Roman"/>
                <w:sz w:val="24"/>
                <w:szCs w:val="24"/>
              </w:rPr>
              <w:t>123,0</w:t>
            </w:r>
          </w:p>
        </w:tc>
      </w:tr>
      <w:tr w:rsidR="00042094" w:rsidRPr="00E62A9B" w:rsidTr="00042094">
        <w:trPr>
          <w:trHeight w:val="281"/>
        </w:trPr>
        <w:tc>
          <w:tcPr>
            <w:tcW w:w="4694" w:type="dxa"/>
            <w:tcBorders>
              <w:top w:val="single" w:sz="8" w:space="0" w:color="auto"/>
              <w:left w:val="single" w:sz="8" w:space="0" w:color="auto"/>
              <w:bottom w:val="single" w:sz="8" w:space="0" w:color="auto"/>
              <w:right w:val="single" w:sz="8" w:space="0" w:color="auto"/>
            </w:tcBorders>
            <w:shd w:val="clear" w:color="auto" w:fill="auto"/>
          </w:tcPr>
          <w:p w:rsidR="00042094" w:rsidRPr="00E62A9B" w:rsidRDefault="00042094" w:rsidP="00042094">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из него по основным видам деятельности:</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color w:val="000000"/>
                <w:sz w:val="24"/>
                <w:szCs w:val="24"/>
              </w:rPr>
            </w:pP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color w:val="808080"/>
                <w:sz w:val="24"/>
                <w:szCs w:val="24"/>
              </w:rPr>
            </w:pP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color w:val="808080"/>
                <w:sz w:val="24"/>
                <w:szCs w:val="24"/>
              </w:rPr>
            </w:pP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ind w:right="-108"/>
              <w:jc w:val="center"/>
              <w:rPr>
                <w:rFonts w:ascii="Times New Roman" w:hAnsi="Times New Roman"/>
                <w:color w:val="808080"/>
                <w:sz w:val="24"/>
                <w:szCs w:val="24"/>
              </w:rPr>
            </w:pPr>
          </w:p>
        </w:tc>
      </w:tr>
      <w:tr w:rsidR="00042094" w:rsidRPr="00E62A9B" w:rsidTr="00042094">
        <w:trPr>
          <w:trHeight w:val="281"/>
        </w:trPr>
        <w:tc>
          <w:tcPr>
            <w:tcW w:w="4694" w:type="dxa"/>
            <w:tcBorders>
              <w:top w:val="single" w:sz="8" w:space="0" w:color="auto"/>
              <w:left w:val="single" w:sz="8" w:space="0" w:color="auto"/>
              <w:bottom w:val="single" w:sz="8" w:space="0" w:color="auto"/>
              <w:right w:val="single" w:sz="8" w:space="0" w:color="auto"/>
            </w:tcBorders>
            <w:shd w:val="clear" w:color="auto" w:fill="auto"/>
          </w:tcPr>
          <w:p w:rsidR="00042094" w:rsidRPr="00E62A9B" w:rsidRDefault="00042094" w:rsidP="00042094">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 промышленность</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млн. руб.</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267 190,0</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194 439,8</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ind w:right="-108"/>
              <w:jc w:val="center"/>
              <w:rPr>
                <w:rFonts w:ascii="Times New Roman" w:hAnsi="Times New Roman"/>
                <w:sz w:val="24"/>
                <w:szCs w:val="24"/>
              </w:rPr>
            </w:pPr>
            <w:r>
              <w:rPr>
                <w:rFonts w:ascii="Times New Roman" w:hAnsi="Times New Roman"/>
                <w:sz w:val="24"/>
                <w:szCs w:val="24"/>
              </w:rPr>
              <w:t>137,4</w:t>
            </w:r>
          </w:p>
        </w:tc>
      </w:tr>
      <w:tr w:rsidR="00042094" w:rsidRPr="00E62A9B" w:rsidTr="00042094">
        <w:trPr>
          <w:trHeight w:val="281"/>
        </w:trPr>
        <w:tc>
          <w:tcPr>
            <w:tcW w:w="4694" w:type="dxa"/>
            <w:tcBorders>
              <w:top w:val="single" w:sz="8" w:space="0" w:color="auto"/>
              <w:left w:val="single" w:sz="8" w:space="0" w:color="auto"/>
              <w:bottom w:val="single" w:sz="8" w:space="0" w:color="auto"/>
              <w:right w:val="single" w:sz="8" w:space="0" w:color="auto"/>
            </w:tcBorders>
            <w:shd w:val="clear" w:color="auto" w:fill="auto"/>
          </w:tcPr>
          <w:p w:rsidR="00042094" w:rsidRPr="00E62A9B" w:rsidRDefault="00042094" w:rsidP="00042094">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 сельское хозяйство</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млн. руб.</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137 399,2</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100 155,8</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ind w:right="-108"/>
              <w:jc w:val="center"/>
              <w:rPr>
                <w:rFonts w:ascii="Times New Roman" w:hAnsi="Times New Roman"/>
                <w:sz w:val="24"/>
                <w:szCs w:val="24"/>
              </w:rPr>
            </w:pPr>
            <w:r>
              <w:rPr>
                <w:rFonts w:ascii="Times New Roman" w:hAnsi="Times New Roman"/>
                <w:sz w:val="24"/>
                <w:szCs w:val="24"/>
              </w:rPr>
              <w:t>137,2</w:t>
            </w:r>
          </w:p>
        </w:tc>
      </w:tr>
      <w:tr w:rsidR="00042094" w:rsidRPr="00E62A9B" w:rsidTr="00042094">
        <w:trPr>
          <w:trHeight w:val="281"/>
        </w:trPr>
        <w:tc>
          <w:tcPr>
            <w:tcW w:w="4694" w:type="dxa"/>
            <w:tcBorders>
              <w:top w:val="single" w:sz="8" w:space="0" w:color="auto"/>
              <w:left w:val="single" w:sz="8" w:space="0" w:color="auto"/>
              <w:bottom w:val="single" w:sz="8" w:space="0" w:color="auto"/>
              <w:right w:val="single" w:sz="8" w:space="0" w:color="auto"/>
            </w:tcBorders>
            <w:shd w:val="clear" w:color="auto" w:fill="auto"/>
          </w:tcPr>
          <w:p w:rsidR="00042094" w:rsidRPr="00E62A9B" w:rsidRDefault="00042094" w:rsidP="00042094">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 транспорт</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млн. руб.</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33 130,6</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46 503,1</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ind w:right="-108"/>
              <w:jc w:val="center"/>
              <w:rPr>
                <w:rFonts w:ascii="Times New Roman" w:hAnsi="Times New Roman"/>
                <w:sz w:val="24"/>
                <w:szCs w:val="24"/>
              </w:rPr>
            </w:pPr>
            <w:r>
              <w:rPr>
                <w:rFonts w:ascii="Times New Roman" w:hAnsi="Times New Roman"/>
                <w:sz w:val="24"/>
                <w:szCs w:val="24"/>
              </w:rPr>
              <w:t>71,2</w:t>
            </w:r>
          </w:p>
        </w:tc>
      </w:tr>
      <w:tr w:rsidR="00042094" w:rsidRPr="00E62A9B" w:rsidTr="00042094">
        <w:trPr>
          <w:trHeight w:val="281"/>
        </w:trPr>
        <w:tc>
          <w:tcPr>
            <w:tcW w:w="4694" w:type="dxa"/>
            <w:tcBorders>
              <w:top w:val="single" w:sz="8" w:space="0" w:color="auto"/>
              <w:left w:val="single" w:sz="8" w:space="0" w:color="auto"/>
              <w:bottom w:val="single" w:sz="8" w:space="0" w:color="auto"/>
              <w:right w:val="single" w:sz="8" w:space="0" w:color="auto"/>
            </w:tcBorders>
            <w:shd w:val="clear" w:color="auto" w:fill="auto"/>
          </w:tcPr>
          <w:p w:rsidR="00042094" w:rsidRPr="00E62A9B" w:rsidRDefault="00042094" w:rsidP="00042094">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 строительство</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млн. руб.</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102 456,1</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83 589,1</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ind w:right="-108"/>
              <w:jc w:val="center"/>
              <w:rPr>
                <w:rFonts w:ascii="Times New Roman" w:hAnsi="Times New Roman"/>
                <w:sz w:val="24"/>
                <w:szCs w:val="24"/>
              </w:rPr>
            </w:pPr>
            <w:r>
              <w:rPr>
                <w:rFonts w:ascii="Times New Roman" w:hAnsi="Times New Roman"/>
                <w:sz w:val="24"/>
                <w:szCs w:val="24"/>
              </w:rPr>
              <w:t>122,6</w:t>
            </w:r>
          </w:p>
        </w:tc>
      </w:tr>
      <w:tr w:rsidR="00042094" w:rsidRPr="00E62A9B" w:rsidTr="00042094">
        <w:trPr>
          <w:trHeight w:val="281"/>
        </w:trPr>
        <w:tc>
          <w:tcPr>
            <w:tcW w:w="4694" w:type="dxa"/>
            <w:tcBorders>
              <w:top w:val="single" w:sz="8" w:space="0" w:color="auto"/>
              <w:left w:val="single" w:sz="8" w:space="0" w:color="auto"/>
              <w:bottom w:val="single" w:sz="8" w:space="0" w:color="auto"/>
              <w:right w:val="single" w:sz="8" w:space="0" w:color="auto"/>
            </w:tcBorders>
            <w:shd w:val="clear" w:color="auto" w:fill="auto"/>
          </w:tcPr>
          <w:p w:rsidR="00042094" w:rsidRPr="00E62A9B" w:rsidRDefault="00042094" w:rsidP="00042094">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 торговля и общепит</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млн. руб.</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ind w:left="-94" w:right="-138"/>
              <w:jc w:val="center"/>
              <w:rPr>
                <w:rFonts w:ascii="Times New Roman" w:hAnsi="Times New Roman"/>
                <w:sz w:val="24"/>
                <w:szCs w:val="24"/>
              </w:rPr>
            </w:pPr>
            <w:r>
              <w:rPr>
                <w:rFonts w:ascii="Times New Roman" w:hAnsi="Times New Roman"/>
                <w:sz w:val="24"/>
                <w:szCs w:val="24"/>
              </w:rPr>
              <w:t>1 237 122,5</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ind w:left="-78" w:right="-153"/>
              <w:jc w:val="center"/>
              <w:rPr>
                <w:rFonts w:ascii="Times New Roman" w:hAnsi="Times New Roman"/>
                <w:sz w:val="24"/>
                <w:szCs w:val="24"/>
              </w:rPr>
            </w:pPr>
            <w:r>
              <w:rPr>
                <w:rFonts w:ascii="Times New Roman" w:hAnsi="Times New Roman"/>
                <w:sz w:val="24"/>
                <w:szCs w:val="24"/>
              </w:rPr>
              <w:t>1 016 867,0</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ind w:right="-108"/>
              <w:jc w:val="center"/>
              <w:rPr>
                <w:rFonts w:ascii="Times New Roman" w:hAnsi="Times New Roman"/>
                <w:sz w:val="24"/>
                <w:szCs w:val="24"/>
              </w:rPr>
            </w:pPr>
            <w:r>
              <w:rPr>
                <w:rFonts w:ascii="Times New Roman" w:hAnsi="Times New Roman"/>
                <w:sz w:val="24"/>
                <w:szCs w:val="24"/>
              </w:rPr>
              <w:t>121,7</w:t>
            </w:r>
          </w:p>
        </w:tc>
      </w:tr>
      <w:tr w:rsidR="00042094" w:rsidRPr="00E62A9B" w:rsidTr="00042094">
        <w:trPr>
          <w:trHeight w:val="281"/>
        </w:trPr>
        <w:tc>
          <w:tcPr>
            <w:tcW w:w="4694" w:type="dxa"/>
            <w:tcBorders>
              <w:top w:val="single" w:sz="8" w:space="0" w:color="auto"/>
              <w:left w:val="single" w:sz="8" w:space="0" w:color="auto"/>
              <w:bottom w:val="single" w:sz="8" w:space="0" w:color="auto"/>
              <w:right w:val="single" w:sz="8" w:space="0" w:color="auto"/>
            </w:tcBorders>
            <w:shd w:val="clear" w:color="auto" w:fill="auto"/>
          </w:tcPr>
          <w:p w:rsidR="00042094" w:rsidRPr="00E62A9B" w:rsidRDefault="00042094" w:rsidP="00042094">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 общая коммерческая деятельность</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млн. руб.</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14 333,4</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8 801,2</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ind w:right="-108"/>
              <w:jc w:val="center"/>
              <w:rPr>
                <w:rFonts w:ascii="Times New Roman" w:hAnsi="Times New Roman"/>
                <w:sz w:val="24"/>
                <w:szCs w:val="24"/>
              </w:rPr>
            </w:pPr>
            <w:r>
              <w:rPr>
                <w:rFonts w:ascii="Times New Roman" w:hAnsi="Times New Roman"/>
                <w:sz w:val="24"/>
                <w:szCs w:val="24"/>
              </w:rPr>
              <w:t>в 1,6 р.</w:t>
            </w:r>
          </w:p>
        </w:tc>
      </w:tr>
      <w:tr w:rsidR="00042094" w:rsidRPr="00E62A9B" w:rsidTr="00042094">
        <w:trPr>
          <w:trHeight w:val="281"/>
        </w:trPr>
        <w:tc>
          <w:tcPr>
            <w:tcW w:w="4694" w:type="dxa"/>
            <w:tcBorders>
              <w:top w:val="single" w:sz="8" w:space="0" w:color="auto"/>
              <w:left w:val="single" w:sz="8" w:space="0" w:color="auto"/>
              <w:bottom w:val="single" w:sz="8" w:space="0" w:color="auto"/>
              <w:right w:val="single" w:sz="8" w:space="0" w:color="auto"/>
            </w:tcBorders>
            <w:shd w:val="clear" w:color="auto" w:fill="auto"/>
          </w:tcPr>
          <w:p w:rsidR="00042094" w:rsidRPr="00E62A9B" w:rsidRDefault="00042094" w:rsidP="00042094">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 отдых и туризм</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млн. руб.</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35 767,4</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16 668,5</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ind w:right="-108"/>
              <w:jc w:val="center"/>
              <w:rPr>
                <w:rFonts w:ascii="Times New Roman" w:hAnsi="Times New Roman"/>
                <w:sz w:val="24"/>
                <w:szCs w:val="24"/>
              </w:rPr>
            </w:pPr>
            <w:r>
              <w:rPr>
                <w:rFonts w:ascii="Times New Roman" w:hAnsi="Times New Roman"/>
                <w:sz w:val="24"/>
                <w:szCs w:val="24"/>
              </w:rPr>
              <w:t>в 2 р.</w:t>
            </w:r>
          </w:p>
        </w:tc>
      </w:tr>
      <w:tr w:rsidR="00042094" w:rsidRPr="00E62A9B" w:rsidTr="00042094">
        <w:trPr>
          <w:trHeight w:val="281"/>
        </w:trPr>
        <w:tc>
          <w:tcPr>
            <w:tcW w:w="4694" w:type="dxa"/>
            <w:tcBorders>
              <w:top w:val="single" w:sz="8" w:space="0" w:color="auto"/>
              <w:left w:val="single" w:sz="8" w:space="0" w:color="auto"/>
              <w:bottom w:val="single" w:sz="8" w:space="0" w:color="auto"/>
              <w:right w:val="single" w:sz="8" w:space="0" w:color="auto"/>
            </w:tcBorders>
            <w:shd w:val="clear" w:color="auto" w:fill="auto"/>
          </w:tcPr>
          <w:p w:rsidR="00042094" w:rsidRPr="00E62A9B" w:rsidRDefault="00042094" w:rsidP="00042094">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Объем розничного товарооборота</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млн. руб.</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516 555,9</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496 725,5</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ind w:right="-108"/>
              <w:jc w:val="center"/>
              <w:rPr>
                <w:rFonts w:ascii="Times New Roman" w:hAnsi="Times New Roman"/>
                <w:sz w:val="24"/>
                <w:szCs w:val="24"/>
              </w:rPr>
            </w:pPr>
            <w:r>
              <w:rPr>
                <w:rFonts w:ascii="Times New Roman" w:hAnsi="Times New Roman"/>
                <w:sz w:val="24"/>
                <w:szCs w:val="24"/>
              </w:rPr>
              <w:t>104,0</w:t>
            </w:r>
          </w:p>
        </w:tc>
      </w:tr>
      <w:tr w:rsidR="00042094" w:rsidRPr="00E62A9B" w:rsidTr="00042094">
        <w:trPr>
          <w:trHeight w:val="281"/>
        </w:trPr>
        <w:tc>
          <w:tcPr>
            <w:tcW w:w="4694" w:type="dxa"/>
            <w:tcBorders>
              <w:top w:val="single" w:sz="8" w:space="0" w:color="auto"/>
              <w:left w:val="single" w:sz="8" w:space="0" w:color="auto"/>
              <w:bottom w:val="single" w:sz="8" w:space="0" w:color="auto"/>
              <w:right w:val="single" w:sz="8" w:space="0" w:color="auto"/>
            </w:tcBorders>
            <w:shd w:val="clear" w:color="auto" w:fill="auto"/>
          </w:tcPr>
          <w:p w:rsidR="00042094" w:rsidRPr="00E62A9B" w:rsidRDefault="00042094" w:rsidP="00042094">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Объем платных услуг</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млн. руб.</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86 952,0</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87 170,1</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ind w:right="-108"/>
              <w:jc w:val="center"/>
              <w:rPr>
                <w:rFonts w:ascii="Times New Roman" w:hAnsi="Times New Roman"/>
                <w:sz w:val="24"/>
                <w:szCs w:val="24"/>
              </w:rPr>
            </w:pPr>
            <w:r>
              <w:rPr>
                <w:rFonts w:ascii="Times New Roman" w:hAnsi="Times New Roman"/>
                <w:sz w:val="24"/>
                <w:szCs w:val="24"/>
              </w:rPr>
              <w:t>99,7</w:t>
            </w:r>
          </w:p>
        </w:tc>
      </w:tr>
      <w:tr w:rsidR="00042094" w:rsidRPr="00E62A9B" w:rsidTr="00042094">
        <w:trPr>
          <w:trHeight w:val="281"/>
        </w:trPr>
        <w:tc>
          <w:tcPr>
            <w:tcW w:w="4694" w:type="dxa"/>
            <w:tcBorders>
              <w:top w:val="single" w:sz="8" w:space="0" w:color="auto"/>
              <w:left w:val="single" w:sz="8" w:space="0" w:color="auto"/>
              <w:bottom w:val="single" w:sz="8" w:space="0" w:color="auto"/>
              <w:right w:val="single" w:sz="8" w:space="0" w:color="auto"/>
            </w:tcBorders>
            <w:shd w:val="clear" w:color="auto" w:fill="auto"/>
          </w:tcPr>
          <w:p w:rsidR="00042094" w:rsidRPr="00E62A9B" w:rsidRDefault="00042094" w:rsidP="00042094">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Инвестиции в основной капитал</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млн. руб.</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129 466,8</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111 022,1</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ind w:right="-108"/>
              <w:jc w:val="center"/>
              <w:rPr>
                <w:rFonts w:ascii="Times New Roman" w:hAnsi="Times New Roman"/>
                <w:sz w:val="24"/>
                <w:szCs w:val="24"/>
              </w:rPr>
            </w:pPr>
            <w:r>
              <w:rPr>
                <w:rFonts w:ascii="Times New Roman" w:hAnsi="Times New Roman"/>
                <w:sz w:val="24"/>
                <w:szCs w:val="24"/>
              </w:rPr>
              <w:t>116,6</w:t>
            </w:r>
          </w:p>
        </w:tc>
      </w:tr>
      <w:tr w:rsidR="00042094" w:rsidRPr="00E62A9B" w:rsidTr="00042094">
        <w:trPr>
          <w:trHeight w:val="156"/>
        </w:trPr>
        <w:tc>
          <w:tcPr>
            <w:tcW w:w="4694" w:type="dxa"/>
            <w:tcBorders>
              <w:top w:val="single" w:sz="8" w:space="0" w:color="auto"/>
              <w:left w:val="single" w:sz="8" w:space="0" w:color="auto"/>
              <w:bottom w:val="single" w:sz="8" w:space="0" w:color="auto"/>
              <w:right w:val="single" w:sz="8" w:space="0" w:color="auto"/>
            </w:tcBorders>
            <w:shd w:val="clear" w:color="auto" w:fill="auto"/>
          </w:tcPr>
          <w:p w:rsidR="00042094" w:rsidRPr="00E62A9B" w:rsidRDefault="00042094" w:rsidP="00042094">
            <w:pPr>
              <w:spacing w:after="0" w:line="240" w:lineRule="auto"/>
              <w:ind w:right="-108"/>
              <w:rPr>
                <w:rFonts w:ascii="Times New Roman" w:hAnsi="Times New Roman"/>
                <w:color w:val="000000"/>
                <w:sz w:val="24"/>
                <w:szCs w:val="24"/>
              </w:rPr>
            </w:pPr>
            <w:r w:rsidRPr="00E62A9B">
              <w:rPr>
                <w:rFonts w:ascii="Times New Roman" w:hAnsi="Times New Roman"/>
                <w:color w:val="000000"/>
                <w:sz w:val="24"/>
                <w:szCs w:val="24"/>
              </w:rPr>
              <w:t>Ввод в действие основных фондов</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color w:val="000000"/>
                <w:sz w:val="24"/>
                <w:szCs w:val="24"/>
              </w:rPr>
            </w:pPr>
            <w:r w:rsidRPr="00E62A9B">
              <w:rPr>
                <w:rFonts w:ascii="Times New Roman" w:hAnsi="Times New Roman"/>
                <w:color w:val="000000"/>
                <w:sz w:val="24"/>
                <w:szCs w:val="24"/>
              </w:rPr>
              <w:t>млн. руб.</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152 414,2</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jc w:val="center"/>
              <w:rPr>
                <w:rFonts w:ascii="Times New Roman" w:hAnsi="Times New Roman"/>
                <w:sz w:val="24"/>
                <w:szCs w:val="24"/>
              </w:rPr>
            </w:pPr>
            <w:r>
              <w:rPr>
                <w:rFonts w:ascii="Times New Roman" w:hAnsi="Times New Roman"/>
                <w:sz w:val="24"/>
                <w:szCs w:val="24"/>
              </w:rPr>
              <w:t>108 945,7</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tcPr>
          <w:p w:rsidR="00042094" w:rsidRPr="00E62A9B" w:rsidRDefault="00042094" w:rsidP="00042094">
            <w:pPr>
              <w:spacing w:after="0" w:line="240" w:lineRule="auto"/>
              <w:ind w:right="-108"/>
              <w:jc w:val="center"/>
              <w:rPr>
                <w:rFonts w:ascii="Times New Roman" w:hAnsi="Times New Roman"/>
                <w:sz w:val="24"/>
                <w:szCs w:val="24"/>
              </w:rPr>
            </w:pPr>
            <w:r>
              <w:rPr>
                <w:rFonts w:ascii="Times New Roman" w:hAnsi="Times New Roman"/>
                <w:sz w:val="24"/>
                <w:szCs w:val="24"/>
              </w:rPr>
              <w:t>140,0</w:t>
            </w:r>
          </w:p>
        </w:tc>
      </w:tr>
    </w:tbl>
    <w:p w:rsidR="00042094" w:rsidRPr="003C3C12" w:rsidRDefault="00042094" w:rsidP="00042094">
      <w:pPr>
        <w:spacing w:after="0" w:line="240" w:lineRule="auto"/>
        <w:ind w:firstLine="720"/>
        <w:jc w:val="both"/>
        <w:rPr>
          <w:rFonts w:ascii="Times New Roman" w:hAnsi="Times New Roman"/>
          <w:sz w:val="28"/>
          <w:szCs w:val="28"/>
          <w:highlight w:val="darkGray"/>
        </w:rPr>
      </w:pPr>
    </w:p>
    <w:p w:rsidR="00042094" w:rsidRDefault="00042094" w:rsidP="00042094"/>
    <w:p w:rsidR="00DE2491" w:rsidRPr="003C3C12" w:rsidRDefault="00DE2491" w:rsidP="00303C0D">
      <w:pPr>
        <w:spacing w:after="0" w:line="240" w:lineRule="auto"/>
        <w:ind w:firstLine="720"/>
        <w:jc w:val="both"/>
        <w:rPr>
          <w:rFonts w:ascii="Times New Roman" w:hAnsi="Times New Roman"/>
          <w:sz w:val="28"/>
          <w:szCs w:val="28"/>
          <w:highlight w:val="darkGray"/>
        </w:rPr>
      </w:pPr>
    </w:p>
    <w:p w:rsidR="00DE2491" w:rsidRDefault="00DE2491" w:rsidP="00303C0D"/>
    <w:p w:rsidR="00DE2491" w:rsidRDefault="00DE2491" w:rsidP="00390B87"/>
    <w:p w:rsidR="00DE2491" w:rsidRDefault="00DE2491" w:rsidP="00390B87"/>
    <w:p w:rsidR="00DE2491" w:rsidRDefault="00DE2491" w:rsidP="00390B87"/>
    <w:p w:rsidR="00DE2491" w:rsidRDefault="00DE2491" w:rsidP="00390B87"/>
    <w:p w:rsidR="00DE2491" w:rsidRDefault="00DE2491" w:rsidP="00390B87"/>
    <w:p w:rsidR="00914C00" w:rsidRDefault="00914C00" w:rsidP="00390B87">
      <w:pPr>
        <w:sectPr w:rsidR="00914C00" w:rsidSect="00914C00">
          <w:pgSz w:w="11906" w:h="16838"/>
          <w:pgMar w:top="1134" w:right="720" w:bottom="1134" w:left="1276" w:header="709" w:footer="709" w:gutter="0"/>
          <w:cols w:space="708"/>
          <w:docGrid w:linePitch="360"/>
        </w:sectPr>
      </w:pPr>
    </w:p>
    <w:p w:rsidR="00914C00" w:rsidRDefault="00914C00" w:rsidP="00914C00">
      <w:pPr>
        <w:pStyle w:val="1"/>
        <w:tabs>
          <w:tab w:val="left" w:pos="3828"/>
        </w:tabs>
        <w:jc w:val="right"/>
        <w:rPr>
          <w:rFonts w:ascii="Times New Roman" w:hAnsi="Times New Roman"/>
          <w:bCs w:val="0"/>
          <w:color w:val="auto"/>
          <w:sz w:val="24"/>
          <w:szCs w:val="24"/>
        </w:rPr>
      </w:pPr>
      <w:bookmarkStart w:id="1" w:name="_Toc144713936"/>
    </w:p>
    <w:p w:rsidR="00914C00" w:rsidRPr="003650E1" w:rsidRDefault="00914C00" w:rsidP="00914C00">
      <w:pPr>
        <w:pStyle w:val="1"/>
        <w:tabs>
          <w:tab w:val="left" w:pos="3828"/>
        </w:tabs>
        <w:jc w:val="right"/>
        <w:rPr>
          <w:rFonts w:ascii="Times New Roman" w:hAnsi="Times New Roman"/>
          <w:bCs w:val="0"/>
          <w:color w:val="auto"/>
          <w:sz w:val="24"/>
          <w:szCs w:val="24"/>
        </w:rPr>
      </w:pPr>
      <w:r w:rsidRPr="003650E1">
        <w:rPr>
          <w:rFonts w:ascii="Times New Roman" w:hAnsi="Times New Roman"/>
          <w:bCs w:val="0"/>
          <w:color w:val="auto"/>
          <w:sz w:val="24"/>
          <w:szCs w:val="24"/>
        </w:rPr>
        <w:t>Приложение №</w:t>
      </w:r>
      <w:bookmarkEnd w:id="1"/>
      <w:r w:rsidRPr="003650E1">
        <w:rPr>
          <w:rFonts w:ascii="Times New Roman" w:hAnsi="Times New Roman"/>
          <w:bCs w:val="0"/>
          <w:color w:val="auto"/>
          <w:sz w:val="24"/>
          <w:szCs w:val="24"/>
        </w:rPr>
        <w:t xml:space="preserve"> 4</w:t>
      </w:r>
    </w:p>
    <w:p w:rsidR="00914C00" w:rsidRPr="00914C00" w:rsidRDefault="00914C00" w:rsidP="00914C00">
      <w:pPr>
        <w:pStyle w:val="4"/>
        <w:spacing w:before="0"/>
        <w:jc w:val="center"/>
        <w:rPr>
          <w:sz w:val="24"/>
          <w:szCs w:val="24"/>
        </w:rPr>
      </w:pPr>
      <w:r w:rsidRPr="00914C00">
        <w:rPr>
          <w:sz w:val="24"/>
          <w:szCs w:val="24"/>
        </w:rPr>
        <w:t>Основные показатели развития городов и районов республики за январь-июнь 2014 года</w:t>
      </w:r>
    </w:p>
    <w:tbl>
      <w:tblPr>
        <w:tblW w:w="1574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4"/>
        <w:gridCol w:w="1276"/>
        <w:gridCol w:w="1276"/>
        <w:gridCol w:w="1275"/>
        <w:gridCol w:w="993"/>
        <w:gridCol w:w="1275"/>
        <w:gridCol w:w="1351"/>
        <w:gridCol w:w="1201"/>
        <w:gridCol w:w="1417"/>
        <w:gridCol w:w="1418"/>
      </w:tblGrid>
      <w:tr w:rsidR="00914C00" w:rsidRPr="002D68AE" w:rsidTr="00AF6E1E">
        <w:tc>
          <w:tcPr>
            <w:tcW w:w="4264" w:type="dxa"/>
            <w:vAlign w:val="center"/>
          </w:tcPr>
          <w:p w:rsidR="00914C00" w:rsidRPr="002D68AE" w:rsidRDefault="00914C00" w:rsidP="00AF6E1E">
            <w:pPr>
              <w:spacing w:after="0" w:line="240" w:lineRule="atLeast"/>
              <w:jc w:val="center"/>
              <w:rPr>
                <w:rFonts w:ascii="Times New Roman" w:hAnsi="Times New Roman"/>
                <w:b/>
                <w:bCs/>
              </w:rPr>
            </w:pPr>
            <w:r w:rsidRPr="002D68AE">
              <w:rPr>
                <w:rFonts w:ascii="Times New Roman" w:hAnsi="Times New Roman"/>
                <w:b/>
                <w:bCs/>
              </w:rPr>
              <w:t>Показатели</w:t>
            </w:r>
          </w:p>
        </w:tc>
        <w:tc>
          <w:tcPr>
            <w:tcW w:w="1276" w:type="dxa"/>
            <w:vAlign w:val="center"/>
          </w:tcPr>
          <w:p w:rsidR="00914C00" w:rsidRPr="002D68AE" w:rsidRDefault="00914C00" w:rsidP="00AF6E1E">
            <w:pPr>
              <w:spacing w:after="0" w:line="240" w:lineRule="atLeast"/>
              <w:jc w:val="center"/>
              <w:rPr>
                <w:rFonts w:ascii="Times New Roman" w:hAnsi="Times New Roman"/>
                <w:b/>
                <w:bCs/>
              </w:rPr>
            </w:pPr>
            <w:r w:rsidRPr="002D68AE">
              <w:rPr>
                <w:rFonts w:ascii="Times New Roman" w:hAnsi="Times New Roman"/>
                <w:b/>
                <w:bCs/>
              </w:rPr>
              <w:t>Всего</w:t>
            </w:r>
          </w:p>
          <w:p w:rsidR="00914C00" w:rsidRPr="002D68AE" w:rsidRDefault="00914C00" w:rsidP="00AF6E1E">
            <w:pPr>
              <w:spacing w:after="0" w:line="240" w:lineRule="atLeast"/>
              <w:ind w:right="-108"/>
              <w:jc w:val="center"/>
              <w:rPr>
                <w:rFonts w:ascii="Times New Roman" w:hAnsi="Times New Roman"/>
                <w:b/>
                <w:bCs/>
              </w:rPr>
            </w:pPr>
            <w:r w:rsidRPr="002D68AE">
              <w:rPr>
                <w:rFonts w:ascii="Times New Roman" w:hAnsi="Times New Roman"/>
                <w:b/>
                <w:bCs/>
              </w:rPr>
              <w:t>по ПМР</w:t>
            </w:r>
          </w:p>
        </w:tc>
        <w:tc>
          <w:tcPr>
            <w:tcW w:w="1276" w:type="dxa"/>
            <w:vAlign w:val="center"/>
          </w:tcPr>
          <w:p w:rsidR="00914C00" w:rsidRPr="002D68AE" w:rsidRDefault="00914C00" w:rsidP="00AF6E1E">
            <w:pPr>
              <w:spacing w:after="0" w:line="240" w:lineRule="atLeast"/>
              <w:ind w:left="-109" w:hanging="141"/>
              <w:jc w:val="center"/>
              <w:rPr>
                <w:rFonts w:ascii="Times New Roman" w:hAnsi="Times New Roman"/>
                <w:b/>
                <w:bCs/>
              </w:rPr>
            </w:pPr>
            <w:r>
              <w:rPr>
                <w:rFonts w:ascii="Times New Roman" w:hAnsi="Times New Roman"/>
                <w:b/>
                <w:bCs/>
              </w:rPr>
              <w:t xml:space="preserve">город </w:t>
            </w:r>
            <w:r w:rsidRPr="002D68AE">
              <w:rPr>
                <w:rFonts w:ascii="Times New Roman" w:hAnsi="Times New Roman"/>
                <w:b/>
                <w:bCs/>
              </w:rPr>
              <w:t>Тирасполь</w:t>
            </w:r>
          </w:p>
        </w:tc>
        <w:tc>
          <w:tcPr>
            <w:tcW w:w="1275" w:type="dxa"/>
            <w:vAlign w:val="center"/>
          </w:tcPr>
          <w:p w:rsidR="00914C00" w:rsidRDefault="00914C00" w:rsidP="00AF6E1E">
            <w:pPr>
              <w:spacing w:after="0" w:line="240" w:lineRule="atLeast"/>
              <w:ind w:left="-108"/>
              <w:jc w:val="center"/>
              <w:rPr>
                <w:rFonts w:ascii="Times New Roman" w:hAnsi="Times New Roman"/>
                <w:b/>
                <w:bCs/>
              </w:rPr>
            </w:pPr>
            <w:r>
              <w:rPr>
                <w:rFonts w:ascii="Times New Roman" w:hAnsi="Times New Roman"/>
                <w:b/>
                <w:bCs/>
              </w:rPr>
              <w:t>город</w:t>
            </w:r>
          </w:p>
          <w:p w:rsidR="00914C00" w:rsidRPr="002D68AE" w:rsidRDefault="00914C00" w:rsidP="00AF6E1E">
            <w:pPr>
              <w:spacing w:after="0" w:line="240" w:lineRule="atLeast"/>
              <w:ind w:left="-108"/>
              <w:jc w:val="center"/>
              <w:rPr>
                <w:rFonts w:ascii="Times New Roman" w:hAnsi="Times New Roman"/>
                <w:b/>
                <w:bCs/>
              </w:rPr>
            </w:pPr>
            <w:r w:rsidRPr="002D68AE">
              <w:rPr>
                <w:rFonts w:ascii="Times New Roman" w:hAnsi="Times New Roman"/>
                <w:b/>
                <w:bCs/>
              </w:rPr>
              <w:t>Днестровск</w:t>
            </w:r>
          </w:p>
        </w:tc>
        <w:tc>
          <w:tcPr>
            <w:tcW w:w="993" w:type="dxa"/>
            <w:vAlign w:val="center"/>
          </w:tcPr>
          <w:p w:rsidR="00914C00" w:rsidRPr="002D68AE" w:rsidRDefault="00914C00" w:rsidP="00AF6E1E">
            <w:pPr>
              <w:spacing w:after="0" w:line="240" w:lineRule="atLeast"/>
              <w:ind w:left="-108"/>
              <w:jc w:val="center"/>
              <w:rPr>
                <w:rFonts w:ascii="Times New Roman" w:hAnsi="Times New Roman"/>
                <w:b/>
                <w:bCs/>
              </w:rPr>
            </w:pPr>
            <w:r>
              <w:rPr>
                <w:rFonts w:ascii="Times New Roman" w:hAnsi="Times New Roman"/>
                <w:b/>
                <w:bCs/>
              </w:rPr>
              <w:t>город</w:t>
            </w:r>
            <w:r w:rsidRPr="002D68AE">
              <w:rPr>
                <w:rFonts w:ascii="Times New Roman" w:hAnsi="Times New Roman"/>
                <w:b/>
                <w:bCs/>
              </w:rPr>
              <w:t xml:space="preserve"> Бендеры</w:t>
            </w:r>
          </w:p>
        </w:tc>
        <w:tc>
          <w:tcPr>
            <w:tcW w:w="1275" w:type="dxa"/>
            <w:vAlign w:val="center"/>
          </w:tcPr>
          <w:p w:rsidR="00914C00" w:rsidRDefault="00914C00" w:rsidP="00AF6E1E">
            <w:pPr>
              <w:spacing w:after="0" w:line="240" w:lineRule="atLeast"/>
              <w:ind w:left="-177"/>
              <w:jc w:val="center"/>
              <w:rPr>
                <w:rFonts w:ascii="Times New Roman" w:hAnsi="Times New Roman"/>
                <w:b/>
                <w:bCs/>
              </w:rPr>
            </w:pPr>
            <w:r>
              <w:rPr>
                <w:rFonts w:ascii="Times New Roman" w:hAnsi="Times New Roman"/>
                <w:b/>
                <w:bCs/>
              </w:rPr>
              <w:t xml:space="preserve"> </w:t>
            </w:r>
            <w:r w:rsidRPr="002D68AE">
              <w:rPr>
                <w:rFonts w:ascii="Times New Roman" w:hAnsi="Times New Roman"/>
                <w:b/>
                <w:bCs/>
              </w:rPr>
              <w:t>Рыбниц</w:t>
            </w:r>
            <w:r>
              <w:rPr>
                <w:rFonts w:ascii="Times New Roman" w:hAnsi="Times New Roman"/>
                <w:b/>
                <w:bCs/>
              </w:rPr>
              <w:t xml:space="preserve">кий район </w:t>
            </w:r>
          </w:p>
          <w:p w:rsidR="00914C00" w:rsidRPr="002D68AE" w:rsidRDefault="00914C00" w:rsidP="00AF6E1E">
            <w:pPr>
              <w:spacing w:after="0" w:line="240" w:lineRule="atLeast"/>
              <w:ind w:left="-177"/>
              <w:jc w:val="center"/>
              <w:rPr>
                <w:rFonts w:ascii="Times New Roman" w:hAnsi="Times New Roman"/>
                <w:b/>
                <w:bCs/>
              </w:rPr>
            </w:pPr>
            <w:r>
              <w:rPr>
                <w:rFonts w:ascii="Times New Roman" w:hAnsi="Times New Roman"/>
                <w:b/>
                <w:bCs/>
              </w:rPr>
              <w:t>и город Рыбница</w:t>
            </w:r>
          </w:p>
        </w:tc>
        <w:tc>
          <w:tcPr>
            <w:tcW w:w="1351" w:type="dxa"/>
            <w:vAlign w:val="center"/>
          </w:tcPr>
          <w:p w:rsidR="00914C00" w:rsidRDefault="00914C00" w:rsidP="00AF6E1E">
            <w:pPr>
              <w:spacing w:after="0" w:line="240" w:lineRule="atLeast"/>
              <w:ind w:left="-317" w:right="-108" w:firstLine="317"/>
              <w:rPr>
                <w:rFonts w:ascii="Times New Roman" w:hAnsi="Times New Roman"/>
                <w:b/>
                <w:bCs/>
              </w:rPr>
            </w:pPr>
            <w:r>
              <w:rPr>
                <w:rFonts w:ascii="Times New Roman" w:hAnsi="Times New Roman"/>
                <w:b/>
                <w:bCs/>
              </w:rPr>
              <w:t>Дубоссар</w:t>
            </w:r>
          </w:p>
          <w:p w:rsidR="00914C00" w:rsidRDefault="00914C00" w:rsidP="00AF6E1E">
            <w:pPr>
              <w:spacing w:after="0" w:line="240" w:lineRule="atLeast"/>
              <w:ind w:left="-317" w:right="-108" w:firstLine="317"/>
              <w:rPr>
                <w:rFonts w:ascii="Times New Roman" w:hAnsi="Times New Roman"/>
                <w:b/>
                <w:bCs/>
              </w:rPr>
            </w:pPr>
            <w:r>
              <w:rPr>
                <w:rFonts w:ascii="Times New Roman" w:hAnsi="Times New Roman"/>
                <w:b/>
                <w:bCs/>
              </w:rPr>
              <w:t>ский район</w:t>
            </w:r>
          </w:p>
          <w:p w:rsidR="00914C00" w:rsidRDefault="00914C00" w:rsidP="00AF6E1E">
            <w:pPr>
              <w:spacing w:after="0" w:line="240" w:lineRule="atLeast"/>
              <w:ind w:left="-317" w:right="-108" w:firstLine="317"/>
              <w:rPr>
                <w:rFonts w:ascii="Times New Roman" w:hAnsi="Times New Roman"/>
                <w:b/>
                <w:bCs/>
              </w:rPr>
            </w:pPr>
            <w:r>
              <w:rPr>
                <w:rFonts w:ascii="Times New Roman" w:hAnsi="Times New Roman"/>
                <w:b/>
                <w:bCs/>
              </w:rPr>
              <w:t xml:space="preserve">и город </w:t>
            </w:r>
          </w:p>
          <w:p w:rsidR="00914C00" w:rsidRPr="002D68AE" w:rsidRDefault="00914C00" w:rsidP="00AF6E1E">
            <w:pPr>
              <w:spacing w:after="0" w:line="240" w:lineRule="atLeast"/>
              <w:ind w:left="-317" w:right="-108" w:firstLine="209"/>
              <w:rPr>
                <w:rFonts w:ascii="Times New Roman" w:hAnsi="Times New Roman"/>
                <w:b/>
                <w:bCs/>
              </w:rPr>
            </w:pPr>
            <w:r>
              <w:rPr>
                <w:rFonts w:ascii="Times New Roman" w:hAnsi="Times New Roman"/>
                <w:b/>
                <w:bCs/>
              </w:rPr>
              <w:t>Дубоссары</w:t>
            </w:r>
          </w:p>
        </w:tc>
        <w:tc>
          <w:tcPr>
            <w:tcW w:w="1201" w:type="dxa"/>
            <w:vAlign w:val="center"/>
          </w:tcPr>
          <w:p w:rsidR="00914C00" w:rsidRDefault="00914C00" w:rsidP="00AF6E1E">
            <w:pPr>
              <w:spacing w:after="0" w:line="240" w:lineRule="atLeast"/>
              <w:ind w:left="-317" w:right="-108" w:firstLine="142"/>
              <w:jc w:val="center"/>
              <w:rPr>
                <w:rFonts w:ascii="Times New Roman" w:hAnsi="Times New Roman"/>
                <w:b/>
                <w:bCs/>
              </w:rPr>
            </w:pPr>
            <w:r>
              <w:rPr>
                <w:rFonts w:ascii="Times New Roman" w:hAnsi="Times New Roman"/>
                <w:b/>
                <w:bCs/>
              </w:rPr>
              <w:t>Слободзей</w:t>
            </w:r>
          </w:p>
          <w:p w:rsidR="00914C00" w:rsidRDefault="00914C00" w:rsidP="00AF6E1E">
            <w:pPr>
              <w:spacing w:after="0" w:line="240" w:lineRule="atLeast"/>
              <w:ind w:left="-317" w:right="-108" w:firstLine="142"/>
              <w:jc w:val="center"/>
              <w:rPr>
                <w:rFonts w:ascii="Times New Roman" w:hAnsi="Times New Roman"/>
                <w:b/>
                <w:bCs/>
              </w:rPr>
            </w:pPr>
            <w:r>
              <w:rPr>
                <w:rFonts w:ascii="Times New Roman" w:hAnsi="Times New Roman"/>
                <w:b/>
                <w:bCs/>
              </w:rPr>
              <w:t xml:space="preserve">  ский район </w:t>
            </w:r>
          </w:p>
          <w:p w:rsidR="00914C00" w:rsidRPr="002D68AE" w:rsidRDefault="00914C00" w:rsidP="00AF6E1E">
            <w:pPr>
              <w:spacing w:after="0" w:line="240" w:lineRule="atLeast"/>
              <w:ind w:left="-317" w:right="-108" w:firstLine="142"/>
              <w:jc w:val="center"/>
              <w:rPr>
                <w:rFonts w:ascii="Times New Roman" w:hAnsi="Times New Roman"/>
                <w:b/>
                <w:bCs/>
              </w:rPr>
            </w:pPr>
            <w:r>
              <w:rPr>
                <w:rFonts w:ascii="Times New Roman" w:hAnsi="Times New Roman"/>
                <w:b/>
                <w:bCs/>
              </w:rPr>
              <w:t xml:space="preserve">и город Слободзея </w:t>
            </w:r>
          </w:p>
        </w:tc>
        <w:tc>
          <w:tcPr>
            <w:tcW w:w="1417" w:type="dxa"/>
            <w:vAlign w:val="center"/>
          </w:tcPr>
          <w:p w:rsidR="00914C00" w:rsidRDefault="00914C00" w:rsidP="00AF6E1E">
            <w:pPr>
              <w:spacing w:after="0" w:line="240" w:lineRule="atLeast"/>
              <w:ind w:left="-317" w:right="-108" w:firstLine="351"/>
              <w:jc w:val="center"/>
              <w:rPr>
                <w:rFonts w:ascii="Times New Roman" w:hAnsi="Times New Roman"/>
                <w:b/>
                <w:bCs/>
              </w:rPr>
            </w:pPr>
            <w:r>
              <w:rPr>
                <w:rFonts w:ascii="Times New Roman" w:hAnsi="Times New Roman"/>
                <w:b/>
                <w:bCs/>
              </w:rPr>
              <w:t>Григориополльский район</w:t>
            </w:r>
          </w:p>
          <w:p w:rsidR="00914C00" w:rsidRPr="002D68AE" w:rsidRDefault="00914C00" w:rsidP="00AF6E1E">
            <w:pPr>
              <w:tabs>
                <w:tab w:val="left" w:pos="-108"/>
                <w:tab w:val="left" w:pos="34"/>
              </w:tabs>
              <w:spacing w:after="0" w:line="240" w:lineRule="atLeast"/>
              <w:ind w:left="-317" w:right="-108" w:firstLine="67"/>
              <w:jc w:val="center"/>
              <w:rPr>
                <w:rFonts w:ascii="Times New Roman" w:hAnsi="Times New Roman"/>
                <w:b/>
                <w:bCs/>
              </w:rPr>
            </w:pPr>
            <w:r>
              <w:rPr>
                <w:rFonts w:ascii="Times New Roman" w:hAnsi="Times New Roman"/>
                <w:b/>
                <w:bCs/>
              </w:rPr>
              <w:t>и город</w:t>
            </w:r>
          </w:p>
          <w:p w:rsidR="00914C00" w:rsidRDefault="00914C00" w:rsidP="00AF6E1E">
            <w:pPr>
              <w:spacing w:after="0" w:line="240" w:lineRule="atLeast"/>
              <w:jc w:val="center"/>
              <w:rPr>
                <w:rFonts w:ascii="Times New Roman" w:hAnsi="Times New Roman"/>
                <w:b/>
                <w:bCs/>
              </w:rPr>
            </w:pPr>
            <w:r w:rsidRPr="002D68AE">
              <w:rPr>
                <w:rFonts w:ascii="Times New Roman" w:hAnsi="Times New Roman"/>
                <w:b/>
                <w:bCs/>
              </w:rPr>
              <w:t>Григорио</w:t>
            </w:r>
          </w:p>
          <w:p w:rsidR="00914C00" w:rsidRPr="002D68AE" w:rsidRDefault="00914C00" w:rsidP="00AF6E1E">
            <w:pPr>
              <w:spacing w:after="0" w:line="240" w:lineRule="atLeast"/>
              <w:ind w:firstLine="175"/>
              <w:jc w:val="center"/>
              <w:rPr>
                <w:rFonts w:ascii="Times New Roman" w:hAnsi="Times New Roman"/>
                <w:b/>
                <w:bCs/>
              </w:rPr>
            </w:pPr>
            <w:r w:rsidRPr="002D68AE">
              <w:rPr>
                <w:rFonts w:ascii="Times New Roman" w:hAnsi="Times New Roman"/>
                <w:b/>
                <w:bCs/>
              </w:rPr>
              <w:t>поль</w:t>
            </w:r>
          </w:p>
        </w:tc>
        <w:tc>
          <w:tcPr>
            <w:tcW w:w="1418" w:type="dxa"/>
            <w:vAlign w:val="center"/>
          </w:tcPr>
          <w:p w:rsidR="00914C00" w:rsidRPr="002D68AE" w:rsidRDefault="00914C00" w:rsidP="00AF6E1E">
            <w:pPr>
              <w:spacing w:after="0" w:line="240" w:lineRule="atLeast"/>
              <w:ind w:left="-177"/>
              <w:jc w:val="center"/>
              <w:rPr>
                <w:rFonts w:ascii="Times New Roman" w:hAnsi="Times New Roman"/>
                <w:b/>
                <w:bCs/>
              </w:rPr>
            </w:pPr>
            <w:r>
              <w:rPr>
                <w:rFonts w:ascii="Times New Roman" w:hAnsi="Times New Roman"/>
                <w:b/>
                <w:bCs/>
              </w:rPr>
              <w:t xml:space="preserve">  </w:t>
            </w:r>
            <w:r w:rsidRPr="002D68AE">
              <w:rPr>
                <w:rFonts w:ascii="Times New Roman" w:hAnsi="Times New Roman"/>
                <w:b/>
                <w:bCs/>
              </w:rPr>
              <w:t>Ка</w:t>
            </w:r>
            <w:r>
              <w:rPr>
                <w:rFonts w:ascii="Times New Roman" w:hAnsi="Times New Roman"/>
                <w:b/>
                <w:bCs/>
              </w:rPr>
              <w:t>менский     район город Ка</w:t>
            </w:r>
            <w:r w:rsidRPr="002D68AE">
              <w:rPr>
                <w:rFonts w:ascii="Times New Roman" w:hAnsi="Times New Roman"/>
                <w:b/>
                <w:bCs/>
              </w:rPr>
              <w:t>менка</w:t>
            </w:r>
          </w:p>
        </w:tc>
      </w:tr>
      <w:tr w:rsidR="00914C00" w:rsidRPr="002D68AE" w:rsidTr="00AF6E1E">
        <w:tc>
          <w:tcPr>
            <w:tcW w:w="4264" w:type="dxa"/>
            <w:vAlign w:val="center"/>
          </w:tcPr>
          <w:p w:rsidR="00914C00" w:rsidRPr="002D68AE" w:rsidRDefault="00914C00" w:rsidP="00AF6E1E">
            <w:pPr>
              <w:spacing w:after="0" w:line="240" w:lineRule="atLeast"/>
              <w:jc w:val="center"/>
              <w:rPr>
                <w:rFonts w:ascii="Times New Roman" w:hAnsi="Times New Roman"/>
                <w:b/>
                <w:bCs/>
              </w:rPr>
            </w:pPr>
            <w:r w:rsidRPr="002D68AE">
              <w:rPr>
                <w:rFonts w:ascii="Times New Roman" w:hAnsi="Times New Roman"/>
                <w:b/>
                <w:bCs/>
              </w:rPr>
              <w:t>1</w:t>
            </w:r>
          </w:p>
        </w:tc>
        <w:tc>
          <w:tcPr>
            <w:tcW w:w="1276" w:type="dxa"/>
            <w:vAlign w:val="center"/>
          </w:tcPr>
          <w:p w:rsidR="00914C00" w:rsidRPr="002D68AE" w:rsidRDefault="00914C00" w:rsidP="00AF6E1E">
            <w:pPr>
              <w:spacing w:after="0" w:line="240" w:lineRule="atLeast"/>
              <w:jc w:val="center"/>
              <w:rPr>
                <w:rFonts w:ascii="Times New Roman" w:hAnsi="Times New Roman"/>
                <w:b/>
                <w:bCs/>
              </w:rPr>
            </w:pPr>
            <w:r w:rsidRPr="002D68AE">
              <w:rPr>
                <w:rFonts w:ascii="Times New Roman" w:hAnsi="Times New Roman"/>
                <w:b/>
                <w:bCs/>
              </w:rPr>
              <w:t>2</w:t>
            </w:r>
          </w:p>
        </w:tc>
        <w:tc>
          <w:tcPr>
            <w:tcW w:w="1276" w:type="dxa"/>
            <w:vAlign w:val="center"/>
          </w:tcPr>
          <w:p w:rsidR="00914C00" w:rsidRPr="002D68AE" w:rsidRDefault="00914C00" w:rsidP="00AF6E1E">
            <w:pPr>
              <w:spacing w:after="0" w:line="240" w:lineRule="atLeast"/>
              <w:ind w:left="-250"/>
              <w:jc w:val="center"/>
              <w:rPr>
                <w:rFonts w:ascii="Times New Roman" w:hAnsi="Times New Roman"/>
                <w:b/>
                <w:bCs/>
              </w:rPr>
            </w:pPr>
            <w:r w:rsidRPr="002D68AE">
              <w:rPr>
                <w:rFonts w:ascii="Times New Roman" w:hAnsi="Times New Roman"/>
                <w:b/>
                <w:bCs/>
              </w:rPr>
              <w:t>3</w:t>
            </w:r>
          </w:p>
        </w:tc>
        <w:tc>
          <w:tcPr>
            <w:tcW w:w="1275" w:type="dxa"/>
            <w:vAlign w:val="center"/>
          </w:tcPr>
          <w:p w:rsidR="00914C00" w:rsidRPr="002D68AE" w:rsidRDefault="00914C00" w:rsidP="00AF6E1E">
            <w:pPr>
              <w:spacing w:after="0" w:line="240" w:lineRule="atLeast"/>
              <w:jc w:val="center"/>
              <w:rPr>
                <w:rFonts w:ascii="Times New Roman" w:hAnsi="Times New Roman"/>
                <w:b/>
                <w:bCs/>
              </w:rPr>
            </w:pPr>
            <w:r w:rsidRPr="002D68AE">
              <w:rPr>
                <w:rFonts w:ascii="Times New Roman" w:hAnsi="Times New Roman"/>
                <w:b/>
                <w:bCs/>
              </w:rPr>
              <w:t>4</w:t>
            </w:r>
          </w:p>
        </w:tc>
        <w:tc>
          <w:tcPr>
            <w:tcW w:w="993" w:type="dxa"/>
            <w:vAlign w:val="center"/>
          </w:tcPr>
          <w:p w:rsidR="00914C00" w:rsidRPr="002D68AE" w:rsidRDefault="00914C00" w:rsidP="00AF6E1E">
            <w:pPr>
              <w:spacing w:after="0" w:line="240" w:lineRule="atLeast"/>
              <w:jc w:val="center"/>
              <w:rPr>
                <w:rFonts w:ascii="Times New Roman" w:hAnsi="Times New Roman"/>
                <w:b/>
                <w:bCs/>
              </w:rPr>
            </w:pPr>
            <w:r w:rsidRPr="002D68AE">
              <w:rPr>
                <w:rFonts w:ascii="Times New Roman" w:hAnsi="Times New Roman"/>
                <w:b/>
                <w:bCs/>
              </w:rPr>
              <w:t>5</w:t>
            </w:r>
          </w:p>
        </w:tc>
        <w:tc>
          <w:tcPr>
            <w:tcW w:w="1275" w:type="dxa"/>
            <w:vAlign w:val="center"/>
          </w:tcPr>
          <w:p w:rsidR="00914C00" w:rsidRPr="002D68AE" w:rsidRDefault="00914C00" w:rsidP="00AF6E1E">
            <w:pPr>
              <w:spacing w:after="0" w:line="240" w:lineRule="atLeast"/>
              <w:jc w:val="center"/>
              <w:rPr>
                <w:rFonts w:ascii="Times New Roman" w:hAnsi="Times New Roman"/>
                <w:b/>
                <w:bCs/>
              </w:rPr>
            </w:pPr>
            <w:r w:rsidRPr="002D68AE">
              <w:rPr>
                <w:rFonts w:ascii="Times New Roman" w:hAnsi="Times New Roman"/>
                <w:b/>
                <w:bCs/>
              </w:rPr>
              <w:t>6</w:t>
            </w:r>
          </w:p>
        </w:tc>
        <w:tc>
          <w:tcPr>
            <w:tcW w:w="1351" w:type="dxa"/>
            <w:vAlign w:val="center"/>
          </w:tcPr>
          <w:p w:rsidR="00914C00" w:rsidRPr="002D68AE" w:rsidRDefault="00914C00" w:rsidP="00AF6E1E">
            <w:pPr>
              <w:spacing w:after="0" w:line="240" w:lineRule="atLeast"/>
              <w:jc w:val="center"/>
              <w:rPr>
                <w:rFonts w:ascii="Times New Roman" w:hAnsi="Times New Roman"/>
                <w:b/>
                <w:bCs/>
              </w:rPr>
            </w:pPr>
            <w:r w:rsidRPr="002D68AE">
              <w:rPr>
                <w:rFonts w:ascii="Times New Roman" w:hAnsi="Times New Roman"/>
                <w:b/>
                <w:bCs/>
              </w:rPr>
              <w:t>7</w:t>
            </w:r>
          </w:p>
        </w:tc>
        <w:tc>
          <w:tcPr>
            <w:tcW w:w="1201" w:type="dxa"/>
            <w:vAlign w:val="center"/>
          </w:tcPr>
          <w:p w:rsidR="00914C00" w:rsidRPr="002D68AE" w:rsidRDefault="00914C00" w:rsidP="00AF6E1E">
            <w:pPr>
              <w:spacing w:after="0" w:line="240" w:lineRule="atLeast"/>
              <w:jc w:val="center"/>
              <w:rPr>
                <w:rFonts w:ascii="Times New Roman" w:hAnsi="Times New Roman"/>
                <w:b/>
                <w:bCs/>
              </w:rPr>
            </w:pPr>
            <w:r w:rsidRPr="002D68AE">
              <w:rPr>
                <w:rFonts w:ascii="Times New Roman" w:hAnsi="Times New Roman"/>
                <w:b/>
                <w:bCs/>
              </w:rPr>
              <w:t>8</w:t>
            </w:r>
          </w:p>
        </w:tc>
        <w:tc>
          <w:tcPr>
            <w:tcW w:w="1417" w:type="dxa"/>
            <w:vAlign w:val="center"/>
          </w:tcPr>
          <w:p w:rsidR="00914C00" w:rsidRPr="002D68AE" w:rsidRDefault="00914C00" w:rsidP="00AF6E1E">
            <w:pPr>
              <w:spacing w:after="0" w:line="240" w:lineRule="atLeast"/>
              <w:jc w:val="center"/>
              <w:rPr>
                <w:rFonts w:ascii="Times New Roman" w:hAnsi="Times New Roman"/>
                <w:b/>
                <w:bCs/>
              </w:rPr>
            </w:pPr>
            <w:r w:rsidRPr="002D68AE">
              <w:rPr>
                <w:rFonts w:ascii="Times New Roman" w:hAnsi="Times New Roman"/>
                <w:b/>
                <w:bCs/>
              </w:rPr>
              <w:t>9</w:t>
            </w:r>
          </w:p>
        </w:tc>
        <w:tc>
          <w:tcPr>
            <w:tcW w:w="1418" w:type="dxa"/>
            <w:vAlign w:val="center"/>
          </w:tcPr>
          <w:p w:rsidR="00914C00" w:rsidRPr="002D68AE" w:rsidRDefault="00914C00" w:rsidP="00AF6E1E">
            <w:pPr>
              <w:spacing w:after="0" w:line="240" w:lineRule="atLeast"/>
              <w:jc w:val="center"/>
              <w:rPr>
                <w:rFonts w:ascii="Times New Roman" w:hAnsi="Times New Roman"/>
                <w:b/>
                <w:bCs/>
              </w:rPr>
            </w:pPr>
            <w:r w:rsidRPr="002D68AE">
              <w:rPr>
                <w:rFonts w:ascii="Times New Roman" w:hAnsi="Times New Roman"/>
                <w:b/>
                <w:bCs/>
              </w:rPr>
              <w:t>10</w:t>
            </w:r>
          </w:p>
        </w:tc>
      </w:tr>
      <w:tr w:rsidR="00914C00" w:rsidRPr="002D68AE" w:rsidTr="00AF6E1E">
        <w:tc>
          <w:tcPr>
            <w:tcW w:w="4264" w:type="dxa"/>
          </w:tcPr>
          <w:p w:rsidR="00914C00" w:rsidRPr="002D68AE" w:rsidRDefault="00914C00" w:rsidP="00AF6E1E">
            <w:pPr>
              <w:spacing w:after="0" w:line="240" w:lineRule="atLeast"/>
              <w:rPr>
                <w:rFonts w:ascii="Times New Roman" w:hAnsi="Times New Roman"/>
              </w:rPr>
            </w:pPr>
            <w:r w:rsidRPr="002D68AE">
              <w:rPr>
                <w:rFonts w:ascii="Times New Roman" w:hAnsi="Times New Roman"/>
              </w:rPr>
              <w:t xml:space="preserve">Объем промышленной продукции, </w:t>
            </w:r>
          </w:p>
          <w:p w:rsidR="00914C00" w:rsidRPr="002D68AE" w:rsidRDefault="00914C00" w:rsidP="00AF6E1E">
            <w:pPr>
              <w:spacing w:after="0" w:line="240" w:lineRule="atLeast"/>
              <w:rPr>
                <w:rFonts w:ascii="Times New Roman" w:hAnsi="Times New Roman"/>
                <w:b/>
                <w:bCs/>
              </w:rPr>
            </w:pPr>
            <w:r w:rsidRPr="002D68AE">
              <w:rPr>
                <w:rFonts w:ascii="Times New Roman" w:hAnsi="Times New Roman"/>
              </w:rPr>
              <w:t>тыс. руб.</w:t>
            </w:r>
          </w:p>
        </w:tc>
        <w:tc>
          <w:tcPr>
            <w:tcW w:w="1276" w:type="dxa"/>
            <w:vAlign w:val="bottom"/>
          </w:tcPr>
          <w:p w:rsidR="00914C00" w:rsidRPr="002D68AE" w:rsidRDefault="00914C00" w:rsidP="00AF6E1E">
            <w:pPr>
              <w:spacing w:after="0" w:line="240" w:lineRule="atLeast"/>
              <w:jc w:val="right"/>
              <w:rPr>
                <w:rFonts w:ascii="Times New Roman" w:hAnsi="Times New Roman"/>
                <w:bCs/>
              </w:rPr>
            </w:pPr>
            <w:r w:rsidRPr="002D68AE">
              <w:rPr>
                <w:rFonts w:ascii="Times New Roman" w:hAnsi="Times New Roman"/>
                <w:bCs/>
              </w:rPr>
              <w:t>4 945 165</w:t>
            </w:r>
          </w:p>
        </w:tc>
        <w:tc>
          <w:tcPr>
            <w:tcW w:w="1276" w:type="dxa"/>
            <w:vAlign w:val="bottom"/>
          </w:tcPr>
          <w:p w:rsidR="00914C00" w:rsidRPr="002D68AE" w:rsidRDefault="00914C00" w:rsidP="00AF6E1E">
            <w:pPr>
              <w:spacing w:after="0" w:line="240" w:lineRule="atLeast"/>
              <w:ind w:left="-108" w:firstLine="108"/>
              <w:jc w:val="right"/>
              <w:rPr>
                <w:rFonts w:ascii="Times New Roman" w:hAnsi="Times New Roman"/>
                <w:bCs/>
              </w:rPr>
            </w:pPr>
            <w:r w:rsidRPr="002D68AE">
              <w:rPr>
                <w:rFonts w:ascii="Times New Roman" w:hAnsi="Times New Roman"/>
                <w:bCs/>
              </w:rPr>
              <w:t>1 533 882</w:t>
            </w:r>
          </w:p>
        </w:tc>
        <w:tc>
          <w:tcPr>
            <w:tcW w:w="1275" w:type="dxa"/>
            <w:vAlign w:val="bottom"/>
          </w:tcPr>
          <w:p w:rsidR="00914C00" w:rsidRPr="002D68AE" w:rsidRDefault="00914C00" w:rsidP="00AF6E1E">
            <w:pPr>
              <w:spacing w:after="0" w:line="240" w:lineRule="atLeast"/>
              <w:jc w:val="right"/>
              <w:rPr>
                <w:rFonts w:ascii="Times New Roman" w:hAnsi="Times New Roman"/>
                <w:bCs/>
              </w:rPr>
            </w:pPr>
            <w:r w:rsidRPr="002D68AE">
              <w:rPr>
                <w:rFonts w:ascii="Times New Roman" w:hAnsi="Times New Roman"/>
                <w:bCs/>
              </w:rPr>
              <w:t>972 936</w:t>
            </w:r>
          </w:p>
        </w:tc>
        <w:tc>
          <w:tcPr>
            <w:tcW w:w="993" w:type="dxa"/>
            <w:vAlign w:val="bottom"/>
          </w:tcPr>
          <w:p w:rsidR="00914C00" w:rsidRPr="002D68AE" w:rsidRDefault="00914C00" w:rsidP="00AF6E1E">
            <w:pPr>
              <w:spacing w:after="0" w:line="240" w:lineRule="atLeast"/>
              <w:jc w:val="right"/>
              <w:rPr>
                <w:rFonts w:ascii="Times New Roman" w:hAnsi="Times New Roman"/>
                <w:bCs/>
              </w:rPr>
            </w:pPr>
            <w:r w:rsidRPr="002D68AE">
              <w:rPr>
                <w:rFonts w:ascii="Times New Roman" w:hAnsi="Times New Roman"/>
                <w:bCs/>
              </w:rPr>
              <w:t>570 469</w:t>
            </w:r>
          </w:p>
        </w:tc>
        <w:tc>
          <w:tcPr>
            <w:tcW w:w="1275" w:type="dxa"/>
            <w:vAlign w:val="bottom"/>
          </w:tcPr>
          <w:p w:rsidR="00914C00" w:rsidRPr="002D68AE" w:rsidRDefault="00914C00" w:rsidP="00AF6E1E">
            <w:pPr>
              <w:spacing w:after="0" w:line="240" w:lineRule="atLeast"/>
              <w:jc w:val="right"/>
              <w:rPr>
                <w:rFonts w:ascii="Times New Roman" w:hAnsi="Times New Roman"/>
                <w:bCs/>
              </w:rPr>
            </w:pPr>
            <w:r w:rsidRPr="002D68AE">
              <w:rPr>
                <w:rFonts w:ascii="Times New Roman" w:hAnsi="Times New Roman"/>
                <w:bCs/>
              </w:rPr>
              <w:t>1 619 552</w:t>
            </w:r>
          </w:p>
        </w:tc>
        <w:tc>
          <w:tcPr>
            <w:tcW w:w="1351" w:type="dxa"/>
            <w:vAlign w:val="bottom"/>
          </w:tcPr>
          <w:p w:rsidR="00914C00" w:rsidRPr="002D68AE" w:rsidRDefault="00914C00" w:rsidP="00AF6E1E">
            <w:pPr>
              <w:spacing w:after="0" w:line="240" w:lineRule="atLeast"/>
              <w:jc w:val="right"/>
              <w:rPr>
                <w:rFonts w:ascii="Times New Roman" w:hAnsi="Times New Roman"/>
                <w:bCs/>
              </w:rPr>
            </w:pPr>
            <w:r w:rsidRPr="002D68AE">
              <w:rPr>
                <w:rFonts w:ascii="Times New Roman" w:hAnsi="Times New Roman"/>
                <w:bCs/>
              </w:rPr>
              <w:t>175 323</w:t>
            </w:r>
          </w:p>
        </w:tc>
        <w:tc>
          <w:tcPr>
            <w:tcW w:w="1201" w:type="dxa"/>
            <w:vAlign w:val="bottom"/>
          </w:tcPr>
          <w:p w:rsidR="00914C00" w:rsidRPr="002D68AE" w:rsidRDefault="00914C00" w:rsidP="00AF6E1E">
            <w:pPr>
              <w:spacing w:after="0" w:line="240" w:lineRule="atLeast"/>
              <w:jc w:val="right"/>
              <w:rPr>
                <w:rFonts w:ascii="Times New Roman" w:hAnsi="Times New Roman"/>
                <w:bCs/>
              </w:rPr>
            </w:pPr>
            <w:r w:rsidRPr="002D68AE">
              <w:rPr>
                <w:rFonts w:ascii="Times New Roman" w:hAnsi="Times New Roman"/>
                <w:bCs/>
              </w:rPr>
              <w:t>26 504</w:t>
            </w:r>
          </w:p>
        </w:tc>
        <w:tc>
          <w:tcPr>
            <w:tcW w:w="1417" w:type="dxa"/>
            <w:vAlign w:val="bottom"/>
          </w:tcPr>
          <w:p w:rsidR="00914C00" w:rsidRPr="002D68AE" w:rsidRDefault="00914C00" w:rsidP="00AF6E1E">
            <w:pPr>
              <w:spacing w:after="0" w:line="240" w:lineRule="atLeast"/>
              <w:jc w:val="right"/>
              <w:rPr>
                <w:rFonts w:ascii="Times New Roman" w:hAnsi="Times New Roman"/>
                <w:bCs/>
              </w:rPr>
            </w:pPr>
            <w:r w:rsidRPr="002D68AE">
              <w:rPr>
                <w:rFonts w:ascii="Times New Roman" w:hAnsi="Times New Roman"/>
                <w:bCs/>
              </w:rPr>
              <w:t>10 863</w:t>
            </w:r>
          </w:p>
        </w:tc>
        <w:tc>
          <w:tcPr>
            <w:tcW w:w="1418" w:type="dxa"/>
            <w:vAlign w:val="bottom"/>
          </w:tcPr>
          <w:p w:rsidR="00914C00" w:rsidRPr="002D68AE" w:rsidRDefault="00914C00" w:rsidP="00AF6E1E">
            <w:pPr>
              <w:spacing w:after="0" w:line="240" w:lineRule="atLeast"/>
              <w:jc w:val="right"/>
              <w:rPr>
                <w:rFonts w:ascii="Times New Roman" w:hAnsi="Times New Roman"/>
                <w:bCs/>
              </w:rPr>
            </w:pPr>
            <w:r w:rsidRPr="002D68AE">
              <w:rPr>
                <w:rFonts w:ascii="Times New Roman" w:hAnsi="Times New Roman"/>
                <w:bCs/>
              </w:rPr>
              <w:t>35 636</w:t>
            </w:r>
          </w:p>
        </w:tc>
      </w:tr>
      <w:tr w:rsidR="00914C00" w:rsidRPr="002D68AE" w:rsidTr="00AF6E1E">
        <w:tc>
          <w:tcPr>
            <w:tcW w:w="4264" w:type="dxa"/>
          </w:tcPr>
          <w:p w:rsidR="00914C00" w:rsidRPr="002D68AE" w:rsidRDefault="00914C00" w:rsidP="00AF6E1E">
            <w:pPr>
              <w:spacing w:after="0" w:line="240" w:lineRule="atLeast"/>
              <w:ind w:left="45"/>
              <w:rPr>
                <w:rFonts w:ascii="Times New Roman" w:hAnsi="Times New Roman"/>
              </w:rPr>
            </w:pPr>
            <w:r w:rsidRPr="002D68AE">
              <w:rPr>
                <w:rFonts w:ascii="Times New Roman" w:hAnsi="Times New Roman"/>
              </w:rPr>
              <w:t xml:space="preserve">Темп роста в % к январю-июню 2013 г. </w:t>
            </w:r>
          </w:p>
          <w:p w:rsidR="00914C00" w:rsidRPr="002D68AE" w:rsidRDefault="00914C00" w:rsidP="00AF6E1E">
            <w:pPr>
              <w:spacing w:after="0" w:line="240" w:lineRule="atLeast"/>
              <w:ind w:left="45"/>
              <w:rPr>
                <w:rFonts w:ascii="Times New Roman" w:hAnsi="Times New Roman"/>
                <w:b/>
                <w:bCs/>
              </w:rPr>
            </w:pPr>
            <w:r w:rsidRPr="002D68AE">
              <w:rPr>
                <w:rFonts w:ascii="Times New Roman" w:hAnsi="Times New Roman"/>
              </w:rPr>
              <w:t>в текущих ценах</w:t>
            </w:r>
          </w:p>
        </w:tc>
        <w:tc>
          <w:tcPr>
            <w:tcW w:w="1276" w:type="dxa"/>
            <w:vAlign w:val="bottom"/>
          </w:tcPr>
          <w:p w:rsidR="00914C00" w:rsidRPr="002D68AE" w:rsidRDefault="00914C00" w:rsidP="00AF6E1E">
            <w:pPr>
              <w:spacing w:after="0" w:line="240" w:lineRule="atLeast"/>
              <w:jc w:val="right"/>
              <w:rPr>
                <w:rFonts w:ascii="Times New Roman" w:hAnsi="Times New Roman"/>
                <w:bCs/>
              </w:rPr>
            </w:pPr>
            <w:r w:rsidRPr="002D68AE">
              <w:rPr>
                <w:rFonts w:ascii="Times New Roman" w:hAnsi="Times New Roman"/>
                <w:bCs/>
              </w:rPr>
              <w:t>146,9</w:t>
            </w:r>
          </w:p>
        </w:tc>
        <w:tc>
          <w:tcPr>
            <w:tcW w:w="1276" w:type="dxa"/>
            <w:vAlign w:val="bottom"/>
          </w:tcPr>
          <w:p w:rsidR="00914C00" w:rsidRPr="002D68AE" w:rsidRDefault="00914C00" w:rsidP="00AF6E1E">
            <w:pPr>
              <w:spacing w:after="0" w:line="240" w:lineRule="atLeast"/>
              <w:jc w:val="right"/>
              <w:rPr>
                <w:rFonts w:ascii="Times New Roman" w:hAnsi="Times New Roman"/>
                <w:bCs/>
              </w:rPr>
            </w:pPr>
            <w:r w:rsidRPr="002D68AE">
              <w:rPr>
                <w:rFonts w:ascii="Times New Roman" w:hAnsi="Times New Roman"/>
                <w:bCs/>
              </w:rPr>
              <w:t>94,1</w:t>
            </w:r>
          </w:p>
        </w:tc>
        <w:tc>
          <w:tcPr>
            <w:tcW w:w="1275" w:type="dxa"/>
            <w:vAlign w:val="bottom"/>
          </w:tcPr>
          <w:p w:rsidR="00914C00" w:rsidRPr="002D68AE" w:rsidRDefault="00914C00" w:rsidP="00AF6E1E">
            <w:pPr>
              <w:spacing w:after="0" w:line="240" w:lineRule="atLeast"/>
              <w:jc w:val="right"/>
              <w:rPr>
                <w:rFonts w:ascii="Times New Roman" w:hAnsi="Times New Roman"/>
                <w:bCs/>
              </w:rPr>
            </w:pPr>
            <w:r w:rsidRPr="002D68AE">
              <w:rPr>
                <w:rFonts w:ascii="Times New Roman" w:hAnsi="Times New Roman"/>
                <w:bCs/>
              </w:rPr>
              <w:t>140,3</w:t>
            </w:r>
          </w:p>
        </w:tc>
        <w:tc>
          <w:tcPr>
            <w:tcW w:w="993" w:type="dxa"/>
            <w:vAlign w:val="bottom"/>
          </w:tcPr>
          <w:p w:rsidR="00914C00" w:rsidRPr="002D68AE" w:rsidRDefault="00914C00" w:rsidP="00AF6E1E">
            <w:pPr>
              <w:spacing w:after="0" w:line="240" w:lineRule="atLeast"/>
              <w:jc w:val="right"/>
              <w:rPr>
                <w:rFonts w:ascii="Times New Roman" w:hAnsi="Times New Roman"/>
                <w:bCs/>
              </w:rPr>
            </w:pPr>
            <w:r w:rsidRPr="002D68AE">
              <w:rPr>
                <w:rFonts w:ascii="Times New Roman" w:hAnsi="Times New Roman"/>
                <w:bCs/>
              </w:rPr>
              <w:t>93,4</w:t>
            </w:r>
          </w:p>
        </w:tc>
        <w:tc>
          <w:tcPr>
            <w:tcW w:w="1275" w:type="dxa"/>
            <w:vAlign w:val="bottom"/>
          </w:tcPr>
          <w:p w:rsidR="00914C00" w:rsidRPr="002D68AE" w:rsidRDefault="00914C00" w:rsidP="00AF6E1E">
            <w:pPr>
              <w:spacing w:after="0" w:line="240" w:lineRule="atLeast"/>
              <w:jc w:val="right"/>
              <w:rPr>
                <w:rFonts w:ascii="Times New Roman" w:hAnsi="Times New Roman"/>
                <w:bCs/>
              </w:rPr>
            </w:pPr>
            <w:r w:rsidRPr="002D68AE">
              <w:rPr>
                <w:rFonts w:ascii="Times New Roman" w:hAnsi="Times New Roman"/>
                <w:bCs/>
              </w:rPr>
              <w:t>в 7,2 раза</w:t>
            </w:r>
          </w:p>
        </w:tc>
        <w:tc>
          <w:tcPr>
            <w:tcW w:w="1351" w:type="dxa"/>
            <w:vAlign w:val="bottom"/>
          </w:tcPr>
          <w:p w:rsidR="00914C00" w:rsidRPr="002D68AE" w:rsidRDefault="00914C00" w:rsidP="00AF6E1E">
            <w:pPr>
              <w:spacing w:after="0" w:line="240" w:lineRule="atLeast"/>
              <w:jc w:val="right"/>
              <w:rPr>
                <w:rFonts w:ascii="Times New Roman" w:hAnsi="Times New Roman"/>
                <w:bCs/>
              </w:rPr>
            </w:pPr>
            <w:r w:rsidRPr="002D68AE">
              <w:rPr>
                <w:rFonts w:ascii="Times New Roman" w:hAnsi="Times New Roman"/>
                <w:bCs/>
              </w:rPr>
              <w:t>130,3</w:t>
            </w:r>
          </w:p>
        </w:tc>
        <w:tc>
          <w:tcPr>
            <w:tcW w:w="1201" w:type="dxa"/>
            <w:vAlign w:val="bottom"/>
          </w:tcPr>
          <w:p w:rsidR="00914C00" w:rsidRPr="002D68AE" w:rsidRDefault="00914C00" w:rsidP="00AF6E1E">
            <w:pPr>
              <w:spacing w:after="0" w:line="240" w:lineRule="atLeast"/>
              <w:jc w:val="right"/>
              <w:rPr>
                <w:rFonts w:ascii="Times New Roman" w:hAnsi="Times New Roman"/>
                <w:bCs/>
              </w:rPr>
            </w:pPr>
            <w:r w:rsidRPr="002D68AE">
              <w:rPr>
                <w:rFonts w:ascii="Times New Roman" w:hAnsi="Times New Roman"/>
                <w:bCs/>
              </w:rPr>
              <w:t>99,4</w:t>
            </w:r>
          </w:p>
        </w:tc>
        <w:tc>
          <w:tcPr>
            <w:tcW w:w="1417" w:type="dxa"/>
            <w:vAlign w:val="bottom"/>
          </w:tcPr>
          <w:p w:rsidR="00914C00" w:rsidRPr="002D68AE" w:rsidRDefault="00914C00" w:rsidP="00AF6E1E">
            <w:pPr>
              <w:spacing w:after="0" w:line="240" w:lineRule="atLeast"/>
              <w:jc w:val="right"/>
              <w:rPr>
                <w:rFonts w:ascii="Times New Roman" w:hAnsi="Times New Roman"/>
                <w:bCs/>
              </w:rPr>
            </w:pPr>
            <w:r w:rsidRPr="002D68AE">
              <w:rPr>
                <w:rFonts w:ascii="Times New Roman" w:hAnsi="Times New Roman"/>
                <w:bCs/>
              </w:rPr>
              <w:t>96,6</w:t>
            </w:r>
          </w:p>
        </w:tc>
        <w:tc>
          <w:tcPr>
            <w:tcW w:w="1418" w:type="dxa"/>
            <w:vAlign w:val="bottom"/>
          </w:tcPr>
          <w:p w:rsidR="00914C00" w:rsidRPr="002D68AE" w:rsidRDefault="00914C00" w:rsidP="00AF6E1E">
            <w:pPr>
              <w:spacing w:after="0" w:line="240" w:lineRule="atLeast"/>
              <w:jc w:val="right"/>
              <w:rPr>
                <w:rFonts w:ascii="Times New Roman" w:hAnsi="Times New Roman"/>
                <w:bCs/>
              </w:rPr>
            </w:pPr>
            <w:r w:rsidRPr="002D68AE">
              <w:rPr>
                <w:rFonts w:ascii="Times New Roman" w:hAnsi="Times New Roman"/>
                <w:bCs/>
              </w:rPr>
              <w:t>102,9</w:t>
            </w:r>
          </w:p>
        </w:tc>
      </w:tr>
      <w:tr w:rsidR="00914C00" w:rsidRPr="002D68AE" w:rsidTr="00AF6E1E">
        <w:trPr>
          <w:trHeight w:val="361"/>
        </w:trPr>
        <w:tc>
          <w:tcPr>
            <w:tcW w:w="4264" w:type="dxa"/>
          </w:tcPr>
          <w:p w:rsidR="00914C00" w:rsidRPr="002D68AE" w:rsidRDefault="00914C00" w:rsidP="00AF6E1E">
            <w:pPr>
              <w:spacing w:after="0" w:line="240" w:lineRule="atLeast"/>
              <w:rPr>
                <w:rFonts w:ascii="Times New Roman" w:hAnsi="Times New Roman"/>
              </w:rPr>
            </w:pPr>
            <w:r w:rsidRPr="002D68AE">
              <w:rPr>
                <w:rFonts w:ascii="Times New Roman" w:hAnsi="Times New Roman"/>
              </w:rPr>
              <w:t xml:space="preserve">Объем промышленной продукции, </w:t>
            </w:r>
          </w:p>
          <w:p w:rsidR="00914C00" w:rsidRPr="002D68AE" w:rsidRDefault="00914C00" w:rsidP="00AF6E1E">
            <w:pPr>
              <w:spacing w:after="0" w:line="240" w:lineRule="atLeast"/>
              <w:rPr>
                <w:rFonts w:ascii="Times New Roman" w:hAnsi="Times New Roman"/>
              </w:rPr>
            </w:pPr>
            <w:r w:rsidRPr="002D68AE">
              <w:rPr>
                <w:rFonts w:ascii="Times New Roman" w:hAnsi="Times New Roman"/>
              </w:rPr>
              <w:t>тыс. долл. США</w:t>
            </w:r>
          </w:p>
        </w:tc>
        <w:tc>
          <w:tcPr>
            <w:tcW w:w="1276" w:type="dxa"/>
            <w:shd w:val="clear" w:color="auto" w:fill="auto"/>
            <w:vAlign w:val="center"/>
          </w:tcPr>
          <w:p w:rsidR="00914C00" w:rsidRPr="002D68AE" w:rsidRDefault="00914C00" w:rsidP="00AF6E1E">
            <w:pPr>
              <w:tabs>
                <w:tab w:val="left" w:pos="176"/>
              </w:tabs>
              <w:spacing w:after="0" w:line="240" w:lineRule="atLeast"/>
              <w:jc w:val="right"/>
              <w:rPr>
                <w:rFonts w:ascii="Times New Roman" w:hAnsi="Times New Roman"/>
              </w:rPr>
            </w:pPr>
            <w:r w:rsidRPr="002D68AE">
              <w:rPr>
                <w:rFonts w:ascii="Times New Roman" w:hAnsi="Times New Roman"/>
              </w:rPr>
              <w:t>445 509,3</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138 187,1</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87 651,9</w:t>
            </w:r>
          </w:p>
        </w:tc>
        <w:tc>
          <w:tcPr>
            <w:tcW w:w="993"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51 393,4</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145 905,2</w:t>
            </w:r>
          </w:p>
        </w:tc>
        <w:tc>
          <w:tcPr>
            <w:tcW w:w="1351"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15 794,9</w:t>
            </w:r>
          </w:p>
        </w:tc>
        <w:tc>
          <w:tcPr>
            <w:tcW w:w="1201"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2 387,8</w:t>
            </w:r>
          </w:p>
        </w:tc>
        <w:tc>
          <w:tcPr>
            <w:tcW w:w="1417"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978,6</w:t>
            </w:r>
          </w:p>
        </w:tc>
        <w:tc>
          <w:tcPr>
            <w:tcW w:w="1418" w:type="dxa"/>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3 210,4</w:t>
            </w:r>
          </w:p>
        </w:tc>
      </w:tr>
      <w:tr w:rsidR="00914C00" w:rsidRPr="002D68AE" w:rsidTr="00AF6E1E">
        <w:tc>
          <w:tcPr>
            <w:tcW w:w="4264" w:type="dxa"/>
          </w:tcPr>
          <w:p w:rsidR="00914C00" w:rsidRPr="002D68AE" w:rsidRDefault="00914C00" w:rsidP="00AF6E1E">
            <w:pPr>
              <w:spacing w:after="0" w:line="240" w:lineRule="atLeast"/>
              <w:rPr>
                <w:rFonts w:ascii="Times New Roman" w:hAnsi="Times New Roman"/>
              </w:rPr>
            </w:pPr>
            <w:r w:rsidRPr="002D68AE">
              <w:rPr>
                <w:rFonts w:ascii="Times New Roman" w:hAnsi="Times New Roman"/>
              </w:rPr>
              <w:t>Удельный вес выпускаемой продукции в общереспубликанском выпуске, %</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100,0</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31,0</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19,7</w:t>
            </w:r>
          </w:p>
        </w:tc>
        <w:tc>
          <w:tcPr>
            <w:tcW w:w="993"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11,5</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32,8</w:t>
            </w:r>
          </w:p>
        </w:tc>
        <w:tc>
          <w:tcPr>
            <w:tcW w:w="1351"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3,6</w:t>
            </w:r>
          </w:p>
        </w:tc>
        <w:tc>
          <w:tcPr>
            <w:tcW w:w="1201"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0,5</w:t>
            </w:r>
          </w:p>
        </w:tc>
        <w:tc>
          <w:tcPr>
            <w:tcW w:w="1417"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0,2</w:t>
            </w:r>
          </w:p>
        </w:tc>
        <w:tc>
          <w:tcPr>
            <w:tcW w:w="1418" w:type="dxa"/>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0,7</w:t>
            </w:r>
          </w:p>
        </w:tc>
      </w:tr>
      <w:tr w:rsidR="00914C00" w:rsidRPr="002D68AE" w:rsidTr="00AF6E1E">
        <w:tc>
          <w:tcPr>
            <w:tcW w:w="4264" w:type="dxa"/>
          </w:tcPr>
          <w:p w:rsidR="00914C00" w:rsidRPr="002D68AE" w:rsidRDefault="00914C00" w:rsidP="00AF6E1E">
            <w:pPr>
              <w:spacing w:after="0" w:line="240" w:lineRule="atLeast"/>
              <w:rPr>
                <w:rFonts w:ascii="Times New Roman" w:hAnsi="Times New Roman"/>
              </w:rPr>
            </w:pPr>
            <w:r w:rsidRPr="002D68AE">
              <w:rPr>
                <w:rFonts w:ascii="Times New Roman" w:hAnsi="Times New Roman"/>
              </w:rPr>
              <w:t>Среднемесячная номинальная заработная плата одного работника, руб.</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4 020</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4 611</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5 241</w:t>
            </w:r>
          </w:p>
        </w:tc>
        <w:tc>
          <w:tcPr>
            <w:tcW w:w="993"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3 591</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4 025</w:t>
            </w:r>
          </w:p>
        </w:tc>
        <w:tc>
          <w:tcPr>
            <w:tcW w:w="1351"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3 581</w:t>
            </w:r>
          </w:p>
        </w:tc>
        <w:tc>
          <w:tcPr>
            <w:tcW w:w="1201"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3 059</w:t>
            </w:r>
          </w:p>
        </w:tc>
        <w:tc>
          <w:tcPr>
            <w:tcW w:w="1417"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3 029</w:t>
            </w:r>
          </w:p>
        </w:tc>
        <w:tc>
          <w:tcPr>
            <w:tcW w:w="1418" w:type="dxa"/>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2 976</w:t>
            </w:r>
          </w:p>
        </w:tc>
      </w:tr>
      <w:tr w:rsidR="00914C00" w:rsidRPr="002D68AE" w:rsidTr="00AF6E1E">
        <w:tc>
          <w:tcPr>
            <w:tcW w:w="4264" w:type="dxa"/>
          </w:tcPr>
          <w:p w:rsidR="00914C00" w:rsidRPr="002D68AE" w:rsidRDefault="00914C00" w:rsidP="00AF6E1E">
            <w:pPr>
              <w:spacing w:after="0" w:line="240" w:lineRule="atLeast"/>
              <w:rPr>
                <w:rFonts w:ascii="Times New Roman" w:hAnsi="Times New Roman"/>
              </w:rPr>
            </w:pPr>
            <w:r w:rsidRPr="002D68AE">
              <w:rPr>
                <w:rFonts w:ascii="Times New Roman" w:hAnsi="Times New Roman"/>
              </w:rPr>
              <w:t>Среднемесячная номинальная заработная плата одного работника, долл. США (*)</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362</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415</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472</w:t>
            </w:r>
          </w:p>
        </w:tc>
        <w:tc>
          <w:tcPr>
            <w:tcW w:w="993"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324</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363</w:t>
            </w:r>
          </w:p>
        </w:tc>
        <w:tc>
          <w:tcPr>
            <w:tcW w:w="1351"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323</w:t>
            </w:r>
          </w:p>
        </w:tc>
        <w:tc>
          <w:tcPr>
            <w:tcW w:w="1201"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276</w:t>
            </w:r>
          </w:p>
        </w:tc>
        <w:tc>
          <w:tcPr>
            <w:tcW w:w="1417"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273</w:t>
            </w:r>
          </w:p>
        </w:tc>
        <w:tc>
          <w:tcPr>
            <w:tcW w:w="1418" w:type="dxa"/>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268</w:t>
            </w:r>
          </w:p>
        </w:tc>
      </w:tr>
      <w:tr w:rsidR="00914C00" w:rsidRPr="002D68AE" w:rsidTr="00AF6E1E">
        <w:tc>
          <w:tcPr>
            <w:tcW w:w="4264" w:type="dxa"/>
          </w:tcPr>
          <w:p w:rsidR="00914C00" w:rsidRPr="002D68AE" w:rsidRDefault="00914C00" w:rsidP="00AF6E1E">
            <w:pPr>
              <w:spacing w:after="0" w:line="240" w:lineRule="atLeast"/>
              <w:rPr>
                <w:rFonts w:ascii="Times New Roman" w:hAnsi="Times New Roman"/>
              </w:rPr>
            </w:pPr>
            <w:r w:rsidRPr="002D68AE">
              <w:rPr>
                <w:rFonts w:ascii="Times New Roman" w:hAnsi="Times New Roman"/>
              </w:rPr>
              <w:t xml:space="preserve">Среднесписочная численность работающих всего, человек (**)                                                                </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102 030</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38 397</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4 188</w:t>
            </w:r>
          </w:p>
        </w:tc>
        <w:tc>
          <w:tcPr>
            <w:tcW w:w="993"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19 142</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16 403</w:t>
            </w:r>
          </w:p>
        </w:tc>
        <w:tc>
          <w:tcPr>
            <w:tcW w:w="1351"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6 305</w:t>
            </w:r>
          </w:p>
        </w:tc>
        <w:tc>
          <w:tcPr>
            <w:tcW w:w="1201"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8 650</w:t>
            </w:r>
          </w:p>
        </w:tc>
        <w:tc>
          <w:tcPr>
            <w:tcW w:w="1417"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5 296</w:t>
            </w:r>
          </w:p>
        </w:tc>
        <w:tc>
          <w:tcPr>
            <w:tcW w:w="1418" w:type="dxa"/>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3 649</w:t>
            </w:r>
          </w:p>
        </w:tc>
      </w:tr>
      <w:tr w:rsidR="00914C00" w:rsidRPr="002D68AE" w:rsidTr="00AF6E1E">
        <w:tc>
          <w:tcPr>
            <w:tcW w:w="4264" w:type="dxa"/>
          </w:tcPr>
          <w:p w:rsidR="00914C00" w:rsidRPr="002D68AE" w:rsidRDefault="00914C00" w:rsidP="00AF6E1E">
            <w:pPr>
              <w:spacing w:after="0" w:line="240" w:lineRule="atLeast"/>
              <w:rPr>
                <w:rFonts w:ascii="Times New Roman" w:hAnsi="Times New Roman"/>
              </w:rPr>
            </w:pPr>
            <w:r w:rsidRPr="002D68AE">
              <w:rPr>
                <w:rFonts w:ascii="Times New Roman" w:hAnsi="Times New Roman"/>
              </w:rPr>
              <w:t>Среднесписочная численность работающих в промышленности, человек</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27 350</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10 216</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2 792</w:t>
            </w:r>
          </w:p>
        </w:tc>
        <w:tc>
          <w:tcPr>
            <w:tcW w:w="993"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6 119</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5 432</w:t>
            </w:r>
          </w:p>
        </w:tc>
        <w:tc>
          <w:tcPr>
            <w:tcW w:w="1351"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1 338</w:t>
            </w:r>
          </w:p>
        </w:tc>
        <w:tc>
          <w:tcPr>
            <w:tcW w:w="1201"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701</w:t>
            </w:r>
          </w:p>
        </w:tc>
        <w:tc>
          <w:tcPr>
            <w:tcW w:w="1417"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381</w:t>
            </w:r>
          </w:p>
        </w:tc>
        <w:tc>
          <w:tcPr>
            <w:tcW w:w="1418" w:type="dxa"/>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371</w:t>
            </w:r>
          </w:p>
        </w:tc>
      </w:tr>
      <w:tr w:rsidR="00914C00" w:rsidRPr="002D68AE" w:rsidTr="00AF6E1E">
        <w:tc>
          <w:tcPr>
            <w:tcW w:w="4264" w:type="dxa"/>
          </w:tcPr>
          <w:p w:rsidR="00914C00" w:rsidRPr="002D68AE" w:rsidRDefault="00914C00" w:rsidP="00AF6E1E">
            <w:pPr>
              <w:spacing w:after="0" w:line="240" w:lineRule="atLeast"/>
              <w:rPr>
                <w:rFonts w:ascii="Times New Roman" w:hAnsi="Times New Roman"/>
              </w:rPr>
            </w:pPr>
            <w:r w:rsidRPr="002D68AE">
              <w:rPr>
                <w:rFonts w:ascii="Times New Roman" w:hAnsi="Times New Roman"/>
              </w:rPr>
              <w:t>Объем промышленной продукции на одного работающего в промышленности, долл. США</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16 289</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13 527</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31 394</w:t>
            </w:r>
          </w:p>
        </w:tc>
        <w:tc>
          <w:tcPr>
            <w:tcW w:w="993"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8 399</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26 860</w:t>
            </w:r>
          </w:p>
        </w:tc>
        <w:tc>
          <w:tcPr>
            <w:tcW w:w="1351"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11 805</w:t>
            </w:r>
          </w:p>
        </w:tc>
        <w:tc>
          <w:tcPr>
            <w:tcW w:w="1201"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3 406</w:t>
            </w:r>
          </w:p>
        </w:tc>
        <w:tc>
          <w:tcPr>
            <w:tcW w:w="1417"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2 569</w:t>
            </w:r>
          </w:p>
        </w:tc>
        <w:tc>
          <w:tcPr>
            <w:tcW w:w="1418" w:type="dxa"/>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8 653</w:t>
            </w:r>
          </w:p>
        </w:tc>
      </w:tr>
      <w:tr w:rsidR="00914C00" w:rsidRPr="002D68AE" w:rsidTr="00AF6E1E">
        <w:tc>
          <w:tcPr>
            <w:tcW w:w="4264" w:type="dxa"/>
          </w:tcPr>
          <w:p w:rsidR="00914C00" w:rsidRPr="002D68AE" w:rsidRDefault="00914C00" w:rsidP="00AF6E1E">
            <w:pPr>
              <w:spacing w:after="0" w:line="240" w:lineRule="atLeast"/>
              <w:rPr>
                <w:rFonts w:ascii="Times New Roman" w:hAnsi="Times New Roman"/>
              </w:rPr>
            </w:pPr>
            <w:r w:rsidRPr="002D68AE">
              <w:rPr>
                <w:rFonts w:ascii="Times New Roman" w:hAnsi="Times New Roman"/>
              </w:rPr>
              <w:t xml:space="preserve">Капитальные вложения за счет всех источников финансирования, тыс. руб.  </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629 717</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371 675</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55 266</w:t>
            </w:r>
          </w:p>
        </w:tc>
        <w:tc>
          <w:tcPr>
            <w:tcW w:w="993"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68 263</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41 602</w:t>
            </w:r>
          </w:p>
        </w:tc>
        <w:tc>
          <w:tcPr>
            <w:tcW w:w="1351"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11 310</w:t>
            </w:r>
          </w:p>
        </w:tc>
        <w:tc>
          <w:tcPr>
            <w:tcW w:w="1201"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23 752</w:t>
            </w:r>
          </w:p>
        </w:tc>
        <w:tc>
          <w:tcPr>
            <w:tcW w:w="1417"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53 388</w:t>
            </w:r>
          </w:p>
        </w:tc>
        <w:tc>
          <w:tcPr>
            <w:tcW w:w="1418" w:type="dxa"/>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4 461</w:t>
            </w:r>
          </w:p>
        </w:tc>
      </w:tr>
      <w:tr w:rsidR="00914C00" w:rsidRPr="002D68AE" w:rsidTr="00AF6E1E">
        <w:tc>
          <w:tcPr>
            <w:tcW w:w="4264" w:type="dxa"/>
          </w:tcPr>
          <w:p w:rsidR="00914C00" w:rsidRDefault="00914C00" w:rsidP="00AF6E1E">
            <w:pPr>
              <w:spacing w:after="0" w:line="240" w:lineRule="atLeast"/>
              <w:ind w:left="-97" w:firstLine="97"/>
              <w:rPr>
                <w:rFonts w:ascii="Times New Roman" w:hAnsi="Times New Roman"/>
              </w:rPr>
            </w:pPr>
            <w:r w:rsidRPr="002D68AE">
              <w:rPr>
                <w:rFonts w:ascii="Times New Roman" w:hAnsi="Times New Roman"/>
              </w:rPr>
              <w:t xml:space="preserve">Темп роста в % к январю-июню 2013 г. </w:t>
            </w:r>
          </w:p>
          <w:p w:rsidR="00914C00" w:rsidRPr="002D68AE" w:rsidRDefault="00914C00" w:rsidP="00AF6E1E">
            <w:pPr>
              <w:spacing w:after="0" w:line="240" w:lineRule="atLeast"/>
              <w:ind w:left="-97" w:firstLine="142"/>
              <w:rPr>
                <w:rFonts w:ascii="Times New Roman" w:hAnsi="Times New Roman"/>
              </w:rPr>
            </w:pPr>
            <w:r>
              <w:rPr>
                <w:rFonts w:ascii="Times New Roman" w:hAnsi="Times New Roman"/>
              </w:rPr>
              <w:t xml:space="preserve">в </w:t>
            </w:r>
            <w:r w:rsidRPr="002D68AE">
              <w:rPr>
                <w:rFonts w:ascii="Times New Roman" w:hAnsi="Times New Roman"/>
              </w:rPr>
              <w:t xml:space="preserve">текущих ценах </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101,4</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82,7</w:t>
            </w:r>
          </w:p>
        </w:tc>
        <w:tc>
          <w:tcPr>
            <w:tcW w:w="1275" w:type="dxa"/>
            <w:shd w:val="clear" w:color="auto" w:fill="auto"/>
            <w:vAlign w:val="center"/>
          </w:tcPr>
          <w:p w:rsidR="00914C00" w:rsidRPr="002D68AE" w:rsidRDefault="00914C00" w:rsidP="00AF6E1E">
            <w:pPr>
              <w:tabs>
                <w:tab w:val="left" w:pos="337"/>
              </w:tabs>
              <w:spacing w:after="0" w:line="240" w:lineRule="atLeast"/>
              <w:jc w:val="right"/>
              <w:rPr>
                <w:rFonts w:ascii="Times New Roman" w:hAnsi="Times New Roman"/>
              </w:rPr>
            </w:pPr>
            <w:r w:rsidRPr="002D68AE">
              <w:rPr>
                <w:rFonts w:ascii="Times New Roman" w:hAnsi="Times New Roman"/>
              </w:rPr>
              <w:t>в 2,3 раза</w:t>
            </w:r>
          </w:p>
        </w:tc>
        <w:tc>
          <w:tcPr>
            <w:tcW w:w="993"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156,0</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107,8</w:t>
            </w:r>
          </w:p>
        </w:tc>
        <w:tc>
          <w:tcPr>
            <w:tcW w:w="1351"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158,0</w:t>
            </w:r>
          </w:p>
        </w:tc>
        <w:tc>
          <w:tcPr>
            <w:tcW w:w="1201"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61,7</w:t>
            </w:r>
          </w:p>
        </w:tc>
        <w:tc>
          <w:tcPr>
            <w:tcW w:w="1417"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в 3,7 раза</w:t>
            </w:r>
          </w:p>
        </w:tc>
        <w:tc>
          <w:tcPr>
            <w:tcW w:w="1418" w:type="dxa"/>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92,0</w:t>
            </w:r>
          </w:p>
        </w:tc>
      </w:tr>
      <w:tr w:rsidR="00914C00" w:rsidRPr="002D68AE" w:rsidTr="00AF6E1E">
        <w:tc>
          <w:tcPr>
            <w:tcW w:w="4264" w:type="dxa"/>
            <w:vAlign w:val="center"/>
          </w:tcPr>
          <w:p w:rsidR="00914C00" w:rsidRPr="002D68AE" w:rsidRDefault="00914C00" w:rsidP="00AF6E1E">
            <w:pPr>
              <w:spacing w:after="0" w:line="240" w:lineRule="atLeast"/>
              <w:jc w:val="center"/>
              <w:rPr>
                <w:rFonts w:ascii="Times New Roman" w:hAnsi="Times New Roman"/>
                <w:b/>
                <w:bCs/>
              </w:rPr>
            </w:pPr>
            <w:r w:rsidRPr="002D68AE">
              <w:rPr>
                <w:rFonts w:ascii="Times New Roman" w:hAnsi="Times New Roman"/>
                <w:b/>
                <w:bCs/>
              </w:rPr>
              <w:lastRenderedPageBreak/>
              <w:t>1</w:t>
            </w:r>
          </w:p>
        </w:tc>
        <w:tc>
          <w:tcPr>
            <w:tcW w:w="1276" w:type="dxa"/>
            <w:shd w:val="clear" w:color="auto" w:fill="auto"/>
            <w:vAlign w:val="center"/>
          </w:tcPr>
          <w:p w:rsidR="00914C00" w:rsidRPr="002D68AE" w:rsidRDefault="00914C00" w:rsidP="00AF6E1E">
            <w:pPr>
              <w:spacing w:after="0" w:line="240" w:lineRule="atLeast"/>
              <w:jc w:val="center"/>
              <w:rPr>
                <w:rFonts w:ascii="Times New Roman" w:hAnsi="Times New Roman"/>
                <w:b/>
                <w:bCs/>
              </w:rPr>
            </w:pPr>
            <w:r w:rsidRPr="002D68AE">
              <w:rPr>
                <w:rFonts w:ascii="Times New Roman" w:hAnsi="Times New Roman"/>
                <w:b/>
                <w:bCs/>
              </w:rPr>
              <w:t>2</w:t>
            </w:r>
          </w:p>
        </w:tc>
        <w:tc>
          <w:tcPr>
            <w:tcW w:w="1276" w:type="dxa"/>
            <w:shd w:val="clear" w:color="auto" w:fill="auto"/>
            <w:vAlign w:val="center"/>
          </w:tcPr>
          <w:p w:rsidR="00914C00" w:rsidRPr="002D68AE" w:rsidRDefault="00914C00" w:rsidP="00AF6E1E">
            <w:pPr>
              <w:spacing w:after="0" w:line="240" w:lineRule="atLeast"/>
              <w:ind w:left="-250"/>
              <w:jc w:val="center"/>
              <w:rPr>
                <w:rFonts w:ascii="Times New Roman" w:hAnsi="Times New Roman"/>
                <w:b/>
                <w:bCs/>
              </w:rPr>
            </w:pPr>
            <w:r w:rsidRPr="002D68AE">
              <w:rPr>
                <w:rFonts w:ascii="Times New Roman" w:hAnsi="Times New Roman"/>
                <w:b/>
                <w:bCs/>
              </w:rPr>
              <w:t>3</w:t>
            </w:r>
          </w:p>
        </w:tc>
        <w:tc>
          <w:tcPr>
            <w:tcW w:w="1275" w:type="dxa"/>
            <w:shd w:val="clear" w:color="auto" w:fill="auto"/>
            <w:vAlign w:val="center"/>
          </w:tcPr>
          <w:p w:rsidR="00914C00" w:rsidRPr="002D68AE" w:rsidRDefault="00914C00" w:rsidP="00AF6E1E">
            <w:pPr>
              <w:spacing w:after="0" w:line="240" w:lineRule="atLeast"/>
              <w:jc w:val="center"/>
              <w:rPr>
                <w:rFonts w:ascii="Times New Roman" w:hAnsi="Times New Roman"/>
                <w:b/>
                <w:bCs/>
              </w:rPr>
            </w:pPr>
            <w:r w:rsidRPr="002D68AE">
              <w:rPr>
                <w:rFonts w:ascii="Times New Roman" w:hAnsi="Times New Roman"/>
                <w:b/>
                <w:bCs/>
              </w:rPr>
              <w:t>4</w:t>
            </w:r>
          </w:p>
        </w:tc>
        <w:tc>
          <w:tcPr>
            <w:tcW w:w="993" w:type="dxa"/>
            <w:shd w:val="clear" w:color="auto" w:fill="auto"/>
            <w:vAlign w:val="center"/>
          </w:tcPr>
          <w:p w:rsidR="00914C00" w:rsidRPr="002D68AE" w:rsidRDefault="00914C00" w:rsidP="00AF6E1E">
            <w:pPr>
              <w:spacing w:after="0" w:line="240" w:lineRule="atLeast"/>
              <w:jc w:val="center"/>
              <w:rPr>
                <w:rFonts w:ascii="Times New Roman" w:hAnsi="Times New Roman"/>
                <w:b/>
                <w:bCs/>
              </w:rPr>
            </w:pPr>
            <w:r w:rsidRPr="002D68AE">
              <w:rPr>
                <w:rFonts w:ascii="Times New Roman" w:hAnsi="Times New Roman"/>
                <w:b/>
                <w:bCs/>
              </w:rPr>
              <w:t>5</w:t>
            </w:r>
          </w:p>
        </w:tc>
        <w:tc>
          <w:tcPr>
            <w:tcW w:w="1275" w:type="dxa"/>
            <w:shd w:val="clear" w:color="auto" w:fill="auto"/>
            <w:vAlign w:val="center"/>
          </w:tcPr>
          <w:p w:rsidR="00914C00" w:rsidRPr="002D68AE" w:rsidRDefault="00914C00" w:rsidP="00AF6E1E">
            <w:pPr>
              <w:spacing w:after="0" w:line="240" w:lineRule="atLeast"/>
              <w:jc w:val="center"/>
              <w:rPr>
                <w:rFonts w:ascii="Times New Roman" w:hAnsi="Times New Roman"/>
                <w:b/>
                <w:bCs/>
              </w:rPr>
            </w:pPr>
            <w:r w:rsidRPr="002D68AE">
              <w:rPr>
                <w:rFonts w:ascii="Times New Roman" w:hAnsi="Times New Roman"/>
                <w:b/>
                <w:bCs/>
              </w:rPr>
              <w:t>6</w:t>
            </w:r>
          </w:p>
        </w:tc>
        <w:tc>
          <w:tcPr>
            <w:tcW w:w="1351" w:type="dxa"/>
            <w:shd w:val="clear" w:color="auto" w:fill="auto"/>
            <w:vAlign w:val="center"/>
          </w:tcPr>
          <w:p w:rsidR="00914C00" w:rsidRPr="002D68AE" w:rsidRDefault="00914C00" w:rsidP="00AF6E1E">
            <w:pPr>
              <w:spacing w:after="0" w:line="240" w:lineRule="atLeast"/>
              <w:jc w:val="center"/>
              <w:rPr>
                <w:rFonts w:ascii="Times New Roman" w:hAnsi="Times New Roman"/>
                <w:b/>
                <w:bCs/>
              </w:rPr>
            </w:pPr>
            <w:r w:rsidRPr="002D68AE">
              <w:rPr>
                <w:rFonts w:ascii="Times New Roman" w:hAnsi="Times New Roman"/>
                <w:b/>
                <w:bCs/>
              </w:rPr>
              <w:t>7</w:t>
            </w:r>
          </w:p>
        </w:tc>
        <w:tc>
          <w:tcPr>
            <w:tcW w:w="1201" w:type="dxa"/>
            <w:shd w:val="clear" w:color="auto" w:fill="auto"/>
            <w:vAlign w:val="center"/>
          </w:tcPr>
          <w:p w:rsidR="00914C00" w:rsidRPr="002D68AE" w:rsidRDefault="00914C00" w:rsidP="00AF6E1E">
            <w:pPr>
              <w:spacing w:after="0" w:line="240" w:lineRule="atLeast"/>
              <w:jc w:val="center"/>
              <w:rPr>
                <w:rFonts w:ascii="Times New Roman" w:hAnsi="Times New Roman"/>
                <w:b/>
                <w:bCs/>
              </w:rPr>
            </w:pPr>
            <w:r w:rsidRPr="002D68AE">
              <w:rPr>
                <w:rFonts w:ascii="Times New Roman" w:hAnsi="Times New Roman"/>
                <w:b/>
                <w:bCs/>
              </w:rPr>
              <w:t>8</w:t>
            </w:r>
          </w:p>
        </w:tc>
        <w:tc>
          <w:tcPr>
            <w:tcW w:w="1417" w:type="dxa"/>
            <w:shd w:val="clear" w:color="auto" w:fill="auto"/>
            <w:vAlign w:val="center"/>
          </w:tcPr>
          <w:p w:rsidR="00914C00" w:rsidRPr="002D68AE" w:rsidRDefault="00914C00" w:rsidP="00AF6E1E">
            <w:pPr>
              <w:spacing w:after="0" w:line="240" w:lineRule="atLeast"/>
              <w:jc w:val="center"/>
              <w:rPr>
                <w:rFonts w:ascii="Times New Roman" w:hAnsi="Times New Roman"/>
                <w:b/>
                <w:bCs/>
              </w:rPr>
            </w:pPr>
            <w:r w:rsidRPr="002D68AE">
              <w:rPr>
                <w:rFonts w:ascii="Times New Roman" w:hAnsi="Times New Roman"/>
                <w:b/>
                <w:bCs/>
              </w:rPr>
              <w:t>9</w:t>
            </w:r>
          </w:p>
        </w:tc>
        <w:tc>
          <w:tcPr>
            <w:tcW w:w="1418" w:type="dxa"/>
            <w:vAlign w:val="center"/>
          </w:tcPr>
          <w:p w:rsidR="00914C00" w:rsidRPr="002D68AE" w:rsidRDefault="00914C00" w:rsidP="00AF6E1E">
            <w:pPr>
              <w:spacing w:after="0" w:line="240" w:lineRule="atLeast"/>
              <w:jc w:val="center"/>
              <w:rPr>
                <w:rFonts w:ascii="Times New Roman" w:hAnsi="Times New Roman"/>
                <w:b/>
                <w:bCs/>
              </w:rPr>
            </w:pPr>
            <w:r w:rsidRPr="002D68AE">
              <w:rPr>
                <w:rFonts w:ascii="Times New Roman" w:hAnsi="Times New Roman"/>
                <w:b/>
                <w:bCs/>
              </w:rPr>
              <w:t>10</w:t>
            </w:r>
          </w:p>
        </w:tc>
      </w:tr>
      <w:tr w:rsidR="00914C00" w:rsidRPr="002D68AE" w:rsidTr="00AF6E1E">
        <w:tc>
          <w:tcPr>
            <w:tcW w:w="4264" w:type="dxa"/>
          </w:tcPr>
          <w:p w:rsidR="00914C00" w:rsidRPr="002D68AE" w:rsidRDefault="00914C00" w:rsidP="00AF6E1E">
            <w:pPr>
              <w:spacing w:after="0" w:line="240" w:lineRule="atLeast"/>
              <w:rPr>
                <w:rFonts w:ascii="Times New Roman" w:hAnsi="Times New Roman"/>
              </w:rPr>
            </w:pPr>
            <w:r w:rsidRPr="002D68AE">
              <w:rPr>
                <w:rFonts w:ascii="Times New Roman" w:hAnsi="Times New Roman"/>
              </w:rPr>
              <w:t>Розничный товарооборот, тыс. руб.</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3 575 956</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1 668 077</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71 905</w:t>
            </w:r>
          </w:p>
        </w:tc>
        <w:tc>
          <w:tcPr>
            <w:tcW w:w="993"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575 046</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568 959</w:t>
            </w:r>
          </w:p>
        </w:tc>
        <w:tc>
          <w:tcPr>
            <w:tcW w:w="1351"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249 010</w:t>
            </w:r>
          </w:p>
        </w:tc>
        <w:tc>
          <w:tcPr>
            <w:tcW w:w="1201"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279 284</w:t>
            </w:r>
          </w:p>
        </w:tc>
        <w:tc>
          <w:tcPr>
            <w:tcW w:w="1417"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101 837</w:t>
            </w:r>
          </w:p>
        </w:tc>
        <w:tc>
          <w:tcPr>
            <w:tcW w:w="1418" w:type="dxa"/>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61 838</w:t>
            </w:r>
          </w:p>
        </w:tc>
      </w:tr>
      <w:tr w:rsidR="00914C00" w:rsidRPr="002D68AE" w:rsidTr="00AF6E1E">
        <w:tc>
          <w:tcPr>
            <w:tcW w:w="4264" w:type="dxa"/>
          </w:tcPr>
          <w:p w:rsidR="00914C00" w:rsidRPr="002D68AE" w:rsidRDefault="00914C00" w:rsidP="00AF6E1E">
            <w:pPr>
              <w:spacing w:after="0" w:line="240" w:lineRule="atLeast"/>
              <w:ind w:left="-97" w:firstLine="97"/>
              <w:rPr>
                <w:rFonts w:ascii="Times New Roman" w:hAnsi="Times New Roman"/>
              </w:rPr>
            </w:pPr>
            <w:r w:rsidRPr="002D68AE">
              <w:rPr>
                <w:rFonts w:ascii="Times New Roman" w:hAnsi="Times New Roman"/>
              </w:rPr>
              <w:t xml:space="preserve">Темп роста в % к январю-июню  2013 г. </w:t>
            </w:r>
          </w:p>
          <w:p w:rsidR="00914C00" w:rsidRPr="002D68AE" w:rsidRDefault="00914C00" w:rsidP="00AF6E1E">
            <w:pPr>
              <w:spacing w:after="0" w:line="240" w:lineRule="atLeast"/>
              <w:rPr>
                <w:rFonts w:ascii="Times New Roman" w:hAnsi="Times New Roman"/>
              </w:rPr>
            </w:pPr>
            <w:r w:rsidRPr="002D68AE">
              <w:rPr>
                <w:rFonts w:ascii="Times New Roman" w:hAnsi="Times New Roman"/>
              </w:rPr>
              <w:t>в текущих ценах</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99,7</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97,0</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103,1</w:t>
            </w:r>
          </w:p>
        </w:tc>
        <w:tc>
          <w:tcPr>
            <w:tcW w:w="993"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105,6</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90,0</w:t>
            </w:r>
          </w:p>
        </w:tc>
        <w:tc>
          <w:tcPr>
            <w:tcW w:w="1351"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127,7</w:t>
            </w:r>
          </w:p>
        </w:tc>
        <w:tc>
          <w:tcPr>
            <w:tcW w:w="1201"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95,4</w:t>
            </w:r>
          </w:p>
        </w:tc>
        <w:tc>
          <w:tcPr>
            <w:tcW w:w="1417"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105,0</w:t>
            </w:r>
          </w:p>
        </w:tc>
        <w:tc>
          <w:tcPr>
            <w:tcW w:w="1418" w:type="dxa"/>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166,6</w:t>
            </w:r>
          </w:p>
        </w:tc>
      </w:tr>
      <w:tr w:rsidR="00914C00" w:rsidRPr="002D68AE" w:rsidTr="00AF6E1E">
        <w:trPr>
          <w:trHeight w:val="329"/>
        </w:trPr>
        <w:tc>
          <w:tcPr>
            <w:tcW w:w="4264" w:type="dxa"/>
          </w:tcPr>
          <w:p w:rsidR="00914C00" w:rsidRPr="002D68AE" w:rsidRDefault="00914C00" w:rsidP="00AF6E1E">
            <w:pPr>
              <w:spacing w:after="0" w:line="240" w:lineRule="atLeast"/>
              <w:rPr>
                <w:rFonts w:ascii="Times New Roman" w:hAnsi="Times New Roman"/>
              </w:rPr>
            </w:pPr>
            <w:r w:rsidRPr="002D68AE">
              <w:rPr>
                <w:rFonts w:ascii="Times New Roman" w:hAnsi="Times New Roman"/>
              </w:rPr>
              <w:t xml:space="preserve">Объем платных услуг, тыс. руб. (***)       </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1 099 487</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552 535</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14 912</w:t>
            </w:r>
          </w:p>
        </w:tc>
        <w:tc>
          <w:tcPr>
            <w:tcW w:w="993"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195 131</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115 530</w:t>
            </w:r>
          </w:p>
        </w:tc>
        <w:tc>
          <w:tcPr>
            <w:tcW w:w="1351"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54 727</w:t>
            </w:r>
          </w:p>
        </w:tc>
        <w:tc>
          <w:tcPr>
            <w:tcW w:w="1201"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96 891</w:t>
            </w:r>
          </w:p>
        </w:tc>
        <w:tc>
          <w:tcPr>
            <w:tcW w:w="1417"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39 813</w:t>
            </w:r>
          </w:p>
        </w:tc>
        <w:tc>
          <w:tcPr>
            <w:tcW w:w="1418" w:type="dxa"/>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29 948</w:t>
            </w:r>
          </w:p>
        </w:tc>
      </w:tr>
      <w:tr w:rsidR="00914C00" w:rsidRPr="002D68AE" w:rsidTr="00AF6E1E">
        <w:trPr>
          <w:trHeight w:val="329"/>
        </w:trPr>
        <w:tc>
          <w:tcPr>
            <w:tcW w:w="4264" w:type="dxa"/>
          </w:tcPr>
          <w:p w:rsidR="00914C00" w:rsidRPr="002D68AE" w:rsidRDefault="00914C00" w:rsidP="00AF6E1E">
            <w:pPr>
              <w:spacing w:after="0" w:line="240" w:lineRule="atLeast"/>
              <w:ind w:left="-97" w:firstLine="97"/>
              <w:rPr>
                <w:rFonts w:ascii="Times New Roman" w:hAnsi="Times New Roman"/>
              </w:rPr>
            </w:pPr>
            <w:r w:rsidRPr="002D68AE">
              <w:rPr>
                <w:rFonts w:ascii="Times New Roman" w:hAnsi="Times New Roman"/>
              </w:rPr>
              <w:t xml:space="preserve">Темп роста в % к январю-июню 2013 г. </w:t>
            </w:r>
          </w:p>
          <w:p w:rsidR="00914C00" w:rsidRPr="002D68AE" w:rsidRDefault="00914C00" w:rsidP="00AF6E1E">
            <w:pPr>
              <w:spacing w:after="0" w:line="240" w:lineRule="atLeast"/>
              <w:ind w:firstLine="45"/>
              <w:rPr>
                <w:rFonts w:ascii="Times New Roman" w:hAnsi="Times New Roman"/>
              </w:rPr>
            </w:pPr>
            <w:r w:rsidRPr="002D68AE">
              <w:rPr>
                <w:rFonts w:ascii="Times New Roman" w:hAnsi="Times New Roman"/>
              </w:rPr>
              <w:t>в текущих ценах</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105,7</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101,3</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89,1</w:t>
            </w:r>
          </w:p>
        </w:tc>
        <w:tc>
          <w:tcPr>
            <w:tcW w:w="993"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110,3</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113,4</w:t>
            </w:r>
          </w:p>
        </w:tc>
        <w:tc>
          <w:tcPr>
            <w:tcW w:w="1351"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111,7</w:t>
            </w:r>
          </w:p>
        </w:tc>
        <w:tc>
          <w:tcPr>
            <w:tcW w:w="1201"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115,0</w:t>
            </w:r>
          </w:p>
        </w:tc>
        <w:tc>
          <w:tcPr>
            <w:tcW w:w="1417" w:type="dxa"/>
            <w:shd w:val="clear" w:color="auto" w:fill="auto"/>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110,8</w:t>
            </w:r>
          </w:p>
        </w:tc>
        <w:tc>
          <w:tcPr>
            <w:tcW w:w="1418" w:type="dxa"/>
            <w:vAlign w:val="center"/>
          </w:tcPr>
          <w:p w:rsidR="00914C00" w:rsidRPr="002D68AE" w:rsidRDefault="00914C00" w:rsidP="00AF6E1E">
            <w:pPr>
              <w:spacing w:after="0" w:line="240" w:lineRule="atLeast"/>
              <w:jc w:val="right"/>
              <w:rPr>
                <w:rFonts w:ascii="Times New Roman" w:hAnsi="Times New Roman"/>
              </w:rPr>
            </w:pPr>
            <w:r w:rsidRPr="002D68AE">
              <w:rPr>
                <w:rFonts w:ascii="Times New Roman" w:hAnsi="Times New Roman"/>
              </w:rPr>
              <w:t>99,2</w:t>
            </w:r>
          </w:p>
        </w:tc>
      </w:tr>
    </w:tbl>
    <w:p w:rsidR="00914C00" w:rsidRPr="00876D90" w:rsidRDefault="00914C00" w:rsidP="00914C00">
      <w:pPr>
        <w:spacing w:after="0" w:line="240" w:lineRule="auto"/>
        <w:rPr>
          <w:rFonts w:ascii="Times New Roman" w:hAnsi="Times New Roman"/>
          <w:sz w:val="24"/>
          <w:szCs w:val="24"/>
        </w:rPr>
      </w:pPr>
      <w:r w:rsidRPr="00876D90">
        <w:rPr>
          <w:rFonts w:ascii="Times New Roman" w:hAnsi="Times New Roman"/>
          <w:sz w:val="24"/>
          <w:szCs w:val="24"/>
        </w:rPr>
        <w:t>Примечание:</w:t>
      </w:r>
    </w:p>
    <w:p w:rsidR="00914C00" w:rsidRPr="000A5071" w:rsidRDefault="00914C00" w:rsidP="00914C00">
      <w:pPr>
        <w:spacing w:after="0" w:line="240" w:lineRule="auto"/>
        <w:rPr>
          <w:rFonts w:ascii="Times New Roman" w:hAnsi="Times New Roman"/>
        </w:rPr>
      </w:pPr>
      <w:r w:rsidRPr="000A5071">
        <w:rPr>
          <w:rFonts w:ascii="Times New Roman" w:hAnsi="Times New Roman"/>
        </w:rPr>
        <w:t>* - Средневзвешенный курс доллара США к  рублю за</w:t>
      </w:r>
      <w:r>
        <w:rPr>
          <w:rFonts w:ascii="Times New Roman" w:hAnsi="Times New Roman"/>
        </w:rPr>
        <w:t xml:space="preserve"> январь-июнь </w:t>
      </w:r>
      <w:r w:rsidRPr="000A5071">
        <w:rPr>
          <w:rFonts w:ascii="Times New Roman" w:hAnsi="Times New Roman"/>
        </w:rPr>
        <w:t>20</w:t>
      </w:r>
      <w:r>
        <w:rPr>
          <w:rFonts w:ascii="Times New Roman" w:hAnsi="Times New Roman"/>
        </w:rPr>
        <w:t xml:space="preserve">14 </w:t>
      </w:r>
      <w:r w:rsidRPr="000A5071">
        <w:rPr>
          <w:rFonts w:ascii="Times New Roman" w:hAnsi="Times New Roman"/>
        </w:rPr>
        <w:t>год</w:t>
      </w:r>
      <w:r>
        <w:rPr>
          <w:rFonts w:ascii="Times New Roman" w:hAnsi="Times New Roman"/>
        </w:rPr>
        <w:t xml:space="preserve">а составил  11,1000 </w:t>
      </w:r>
      <w:r w:rsidRPr="000A5071">
        <w:rPr>
          <w:rFonts w:ascii="Times New Roman" w:hAnsi="Times New Roman"/>
        </w:rPr>
        <w:t>руб. за 1 доллар.</w:t>
      </w:r>
    </w:p>
    <w:p w:rsidR="00914C00" w:rsidRPr="000A5071" w:rsidRDefault="00914C00" w:rsidP="00914C00">
      <w:pPr>
        <w:spacing w:after="0" w:line="240" w:lineRule="auto"/>
        <w:rPr>
          <w:rFonts w:ascii="Times New Roman" w:hAnsi="Times New Roman"/>
        </w:rPr>
      </w:pPr>
      <w:r w:rsidRPr="000A5071">
        <w:rPr>
          <w:rFonts w:ascii="Times New Roman" w:hAnsi="Times New Roman"/>
        </w:rPr>
        <w:t>** - Среднесписочная численность работающих всего по республике представлена без учета численности работников аппарата управления республики и численности работников предприятий республиканского значения, не относящихся к аппарату управления республики.</w:t>
      </w:r>
    </w:p>
    <w:p w:rsidR="00914C00" w:rsidRPr="00701C40" w:rsidRDefault="00914C00" w:rsidP="00914C00">
      <w:pPr>
        <w:spacing w:after="0" w:line="240" w:lineRule="auto"/>
      </w:pPr>
      <w:r w:rsidRPr="00701C40">
        <w:rPr>
          <w:rFonts w:ascii="Times New Roman" w:hAnsi="Times New Roman"/>
        </w:rPr>
        <w:t xml:space="preserve">*** - Общий объем платных услуг по республике представлен с учетом услуг, предоставляемых физическими лицами.  </w:t>
      </w:r>
    </w:p>
    <w:p w:rsidR="00914C00" w:rsidRPr="00701C40" w:rsidRDefault="00914C00" w:rsidP="00914C00">
      <w:pPr>
        <w:spacing w:after="0" w:line="240" w:lineRule="auto"/>
      </w:pPr>
    </w:p>
    <w:p w:rsidR="00914C00" w:rsidRDefault="00914C00" w:rsidP="00303C0D">
      <w:pPr>
        <w:spacing w:after="0" w:line="240" w:lineRule="auto"/>
        <w:ind w:firstLine="720"/>
        <w:jc w:val="right"/>
        <w:rPr>
          <w:rFonts w:ascii="Times New Roman" w:hAnsi="Times New Roman"/>
          <w:b/>
          <w:snapToGrid w:val="0"/>
          <w:color w:val="000000"/>
          <w:sz w:val="24"/>
          <w:szCs w:val="24"/>
        </w:rPr>
      </w:pPr>
    </w:p>
    <w:p w:rsidR="00914C00" w:rsidRDefault="00914C00" w:rsidP="00303C0D">
      <w:pPr>
        <w:spacing w:after="0" w:line="240" w:lineRule="auto"/>
        <w:ind w:firstLine="720"/>
        <w:jc w:val="right"/>
        <w:rPr>
          <w:rFonts w:ascii="Times New Roman" w:hAnsi="Times New Roman"/>
          <w:b/>
          <w:snapToGrid w:val="0"/>
          <w:color w:val="000000"/>
          <w:sz w:val="24"/>
          <w:szCs w:val="24"/>
        </w:rPr>
      </w:pPr>
    </w:p>
    <w:p w:rsidR="00914C00" w:rsidRDefault="00914C00" w:rsidP="00303C0D">
      <w:pPr>
        <w:spacing w:after="0" w:line="240" w:lineRule="auto"/>
        <w:ind w:firstLine="720"/>
        <w:jc w:val="right"/>
        <w:rPr>
          <w:rFonts w:ascii="Times New Roman" w:hAnsi="Times New Roman"/>
          <w:b/>
          <w:snapToGrid w:val="0"/>
          <w:color w:val="000000"/>
          <w:sz w:val="24"/>
          <w:szCs w:val="24"/>
        </w:rPr>
      </w:pPr>
    </w:p>
    <w:p w:rsidR="00914C00" w:rsidRDefault="00914C00" w:rsidP="00303C0D">
      <w:pPr>
        <w:spacing w:after="0" w:line="240" w:lineRule="auto"/>
        <w:ind w:firstLine="720"/>
        <w:jc w:val="right"/>
        <w:rPr>
          <w:rFonts w:ascii="Times New Roman" w:hAnsi="Times New Roman"/>
          <w:b/>
          <w:snapToGrid w:val="0"/>
          <w:color w:val="000000"/>
          <w:sz w:val="24"/>
          <w:szCs w:val="24"/>
        </w:rPr>
      </w:pPr>
    </w:p>
    <w:p w:rsidR="00914C00" w:rsidRDefault="00914C00" w:rsidP="00303C0D">
      <w:pPr>
        <w:spacing w:after="0" w:line="240" w:lineRule="auto"/>
        <w:ind w:firstLine="720"/>
        <w:jc w:val="right"/>
        <w:rPr>
          <w:rFonts w:ascii="Times New Roman" w:hAnsi="Times New Roman"/>
          <w:b/>
          <w:snapToGrid w:val="0"/>
          <w:color w:val="000000"/>
          <w:sz w:val="24"/>
          <w:szCs w:val="24"/>
        </w:rPr>
      </w:pPr>
    </w:p>
    <w:p w:rsidR="00914C00" w:rsidRDefault="00914C00" w:rsidP="00303C0D">
      <w:pPr>
        <w:spacing w:after="0" w:line="240" w:lineRule="auto"/>
        <w:ind w:firstLine="720"/>
        <w:jc w:val="right"/>
        <w:rPr>
          <w:rFonts w:ascii="Times New Roman" w:hAnsi="Times New Roman"/>
          <w:b/>
          <w:snapToGrid w:val="0"/>
          <w:color w:val="000000"/>
          <w:sz w:val="24"/>
          <w:szCs w:val="24"/>
        </w:rPr>
      </w:pPr>
    </w:p>
    <w:p w:rsidR="00914C00" w:rsidRDefault="00914C00" w:rsidP="00303C0D">
      <w:pPr>
        <w:spacing w:after="0" w:line="240" w:lineRule="auto"/>
        <w:ind w:firstLine="720"/>
        <w:jc w:val="right"/>
        <w:rPr>
          <w:rFonts w:ascii="Times New Roman" w:hAnsi="Times New Roman"/>
          <w:b/>
          <w:snapToGrid w:val="0"/>
          <w:color w:val="000000"/>
          <w:sz w:val="24"/>
          <w:szCs w:val="24"/>
        </w:rPr>
      </w:pPr>
    </w:p>
    <w:p w:rsidR="00914C00" w:rsidRDefault="00914C00" w:rsidP="00303C0D">
      <w:pPr>
        <w:spacing w:after="0" w:line="240" w:lineRule="auto"/>
        <w:ind w:firstLine="720"/>
        <w:jc w:val="right"/>
        <w:rPr>
          <w:rFonts w:ascii="Times New Roman" w:hAnsi="Times New Roman"/>
          <w:b/>
          <w:snapToGrid w:val="0"/>
          <w:color w:val="000000"/>
          <w:sz w:val="24"/>
          <w:szCs w:val="24"/>
        </w:rPr>
      </w:pPr>
    </w:p>
    <w:p w:rsidR="00914C00" w:rsidRDefault="00914C00" w:rsidP="00303C0D">
      <w:pPr>
        <w:spacing w:after="0" w:line="240" w:lineRule="auto"/>
        <w:ind w:firstLine="720"/>
        <w:jc w:val="right"/>
        <w:rPr>
          <w:rFonts w:ascii="Times New Roman" w:hAnsi="Times New Roman"/>
          <w:b/>
          <w:snapToGrid w:val="0"/>
          <w:color w:val="000000"/>
          <w:sz w:val="24"/>
          <w:szCs w:val="24"/>
        </w:rPr>
      </w:pPr>
    </w:p>
    <w:p w:rsidR="00914C00" w:rsidRDefault="00914C00" w:rsidP="00303C0D">
      <w:pPr>
        <w:spacing w:after="0" w:line="240" w:lineRule="auto"/>
        <w:ind w:firstLine="720"/>
        <w:jc w:val="right"/>
        <w:rPr>
          <w:rFonts w:ascii="Times New Roman" w:hAnsi="Times New Roman"/>
          <w:b/>
          <w:snapToGrid w:val="0"/>
          <w:color w:val="000000"/>
          <w:sz w:val="24"/>
          <w:szCs w:val="24"/>
        </w:rPr>
      </w:pPr>
    </w:p>
    <w:p w:rsidR="00914C00" w:rsidRDefault="00914C00" w:rsidP="00303C0D">
      <w:pPr>
        <w:spacing w:after="0" w:line="240" w:lineRule="auto"/>
        <w:ind w:firstLine="720"/>
        <w:jc w:val="right"/>
        <w:rPr>
          <w:rFonts w:ascii="Times New Roman" w:hAnsi="Times New Roman"/>
          <w:b/>
          <w:snapToGrid w:val="0"/>
          <w:color w:val="000000"/>
          <w:sz w:val="24"/>
          <w:szCs w:val="24"/>
        </w:rPr>
      </w:pPr>
    </w:p>
    <w:p w:rsidR="00914C00" w:rsidRDefault="00914C00" w:rsidP="00303C0D">
      <w:pPr>
        <w:spacing w:after="0" w:line="240" w:lineRule="auto"/>
        <w:ind w:firstLine="720"/>
        <w:jc w:val="right"/>
        <w:rPr>
          <w:rFonts w:ascii="Times New Roman" w:hAnsi="Times New Roman"/>
          <w:b/>
          <w:snapToGrid w:val="0"/>
          <w:color w:val="000000"/>
          <w:sz w:val="24"/>
          <w:szCs w:val="24"/>
        </w:rPr>
      </w:pPr>
    </w:p>
    <w:p w:rsidR="00914C00" w:rsidRDefault="00914C00" w:rsidP="00303C0D">
      <w:pPr>
        <w:spacing w:after="0" w:line="240" w:lineRule="auto"/>
        <w:ind w:firstLine="720"/>
        <w:jc w:val="right"/>
        <w:rPr>
          <w:rFonts w:ascii="Times New Roman" w:hAnsi="Times New Roman"/>
          <w:b/>
          <w:snapToGrid w:val="0"/>
          <w:color w:val="000000"/>
          <w:sz w:val="24"/>
          <w:szCs w:val="24"/>
        </w:rPr>
      </w:pPr>
    </w:p>
    <w:p w:rsidR="00914C00" w:rsidRDefault="00914C00" w:rsidP="00303C0D">
      <w:pPr>
        <w:spacing w:after="0" w:line="240" w:lineRule="auto"/>
        <w:ind w:firstLine="720"/>
        <w:jc w:val="right"/>
        <w:rPr>
          <w:rFonts w:ascii="Times New Roman" w:hAnsi="Times New Roman"/>
          <w:b/>
          <w:snapToGrid w:val="0"/>
          <w:color w:val="000000"/>
          <w:sz w:val="24"/>
          <w:szCs w:val="24"/>
        </w:rPr>
      </w:pPr>
    </w:p>
    <w:p w:rsidR="00914C00" w:rsidRDefault="00914C00" w:rsidP="00303C0D">
      <w:pPr>
        <w:spacing w:after="0" w:line="240" w:lineRule="auto"/>
        <w:ind w:firstLine="720"/>
        <w:jc w:val="right"/>
        <w:rPr>
          <w:rFonts w:ascii="Times New Roman" w:hAnsi="Times New Roman"/>
          <w:b/>
          <w:snapToGrid w:val="0"/>
          <w:color w:val="000000"/>
          <w:sz w:val="24"/>
          <w:szCs w:val="24"/>
        </w:rPr>
      </w:pPr>
    </w:p>
    <w:p w:rsidR="00914C00" w:rsidRDefault="00914C00" w:rsidP="00303C0D">
      <w:pPr>
        <w:spacing w:after="0" w:line="240" w:lineRule="auto"/>
        <w:ind w:firstLine="720"/>
        <w:jc w:val="right"/>
        <w:rPr>
          <w:rFonts w:ascii="Times New Roman" w:hAnsi="Times New Roman"/>
          <w:b/>
          <w:snapToGrid w:val="0"/>
          <w:color w:val="000000"/>
          <w:sz w:val="24"/>
          <w:szCs w:val="24"/>
        </w:rPr>
      </w:pPr>
    </w:p>
    <w:p w:rsidR="00914C00" w:rsidRDefault="00914C00" w:rsidP="00303C0D">
      <w:pPr>
        <w:spacing w:after="0" w:line="240" w:lineRule="auto"/>
        <w:ind w:firstLine="720"/>
        <w:jc w:val="right"/>
        <w:rPr>
          <w:rFonts w:ascii="Times New Roman" w:hAnsi="Times New Roman"/>
          <w:b/>
          <w:snapToGrid w:val="0"/>
          <w:color w:val="000000"/>
          <w:sz w:val="24"/>
          <w:szCs w:val="24"/>
        </w:rPr>
      </w:pPr>
    </w:p>
    <w:p w:rsidR="00914C00" w:rsidRDefault="00914C00" w:rsidP="00303C0D">
      <w:pPr>
        <w:spacing w:after="0" w:line="240" w:lineRule="auto"/>
        <w:ind w:firstLine="720"/>
        <w:jc w:val="right"/>
        <w:rPr>
          <w:rFonts w:ascii="Times New Roman" w:hAnsi="Times New Roman"/>
          <w:b/>
          <w:snapToGrid w:val="0"/>
          <w:color w:val="000000"/>
          <w:sz w:val="24"/>
          <w:szCs w:val="24"/>
        </w:rPr>
      </w:pPr>
    </w:p>
    <w:p w:rsidR="00914C00" w:rsidRDefault="00914C00" w:rsidP="00303C0D">
      <w:pPr>
        <w:spacing w:after="0" w:line="240" w:lineRule="auto"/>
        <w:ind w:firstLine="720"/>
        <w:jc w:val="right"/>
        <w:rPr>
          <w:rFonts w:ascii="Times New Roman" w:hAnsi="Times New Roman"/>
          <w:b/>
          <w:snapToGrid w:val="0"/>
          <w:color w:val="000000"/>
          <w:sz w:val="24"/>
          <w:szCs w:val="24"/>
        </w:rPr>
      </w:pPr>
    </w:p>
    <w:p w:rsidR="00914C00" w:rsidRDefault="00914C00" w:rsidP="00303C0D">
      <w:pPr>
        <w:spacing w:after="0" w:line="240" w:lineRule="auto"/>
        <w:ind w:firstLine="720"/>
        <w:jc w:val="right"/>
        <w:rPr>
          <w:rFonts w:ascii="Times New Roman" w:hAnsi="Times New Roman"/>
          <w:b/>
          <w:snapToGrid w:val="0"/>
          <w:color w:val="000000"/>
          <w:sz w:val="24"/>
          <w:szCs w:val="24"/>
        </w:rPr>
      </w:pPr>
    </w:p>
    <w:p w:rsidR="00914C00" w:rsidRDefault="00914C00" w:rsidP="00303C0D">
      <w:pPr>
        <w:spacing w:after="0" w:line="240" w:lineRule="auto"/>
        <w:ind w:firstLine="720"/>
        <w:jc w:val="right"/>
        <w:rPr>
          <w:rFonts w:ascii="Times New Roman" w:hAnsi="Times New Roman"/>
          <w:b/>
          <w:snapToGrid w:val="0"/>
          <w:color w:val="000000"/>
          <w:sz w:val="24"/>
          <w:szCs w:val="24"/>
        </w:rPr>
      </w:pPr>
    </w:p>
    <w:p w:rsidR="00914C00" w:rsidRPr="006E5BC1" w:rsidRDefault="00914C00" w:rsidP="00914C00">
      <w:pPr>
        <w:spacing w:after="0" w:line="240" w:lineRule="auto"/>
        <w:ind w:firstLine="720"/>
        <w:jc w:val="right"/>
        <w:rPr>
          <w:rFonts w:ascii="Times New Roman" w:hAnsi="Times New Roman"/>
          <w:b/>
          <w:snapToGrid w:val="0"/>
          <w:color w:val="000000"/>
          <w:sz w:val="24"/>
          <w:szCs w:val="24"/>
        </w:rPr>
      </w:pPr>
      <w:r w:rsidRPr="006E5BC1">
        <w:rPr>
          <w:rFonts w:ascii="Times New Roman" w:hAnsi="Times New Roman"/>
          <w:b/>
          <w:snapToGrid w:val="0"/>
          <w:color w:val="000000"/>
          <w:sz w:val="24"/>
          <w:szCs w:val="24"/>
        </w:rPr>
        <w:lastRenderedPageBreak/>
        <w:t>Приложение № 5</w:t>
      </w:r>
    </w:p>
    <w:p w:rsidR="00914C00" w:rsidRPr="006E5BC1" w:rsidRDefault="00914C00" w:rsidP="00914C00">
      <w:pPr>
        <w:spacing w:after="0" w:line="240" w:lineRule="auto"/>
        <w:ind w:firstLine="720"/>
        <w:jc w:val="right"/>
        <w:rPr>
          <w:rFonts w:ascii="Times New Roman" w:hAnsi="Times New Roman"/>
          <w:b/>
          <w:snapToGrid w:val="0"/>
          <w:color w:val="000000"/>
          <w:sz w:val="24"/>
          <w:szCs w:val="24"/>
        </w:rPr>
      </w:pPr>
    </w:p>
    <w:p w:rsidR="00914C00" w:rsidRDefault="00914C00" w:rsidP="00914C00">
      <w:pPr>
        <w:spacing w:after="0" w:line="240" w:lineRule="auto"/>
        <w:jc w:val="center"/>
        <w:rPr>
          <w:rFonts w:ascii="Times New Roman" w:hAnsi="Times New Roman"/>
          <w:b/>
          <w:sz w:val="28"/>
          <w:szCs w:val="28"/>
        </w:rPr>
      </w:pPr>
      <w:r w:rsidRPr="006E5BC1">
        <w:rPr>
          <w:rFonts w:ascii="Times New Roman" w:hAnsi="Times New Roman"/>
          <w:b/>
          <w:sz w:val="24"/>
          <w:szCs w:val="24"/>
        </w:rPr>
        <w:t>Информация по отдельным показателям финансовой деятельности за январь-июнь 2014 года</w:t>
      </w:r>
    </w:p>
    <w:p w:rsidR="00914C00" w:rsidRDefault="00914C00" w:rsidP="00914C00">
      <w:pPr>
        <w:spacing w:after="0" w:line="240" w:lineRule="auto"/>
        <w:jc w:val="center"/>
        <w:rPr>
          <w:rFonts w:ascii="Times New Roman" w:hAnsi="Times New Roman"/>
          <w:b/>
          <w:sz w:val="28"/>
          <w:szCs w:val="28"/>
        </w:rPr>
      </w:pPr>
    </w:p>
    <w:tbl>
      <w:tblPr>
        <w:tblW w:w="1574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4"/>
        <w:gridCol w:w="1276"/>
        <w:gridCol w:w="1276"/>
        <w:gridCol w:w="1134"/>
        <w:gridCol w:w="1134"/>
        <w:gridCol w:w="1275"/>
        <w:gridCol w:w="1351"/>
        <w:gridCol w:w="1201"/>
        <w:gridCol w:w="1417"/>
        <w:gridCol w:w="1418"/>
      </w:tblGrid>
      <w:tr w:rsidR="00914C00" w:rsidRPr="002D68AE" w:rsidTr="00AF6E1E">
        <w:tc>
          <w:tcPr>
            <w:tcW w:w="4264" w:type="dxa"/>
            <w:vAlign w:val="center"/>
          </w:tcPr>
          <w:p w:rsidR="00914C00" w:rsidRPr="002D68AE" w:rsidRDefault="00914C00" w:rsidP="00AF6E1E">
            <w:pPr>
              <w:spacing w:after="0" w:line="240" w:lineRule="atLeast"/>
              <w:jc w:val="center"/>
              <w:rPr>
                <w:rFonts w:ascii="Times New Roman" w:hAnsi="Times New Roman"/>
                <w:b/>
                <w:bCs/>
              </w:rPr>
            </w:pPr>
            <w:r w:rsidRPr="002D68AE">
              <w:rPr>
                <w:rFonts w:ascii="Times New Roman" w:hAnsi="Times New Roman"/>
                <w:b/>
                <w:bCs/>
              </w:rPr>
              <w:t>Показатели</w:t>
            </w:r>
          </w:p>
        </w:tc>
        <w:tc>
          <w:tcPr>
            <w:tcW w:w="1276" w:type="dxa"/>
            <w:vAlign w:val="center"/>
          </w:tcPr>
          <w:p w:rsidR="00914C00" w:rsidRPr="002D68AE" w:rsidRDefault="00914C00" w:rsidP="00AF6E1E">
            <w:pPr>
              <w:spacing w:after="0" w:line="240" w:lineRule="atLeast"/>
              <w:jc w:val="center"/>
              <w:rPr>
                <w:rFonts w:ascii="Times New Roman" w:hAnsi="Times New Roman"/>
                <w:b/>
                <w:bCs/>
              </w:rPr>
            </w:pPr>
            <w:r w:rsidRPr="002D68AE">
              <w:rPr>
                <w:rFonts w:ascii="Times New Roman" w:hAnsi="Times New Roman"/>
                <w:b/>
                <w:bCs/>
              </w:rPr>
              <w:t>Всего</w:t>
            </w:r>
          </w:p>
          <w:p w:rsidR="00914C00" w:rsidRPr="002D68AE" w:rsidRDefault="00914C00" w:rsidP="00AF6E1E">
            <w:pPr>
              <w:spacing w:after="0" w:line="240" w:lineRule="atLeast"/>
              <w:ind w:right="-108"/>
              <w:jc w:val="center"/>
              <w:rPr>
                <w:rFonts w:ascii="Times New Roman" w:hAnsi="Times New Roman"/>
                <w:b/>
                <w:bCs/>
              </w:rPr>
            </w:pPr>
            <w:r w:rsidRPr="002D68AE">
              <w:rPr>
                <w:rFonts w:ascii="Times New Roman" w:hAnsi="Times New Roman"/>
                <w:b/>
                <w:bCs/>
              </w:rPr>
              <w:t>по ПМР</w:t>
            </w:r>
          </w:p>
        </w:tc>
        <w:tc>
          <w:tcPr>
            <w:tcW w:w="1276" w:type="dxa"/>
            <w:vAlign w:val="center"/>
          </w:tcPr>
          <w:p w:rsidR="00914C00" w:rsidRPr="002D68AE" w:rsidRDefault="00914C00" w:rsidP="00AF6E1E">
            <w:pPr>
              <w:spacing w:after="0" w:line="240" w:lineRule="atLeast"/>
              <w:ind w:left="-109" w:hanging="141"/>
              <w:jc w:val="center"/>
              <w:rPr>
                <w:rFonts w:ascii="Times New Roman" w:hAnsi="Times New Roman"/>
                <w:b/>
                <w:bCs/>
              </w:rPr>
            </w:pPr>
            <w:r>
              <w:rPr>
                <w:rFonts w:ascii="Times New Roman" w:hAnsi="Times New Roman"/>
                <w:b/>
                <w:bCs/>
              </w:rPr>
              <w:t xml:space="preserve">город </w:t>
            </w:r>
            <w:r w:rsidRPr="002D68AE">
              <w:rPr>
                <w:rFonts w:ascii="Times New Roman" w:hAnsi="Times New Roman"/>
                <w:b/>
                <w:bCs/>
              </w:rPr>
              <w:t>Тирасполь</w:t>
            </w:r>
          </w:p>
        </w:tc>
        <w:tc>
          <w:tcPr>
            <w:tcW w:w="1134" w:type="dxa"/>
            <w:vAlign w:val="center"/>
          </w:tcPr>
          <w:p w:rsidR="00914C00" w:rsidRDefault="00914C00" w:rsidP="00AF6E1E">
            <w:pPr>
              <w:spacing w:after="0" w:line="240" w:lineRule="atLeast"/>
              <w:ind w:left="-108"/>
              <w:jc w:val="center"/>
              <w:rPr>
                <w:rFonts w:ascii="Times New Roman" w:hAnsi="Times New Roman"/>
                <w:b/>
                <w:bCs/>
              </w:rPr>
            </w:pPr>
            <w:r>
              <w:rPr>
                <w:rFonts w:ascii="Times New Roman" w:hAnsi="Times New Roman"/>
                <w:b/>
                <w:bCs/>
              </w:rPr>
              <w:t>город</w:t>
            </w:r>
          </w:p>
          <w:p w:rsidR="00914C00" w:rsidRPr="002D68AE" w:rsidRDefault="00914C00" w:rsidP="00AF6E1E">
            <w:pPr>
              <w:spacing w:after="0" w:line="240" w:lineRule="atLeast"/>
              <w:ind w:left="-108"/>
              <w:jc w:val="center"/>
              <w:rPr>
                <w:rFonts w:ascii="Times New Roman" w:hAnsi="Times New Roman"/>
                <w:b/>
                <w:bCs/>
              </w:rPr>
            </w:pPr>
            <w:r w:rsidRPr="002D68AE">
              <w:rPr>
                <w:rFonts w:ascii="Times New Roman" w:hAnsi="Times New Roman"/>
                <w:b/>
                <w:bCs/>
              </w:rPr>
              <w:t>Днестровск</w:t>
            </w:r>
          </w:p>
        </w:tc>
        <w:tc>
          <w:tcPr>
            <w:tcW w:w="1134" w:type="dxa"/>
            <w:vAlign w:val="center"/>
          </w:tcPr>
          <w:p w:rsidR="00914C00" w:rsidRPr="002D68AE" w:rsidRDefault="00914C00" w:rsidP="00AF6E1E">
            <w:pPr>
              <w:spacing w:after="0" w:line="240" w:lineRule="atLeast"/>
              <w:ind w:left="-108"/>
              <w:jc w:val="center"/>
              <w:rPr>
                <w:rFonts w:ascii="Times New Roman" w:hAnsi="Times New Roman"/>
                <w:b/>
                <w:bCs/>
              </w:rPr>
            </w:pPr>
            <w:r>
              <w:rPr>
                <w:rFonts w:ascii="Times New Roman" w:hAnsi="Times New Roman"/>
                <w:b/>
                <w:bCs/>
              </w:rPr>
              <w:t>город</w:t>
            </w:r>
            <w:r w:rsidRPr="002D68AE">
              <w:rPr>
                <w:rFonts w:ascii="Times New Roman" w:hAnsi="Times New Roman"/>
                <w:b/>
                <w:bCs/>
              </w:rPr>
              <w:t xml:space="preserve"> Бендеры</w:t>
            </w:r>
          </w:p>
        </w:tc>
        <w:tc>
          <w:tcPr>
            <w:tcW w:w="1275" w:type="dxa"/>
            <w:vAlign w:val="center"/>
          </w:tcPr>
          <w:p w:rsidR="00914C00" w:rsidRDefault="00914C00" w:rsidP="00AF6E1E">
            <w:pPr>
              <w:spacing w:after="0" w:line="240" w:lineRule="atLeast"/>
              <w:ind w:left="-177"/>
              <w:jc w:val="center"/>
              <w:rPr>
                <w:rFonts w:ascii="Times New Roman" w:hAnsi="Times New Roman"/>
                <w:b/>
                <w:bCs/>
              </w:rPr>
            </w:pPr>
            <w:r>
              <w:rPr>
                <w:rFonts w:ascii="Times New Roman" w:hAnsi="Times New Roman"/>
                <w:b/>
                <w:bCs/>
              </w:rPr>
              <w:t xml:space="preserve"> </w:t>
            </w:r>
            <w:r w:rsidRPr="002D68AE">
              <w:rPr>
                <w:rFonts w:ascii="Times New Roman" w:hAnsi="Times New Roman"/>
                <w:b/>
                <w:bCs/>
              </w:rPr>
              <w:t>Рыбниц</w:t>
            </w:r>
            <w:r>
              <w:rPr>
                <w:rFonts w:ascii="Times New Roman" w:hAnsi="Times New Roman"/>
                <w:b/>
                <w:bCs/>
              </w:rPr>
              <w:t xml:space="preserve">кий район </w:t>
            </w:r>
          </w:p>
          <w:p w:rsidR="00914C00" w:rsidRPr="002D68AE" w:rsidRDefault="00914C00" w:rsidP="00AF6E1E">
            <w:pPr>
              <w:spacing w:after="0" w:line="240" w:lineRule="atLeast"/>
              <w:ind w:left="-177"/>
              <w:jc w:val="center"/>
              <w:rPr>
                <w:rFonts w:ascii="Times New Roman" w:hAnsi="Times New Roman"/>
                <w:b/>
                <w:bCs/>
              </w:rPr>
            </w:pPr>
            <w:r>
              <w:rPr>
                <w:rFonts w:ascii="Times New Roman" w:hAnsi="Times New Roman"/>
                <w:b/>
                <w:bCs/>
              </w:rPr>
              <w:t>и город Рыбница</w:t>
            </w:r>
          </w:p>
        </w:tc>
        <w:tc>
          <w:tcPr>
            <w:tcW w:w="1351" w:type="dxa"/>
            <w:vAlign w:val="center"/>
          </w:tcPr>
          <w:p w:rsidR="00914C00" w:rsidRDefault="00914C00" w:rsidP="00AF6E1E">
            <w:pPr>
              <w:spacing w:after="0" w:line="240" w:lineRule="atLeast"/>
              <w:ind w:left="-317" w:right="-108" w:firstLine="317"/>
              <w:rPr>
                <w:rFonts w:ascii="Times New Roman" w:hAnsi="Times New Roman"/>
                <w:b/>
                <w:bCs/>
              </w:rPr>
            </w:pPr>
            <w:r>
              <w:rPr>
                <w:rFonts w:ascii="Times New Roman" w:hAnsi="Times New Roman"/>
                <w:b/>
                <w:bCs/>
              </w:rPr>
              <w:t>Дубоссар</w:t>
            </w:r>
          </w:p>
          <w:p w:rsidR="00914C00" w:rsidRDefault="00914C00" w:rsidP="00AF6E1E">
            <w:pPr>
              <w:spacing w:after="0" w:line="240" w:lineRule="atLeast"/>
              <w:ind w:left="-317" w:right="-108" w:firstLine="317"/>
              <w:rPr>
                <w:rFonts w:ascii="Times New Roman" w:hAnsi="Times New Roman"/>
                <w:b/>
                <w:bCs/>
              </w:rPr>
            </w:pPr>
            <w:r>
              <w:rPr>
                <w:rFonts w:ascii="Times New Roman" w:hAnsi="Times New Roman"/>
                <w:b/>
                <w:bCs/>
              </w:rPr>
              <w:t>ский район</w:t>
            </w:r>
          </w:p>
          <w:p w:rsidR="00914C00" w:rsidRDefault="00914C00" w:rsidP="00AF6E1E">
            <w:pPr>
              <w:spacing w:after="0" w:line="240" w:lineRule="atLeast"/>
              <w:ind w:left="-317" w:right="-108" w:firstLine="317"/>
              <w:rPr>
                <w:rFonts w:ascii="Times New Roman" w:hAnsi="Times New Roman"/>
                <w:b/>
                <w:bCs/>
              </w:rPr>
            </w:pPr>
            <w:r>
              <w:rPr>
                <w:rFonts w:ascii="Times New Roman" w:hAnsi="Times New Roman"/>
                <w:b/>
                <w:bCs/>
              </w:rPr>
              <w:t xml:space="preserve">и город </w:t>
            </w:r>
          </w:p>
          <w:p w:rsidR="00914C00" w:rsidRPr="002D68AE" w:rsidRDefault="00914C00" w:rsidP="00AF6E1E">
            <w:pPr>
              <w:spacing w:after="0" w:line="240" w:lineRule="atLeast"/>
              <w:ind w:left="-317" w:right="-108" w:firstLine="209"/>
              <w:rPr>
                <w:rFonts w:ascii="Times New Roman" w:hAnsi="Times New Roman"/>
                <w:b/>
                <w:bCs/>
              </w:rPr>
            </w:pPr>
            <w:r>
              <w:rPr>
                <w:rFonts w:ascii="Times New Roman" w:hAnsi="Times New Roman"/>
                <w:b/>
                <w:bCs/>
              </w:rPr>
              <w:t>Дубоссары</w:t>
            </w:r>
          </w:p>
        </w:tc>
        <w:tc>
          <w:tcPr>
            <w:tcW w:w="1201" w:type="dxa"/>
            <w:vAlign w:val="center"/>
          </w:tcPr>
          <w:p w:rsidR="00914C00" w:rsidRDefault="00914C00" w:rsidP="00AF6E1E">
            <w:pPr>
              <w:spacing w:after="0" w:line="240" w:lineRule="atLeast"/>
              <w:ind w:left="-317" w:right="-108" w:firstLine="142"/>
              <w:jc w:val="center"/>
              <w:rPr>
                <w:rFonts w:ascii="Times New Roman" w:hAnsi="Times New Roman"/>
                <w:b/>
                <w:bCs/>
              </w:rPr>
            </w:pPr>
            <w:r>
              <w:rPr>
                <w:rFonts w:ascii="Times New Roman" w:hAnsi="Times New Roman"/>
                <w:b/>
                <w:bCs/>
              </w:rPr>
              <w:t>Слободзей</w:t>
            </w:r>
          </w:p>
          <w:p w:rsidR="00914C00" w:rsidRDefault="00914C00" w:rsidP="00AF6E1E">
            <w:pPr>
              <w:spacing w:after="0" w:line="240" w:lineRule="atLeast"/>
              <w:ind w:left="-317" w:right="-108" w:firstLine="142"/>
              <w:jc w:val="center"/>
              <w:rPr>
                <w:rFonts w:ascii="Times New Roman" w:hAnsi="Times New Roman"/>
                <w:b/>
                <w:bCs/>
              </w:rPr>
            </w:pPr>
            <w:r>
              <w:rPr>
                <w:rFonts w:ascii="Times New Roman" w:hAnsi="Times New Roman"/>
                <w:b/>
                <w:bCs/>
              </w:rPr>
              <w:t xml:space="preserve">  ский район </w:t>
            </w:r>
          </w:p>
          <w:p w:rsidR="00914C00" w:rsidRPr="002D68AE" w:rsidRDefault="00914C00" w:rsidP="00AF6E1E">
            <w:pPr>
              <w:spacing w:after="0" w:line="240" w:lineRule="atLeast"/>
              <w:ind w:left="-317" w:right="-108" w:firstLine="142"/>
              <w:jc w:val="center"/>
              <w:rPr>
                <w:rFonts w:ascii="Times New Roman" w:hAnsi="Times New Roman"/>
                <w:b/>
                <w:bCs/>
              </w:rPr>
            </w:pPr>
            <w:r>
              <w:rPr>
                <w:rFonts w:ascii="Times New Roman" w:hAnsi="Times New Roman"/>
                <w:b/>
                <w:bCs/>
              </w:rPr>
              <w:t xml:space="preserve">и город Слободзея </w:t>
            </w:r>
          </w:p>
        </w:tc>
        <w:tc>
          <w:tcPr>
            <w:tcW w:w="1417" w:type="dxa"/>
            <w:vAlign w:val="center"/>
          </w:tcPr>
          <w:p w:rsidR="00914C00" w:rsidRDefault="00914C00" w:rsidP="00AF6E1E">
            <w:pPr>
              <w:spacing w:after="0" w:line="240" w:lineRule="atLeast"/>
              <w:ind w:left="-317" w:right="-108" w:firstLine="351"/>
              <w:jc w:val="center"/>
              <w:rPr>
                <w:rFonts w:ascii="Times New Roman" w:hAnsi="Times New Roman"/>
                <w:b/>
                <w:bCs/>
              </w:rPr>
            </w:pPr>
            <w:r>
              <w:rPr>
                <w:rFonts w:ascii="Times New Roman" w:hAnsi="Times New Roman"/>
                <w:b/>
                <w:bCs/>
              </w:rPr>
              <w:t>Григориополльский район</w:t>
            </w:r>
          </w:p>
          <w:p w:rsidR="00914C00" w:rsidRPr="002D68AE" w:rsidRDefault="00914C00" w:rsidP="00AF6E1E">
            <w:pPr>
              <w:tabs>
                <w:tab w:val="left" w:pos="-108"/>
                <w:tab w:val="left" w:pos="34"/>
              </w:tabs>
              <w:spacing w:after="0" w:line="240" w:lineRule="atLeast"/>
              <w:ind w:left="-317" w:right="-108" w:firstLine="67"/>
              <w:jc w:val="center"/>
              <w:rPr>
                <w:rFonts w:ascii="Times New Roman" w:hAnsi="Times New Roman"/>
                <w:b/>
                <w:bCs/>
              </w:rPr>
            </w:pPr>
            <w:r>
              <w:rPr>
                <w:rFonts w:ascii="Times New Roman" w:hAnsi="Times New Roman"/>
                <w:b/>
                <w:bCs/>
              </w:rPr>
              <w:t>и город</w:t>
            </w:r>
          </w:p>
          <w:p w:rsidR="00914C00" w:rsidRDefault="00914C00" w:rsidP="00AF6E1E">
            <w:pPr>
              <w:spacing w:after="0" w:line="240" w:lineRule="atLeast"/>
              <w:jc w:val="center"/>
              <w:rPr>
                <w:rFonts w:ascii="Times New Roman" w:hAnsi="Times New Roman"/>
                <w:b/>
                <w:bCs/>
              </w:rPr>
            </w:pPr>
            <w:r w:rsidRPr="002D68AE">
              <w:rPr>
                <w:rFonts w:ascii="Times New Roman" w:hAnsi="Times New Roman"/>
                <w:b/>
                <w:bCs/>
              </w:rPr>
              <w:t>Григорио</w:t>
            </w:r>
          </w:p>
          <w:p w:rsidR="00914C00" w:rsidRPr="002D68AE" w:rsidRDefault="00914C00" w:rsidP="00AF6E1E">
            <w:pPr>
              <w:spacing w:after="0" w:line="240" w:lineRule="atLeast"/>
              <w:ind w:firstLine="175"/>
              <w:jc w:val="center"/>
              <w:rPr>
                <w:rFonts w:ascii="Times New Roman" w:hAnsi="Times New Roman"/>
                <w:b/>
                <w:bCs/>
              </w:rPr>
            </w:pPr>
            <w:r w:rsidRPr="002D68AE">
              <w:rPr>
                <w:rFonts w:ascii="Times New Roman" w:hAnsi="Times New Roman"/>
                <w:b/>
                <w:bCs/>
              </w:rPr>
              <w:t>поль</w:t>
            </w:r>
          </w:p>
        </w:tc>
        <w:tc>
          <w:tcPr>
            <w:tcW w:w="1418" w:type="dxa"/>
            <w:vAlign w:val="center"/>
          </w:tcPr>
          <w:p w:rsidR="00914C00" w:rsidRPr="002D68AE" w:rsidRDefault="00914C00" w:rsidP="00AF6E1E">
            <w:pPr>
              <w:spacing w:after="0" w:line="240" w:lineRule="atLeast"/>
              <w:ind w:left="-177"/>
              <w:jc w:val="center"/>
              <w:rPr>
                <w:rFonts w:ascii="Times New Roman" w:hAnsi="Times New Roman"/>
                <w:b/>
                <w:bCs/>
              </w:rPr>
            </w:pPr>
            <w:r>
              <w:rPr>
                <w:rFonts w:ascii="Times New Roman" w:hAnsi="Times New Roman"/>
                <w:b/>
                <w:bCs/>
              </w:rPr>
              <w:t xml:space="preserve">  </w:t>
            </w:r>
            <w:r w:rsidRPr="002D68AE">
              <w:rPr>
                <w:rFonts w:ascii="Times New Roman" w:hAnsi="Times New Roman"/>
                <w:b/>
                <w:bCs/>
              </w:rPr>
              <w:t>Ка</w:t>
            </w:r>
            <w:r>
              <w:rPr>
                <w:rFonts w:ascii="Times New Roman" w:hAnsi="Times New Roman"/>
                <w:b/>
                <w:bCs/>
              </w:rPr>
              <w:t>менский     район город Ка</w:t>
            </w:r>
            <w:r w:rsidRPr="002D68AE">
              <w:rPr>
                <w:rFonts w:ascii="Times New Roman" w:hAnsi="Times New Roman"/>
                <w:b/>
                <w:bCs/>
              </w:rPr>
              <w:t>менка</w:t>
            </w:r>
          </w:p>
        </w:tc>
      </w:tr>
      <w:tr w:rsidR="00914C00" w:rsidRPr="002D68AE" w:rsidTr="00AF6E1E">
        <w:tc>
          <w:tcPr>
            <w:tcW w:w="4264" w:type="dxa"/>
          </w:tcPr>
          <w:p w:rsidR="00914C00" w:rsidRPr="00D62F1F" w:rsidRDefault="00914C00" w:rsidP="00AF6E1E">
            <w:pPr>
              <w:spacing w:after="0" w:line="240" w:lineRule="auto"/>
              <w:ind w:left="-84" w:right="-110"/>
              <w:rPr>
                <w:rFonts w:ascii="Times New Roman" w:hAnsi="Times New Roman"/>
                <w:color w:val="000000"/>
                <w:spacing w:val="6"/>
                <w:sz w:val="24"/>
                <w:szCs w:val="24"/>
              </w:rPr>
            </w:pPr>
            <w:r w:rsidRPr="00D62F1F">
              <w:rPr>
                <w:rFonts w:ascii="Times New Roman" w:hAnsi="Times New Roman"/>
                <w:color w:val="000000"/>
                <w:spacing w:val="6"/>
                <w:sz w:val="24"/>
                <w:szCs w:val="24"/>
              </w:rPr>
              <w:t xml:space="preserve">Количество предприятий – всего, </w:t>
            </w:r>
            <w:r>
              <w:rPr>
                <w:rFonts w:ascii="Times New Roman" w:hAnsi="Times New Roman"/>
                <w:color w:val="000000"/>
                <w:spacing w:val="6"/>
                <w:sz w:val="24"/>
                <w:szCs w:val="24"/>
              </w:rPr>
              <w:t>ед</w:t>
            </w:r>
            <w:r w:rsidRPr="00D62F1F">
              <w:rPr>
                <w:rFonts w:ascii="Times New Roman" w:hAnsi="Times New Roman"/>
                <w:color w:val="000000"/>
                <w:spacing w:val="6"/>
                <w:sz w:val="24"/>
                <w:szCs w:val="24"/>
              </w:rPr>
              <w:t xml:space="preserve">. </w:t>
            </w:r>
          </w:p>
        </w:tc>
        <w:tc>
          <w:tcPr>
            <w:tcW w:w="1276" w:type="dxa"/>
            <w:vAlign w:val="bottom"/>
          </w:tcPr>
          <w:p w:rsidR="00914C00" w:rsidRPr="002D68AE" w:rsidRDefault="00914C00" w:rsidP="00AF6E1E">
            <w:pPr>
              <w:spacing w:after="0" w:line="240" w:lineRule="atLeast"/>
              <w:jc w:val="right"/>
              <w:rPr>
                <w:rFonts w:ascii="Times New Roman" w:hAnsi="Times New Roman"/>
                <w:bCs/>
              </w:rPr>
            </w:pPr>
            <w:r>
              <w:rPr>
                <w:rFonts w:ascii="Times New Roman" w:hAnsi="Times New Roman"/>
                <w:bCs/>
              </w:rPr>
              <w:t>294</w:t>
            </w:r>
          </w:p>
        </w:tc>
        <w:tc>
          <w:tcPr>
            <w:tcW w:w="1276" w:type="dxa"/>
            <w:vAlign w:val="bottom"/>
          </w:tcPr>
          <w:p w:rsidR="00914C00" w:rsidRPr="002D68AE" w:rsidRDefault="00914C00" w:rsidP="00AF6E1E">
            <w:pPr>
              <w:spacing w:after="0" w:line="240" w:lineRule="atLeast"/>
              <w:ind w:left="-108" w:firstLine="108"/>
              <w:jc w:val="right"/>
              <w:rPr>
                <w:rFonts w:ascii="Times New Roman" w:hAnsi="Times New Roman"/>
                <w:bCs/>
              </w:rPr>
            </w:pPr>
            <w:r>
              <w:rPr>
                <w:rFonts w:ascii="Times New Roman" w:hAnsi="Times New Roman"/>
                <w:bCs/>
              </w:rPr>
              <w:t>126</w:t>
            </w:r>
          </w:p>
        </w:tc>
        <w:tc>
          <w:tcPr>
            <w:tcW w:w="1134" w:type="dxa"/>
            <w:vAlign w:val="bottom"/>
          </w:tcPr>
          <w:p w:rsidR="00914C00" w:rsidRPr="002D68AE" w:rsidRDefault="00914C00" w:rsidP="00AF6E1E">
            <w:pPr>
              <w:spacing w:after="0" w:line="240" w:lineRule="atLeast"/>
              <w:jc w:val="right"/>
              <w:rPr>
                <w:rFonts w:ascii="Times New Roman" w:hAnsi="Times New Roman"/>
                <w:bCs/>
              </w:rPr>
            </w:pPr>
            <w:r>
              <w:rPr>
                <w:rFonts w:ascii="Times New Roman" w:hAnsi="Times New Roman"/>
                <w:bCs/>
              </w:rPr>
              <w:t>5</w:t>
            </w:r>
          </w:p>
        </w:tc>
        <w:tc>
          <w:tcPr>
            <w:tcW w:w="1134" w:type="dxa"/>
            <w:vAlign w:val="bottom"/>
          </w:tcPr>
          <w:p w:rsidR="00914C00" w:rsidRPr="002D68AE" w:rsidRDefault="00914C00" w:rsidP="00AF6E1E">
            <w:pPr>
              <w:spacing w:after="0" w:line="240" w:lineRule="atLeast"/>
              <w:jc w:val="right"/>
              <w:rPr>
                <w:rFonts w:ascii="Times New Roman" w:hAnsi="Times New Roman"/>
                <w:bCs/>
              </w:rPr>
            </w:pPr>
            <w:r>
              <w:rPr>
                <w:rFonts w:ascii="Times New Roman" w:hAnsi="Times New Roman"/>
                <w:bCs/>
              </w:rPr>
              <w:t>75</w:t>
            </w:r>
          </w:p>
        </w:tc>
        <w:tc>
          <w:tcPr>
            <w:tcW w:w="1275" w:type="dxa"/>
            <w:vAlign w:val="bottom"/>
          </w:tcPr>
          <w:p w:rsidR="00914C00" w:rsidRPr="002D68AE" w:rsidRDefault="00914C00" w:rsidP="00AF6E1E">
            <w:pPr>
              <w:spacing w:after="0" w:line="240" w:lineRule="atLeast"/>
              <w:jc w:val="right"/>
              <w:rPr>
                <w:rFonts w:ascii="Times New Roman" w:hAnsi="Times New Roman"/>
                <w:bCs/>
              </w:rPr>
            </w:pPr>
            <w:r>
              <w:rPr>
                <w:rFonts w:ascii="Times New Roman" w:hAnsi="Times New Roman"/>
                <w:bCs/>
              </w:rPr>
              <w:t>35</w:t>
            </w:r>
          </w:p>
        </w:tc>
        <w:tc>
          <w:tcPr>
            <w:tcW w:w="1351" w:type="dxa"/>
            <w:vAlign w:val="bottom"/>
          </w:tcPr>
          <w:p w:rsidR="00914C00" w:rsidRPr="002D68AE" w:rsidRDefault="00914C00" w:rsidP="00AF6E1E">
            <w:pPr>
              <w:spacing w:after="0" w:line="240" w:lineRule="atLeast"/>
              <w:jc w:val="right"/>
              <w:rPr>
                <w:rFonts w:ascii="Times New Roman" w:hAnsi="Times New Roman"/>
                <w:bCs/>
              </w:rPr>
            </w:pPr>
            <w:r>
              <w:rPr>
                <w:rFonts w:ascii="Times New Roman" w:hAnsi="Times New Roman"/>
                <w:bCs/>
              </w:rPr>
              <w:t>8</w:t>
            </w:r>
          </w:p>
        </w:tc>
        <w:tc>
          <w:tcPr>
            <w:tcW w:w="1201" w:type="dxa"/>
            <w:vAlign w:val="bottom"/>
          </w:tcPr>
          <w:p w:rsidR="00914C00" w:rsidRPr="002D68AE" w:rsidRDefault="00914C00" w:rsidP="00AF6E1E">
            <w:pPr>
              <w:spacing w:after="0" w:line="240" w:lineRule="atLeast"/>
              <w:jc w:val="right"/>
              <w:rPr>
                <w:rFonts w:ascii="Times New Roman" w:hAnsi="Times New Roman"/>
                <w:bCs/>
              </w:rPr>
            </w:pPr>
            <w:r>
              <w:rPr>
                <w:rFonts w:ascii="Times New Roman" w:hAnsi="Times New Roman"/>
                <w:bCs/>
              </w:rPr>
              <w:t>27</w:t>
            </w:r>
          </w:p>
        </w:tc>
        <w:tc>
          <w:tcPr>
            <w:tcW w:w="1417" w:type="dxa"/>
            <w:vAlign w:val="bottom"/>
          </w:tcPr>
          <w:p w:rsidR="00914C00" w:rsidRPr="002D68AE" w:rsidRDefault="00914C00" w:rsidP="00AF6E1E">
            <w:pPr>
              <w:spacing w:after="0" w:line="240" w:lineRule="atLeast"/>
              <w:jc w:val="right"/>
              <w:rPr>
                <w:rFonts w:ascii="Times New Roman" w:hAnsi="Times New Roman"/>
                <w:bCs/>
              </w:rPr>
            </w:pPr>
            <w:r>
              <w:rPr>
                <w:rFonts w:ascii="Times New Roman" w:hAnsi="Times New Roman"/>
                <w:bCs/>
              </w:rPr>
              <w:t>9</w:t>
            </w:r>
          </w:p>
        </w:tc>
        <w:tc>
          <w:tcPr>
            <w:tcW w:w="1418" w:type="dxa"/>
            <w:vAlign w:val="bottom"/>
          </w:tcPr>
          <w:p w:rsidR="00914C00" w:rsidRPr="002D68AE" w:rsidRDefault="00914C00" w:rsidP="00AF6E1E">
            <w:pPr>
              <w:spacing w:after="0" w:line="240" w:lineRule="atLeast"/>
              <w:jc w:val="right"/>
              <w:rPr>
                <w:rFonts w:ascii="Times New Roman" w:hAnsi="Times New Roman"/>
                <w:bCs/>
              </w:rPr>
            </w:pPr>
            <w:r>
              <w:rPr>
                <w:rFonts w:ascii="Times New Roman" w:hAnsi="Times New Roman"/>
                <w:bCs/>
              </w:rPr>
              <w:t>9</w:t>
            </w:r>
          </w:p>
        </w:tc>
      </w:tr>
      <w:tr w:rsidR="00914C00" w:rsidRPr="002D68AE" w:rsidTr="00AF6E1E">
        <w:tc>
          <w:tcPr>
            <w:tcW w:w="4264" w:type="dxa"/>
          </w:tcPr>
          <w:p w:rsidR="00914C00" w:rsidRPr="00D62F1F" w:rsidRDefault="00914C00" w:rsidP="00AF6E1E">
            <w:pPr>
              <w:spacing w:after="0" w:line="240" w:lineRule="auto"/>
              <w:ind w:left="-84" w:right="-110"/>
              <w:rPr>
                <w:rFonts w:ascii="Times New Roman" w:hAnsi="Times New Roman"/>
                <w:color w:val="000000"/>
                <w:spacing w:val="6"/>
                <w:sz w:val="24"/>
                <w:szCs w:val="24"/>
              </w:rPr>
            </w:pPr>
            <w:r w:rsidRPr="00D62F1F">
              <w:rPr>
                <w:rFonts w:ascii="Times New Roman" w:hAnsi="Times New Roman"/>
                <w:color w:val="000000"/>
                <w:spacing w:val="6"/>
                <w:sz w:val="24"/>
                <w:szCs w:val="24"/>
              </w:rPr>
              <w:t>Прибыль (+), убыток (-) до налогообложения, тыс. руб.</w:t>
            </w:r>
          </w:p>
        </w:tc>
        <w:tc>
          <w:tcPr>
            <w:tcW w:w="1276" w:type="dxa"/>
            <w:vAlign w:val="bottom"/>
          </w:tcPr>
          <w:p w:rsidR="00914C00" w:rsidRPr="002D68AE" w:rsidRDefault="00914C00" w:rsidP="00AF6E1E">
            <w:pPr>
              <w:spacing w:after="0" w:line="240" w:lineRule="atLeast"/>
              <w:jc w:val="right"/>
              <w:rPr>
                <w:rFonts w:ascii="Times New Roman" w:hAnsi="Times New Roman"/>
                <w:bCs/>
              </w:rPr>
            </w:pPr>
            <w:r>
              <w:rPr>
                <w:rFonts w:ascii="Times New Roman" w:hAnsi="Times New Roman"/>
                <w:bCs/>
              </w:rPr>
              <w:t>478 738</w:t>
            </w:r>
          </w:p>
        </w:tc>
        <w:tc>
          <w:tcPr>
            <w:tcW w:w="1276" w:type="dxa"/>
            <w:vAlign w:val="bottom"/>
          </w:tcPr>
          <w:p w:rsidR="00914C00" w:rsidRPr="002D68AE" w:rsidRDefault="00914C00" w:rsidP="00AF6E1E">
            <w:pPr>
              <w:spacing w:after="0" w:line="240" w:lineRule="atLeast"/>
              <w:jc w:val="right"/>
              <w:rPr>
                <w:rFonts w:ascii="Times New Roman" w:hAnsi="Times New Roman"/>
                <w:bCs/>
              </w:rPr>
            </w:pPr>
            <w:r>
              <w:rPr>
                <w:rFonts w:ascii="Times New Roman" w:hAnsi="Times New Roman"/>
                <w:bCs/>
              </w:rPr>
              <w:t>416 400</w:t>
            </w:r>
          </w:p>
        </w:tc>
        <w:tc>
          <w:tcPr>
            <w:tcW w:w="1134" w:type="dxa"/>
            <w:vAlign w:val="bottom"/>
          </w:tcPr>
          <w:p w:rsidR="00914C00" w:rsidRPr="002D68AE" w:rsidRDefault="00914C00" w:rsidP="00AF6E1E">
            <w:pPr>
              <w:spacing w:after="0" w:line="240" w:lineRule="atLeast"/>
              <w:jc w:val="right"/>
              <w:rPr>
                <w:rFonts w:ascii="Times New Roman" w:hAnsi="Times New Roman"/>
                <w:bCs/>
              </w:rPr>
            </w:pPr>
            <w:r>
              <w:rPr>
                <w:rFonts w:ascii="Times New Roman" w:hAnsi="Times New Roman"/>
                <w:bCs/>
              </w:rPr>
              <w:t>103 872</w:t>
            </w:r>
          </w:p>
        </w:tc>
        <w:tc>
          <w:tcPr>
            <w:tcW w:w="1134" w:type="dxa"/>
            <w:vAlign w:val="bottom"/>
          </w:tcPr>
          <w:p w:rsidR="00914C00" w:rsidRPr="002D68AE" w:rsidRDefault="00914C00" w:rsidP="00AF6E1E">
            <w:pPr>
              <w:spacing w:after="0" w:line="240" w:lineRule="atLeast"/>
              <w:jc w:val="right"/>
              <w:rPr>
                <w:rFonts w:ascii="Times New Roman" w:hAnsi="Times New Roman"/>
                <w:bCs/>
              </w:rPr>
            </w:pPr>
            <w:r>
              <w:rPr>
                <w:rFonts w:ascii="Times New Roman" w:hAnsi="Times New Roman"/>
                <w:bCs/>
              </w:rPr>
              <w:t>59 427</w:t>
            </w:r>
          </w:p>
        </w:tc>
        <w:tc>
          <w:tcPr>
            <w:tcW w:w="1275" w:type="dxa"/>
            <w:vAlign w:val="bottom"/>
          </w:tcPr>
          <w:p w:rsidR="00914C00" w:rsidRPr="002D68AE" w:rsidRDefault="00914C00" w:rsidP="00AF6E1E">
            <w:pPr>
              <w:spacing w:after="0" w:line="240" w:lineRule="atLeast"/>
              <w:jc w:val="right"/>
              <w:rPr>
                <w:rFonts w:ascii="Times New Roman" w:hAnsi="Times New Roman"/>
                <w:bCs/>
              </w:rPr>
            </w:pPr>
            <w:r>
              <w:rPr>
                <w:rFonts w:ascii="Times New Roman" w:hAnsi="Times New Roman"/>
                <w:bCs/>
              </w:rPr>
              <w:t>-139 414</w:t>
            </w:r>
          </w:p>
        </w:tc>
        <w:tc>
          <w:tcPr>
            <w:tcW w:w="1351" w:type="dxa"/>
            <w:vAlign w:val="bottom"/>
          </w:tcPr>
          <w:p w:rsidR="00914C00" w:rsidRPr="002D68AE" w:rsidRDefault="00914C00" w:rsidP="00AF6E1E">
            <w:pPr>
              <w:spacing w:after="0" w:line="240" w:lineRule="atLeast"/>
              <w:jc w:val="right"/>
              <w:rPr>
                <w:rFonts w:ascii="Times New Roman" w:hAnsi="Times New Roman"/>
                <w:bCs/>
              </w:rPr>
            </w:pPr>
            <w:r>
              <w:rPr>
                <w:rFonts w:ascii="Times New Roman" w:hAnsi="Times New Roman"/>
                <w:bCs/>
              </w:rPr>
              <w:t>-6 158</w:t>
            </w:r>
          </w:p>
        </w:tc>
        <w:tc>
          <w:tcPr>
            <w:tcW w:w="1201" w:type="dxa"/>
            <w:vAlign w:val="bottom"/>
          </w:tcPr>
          <w:p w:rsidR="00914C00" w:rsidRPr="002D68AE" w:rsidRDefault="00914C00" w:rsidP="00AF6E1E">
            <w:pPr>
              <w:spacing w:after="0" w:line="240" w:lineRule="atLeast"/>
              <w:jc w:val="right"/>
              <w:rPr>
                <w:rFonts w:ascii="Times New Roman" w:hAnsi="Times New Roman"/>
                <w:bCs/>
              </w:rPr>
            </w:pPr>
            <w:r>
              <w:rPr>
                <w:rFonts w:ascii="Times New Roman" w:hAnsi="Times New Roman"/>
                <w:bCs/>
              </w:rPr>
              <w:t>12 968</w:t>
            </w:r>
          </w:p>
        </w:tc>
        <w:tc>
          <w:tcPr>
            <w:tcW w:w="1417" w:type="dxa"/>
            <w:vAlign w:val="bottom"/>
          </w:tcPr>
          <w:p w:rsidR="00914C00" w:rsidRPr="002D68AE" w:rsidRDefault="00914C00" w:rsidP="00AF6E1E">
            <w:pPr>
              <w:spacing w:after="0" w:line="240" w:lineRule="atLeast"/>
              <w:jc w:val="right"/>
              <w:rPr>
                <w:rFonts w:ascii="Times New Roman" w:hAnsi="Times New Roman"/>
                <w:bCs/>
              </w:rPr>
            </w:pPr>
            <w:r>
              <w:rPr>
                <w:rFonts w:ascii="Times New Roman" w:hAnsi="Times New Roman"/>
                <w:bCs/>
              </w:rPr>
              <w:t>11 176</w:t>
            </w:r>
          </w:p>
        </w:tc>
        <w:tc>
          <w:tcPr>
            <w:tcW w:w="1418" w:type="dxa"/>
            <w:vAlign w:val="bottom"/>
          </w:tcPr>
          <w:p w:rsidR="00914C00" w:rsidRPr="002D68AE" w:rsidRDefault="00914C00" w:rsidP="00AF6E1E">
            <w:pPr>
              <w:spacing w:after="0" w:line="240" w:lineRule="atLeast"/>
              <w:jc w:val="right"/>
              <w:rPr>
                <w:rFonts w:ascii="Times New Roman" w:hAnsi="Times New Roman"/>
                <w:bCs/>
              </w:rPr>
            </w:pPr>
            <w:r>
              <w:rPr>
                <w:rFonts w:ascii="Times New Roman" w:hAnsi="Times New Roman"/>
                <w:bCs/>
              </w:rPr>
              <w:t>20 467</w:t>
            </w:r>
          </w:p>
        </w:tc>
      </w:tr>
      <w:tr w:rsidR="00914C00" w:rsidRPr="002D68AE" w:rsidTr="00AF6E1E">
        <w:trPr>
          <w:trHeight w:val="361"/>
        </w:trPr>
        <w:tc>
          <w:tcPr>
            <w:tcW w:w="4264" w:type="dxa"/>
          </w:tcPr>
          <w:p w:rsidR="00914C00" w:rsidRPr="00D62F1F" w:rsidRDefault="00914C00" w:rsidP="00AF6E1E">
            <w:pPr>
              <w:spacing w:after="0" w:line="240" w:lineRule="auto"/>
              <w:ind w:left="-84" w:right="-110"/>
              <w:rPr>
                <w:rFonts w:ascii="Times New Roman" w:hAnsi="Times New Roman"/>
                <w:color w:val="000000"/>
                <w:spacing w:val="6"/>
                <w:sz w:val="24"/>
                <w:szCs w:val="24"/>
              </w:rPr>
            </w:pPr>
            <w:r w:rsidRPr="00D62F1F">
              <w:rPr>
                <w:rFonts w:ascii="Times New Roman" w:hAnsi="Times New Roman"/>
                <w:color w:val="000000"/>
                <w:spacing w:val="6"/>
                <w:sz w:val="24"/>
                <w:szCs w:val="24"/>
              </w:rPr>
              <w:t>Чистая прибыль (убыток), тыс. руб.</w:t>
            </w:r>
          </w:p>
        </w:tc>
        <w:tc>
          <w:tcPr>
            <w:tcW w:w="1276" w:type="dxa"/>
            <w:shd w:val="clear" w:color="auto" w:fill="auto"/>
            <w:vAlign w:val="center"/>
          </w:tcPr>
          <w:p w:rsidR="00914C00" w:rsidRPr="002D68AE" w:rsidRDefault="00914C00" w:rsidP="00AF6E1E">
            <w:pPr>
              <w:tabs>
                <w:tab w:val="left" w:pos="176"/>
              </w:tabs>
              <w:spacing w:after="0" w:line="240" w:lineRule="atLeast"/>
              <w:jc w:val="right"/>
              <w:rPr>
                <w:rFonts w:ascii="Times New Roman" w:hAnsi="Times New Roman"/>
              </w:rPr>
            </w:pPr>
            <w:r>
              <w:rPr>
                <w:rFonts w:ascii="Times New Roman" w:hAnsi="Times New Roman"/>
              </w:rPr>
              <w:t>92 914</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186 860</w:t>
            </w:r>
          </w:p>
        </w:tc>
        <w:tc>
          <w:tcPr>
            <w:tcW w:w="1134"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32 659</w:t>
            </w:r>
          </w:p>
        </w:tc>
        <w:tc>
          <w:tcPr>
            <w:tcW w:w="1134"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12 493</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-161 642</w:t>
            </w:r>
          </w:p>
        </w:tc>
        <w:tc>
          <w:tcPr>
            <w:tcW w:w="1351"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-9 289</w:t>
            </w:r>
          </w:p>
        </w:tc>
        <w:tc>
          <w:tcPr>
            <w:tcW w:w="1201"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3 904</w:t>
            </w:r>
          </w:p>
        </w:tc>
        <w:tc>
          <w:tcPr>
            <w:tcW w:w="1417"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9 076</w:t>
            </w:r>
          </w:p>
        </w:tc>
        <w:tc>
          <w:tcPr>
            <w:tcW w:w="1418" w:type="dxa"/>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18 853</w:t>
            </w:r>
          </w:p>
        </w:tc>
      </w:tr>
      <w:tr w:rsidR="00914C00" w:rsidRPr="002D68AE" w:rsidTr="00AF6E1E">
        <w:trPr>
          <w:trHeight w:val="361"/>
        </w:trPr>
        <w:tc>
          <w:tcPr>
            <w:tcW w:w="4264" w:type="dxa"/>
          </w:tcPr>
          <w:p w:rsidR="00914C00" w:rsidRPr="00D62F1F" w:rsidRDefault="00914C00" w:rsidP="00AF6E1E">
            <w:pPr>
              <w:spacing w:after="0" w:line="240" w:lineRule="auto"/>
              <w:ind w:left="-84" w:right="-110"/>
              <w:rPr>
                <w:rFonts w:ascii="Times New Roman" w:hAnsi="Times New Roman"/>
                <w:color w:val="000000"/>
                <w:spacing w:val="6"/>
                <w:sz w:val="24"/>
                <w:szCs w:val="24"/>
              </w:rPr>
            </w:pPr>
            <w:r w:rsidRPr="00D62F1F">
              <w:rPr>
                <w:rFonts w:ascii="Times New Roman" w:hAnsi="Times New Roman"/>
                <w:color w:val="000000"/>
                <w:spacing w:val="6"/>
                <w:sz w:val="24"/>
                <w:szCs w:val="24"/>
              </w:rPr>
              <w:t xml:space="preserve">Количество убыточных предприятий, </w:t>
            </w:r>
            <w:r>
              <w:rPr>
                <w:rFonts w:ascii="Times New Roman" w:hAnsi="Times New Roman"/>
                <w:color w:val="000000"/>
                <w:spacing w:val="6"/>
                <w:sz w:val="24"/>
                <w:szCs w:val="24"/>
              </w:rPr>
              <w:t>ед</w:t>
            </w:r>
            <w:r w:rsidRPr="00D62F1F">
              <w:rPr>
                <w:rFonts w:ascii="Times New Roman" w:hAnsi="Times New Roman"/>
                <w:color w:val="000000"/>
                <w:spacing w:val="6"/>
                <w:sz w:val="24"/>
                <w:szCs w:val="24"/>
              </w:rPr>
              <w:t>.</w:t>
            </w:r>
          </w:p>
        </w:tc>
        <w:tc>
          <w:tcPr>
            <w:tcW w:w="1276" w:type="dxa"/>
            <w:shd w:val="clear" w:color="auto" w:fill="auto"/>
            <w:vAlign w:val="center"/>
          </w:tcPr>
          <w:p w:rsidR="00914C00" w:rsidRPr="002D68AE" w:rsidRDefault="00914C00" w:rsidP="00AF6E1E">
            <w:pPr>
              <w:tabs>
                <w:tab w:val="left" w:pos="176"/>
              </w:tabs>
              <w:spacing w:after="0" w:line="240" w:lineRule="atLeast"/>
              <w:jc w:val="right"/>
              <w:rPr>
                <w:rFonts w:ascii="Times New Roman" w:hAnsi="Times New Roman"/>
              </w:rPr>
            </w:pPr>
            <w:r>
              <w:rPr>
                <w:rFonts w:ascii="Times New Roman" w:hAnsi="Times New Roman"/>
              </w:rPr>
              <w:t>115</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44</w:t>
            </w:r>
          </w:p>
        </w:tc>
        <w:tc>
          <w:tcPr>
            <w:tcW w:w="1134"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2</w:t>
            </w:r>
          </w:p>
        </w:tc>
        <w:tc>
          <w:tcPr>
            <w:tcW w:w="1134" w:type="dxa"/>
            <w:shd w:val="clear" w:color="auto" w:fill="auto"/>
            <w:vAlign w:val="center"/>
          </w:tcPr>
          <w:p w:rsidR="00914C00" w:rsidRPr="002D68AE" w:rsidRDefault="00914C00" w:rsidP="00AF6E1E">
            <w:pPr>
              <w:spacing w:after="0" w:line="240" w:lineRule="atLeast"/>
              <w:ind w:left="-249" w:firstLine="249"/>
              <w:jc w:val="right"/>
              <w:rPr>
                <w:rFonts w:ascii="Times New Roman" w:hAnsi="Times New Roman"/>
              </w:rPr>
            </w:pPr>
            <w:r>
              <w:rPr>
                <w:rFonts w:ascii="Times New Roman" w:hAnsi="Times New Roman"/>
              </w:rPr>
              <w:t>34</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11</w:t>
            </w:r>
          </w:p>
        </w:tc>
        <w:tc>
          <w:tcPr>
            <w:tcW w:w="1351"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3</w:t>
            </w:r>
          </w:p>
        </w:tc>
        <w:tc>
          <w:tcPr>
            <w:tcW w:w="1201"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12</w:t>
            </w:r>
          </w:p>
        </w:tc>
        <w:tc>
          <w:tcPr>
            <w:tcW w:w="1417"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6</w:t>
            </w:r>
          </w:p>
        </w:tc>
        <w:tc>
          <w:tcPr>
            <w:tcW w:w="1418" w:type="dxa"/>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3</w:t>
            </w:r>
          </w:p>
        </w:tc>
      </w:tr>
      <w:tr w:rsidR="00914C00" w:rsidRPr="002D68AE" w:rsidTr="00AF6E1E">
        <w:trPr>
          <w:trHeight w:val="361"/>
        </w:trPr>
        <w:tc>
          <w:tcPr>
            <w:tcW w:w="4264" w:type="dxa"/>
            <w:vAlign w:val="center"/>
          </w:tcPr>
          <w:p w:rsidR="00914C00" w:rsidRPr="00D62F1F" w:rsidRDefault="00914C00" w:rsidP="00AF6E1E">
            <w:pPr>
              <w:spacing w:after="0" w:line="240" w:lineRule="auto"/>
              <w:ind w:left="-84" w:right="-110"/>
              <w:rPr>
                <w:rFonts w:ascii="Times New Roman" w:hAnsi="Times New Roman"/>
                <w:color w:val="000000"/>
                <w:spacing w:val="6"/>
                <w:sz w:val="24"/>
                <w:szCs w:val="24"/>
              </w:rPr>
            </w:pPr>
            <w:r w:rsidRPr="00D62F1F">
              <w:rPr>
                <w:rFonts w:ascii="Times New Roman" w:hAnsi="Times New Roman"/>
                <w:color w:val="000000"/>
                <w:spacing w:val="6"/>
                <w:sz w:val="24"/>
                <w:szCs w:val="24"/>
              </w:rPr>
              <w:t>Обязательства, млн. руб.</w:t>
            </w:r>
          </w:p>
        </w:tc>
        <w:tc>
          <w:tcPr>
            <w:tcW w:w="1276" w:type="dxa"/>
            <w:shd w:val="clear" w:color="auto" w:fill="auto"/>
            <w:vAlign w:val="center"/>
          </w:tcPr>
          <w:p w:rsidR="00914C00" w:rsidRPr="002D68AE" w:rsidRDefault="00914C00" w:rsidP="00AF6E1E">
            <w:pPr>
              <w:tabs>
                <w:tab w:val="left" w:pos="176"/>
              </w:tabs>
              <w:spacing w:after="0" w:line="240" w:lineRule="atLeast"/>
              <w:jc w:val="right"/>
              <w:rPr>
                <w:rFonts w:ascii="Times New Roman" w:hAnsi="Times New Roman"/>
              </w:rPr>
            </w:pPr>
            <w:r>
              <w:rPr>
                <w:rFonts w:ascii="Times New Roman" w:hAnsi="Times New Roman"/>
              </w:rPr>
              <w:t>15 337 183</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8 014 861</w:t>
            </w:r>
          </w:p>
        </w:tc>
        <w:tc>
          <w:tcPr>
            <w:tcW w:w="1134"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801 752</w:t>
            </w:r>
          </w:p>
        </w:tc>
        <w:tc>
          <w:tcPr>
            <w:tcW w:w="1134" w:type="dxa"/>
            <w:shd w:val="clear" w:color="auto" w:fill="auto"/>
            <w:vAlign w:val="center"/>
          </w:tcPr>
          <w:p w:rsidR="00914C00" w:rsidRPr="002D68AE" w:rsidRDefault="00914C00" w:rsidP="00AF6E1E">
            <w:pPr>
              <w:spacing w:after="0" w:line="240" w:lineRule="atLeast"/>
              <w:ind w:left="-249" w:firstLine="249"/>
              <w:jc w:val="center"/>
              <w:rPr>
                <w:rFonts w:ascii="Times New Roman" w:hAnsi="Times New Roman"/>
              </w:rPr>
            </w:pPr>
            <w:r>
              <w:rPr>
                <w:rFonts w:ascii="Times New Roman" w:hAnsi="Times New Roman"/>
              </w:rPr>
              <w:t>1 661 513</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3 713 761</w:t>
            </w:r>
          </w:p>
        </w:tc>
        <w:tc>
          <w:tcPr>
            <w:tcW w:w="1351"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131 522</w:t>
            </w:r>
          </w:p>
        </w:tc>
        <w:tc>
          <w:tcPr>
            <w:tcW w:w="1201"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697 182</w:t>
            </w:r>
          </w:p>
        </w:tc>
        <w:tc>
          <w:tcPr>
            <w:tcW w:w="1417"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65 000</w:t>
            </w:r>
          </w:p>
        </w:tc>
        <w:tc>
          <w:tcPr>
            <w:tcW w:w="1418" w:type="dxa"/>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251 592</w:t>
            </w:r>
          </w:p>
        </w:tc>
      </w:tr>
      <w:tr w:rsidR="00914C00" w:rsidRPr="002D68AE" w:rsidTr="00AF6E1E">
        <w:trPr>
          <w:trHeight w:val="361"/>
        </w:trPr>
        <w:tc>
          <w:tcPr>
            <w:tcW w:w="4264" w:type="dxa"/>
          </w:tcPr>
          <w:p w:rsidR="00914C00" w:rsidRPr="00D62F1F" w:rsidRDefault="00914C00" w:rsidP="00AF6E1E">
            <w:pPr>
              <w:spacing w:after="0" w:line="240" w:lineRule="auto"/>
              <w:ind w:left="-84" w:right="-110"/>
              <w:rPr>
                <w:rFonts w:ascii="Times New Roman" w:hAnsi="Times New Roman"/>
                <w:color w:val="000000"/>
                <w:spacing w:val="6"/>
                <w:sz w:val="24"/>
                <w:szCs w:val="24"/>
              </w:rPr>
            </w:pPr>
            <w:r w:rsidRPr="00D62F1F">
              <w:rPr>
                <w:rFonts w:ascii="Times New Roman" w:hAnsi="Times New Roman"/>
                <w:color w:val="000000"/>
                <w:spacing w:val="6"/>
                <w:sz w:val="24"/>
                <w:szCs w:val="24"/>
              </w:rPr>
              <w:t>Кредиторская задолженность</w:t>
            </w:r>
          </w:p>
          <w:p w:rsidR="00914C00" w:rsidRPr="00D62F1F" w:rsidRDefault="00914C00" w:rsidP="00AF6E1E">
            <w:pPr>
              <w:spacing w:after="0" w:line="240" w:lineRule="auto"/>
              <w:ind w:left="-84" w:right="-110"/>
              <w:rPr>
                <w:rFonts w:ascii="Times New Roman" w:hAnsi="Times New Roman"/>
                <w:color w:val="000000"/>
                <w:spacing w:val="6"/>
                <w:sz w:val="24"/>
                <w:szCs w:val="24"/>
              </w:rPr>
            </w:pPr>
            <w:r w:rsidRPr="00D62F1F">
              <w:rPr>
                <w:rFonts w:ascii="Times New Roman" w:hAnsi="Times New Roman"/>
                <w:color w:val="000000"/>
                <w:spacing w:val="6"/>
                <w:sz w:val="24"/>
                <w:szCs w:val="24"/>
              </w:rPr>
              <w:t>млн. руб.</w:t>
            </w:r>
          </w:p>
        </w:tc>
        <w:tc>
          <w:tcPr>
            <w:tcW w:w="1276" w:type="dxa"/>
            <w:shd w:val="clear" w:color="auto" w:fill="auto"/>
            <w:vAlign w:val="center"/>
          </w:tcPr>
          <w:p w:rsidR="00914C00" w:rsidRPr="002D68AE" w:rsidRDefault="00914C00" w:rsidP="00AF6E1E">
            <w:pPr>
              <w:tabs>
                <w:tab w:val="left" w:pos="176"/>
              </w:tabs>
              <w:spacing w:after="0" w:line="240" w:lineRule="atLeast"/>
              <w:jc w:val="right"/>
              <w:rPr>
                <w:rFonts w:ascii="Times New Roman" w:hAnsi="Times New Roman"/>
              </w:rPr>
            </w:pPr>
            <w:r>
              <w:rPr>
                <w:rFonts w:ascii="Times New Roman" w:hAnsi="Times New Roman"/>
              </w:rPr>
              <w:t xml:space="preserve">7 305 046 </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4 868 876</w:t>
            </w:r>
          </w:p>
        </w:tc>
        <w:tc>
          <w:tcPr>
            <w:tcW w:w="1134"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98 731</w:t>
            </w:r>
          </w:p>
        </w:tc>
        <w:tc>
          <w:tcPr>
            <w:tcW w:w="1134"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1 260 105</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612 417</w:t>
            </w:r>
          </w:p>
        </w:tc>
        <w:tc>
          <w:tcPr>
            <w:tcW w:w="1351"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64 979</w:t>
            </w:r>
          </w:p>
        </w:tc>
        <w:tc>
          <w:tcPr>
            <w:tcW w:w="1201"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332 951</w:t>
            </w:r>
          </w:p>
        </w:tc>
        <w:tc>
          <w:tcPr>
            <w:tcW w:w="1417"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36 415</w:t>
            </w:r>
          </w:p>
        </w:tc>
        <w:tc>
          <w:tcPr>
            <w:tcW w:w="1418" w:type="dxa"/>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30 572</w:t>
            </w:r>
          </w:p>
        </w:tc>
      </w:tr>
      <w:tr w:rsidR="00914C00" w:rsidRPr="002D68AE" w:rsidTr="00AF6E1E">
        <w:trPr>
          <w:trHeight w:val="361"/>
        </w:trPr>
        <w:tc>
          <w:tcPr>
            <w:tcW w:w="4264" w:type="dxa"/>
          </w:tcPr>
          <w:p w:rsidR="00914C00" w:rsidRPr="00D62F1F" w:rsidRDefault="00914C00" w:rsidP="00AF6E1E">
            <w:pPr>
              <w:spacing w:after="0" w:line="240" w:lineRule="auto"/>
              <w:ind w:left="-84" w:right="-110"/>
              <w:rPr>
                <w:rFonts w:ascii="Times New Roman" w:hAnsi="Times New Roman"/>
                <w:color w:val="000000"/>
                <w:spacing w:val="6"/>
                <w:sz w:val="24"/>
                <w:szCs w:val="24"/>
              </w:rPr>
            </w:pPr>
            <w:r w:rsidRPr="00D62F1F">
              <w:rPr>
                <w:rFonts w:ascii="Times New Roman" w:hAnsi="Times New Roman"/>
                <w:color w:val="000000"/>
                <w:spacing w:val="6"/>
                <w:sz w:val="24"/>
                <w:szCs w:val="24"/>
              </w:rPr>
              <w:t>Дебиторская задолженность,</w:t>
            </w:r>
          </w:p>
          <w:p w:rsidR="00914C00" w:rsidRPr="00D62F1F" w:rsidRDefault="00914C00" w:rsidP="00AF6E1E">
            <w:pPr>
              <w:spacing w:after="0" w:line="240" w:lineRule="auto"/>
              <w:ind w:left="-84" w:right="-110"/>
              <w:rPr>
                <w:rFonts w:ascii="Times New Roman" w:hAnsi="Times New Roman"/>
                <w:color w:val="000000"/>
                <w:spacing w:val="6"/>
                <w:sz w:val="24"/>
                <w:szCs w:val="24"/>
              </w:rPr>
            </w:pPr>
            <w:r w:rsidRPr="00D62F1F">
              <w:rPr>
                <w:rFonts w:ascii="Times New Roman" w:hAnsi="Times New Roman"/>
                <w:color w:val="000000"/>
                <w:spacing w:val="6"/>
                <w:sz w:val="24"/>
                <w:szCs w:val="24"/>
              </w:rPr>
              <w:t>млн. руб.</w:t>
            </w:r>
          </w:p>
        </w:tc>
        <w:tc>
          <w:tcPr>
            <w:tcW w:w="1276" w:type="dxa"/>
            <w:shd w:val="clear" w:color="auto" w:fill="auto"/>
            <w:vAlign w:val="center"/>
          </w:tcPr>
          <w:p w:rsidR="00914C00" w:rsidRPr="002D68AE" w:rsidRDefault="00914C00" w:rsidP="00AF6E1E">
            <w:pPr>
              <w:tabs>
                <w:tab w:val="left" w:pos="176"/>
              </w:tabs>
              <w:spacing w:after="0" w:line="240" w:lineRule="atLeast"/>
              <w:jc w:val="right"/>
              <w:rPr>
                <w:rFonts w:ascii="Times New Roman" w:hAnsi="Times New Roman"/>
              </w:rPr>
            </w:pPr>
            <w:r>
              <w:rPr>
                <w:rFonts w:ascii="Times New Roman" w:hAnsi="Times New Roman"/>
              </w:rPr>
              <w:t>5 316 384</w:t>
            </w:r>
          </w:p>
        </w:tc>
        <w:tc>
          <w:tcPr>
            <w:tcW w:w="1276"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3 700 077</w:t>
            </w:r>
          </w:p>
        </w:tc>
        <w:tc>
          <w:tcPr>
            <w:tcW w:w="1134"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105 640</w:t>
            </w:r>
          </w:p>
        </w:tc>
        <w:tc>
          <w:tcPr>
            <w:tcW w:w="1134"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805 344</w:t>
            </w:r>
          </w:p>
        </w:tc>
        <w:tc>
          <w:tcPr>
            <w:tcW w:w="1275"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445 431</w:t>
            </w:r>
          </w:p>
        </w:tc>
        <w:tc>
          <w:tcPr>
            <w:tcW w:w="1351"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38 027</w:t>
            </w:r>
          </w:p>
        </w:tc>
        <w:tc>
          <w:tcPr>
            <w:tcW w:w="1201"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149 310</w:t>
            </w:r>
          </w:p>
        </w:tc>
        <w:tc>
          <w:tcPr>
            <w:tcW w:w="1417" w:type="dxa"/>
            <w:shd w:val="clear" w:color="auto" w:fill="auto"/>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32 533</w:t>
            </w:r>
          </w:p>
        </w:tc>
        <w:tc>
          <w:tcPr>
            <w:tcW w:w="1418" w:type="dxa"/>
            <w:vAlign w:val="center"/>
          </w:tcPr>
          <w:p w:rsidR="00914C00" w:rsidRPr="002D68AE" w:rsidRDefault="00914C00" w:rsidP="00AF6E1E">
            <w:pPr>
              <w:spacing w:after="0" w:line="240" w:lineRule="atLeast"/>
              <w:jc w:val="right"/>
              <w:rPr>
                <w:rFonts w:ascii="Times New Roman" w:hAnsi="Times New Roman"/>
              </w:rPr>
            </w:pPr>
            <w:r>
              <w:rPr>
                <w:rFonts w:ascii="Times New Roman" w:hAnsi="Times New Roman"/>
              </w:rPr>
              <w:t>40 022</w:t>
            </w:r>
          </w:p>
        </w:tc>
      </w:tr>
    </w:tbl>
    <w:p w:rsidR="00DE2491" w:rsidRDefault="00DE2491" w:rsidP="00914C00">
      <w:pPr>
        <w:spacing w:after="0" w:line="240" w:lineRule="auto"/>
        <w:ind w:firstLine="720"/>
        <w:jc w:val="right"/>
        <w:rPr>
          <w:rFonts w:ascii="Times New Roman" w:hAnsi="Times New Roman"/>
          <w:sz w:val="24"/>
          <w:szCs w:val="24"/>
        </w:rPr>
      </w:pPr>
    </w:p>
    <w:sectPr w:rsidR="00DE2491" w:rsidSect="0064777A">
      <w:pgSz w:w="16838" w:h="11906" w:orient="landscape"/>
      <w:pgMar w:top="1276" w:right="1134" w:bottom="72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23F4" w:rsidRDefault="006623F4" w:rsidP="00FF39D8">
      <w:pPr>
        <w:spacing w:after="0" w:line="240" w:lineRule="auto"/>
      </w:pPr>
      <w:r>
        <w:separator/>
      </w:r>
    </w:p>
  </w:endnote>
  <w:endnote w:type="continuationSeparator" w:id="1">
    <w:p w:rsidR="006623F4" w:rsidRDefault="006623F4" w:rsidP="00FF39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Courier New">
    <w:panose1 w:val="02070309020205020404"/>
    <w:charset w:val="CC"/>
    <w:family w:val="modern"/>
    <w:pitch w:val="fixed"/>
    <w:sig w:usb0="20002A87" w:usb1="80000000" w:usb2="00000008" w:usb3="00000000" w:csb0="000001FF" w:csb1="00000000"/>
  </w:font>
  <w:font w:name="Consolas">
    <w:panose1 w:val="020B0609020204030204"/>
    <w:charset w:val="CC"/>
    <w:family w:val="modern"/>
    <w:pitch w:val="fixed"/>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TimesNewRoman">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386" w:rsidRDefault="00CA446B" w:rsidP="00253E3A">
    <w:pPr>
      <w:pStyle w:val="af2"/>
      <w:framePr w:wrap="around" w:vAnchor="text" w:hAnchor="margin" w:xAlign="right" w:y="1"/>
      <w:rPr>
        <w:rStyle w:val="af7"/>
      </w:rPr>
    </w:pPr>
    <w:r>
      <w:rPr>
        <w:rStyle w:val="af7"/>
      </w:rPr>
      <w:fldChar w:fldCharType="begin"/>
    </w:r>
    <w:r w:rsidR="002B1386">
      <w:rPr>
        <w:rStyle w:val="af7"/>
      </w:rPr>
      <w:instrText xml:space="preserve">PAGE  </w:instrText>
    </w:r>
    <w:r>
      <w:rPr>
        <w:rStyle w:val="af7"/>
      </w:rPr>
      <w:fldChar w:fldCharType="end"/>
    </w:r>
  </w:p>
  <w:p w:rsidR="002B1386" w:rsidRDefault="002B1386" w:rsidP="00253E3A">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386" w:rsidRDefault="00CA446B" w:rsidP="00253E3A">
    <w:pPr>
      <w:pStyle w:val="af2"/>
      <w:framePr w:wrap="around" w:vAnchor="text" w:hAnchor="margin" w:xAlign="right" w:y="1"/>
      <w:rPr>
        <w:rStyle w:val="af7"/>
      </w:rPr>
    </w:pPr>
    <w:r>
      <w:rPr>
        <w:rStyle w:val="af7"/>
      </w:rPr>
      <w:fldChar w:fldCharType="begin"/>
    </w:r>
    <w:r w:rsidR="002B1386">
      <w:rPr>
        <w:rStyle w:val="af7"/>
      </w:rPr>
      <w:instrText xml:space="preserve">PAGE  </w:instrText>
    </w:r>
    <w:r>
      <w:rPr>
        <w:rStyle w:val="af7"/>
      </w:rPr>
      <w:fldChar w:fldCharType="separate"/>
    </w:r>
    <w:r w:rsidR="009A2B7B">
      <w:rPr>
        <w:rStyle w:val="af7"/>
        <w:noProof/>
      </w:rPr>
      <w:t>69</w:t>
    </w:r>
    <w:r>
      <w:rPr>
        <w:rStyle w:val="af7"/>
      </w:rPr>
      <w:fldChar w:fldCharType="end"/>
    </w:r>
  </w:p>
  <w:p w:rsidR="002B1386" w:rsidRDefault="002B1386" w:rsidP="00253E3A">
    <w:pPr>
      <w:pStyle w:val="af2"/>
      <w:ind w:right="360"/>
      <w:jc w:val="right"/>
    </w:pPr>
  </w:p>
  <w:p w:rsidR="002B1386" w:rsidRDefault="002B1386">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23F4" w:rsidRDefault="006623F4" w:rsidP="00FF39D8">
      <w:pPr>
        <w:spacing w:after="0" w:line="240" w:lineRule="auto"/>
      </w:pPr>
      <w:r>
        <w:separator/>
      </w:r>
    </w:p>
  </w:footnote>
  <w:footnote w:type="continuationSeparator" w:id="1">
    <w:p w:rsidR="006623F4" w:rsidRDefault="006623F4" w:rsidP="00FF39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531EB2"/>
    <w:multiLevelType w:val="hybridMultilevel"/>
    <w:tmpl w:val="7AA225A2"/>
    <w:lvl w:ilvl="0" w:tplc="04190011">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
    <w:nsid w:val="75DC5D64"/>
    <w:multiLevelType w:val="hybridMultilevel"/>
    <w:tmpl w:val="1F48670A"/>
    <w:lvl w:ilvl="0" w:tplc="04190011">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030E3"/>
    <w:rsid w:val="00000802"/>
    <w:rsid w:val="00005A3C"/>
    <w:rsid w:val="00010606"/>
    <w:rsid w:val="0003191E"/>
    <w:rsid w:val="000320B8"/>
    <w:rsid w:val="000410A2"/>
    <w:rsid w:val="00042094"/>
    <w:rsid w:val="00055904"/>
    <w:rsid w:val="000618EA"/>
    <w:rsid w:val="0006785A"/>
    <w:rsid w:val="0007138E"/>
    <w:rsid w:val="000743F6"/>
    <w:rsid w:val="0007681A"/>
    <w:rsid w:val="00080A49"/>
    <w:rsid w:val="00090E11"/>
    <w:rsid w:val="000A26A7"/>
    <w:rsid w:val="000A2E7A"/>
    <w:rsid w:val="000A5071"/>
    <w:rsid w:val="000A7DF1"/>
    <w:rsid w:val="000B5F16"/>
    <w:rsid w:val="000B70B8"/>
    <w:rsid w:val="000C7E8F"/>
    <w:rsid w:val="000D74EC"/>
    <w:rsid w:val="000E0787"/>
    <w:rsid w:val="000E1D85"/>
    <w:rsid w:val="000E3619"/>
    <w:rsid w:val="000E6124"/>
    <w:rsid w:val="000F1F83"/>
    <w:rsid w:val="000F27B9"/>
    <w:rsid w:val="000F40CE"/>
    <w:rsid w:val="00106271"/>
    <w:rsid w:val="00106C3D"/>
    <w:rsid w:val="00110ECD"/>
    <w:rsid w:val="00112001"/>
    <w:rsid w:val="00115579"/>
    <w:rsid w:val="00120133"/>
    <w:rsid w:val="00131CE9"/>
    <w:rsid w:val="0013256B"/>
    <w:rsid w:val="00142E26"/>
    <w:rsid w:val="0014593E"/>
    <w:rsid w:val="00157D1B"/>
    <w:rsid w:val="00161253"/>
    <w:rsid w:val="001701B9"/>
    <w:rsid w:val="00180E53"/>
    <w:rsid w:val="00182792"/>
    <w:rsid w:val="001901B6"/>
    <w:rsid w:val="00193F5E"/>
    <w:rsid w:val="001973F5"/>
    <w:rsid w:val="001A129C"/>
    <w:rsid w:val="001A134B"/>
    <w:rsid w:val="001B1696"/>
    <w:rsid w:val="001B2733"/>
    <w:rsid w:val="001B2962"/>
    <w:rsid w:val="001C49CB"/>
    <w:rsid w:val="001C4BB6"/>
    <w:rsid w:val="001C4D17"/>
    <w:rsid w:val="001D3B6A"/>
    <w:rsid w:val="001D3DA3"/>
    <w:rsid w:val="001D6F13"/>
    <w:rsid w:val="001E577F"/>
    <w:rsid w:val="001E65A9"/>
    <w:rsid w:val="002009BA"/>
    <w:rsid w:val="00212E43"/>
    <w:rsid w:val="002224BC"/>
    <w:rsid w:val="0022360F"/>
    <w:rsid w:val="002359EE"/>
    <w:rsid w:val="002528ED"/>
    <w:rsid w:val="0025309F"/>
    <w:rsid w:val="00253E3A"/>
    <w:rsid w:val="00253E48"/>
    <w:rsid w:val="00256B36"/>
    <w:rsid w:val="002570D7"/>
    <w:rsid w:val="0026288F"/>
    <w:rsid w:val="00271EC2"/>
    <w:rsid w:val="00274FC2"/>
    <w:rsid w:val="002770E6"/>
    <w:rsid w:val="002838DA"/>
    <w:rsid w:val="00286887"/>
    <w:rsid w:val="00295A78"/>
    <w:rsid w:val="0029681F"/>
    <w:rsid w:val="002A4683"/>
    <w:rsid w:val="002A77FD"/>
    <w:rsid w:val="002A7E36"/>
    <w:rsid w:val="002B1386"/>
    <w:rsid w:val="002B301F"/>
    <w:rsid w:val="002B3A90"/>
    <w:rsid w:val="002C0ED1"/>
    <w:rsid w:val="002C6588"/>
    <w:rsid w:val="002D7D07"/>
    <w:rsid w:val="002E0394"/>
    <w:rsid w:val="002F3980"/>
    <w:rsid w:val="002F61BE"/>
    <w:rsid w:val="003002B5"/>
    <w:rsid w:val="00303C0D"/>
    <w:rsid w:val="00307CDC"/>
    <w:rsid w:val="00316A39"/>
    <w:rsid w:val="00316F5A"/>
    <w:rsid w:val="00321F48"/>
    <w:rsid w:val="00322506"/>
    <w:rsid w:val="00324D2D"/>
    <w:rsid w:val="00332793"/>
    <w:rsid w:val="00350E5C"/>
    <w:rsid w:val="00355AB6"/>
    <w:rsid w:val="00356D78"/>
    <w:rsid w:val="00357312"/>
    <w:rsid w:val="00362054"/>
    <w:rsid w:val="00381ABA"/>
    <w:rsid w:val="00382E47"/>
    <w:rsid w:val="0038316C"/>
    <w:rsid w:val="00390B87"/>
    <w:rsid w:val="00392ABA"/>
    <w:rsid w:val="00393600"/>
    <w:rsid w:val="00394CC1"/>
    <w:rsid w:val="003A39CF"/>
    <w:rsid w:val="003A6D5A"/>
    <w:rsid w:val="003B5B16"/>
    <w:rsid w:val="003C0581"/>
    <w:rsid w:val="003C3C12"/>
    <w:rsid w:val="003C47D5"/>
    <w:rsid w:val="003D56EC"/>
    <w:rsid w:val="003D7394"/>
    <w:rsid w:val="003E0490"/>
    <w:rsid w:val="003F205A"/>
    <w:rsid w:val="00407470"/>
    <w:rsid w:val="00421C0A"/>
    <w:rsid w:val="00432C71"/>
    <w:rsid w:val="00435C48"/>
    <w:rsid w:val="00453521"/>
    <w:rsid w:val="00455C3A"/>
    <w:rsid w:val="00455D30"/>
    <w:rsid w:val="00461C77"/>
    <w:rsid w:val="004912DF"/>
    <w:rsid w:val="004919F1"/>
    <w:rsid w:val="004A3A83"/>
    <w:rsid w:val="004A7009"/>
    <w:rsid w:val="004B34BB"/>
    <w:rsid w:val="004B6A68"/>
    <w:rsid w:val="004B7CEB"/>
    <w:rsid w:val="004D746D"/>
    <w:rsid w:val="004D7DCD"/>
    <w:rsid w:val="004E42C0"/>
    <w:rsid w:val="004F6973"/>
    <w:rsid w:val="005171AE"/>
    <w:rsid w:val="00517637"/>
    <w:rsid w:val="005261BD"/>
    <w:rsid w:val="00526E27"/>
    <w:rsid w:val="00527101"/>
    <w:rsid w:val="00527AD6"/>
    <w:rsid w:val="00540BBA"/>
    <w:rsid w:val="005423DE"/>
    <w:rsid w:val="00544A95"/>
    <w:rsid w:val="005475D5"/>
    <w:rsid w:val="00565C38"/>
    <w:rsid w:val="0057421F"/>
    <w:rsid w:val="00581F26"/>
    <w:rsid w:val="005848CB"/>
    <w:rsid w:val="00585567"/>
    <w:rsid w:val="005963D6"/>
    <w:rsid w:val="005970C4"/>
    <w:rsid w:val="00597AEB"/>
    <w:rsid w:val="005A2385"/>
    <w:rsid w:val="005A5779"/>
    <w:rsid w:val="005B3750"/>
    <w:rsid w:val="005B6F1B"/>
    <w:rsid w:val="005B74A1"/>
    <w:rsid w:val="005C14B5"/>
    <w:rsid w:val="005C4E14"/>
    <w:rsid w:val="005D53E9"/>
    <w:rsid w:val="005F5FAE"/>
    <w:rsid w:val="00610179"/>
    <w:rsid w:val="006211ED"/>
    <w:rsid w:val="00622781"/>
    <w:rsid w:val="00623FBC"/>
    <w:rsid w:val="0062455E"/>
    <w:rsid w:val="0064777A"/>
    <w:rsid w:val="00653880"/>
    <w:rsid w:val="0065515A"/>
    <w:rsid w:val="0066096C"/>
    <w:rsid w:val="006623F4"/>
    <w:rsid w:val="006670C7"/>
    <w:rsid w:val="006821D0"/>
    <w:rsid w:val="006A2249"/>
    <w:rsid w:val="006B2946"/>
    <w:rsid w:val="006B41D9"/>
    <w:rsid w:val="006C0B54"/>
    <w:rsid w:val="006C5A32"/>
    <w:rsid w:val="006D7A34"/>
    <w:rsid w:val="00701C40"/>
    <w:rsid w:val="00701E27"/>
    <w:rsid w:val="0070524A"/>
    <w:rsid w:val="007171A0"/>
    <w:rsid w:val="007201DF"/>
    <w:rsid w:val="00723A3D"/>
    <w:rsid w:val="0073571E"/>
    <w:rsid w:val="00736DF8"/>
    <w:rsid w:val="007500BC"/>
    <w:rsid w:val="00754B96"/>
    <w:rsid w:val="007610F2"/>
    <w:rsid w:val="007613C1"/>
    <w:rsid w:val="00762661"/>
    <w:rsid w:val="0076407B"/>
    <w:rsid w:val="00770072"/>
    <w:rsid w:val="00773119"/>
    <w:rsid w:val="00776745"/>
    <w:rsid w:val="007928BB"/>
    <w:rsid w:val="00792A65"/>
    <w:rsid w:val="007A2D8E"/>
    <w:rsid w:val="007B01E5"/>
    <w:rsid w:val="007B0F98"/>
    <w:rsid w:val="007B2610"/>
    <w:rsid w:val="007B305A"/>
    <w:rsid w:val="007B589A"/>
    <w:rsid w:val="007B64D6"/>
    <w:rsid w:val="007C656F"/>
    <w:rsid w:val="007D4D8B"/>
    <w:rsid w:val="007E52B3"/>
    <w:rsid w:val="007F4CEA"/>
    <w:rsid w:val="007F5644"/>
    <w:rsid w:val="008067F9"/>
    <w:rsid w:val="00815716"/>
    <w:rsid w:val="00815F10"/>
    <w:rsid w:val="00817133"/>
    <w:rsid w:val="008220AC"/>
    <w:rsid w:val="00827768"/>
    <w:rsid w:val="00827CB9"/>
    <w:rsid w:val="008412B3"/>
    <w:rsid w:val="00841775"/>
    <w:rsid w:val="00847C0C"/>
    <w:rsid w:val="00857AEE"/>
    <w:rsid w:val="00863997"/>
    <w:rsid w:val="00871EFF"/>
    <w:rsid w:val="008734D7"/>
    <w:rsid w:val="00883875"/>
    <w:rsid w:val="008A7F6C"/>
    <w:rsid w:val="008C3ECC"/>
    <w:rsid w:val="008C5585"/>
    <w:rsid w:val="008C69F7"/>
    <w:rsid w:val="008D52F1"/>
    <w:rsid w:val="008E6F6F"/>
    <w:rsid w:val="00900AAA"/>
    <w:rsid w:val="009024A5"/>
    <w:rsid w:val="00905221"/>
    <w:rsid w:val="00906EC2"/>
    <w:rsid w:val="00914C00"/>
    <w:rsid w:val="00915E4C"/>
    <w:rsid w:val="00916615"/>
    <w:rsid w:val="009262EE"/>
    <w:rsid w:val="00933709"/>
    <w:rsid w:val="009346DF"/>
    <w:rsid w:val="0095591A"/>
    <w:rsid w:val="00962CAA"/>
    <w:rsid w:val="009745C5"/>
    <w:rsid w:val="0097588C"/>
    <w:rsid w:val="00977BA8"/>
    <w:rsid w:val="0098177D"/>
    <w:rsid w:val="00984667"/>
    <w:rsid w:val="00987C72"/>
    <w:rsid w:val="0099023B"/>
    <w:rsid w:val="00992620"/>
    <w:rsid w:val="00995EAD"/>
    <w:rsid w:val="009A2B7B"/>
    <w:rsid w:val="009A4442"/>
    <w:rsid w:val="009B39AE"/>
    <w:rsid w:val="009C06FE"/>
    <w:rsid w:val="009C132F"/>
    <w:rsid w:val="009C2C57"/>
    <w:rsid w:val="009C5899"/>
    <w:rsid w:val="009C7D61"/>
    <w:rsid w:val="009D158E"/>
    <w:rsid w:val="009E1124"/>
    <w:rsid w:val="009F2FF2"/>
    <w:rsid w:val="009F4A18"/>
    <w:rsid w:val="009F53E2"/>
    <w:rsid w:val="00A00B38"/>
    <w:rsid w:val="00A04588"/>
    <w:rsid w:val="00A05243"/>
    <w:rsid w:val="00A05477"/>
    <w:rsid w:val="00A161D4"/>
    <w:rsid w:val="00A20F7B"/>
    <w:rsid w:val="00A25FB3"/>
    <w:rsid w:val="00A34814"/>
    <w:rsid w:val="00A43556"/>
    <w:rsid w:val="00A44BAB"/>
    <w:rsid w:val="00A50679"/>
    <w:rsid w:val="00A56CDD"/>
    <w:rsid w:val="00A846E7"/>
    <w:rsid w:val="00A91ECC"/>
    <w:rsid w:val="00A963E6"/>
    <w:rsid w:val="00AA5EBF"/>
    <w:rsid w:val="00AB0CAE"/>
    <w:rsid w:val="00AB165E"/>
    <w:rsid w:val="00AC6015"/>
    <w:rsid w:val="00AD5FDB"/>
    <w:rsid w:val="00AE1B05"/>
    <w:rsid w:val="00AE52F7"/>
    <w:rsid w:val="00AF3B7E"/>
    <w:rsid w:val="00AF6E1E"/>
    <w:rsid w:val="00B01809"/>
    <w:rsid w:val="00B043D4"/>
    <w:rsid w:val="00B056E3"/>
    <w:rsid w:val="00B20596"/>
    <w:rsid w:val="00B50D74"/>
    <w:rsid w:val="00B556DD"/>
    <w:rsid w:val="00B632FC"/>
    <w:rsid w:val="00B64FAF"/>
    <w:rsid w:val="00B671DB"/>
    <w:rsid w:val="00B67433"/>
    <w:rsid w:val="00B67944"/>
    <w:rsid w:val="00B73877"/>
    <w:rsid w:val="00B834E9"/>
    <w:rsid w:val="00B8425A"/>
    <w:rsid w:val="00B84C3B"/>
    <w:rsid w:val="00B87F66"/>
    <w:rsid w:val="00B93B92"/>
    <w:rsid w:val="00B9404D"/>
    <w:rsid w:val="00B95CC6"/>
    <w:rsid w:val="00BA0476"/>
    <w:rsid w:val="00BA368A"/>
    <w:rsid w:val="00BA6807"/>
    <w:rsid w:val="00BB4C70"/>
    <w:rsid w:val="00BC3AF7"/>
    <w:rsid w:val="00BC6EEF"/>
    <w:rsid w:val="00BD5EFA"/>
    <w:rsid w:val="00BE08D9"/>
    <w:rsid w:val="00BE70FC"/>
    <w:rsid w:val="00BE7245"/>
    <w:rsid w:val="00BF061E"/>
    <w:rsid w:val="00BF1CCA"/>
    <w:rsid w:val="00C07037"/>
    <w:rsid w:val="00C10F08"/>
    <w:rsid w:val="00C22B32"/>
    <w:rsid w:val="00C234A9"/>
    <w:rsid w:val="00C258D9"/>
    <w:rsid w:val="00C30F0D"/>
    <w:rsid w:val="00C3127E"/>
    <w:rsid w:val="00C33555"/>
    <w:rsid w:val="00C33F4C"/>
    <w:rsid w:val="00C378D2"/>
    <w:rsid w:val="00C42921"/>
    <w:rsid w:val="00C45E2C"/>
    <w:rsid w:val="00C53316"/>
    <w:rsid w:val="00C54A01"/>
    <w:rsid w:val="00C62142"/>
    <w:rsid w:val="00C63E7E"/>
    <w:rsid w:val="00C709B9"/>
    <w:rsid w:val="00C75075"/>
    <w:rsid w:val="00C85D68"/>
    <w:rsid w:val="00CA263F"/>
    <w:rsid w:val="00CA446B"/>
    <w:rsid w:val="00CA6956"/>
    <w:rsid w:val="00CB0E4C"/>
    <w:rsid w:val="00CB2F5F"/>
    <w:rsid w:val="00CC16C7"/>
    <w:rsid w:val="00CD0E98"/>
    <w:rsid w:val="00CD2BDB"/>
    <w:rsid w:val="00CD3FCB"/>
    <w:rsid w:val="00CD535E"/>
    <w:rsid w:val="00CF16D1"/>
    <w:rsid w:val="00CF2D29"/>
    <w:rsid w:val="00CF6C7C"/>
    <w:rsid w:val="00D14717"/>
    <w:rsid w:val="00D16C7F"/>
    <w:rsid w:val="00D204B9"/>
    <w:rsid w:val="00D34E30"/>
    <w:rsid w:val="00D41BA6"/>
    <w:rsid w:val="00D4656D"/>
    <w:rsid w:val="00D62F1F"/>
    <w:rsid w:val="00D63641"/>
    <w:rsid w:val="00D70A3E"/>
    <w:rsid w:val="00D7486E"/>
    <w:rsid w:val="00D848B3"/>
    <w:rsid w:val="00DA1AE3"/>
    <w:rsid w:val="00DA2344"/>
    <w:rsid w:val="00DA347D"/>
    <w:rsid w:val="00DA3B98"/>
    <w:rsid w:val="00DB4073"/>
    <w:rsid w:val="00DB4727"/>
    <w:rsid w:val="00DC0B17"/>
    <w:rsid w:val="00DC0D88"/>
    <w:rsid w:val="00DC289A"/>
    <w:rsid w:val="00DD0F81"/>
    <w:rsid w:val="00DD2973"/>
    <w:rsid w:val="00DD3371"/>
    <w:rsid w:val="00DD61BD"/>
    <w:rsid w:val="00DE1C71"/>
    <w:rsid w:val="00DE2491"/>
    <w:rsid w:val="00DE352D"/>
    <w:rsid w:val="00DE3979"/>
    <w:rsid w:val="00DE39F6"/>
    <w:rsid w:val="00E030E3"/>
    <w:rsid w:val="00E047B0"/>
    <w:rsid w:val="00E13A88"/>
    <w:rsid w:val="00E2642E"/>
    <w:rsid w:val="00E272DC"/>
    <w:rsid w:val="00E27CD2"/>
    <w:rsid w:val="00E36308"/>
    <w:rsid w:val="00E4611A"/>
    <w:rsid w:val="00E6299A"/>
    <w:rsid w:val="00E62A9B"/>
    <w:rsid w:val="00E6395E"/>
    <w:rsid w:val="00E669BC"/>
    <w:rsid w:val="00E86D11"/>
    <w:rsid w:val="00E91104"/>
    <w:rsid w:val="00E93076"/>
    <w:rsid w:val="00E938D2"/>
    <w:rsid w:val="00E97BBA"/>
    <w:rsid w:val="00EB4533"/>
    <w:rsid w:val="00EB7F87"/>
    <w:rsid w:val="00EC2AF8"/>
    <w:rsid w:val="00EE3399"/>
    <w:rsid w:val="00EE6B2D"/>
    <w:rsid w:val="00EF1444"/>
    <w:rsid w:val="00EF44BE"/>
    <w:rsid w:val="00F007C3"/>
    <w:rsid w:val="00F026BB"/>
    <w:rsid w:val="00F03176"/>
    <w:rsid w:val="00F11957"/>
    <w:rsid w:val="00F14F6E"/>
    <w:rsid w:val="00F15BFD"/>
    <w:rsid w:val="00F27980"/>
    <w:rsid w:val="00F30400"/>
    <w:rsid w:val="00F30409"/>
    <w:rsid w:val="00F3212F"/>
    <w:rsid w:val="00F330D4"/>
    <w:rsid w:val="00F35E6E"/>
    <w:rsid w:val="00F40E80"/>
    <w:rsid w:val="00F45EC6"/>
    <w:rsid w:val="00F51B73"/>
    <w:rsid w:val="00F53F01"/>
    <w:rsid w:val="00F61D8D"/>
    <w:rsid w:val="00F679EA"/>
    <w:rsid w:val="00F721BB"/>
    <w:rsid w:val="00F75EB1"/>
    <w:rsid w:val="00F82954"/>
    <w:rsid w:val="00F84824"/>
    <w:rsid w:val="00F95971"/>
    <w:rsid w:val="00F96AFA"/>
    <w:rsid w:val="00FB1D50"/>
    <w:rsid w:val="00FB2DB2"/>
    <w:rsid w:val="00FF39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semiHidden="0" w:uiPriority="35"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Block Text" w:uiPriority="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0E3"/>
    <w:pPr>
      <w:spacing w:after="200" w:line="276" w:lineRule="auto"/>
    </w:pPr>
    <w:rPr>
      <w:rFonts w:ascii="Calibri" w:hAnsi="Calibri"/>
      <w:sz w:val="22"/>
      <w:szCs w:val="22"/>
    </w:rPr>
  </w:style>
  <w:style w:type="paragraph" w:styleId="1">
    <w:name w:val="heading 1"/>
    <w:basedOn w:val="a"/>
    <w:next w:val="a"/>
    <w:link w:val="10"/>
    <w:uiPriority w:val="99"/>
    <w:qFormat/>
    <w:rsid w:val="00303C0D"/>
    <w:pPr>
      <w:keepNext/>
      <w:keepLines/>
      <w:spacing w:before="480" w:after="0"/>
      <w:outlineLvl w:val="0"/>
    </w:pPr>
    <w:rPr>
      <w:rFonts w:ascii="Cambria" w:hAnsi="Cambria"/>
      <w:b/>
      <w:bCs/>
      <w:color w:val="365F91"/>
      <w:sz w:val="28"/>
      <w:szCs w:val="28"/>
    </w:rPr>
  </w:style>
  <w:style w:type="paragraph" w:styleId="3">
    <w:name w:val="heading 3"/>
    <w:basedOn w:val="a"/>
    <w:next w:val="a"/>
    <w:link w:val="30"/>
    <w:uiPriority w:val="99"/>
    <w:qFormat/>
    <w:rsid w:val="00F27980"/>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030E3"/>
    <w:pPr>
      <w:keepNext/>
      <w:spacing w:before="240" w:after="60"/>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03C0D"/>
    <w:rPr>
      <w:rFonts w:ascii="Cambria" w:hAnsi="Cambria" w:cs="Times New Roman"/>
      <w:b/>
      <w:bCs/>
      <w:color w:val="365F91"/>
      <w:sz w:val="28"/>
      <w:szCs w:val="28"/>
    </w:rPr>
  </w:style>
  <w:style w:type="character" w:customStyle="1" w:styleId="30">
    <w:name w:val="Заголовок 3 Знак"/>
    <w:basedOn w:val="a0"/>
    <w:link w:val="3"/>
    <w:uiPriority w:val="99"/>
    <w:semiHidden/>
    <w:locked/>
    <w:rsid w:val="00F27980"/>
    <w:rPr>
      <w:rFonts w:ascii="Cambria" w:hAnsi="Cambria" w:cs="Times New Roman"/>
      <w:b/>
      <w:bCs/>
      <w:color w:val="4F81BD"/>
      <w:sz w:val="22"/>
      <w:szCs w:val="22"/>
    </w:rPr>
  </w:style>
  <w:style w:type="character" w:customStyle="1" w:styleId="40">
    <w:name w:val="Заголовок 4 Знак"/>
    <w:basedOn w:val="a0"/>
    <w:link w:val="4"/>
    <w:uiPriority w:val="99"/>
    <w:locked/>
    <w:rsid w:val="00E030E3"/>
    <w:rPr>
      <w:rFonts w:eastAsia="Times New Roman" w:cs="Times New Roman"/>
      <w:b/>
      <w:bCs/>
      <w:sz w:val="28"/>
      <w:szCs w:val="28"/>
    </w:rPr>
  </w:style>
  <w:style w:type="character" w:styleId="a3">
    <w:name w:val="Hyperlink"/>
    <w:basedOn w:val="a0"/>
    <w:uiPriority w:val="99"/>
    <w:rsid w:val="00E030E3"/>
    <w:rPr>
      <w:rFonts w:cs="Times New Roman"/>
      <w:color w:val="0000FF"/>
      <w:u w:val="single"/>
    </w:rPr>
  </w:style>
  <w:style w:type="paragraph" w:styleId="a4">
    <w:name w:val="No Spacing"/>
    <w:link w:val="a5"/>
    <w:uiPriority w:val="99"/>
    <w:qFormat/>
    <w:rsid w:val="00E030E3"/>
    <w:pPr>
      <w:ind w:firstLine="709"/>
      <w:jc w:val="both"/>
    </w:pPr>
    <w:rPr>
      <w:sz w:val="24"/>
      <w:szCs w:val="22"/>
    </w:rPr>
  </w:style>
  <w:style w:type="character" w:customStyle="1" w:styleId="a5">
    <w:name w:val="Без интервала Знак"/>
    <w:link w:val="a4"/>
    <w:uiPriority w:val="99"/>
    <w:locked/>
    <w:rsid w:val="00B20596"/>
    <w:rPr>
      <w:sz w:val="24"/>
      <w:szCs w:val="22"/>
      <w:lang w:bidi="ar-SA"/>
    </w:rPr>
  </w:style>
  <w:style w:type="paragraph" w:styleId="a6">
    <w:name w:val="List Paragraph"/>
    <w:basedOn w:val="a"/>
    <w:uiPriority w:val="34"/>
    <w:qFormat/>
    <w:rsid w:val="00E030E3"/>
    <w:pPr>
      <w:ind w:left="720"/>
      <w:contextualSpacing/>
    </w:pPr>
  </w:style>
  <w:style w:type="paragraph" w:styleId="a7">
    <w:name w:val="Balloon Text"/>
    <w:basedOn w:val="a"/>
    <w:link w:val="a8"/>
    <w:uiPriority w:val="99"/>
    <w:semiHidden/>
    <w:rsid w:val="00E030E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E030E3"/>
    <w:rPr>
      <w:rFonts w:ascii="Tahoma" w:eastAsia="Times New Roman" w:hAnsi="Tahoma" w:cs="Tahoma"/>
      <w:sz w:val="16"/>
      <w:szCs w:val="16"/>
    </w:rPr>
  </w:style>
  <w:style w:type="paragraph" w:customStyle="1" w:styleId="2">
    <w:name w:val="сновной текст с отступом 2"/>
    <w:basedOn w:val="a"/>
    <w:uiPriority w:val="99"/>
    <w:rsid w:val="00E030E3"/>
    <w:pPr>
      <w:widowControl w:val="0"/>
      <w:spacing w:after="0" w:line="240" w:lineRule="auto"/>
      <w:ind w:firstLine="720"/>
      <w:jc w:val="both"/>
    </w:pPr>
    <w:rPr>
      <w:rFonts w:ascii="Times New Roman" w:hAnsi="Times New Roman"/>
      <w:sz w:val="26"/>
      <w:szCs w:val="20"/>
    </w:rPr>
  </w:style>
  <w:style w:type="paragraph" w:styleId="20">
    <w:name w:val="Body Text Indent 2"/>
    <w:basedOn w:val="a"/>
    <w:link w:val="21"/>
    <w:uiPriority w:val="99"/>
    <w:semiHidden/>
    <w:rsid w:val="00DD3371"/>
    <w:pPr>
      <w:spacing w:after="120" w:line="480" w:lineRule="auto"/>
      <w:ind w:left="283"/>
    </w:pPr>
  </w:style>
  <w:style w:type="character" w:customStyle="1" w:styleId="21">
    <w:name w:val="Основной текст с отступом 2 Знак"/>
    <w:basedOn w:val="a0"/>
    <w:link w:val="20"/>
    <w:uiPriority w:val="99"/>
    <w:semiHidden/>
    <w:locked/>
    <w:rsid w:val="00DD3371"/>
    <w:rPr>
      <w:rFonts w:ascii="Calibri" w:hAnsi="Calibri" w:cs="Times New Roman"/>
      <w:sz w:val="22"/>
      <w:szCs w:val="22"/>
    </w:rPr>
  </w:style>
  <w:style w:type="paragraph" w:styleId="31">
    <w:name w:val="Body Text Indent 3"/>
    <w:basedOn w:val="a"/>
    <w:link w:val="32"/>
    <w:uiPriority w:val="99"/>
    <w:semiHidden/>
    <w:rsid w:val="00DD3371"/>
    <w:pPr>
      <w:spacing w:after="120"/>
      <w:ind w:left="283"/>
    </w:pPr>
    <w:rPr>
      <w:sz w:val="16"/>
      <w:szCs w:val="16"/>
    </w:rPr>
  </w:style>
  <w:style w:type="character" w:customStyle="1" w:styleId="32">
    <w:name w:val="Основной текст с отступом 3 Знак"/>
    <w:basedOn w:val="a0"/>
    <w:link w:val="31"/>
    <w:uiPriority w:val="99"/>
    <w:semiHidden/>
    <w:locked/>
    <w:rsid w:val="00DD3371"/>
    <w:rPr>
      <w:rFonts w:ascii="Calibri" w:eastAsia="Times New Roman" w:hAnsi="Calibri" w:cs="Times New Roman"/>
      <w:sz w:val="16"/>
      <w:szCs w:val="16"/>
    </w:rPr>
  </w:style>
  <w:style w:type="character" w:customStyle="1" w:styleId="FontStyle186">
    <w:name w:val="Font Style186"/>
    <w:basedOn w:val="a0"/>
    <w:uiPriority w:val="99"/>
    <w:rsid w:val="007613C1"/>
    <w:rPr>
      <w:rFonts w:ascii="Sylfaen" w:hAnsi="Sylfaen" w:cs="Sylfaen"/>
      <w:i/>
      <w:iCs/>
      <w:spacing w:val="-10"/>
      <w:sz w:val="22"/>
      <w:szCs w:val="22"/>
    </w:rPr>
  </w:style>
  <w:style w:type="character" w:customStyle="1" w:styleId="FontStyle183">
    <w:name w:val="Font Style183"/>
    <w:basedOn w:val="a0"/>
    <w:rsid w:val="007613C1"/>
    <w:rPr>
      <w:rFonts w:ascii="Sylfaen" w:hAnsi="Sylfaen" w:cs="Sylfaen"/>
      <w:sz w:val="20"/>
      <w:szCs w:val="20"/>
    </w:rPr>
  </w:style>
  <w:style w:type="paragraph" w:customStyle="1" w:styleId="Style26">
    <w:name w:val="Style26"/>
    <w:basedOn w:val="a"/>
    <w:rsid w:val="00DE39F6"/>
    <w:pPr>
      <w:widowControl w:val="0"/>
      <w:autoSpaceDE w:val="0"/>
      <w:autoSpaceDN w:val="0"/>
      <w:adjustRightInd w:val="0"/>
      <w:spacing w:after="0" w:line="289" w:lineRule="exact"/>
      <w:ind w:firstLine="432"/>
      <w:jc w:val="both"/>
    </w:pPr>
    <w:rPr>
      <w:rFonts w:ascii="Sylfaen" w:hAnsi="Sylfaen"/>
      <w:sz w:val="24"/>
      <w:szCs w:val="24"/>
    </w:rPr>
  </w:style>
  <w:style w:type="paragraph" w:customStyle="1" w:styleId="11">
    <w:name w:val="Без интервала1"/>
    <w:rsid w:val="00DE39F6"/>
    <w:rPr>
      <w:rFonts w:ascii="Calibri" w:hAnsi="Calibri"/>
      <w:sz w:val="22"/>
      <w:szCs w:val="22"/>
    </w:rPr>
  </w:style>
  <w:style w:type="paragraph" w:styleId="22">
    <w:name w:val="Body Text 2"/>
    <w:basedOn w:val="a"/>
    <w:link w:val="23"/>
    <w:rsid w:val="00256B36"/>
    <w:pPr>
      <w:spacing w:after="120" w:line="480" w:lineRule="auto"/>
    </w:pPr>
  </w:style>
  <w:style w:type="character" w:customStyle="1" w:styleId="23">
    <w:name w:val="Основной текст 2 Знак"/>
    <w:basedOn w:val="a0"/>
    <w:link w:val="22"/>
    <w:locked/>
    <w:rsid w:val="00256B36"/>
    <w:rPr>
      <w:rFonts w:ascii="Calibri" w:hAnsi="Calibri" w:cs="Times New Roman"/>
      <w:sz w:val="22"/>
      <w:szCs w:val="22"/>
    </w:rPr>
  </w:style>
  <w:style w:type="paragraph" w:styleId="a9">
    <w:name w:val="caption"/>
    <w:basedOn w:val="a"/>
    <w:next w:val="a"/>
    <w:uiPriority w:val="35"/>
    <w:qFormat/>
    <w:rsid w:val="002224BC"/>
    <w:pPr>
      <w:spacing w:line="240" w:lineRule="auto"/>
    </w:pPr>
    <w:rPr>
      <w:b/>
      <w:bCs/>
      <w:color w:val="4F81BD"/>
      <w:sz w:val="18"/>
      <w:szCs w:val="18"/>
    </w:rPr>
  </w:style>
  <w:style w:type="paragraph" w:styleId="aa">
    <w:name w:val="Plain Text"/>
    <w:aliases w:val="Текст Знак1 Знак,Текст Знак Знак Знак,Знак Знак Знак Знак,Знак,Текст Знак1,Знак Знак Знак,Текст Знак2,Знак Знак Знак Знак1,Текст Знак1 Знак1 Знак,Текст Знак Знак Знак1 Знак,Текст Знак Знак1,Текст Знак2 Знак Знак1,Зн,Зна"/>
    <w:basedOn w:val="a"/>
    <w:link w:val="33"/>
    <w:rsid w:val="000B70B8"/>
    <w:pPr>
      <w:spacing w:after="0" w:line="240" w:lineRule="auto"/>
    </w:pPr>
    <w:rPr>
      <w:rFonts w:ascii="Courier New" w:hAnsi="Courier New"/>
      <w:sz w:val="20"/>
      <w:szCs w:val="20"/>
    </w:rPr>
  </w:style>
  <w:style w:type="character" w:customStyle="1" w:styleId="33">
    <w:name w:val="Текст Знак3"/>
    <w:aliases w:val="Текст Знак1 Знак Знак,Текст Знак Знак Знак Знак,Знак Знак Знак Знак Знак,Знак Знак,Текст Знак1 Знак1,Знак Знак Знак Знак2,Текст Знак2 Знак,Знак Знак Знак Знак1 Знак,Текст Знак1 Знак1 Знак Знак,Текст Знак Знак Знак1 Знак Знак,Зн Знак,Зна Знак"/>
    <w:basedOn w:val="a0"/>
    <w:link w:val="aa"/>
    <w:uiPriority w:val="99"/>
    <w:locked/>
    <w:rsid w:val="000B70B8"/>
    <w:rPr>
      <w:rFonts w:ascii="Courier New" w:hAnsi="Courier New" w:cs="Times New Roman"/>
    </w:rPr>
  </w:style>
  <w:style w:type="character" w:customStyle="1" w:styleId="ab">
    <w:name w:val="Текст Знак"/>
    <w:basedOn w:val="a0"/>
    <w:link w:val="aa"/>
    <w:locked/>
    <w:rsid w:val="000B70B8"/>
    <w:rPr>
      <w:rFonts w:ascii="Consolas" w:eastAsia="Times New Roman" w:hAnsi="Consolas" w:cs="Times New Roman"/>
      <w:sz w:val="21"/>
      <w:szCs w:val="21"/>
    </w:rPr>
  </w:style>
  <w:style w:type="character" w:customStyle="1" w:styleId="ac">
    <w:name w:val="Основной текст Знак"/>
    <w:aliases w:val="Знак3 Знак"/>
    <w:basedOn w:val="a0"/>
    <w:link w:val="ad"/>
    <w:locked/>
    <w:rsid w:val="000B70B8"/>
    <w:rPr>
      <w:rFonts w:cs="Times New Roman"/>
    </w:rPr>
  </w:style>
  <w:style w:type="paragraph" w:styleId="ad">
    <w:name w:val="Body Text"/>
    <w:aliases w:val="Знак3"/>
    <w:basedOn w:val="a"/>
    <w:link w:val="ac"/>
    <w:rsid w:val="000B70B8"/>
    <w:pPr>
      <w:spacing w:after="120" w:line="240" w:lineRule="auto"/>
    </w:pPr>
    <w:rPr>
      <w:rFonts w:ascii="Times New Roman" w:hAnsi="Times New Roman"/>
      <w:sz w:val="20"/>
      <w:szCs w:val="20"/>
    </w:rPr>
  </w:style>
  <w:style w:type="character" w:customStyle="1" w:styleId="BodyTextChar1">
    <w:name w:val="Body Text Char1"/>
    <w:aliases w:val="Знак3 Char1"/>
    <w:basedOn w:val="a0"/>
    <w:link w:val="ad"/>
    <w:uiPriority w:val="99"/>
    <w:semiHidden/>
    <w:rsid w:val="00860885"/>
    <w:rPr>
      <w:rFonts w:ascii="Calibri" w:hAnsi="Calibri"/>
    </w:rPr>
  </w:style>
  <w:style w:type="paragraph" w:customStyle="1" w:styleId="12">
    <w:name w:val="Обычный (веб)1"/>
    <w:basedOn w:val="a"/>
    <w:uiPriority w:val="99"/>
    <w:rsid w:val="00B20596"/>
    <w:pPr>
      <w:spacing w:after="0" w:line="240" w:lineRule="auto"/>
    </w:pPr>
    <w:rPr>
      <w:rFonts w:ascii="Arial" w:hAnsi="Arial" w:cs="Arial"/>
      <w:sz w:val="24"/>
      <w:szCs w:val="24"/>
    </w:rPr>
  </w:style>
  <w:style w:type="paragraph" w:customStyle="1" w:styleId="ae">
    <w:name w:val="Нормальный"/>
    <w:basedOn w:val="a"/>
    <w:rsid w:val="008C3ECC"/>
    <w:pPr>
      <w:spacing w:after="0" w:line="240" w:lineRule="auto"/>
      <w:jc w:val="both"/>
    </w:pPr>
    <w:rPr>
      <w:rFonts w:ascii="Times New Roman" w:hAnsi="Times New Roman"/>
      <w:sz w:val="28"/>
      <w:szCs w:val="20"/>
    </w:rPr>
  </w:style>
  <w:style w:type="character" w:customStyle="1" w:styleId="af">
    <w:name w:val="Основной текст_"/>
    <w:basedOn w:val="a0"/>
    <w:rsid w:val="00321F48"/>
    <w:rPr>
      <w:rFonts w:ascii="Times New Roman" w:hAnsi="Times New Roman" w:cs="Times New Roman"/>
      <w:sz w:val="27"/>
      <w:szCs w:val="27"/>
      <w:u w:val="none"/>
    </w:rPr>
  </w:style>
  <w:style w:type="paragraph" w:styleId="af0">
    <w:name w:val="Normal (Web)"/>
    <w:basedOn w:val="a"/>
    <w:link w:val="af1"/>
    <w:uiPriority w:val="99"/>
    <w:rsid w:val="0007138E"/>
    <w:pPr>
      <w:spacing w:before="100" w:beforeAutospacing="1" w:after="100" w:afterAutospacing="1" w:line="240" w:lineRule="auto"/>
    </w:pPr>
    <w:rPr>
      <w:rFonts w:ascii="Times New Roman" w:hAnsi="Times New Roman"/>
      <w:sz w:val="24"/>
      <w:szCs w:val="24"/>
    </w:rPr>
  </w:style>
  <w:style w:type="paragraph" w:styleId="af2">
    <w:name w:val="footer"/>
    <w:basedOn w:val="a"/>
    <w:link w:val="af3"/>
    <w:rsid w:val="00D14717"/>
    <w:pPr>
      <w:tabs>
        <w:tab w:val="center" w:pos="4153"/>
        <w:tab w:val="right" w:pos="8306"/>
      </w:tabs>
      <w:spacing w:after="0" w:line="240" w:lineRule="auto"/>
    </w:pPr>
    <w:rPr>
      <w:rFonts w:ascii="Times New Roman" w:hAnsi="Times New Roman"/>
      <w:sz w:val="20"/>
      <w:szCs w:val="20"/>
    </w:rPr>
  </w:style>
  <w:style w:type="character" w:customStyle="1" w:styleId="af3">
    <w:name w:val="Нижний колонтитул Знак"/>
    <w:basedOn w:val="a0"/>
    <w:link w:val="af2"/>
    <w:locked/>
    <w:rsid w:val="00D14717"/>
    <w:rPr>
      <w:rFonts w:cs="Times New Roman"/>
    </w:rPr>
  </w:style>
  <w:style w:type="table" w:styleId="af4">
    <w:name w:val="Table Grid"/>
    <w:basedOn w:val="a1"/>
    <w:rsid w:val="00D14717"/>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Без интервала2"/>
    <w:rsid w:val="00CF2D29"/>
    <w:pPr>
      <w:ind w:firstLine="709"/>
      <w:jc w:val="both"/>
    </w:pPr>
    <w:rPr>
      <w:sz w:val="24"/>
      <w:szCs w:val="24"/>
    </w:rPr>
  </w:style>
  <w:style w:type="paragraph" w:styleId="af5">
    <w:name w:val="header"/>
    <w:basedOn w:val="a"/>
    <w:link w:val="af6"/>
    <w:uiPriority w:val="99"/>
    <w:semiHidden/>
    <w:rsid w:val="00FF39D8"/>
    <w:pPr>
      <w:tabs>
        <w:tab w:val="center" w:pos="4677"/>
        <w:tab w:val="right" w:pos="9355"/>
      </w:tabs>
      <w:spacing w:after="0" w:line="240" w:lineRule="auto"/>
    </w:pPr>
  </w:style>
  <w:style w:type="character" w:customStyle="1" w:styleId="af6">
    <w:name w:val="Верхний колонтитул Знак"/>
    <w:basedOn w:val="a0"/>
    <w:link w:val="af5"/>
    <w:uiPriority w:val="99"/>
    <w:semiHidden/>
    <w:locked/>
    <w:rsid w:val="00FF39D8"/>
    <w:rPr>
      <w:rFonts w:ascii="Calibri" w:eastAsia="Times New Roman" w:hAnsi="Calibri" w:cs="Times New Roman"/>
      <w:sz w:val="22"/>
      <w:szCs w:val="22"/>
    </w:rPr>
  </w:style>
  <w:style w:type="character" w:styleId="af7">
    <w:name w:val="page number"/>
    <w:basedOn w:val="a0"/>
    <w:uiPriority w:val="99"/>
    <w:rsid w:val="00253E3A"/>
    <w:rPr>
      <w:rFonts w:cs="Times New Roman"/>
    </w:rPr>
  </w:style>
  <w:style w:type="paragraph" w:styleId="af8">
    <w:name w:val="Body Text Indent"/>
    <w:basedOn w:val="a"/>
    <w:link w:val="af9"/>
    <w:uiPriority w:val="99"/>
    <w:unhideWhenUsed/>
    <w:rsid w:val="00D41BA6"/>
    <w:pPr>
      <w:spacing w:after="120"/>
      <w:ind w:left="283"/>
    </w:pPr>
    <w:rPr>
      <w:rFonts w:eastAsia="Calibri"/>
    </w:rPr>
  </w:style>
  <w:style w:type="character" w:customStyle="1" w:styleId="af9">
    <w:name w:val="Основной текст с отступом Знак"/>
    <w:basedOn w:val="a0"/>
    <w:link w:val="af8"/>
    <w:uiPriority w:val="99"/>
    <w:rsid w:val="00D41BA6"/>
    <w:rPr>
      <w:rFonts w:ascii="Calibri" w:eastAsia="Calibri" w:hAnsi="Calibri"/>
      <w:sz w:val="22"/>
      <w:szCs w:val="22"/>
    </w:rPr>
  </w:style>
  <w:style w:type="character" w:customStyle="1" w:styleId="af1">
    <w:name w:val="Обычный (веб) Знак"/>
    <w:basedOn w:val="a0"/>
    <w:link w:val="af0"/>
    <w:rsid w:val="00DA2344"/>
    <w:rPr>
      <w:sz w:val="24"/>
      <w:szCs w:val="24"/>
    </w:rPr>
  </w:style>
  <w:style w:type="character" w:customStyle="1" w:styleId="34">
    <w:name w:val="Основной текст (3)_"/>
    <w:basedOn w:val="a0"/>
    <w:link w:val="35"/>
    <w:rsid w:val="005423DE"/>
    <w:rPr>
      <w:b/>
      <w:bCs/>
      <w:sz w:val="27"/>
      <w:szCs w:val="27"/>
      <w:shd w:val="clear" w:color="auto" w:fill="FFFFFF"/>
    </w:rPr>
  </w:style>
  <w:style w:type="character" w:customStyle="1" w:styleId="afa">
    <w:name w:val="Подпись к таблице_"/>
    <w:basedOn w:val="a0"/>
    <w:link w:val="afb"/>
    <w:rsid w:val="005423DE"/>
    <w:rPr>
      <w:b/>
      <w:bCs/>
      <w:sz w:val="27"/>
      <w:szCs w:val="27"/>
      <w:shd w:val="clear" w:color="auto" w:fill="FFFFFF"/>
    </w:rPr>
  </w:style>
  <w:style w:type="paragraph" w:customStyle="1" w:styleId="35">
    <w:name w:val="Основной текст (3)"/>
    <w:basedOn w:val="a"/>
    <w:link w:val="34"/>
    <w:rsid w:val="005423DE"/>
    <w:pPr>
      <w:widowControl w:val="0"/>
      <w:shd w:val="clear" w:color="auto" w:fill="FFFFFF"/>
      <w:spacing w:after="0" w:line="322" w:lineRule="exact"/>
      <w:ind w:firstLine="580"/>
      <w:jc w:val="both"/>
    </w:pPr>
    <w:rPr>
      <w:rFonts w:ascii="Times New Roman" w:hAnsi="Times New Roman"/>
      <w:b/>
      <w:bCs/>
      <w:sz w:val="27"/>
      <w:szCs w:val="27"/>
    </w:rPr>
  </w:style>
  <w:style w:type="paragraph" w:customStyle="1" w:styleId="afb">
    <w:name w:val="Подпись к таблице"/>
    <w:basedOn w:val="a"/>
    <w:link w:val="afa"/>
    <w:rsid w:val="005423DE"/>
    <w:pPr>
      <w:widowControl w:val="0"/>
      <w:shd w:val="clear" w:color="auto" w:fill="FFFFFF"/>
      <w:spacing w:after="0" w:line="240" w:lineRule="atLeast"/>
    </w:pPr>
    <w:rPr>
      <w:rFonts w:ascii="Times New Roman" w:hAnsi="Times New Roman"/>
      <w:b/>
      <w:bCs/>
      <w:sz w:val="27"/>
      <w:szCs w:val="27"/>
    </w:rPr>
  </w:style>
  <w:style w:type="paragraph" w:styleId="afc">
    <w:name w:val="Block Text"/>
    <w:basedOn w:val="a"/>
    <w:rsid w:val="00042094"/>
    <w:pPr>
      <w:widowControl w:val="0"/>
      <w:suppressAutoHyphens/>
      <w:snapToGrid w:val="0"/>
      <w:spacing w:after="0" w:line="240" w:lineRule="auto"/>
      <w:ind w:left="-32" w:right="-92"/>
      <w:jc w:val="center"/>
    </w:pPr>
    <w:rPr>
      <w:rFonts w:ascii="Times New Roman" w:hAnsi="Times New Roman"/>
      <w:b/>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42" Type="http://schemas.openxmlformats.org/officeDocument/2006/relationships/chart" Target="charts/chart33.xml"/><Relationship Id="rId47" Type="http://schemas.openxmlformats.org/officeDocument/2006/relationships/chart" Target="charts/chart38.xml"/><Relationship Id="rId63" Type="http://schemas.openxmlformats.org/officeDocument/2006/relationships/chart" Target="charts/chart50.xml"/><Relationship Id="rId68" Type="http://schemas.openxmlformats.org/officeDocument/2006/relationships/chart" Target="charts/chart55.xml"/><Relationship Id="rId84" Type="http://schemas.openxmlformats.org/officeDocument/2006/relationships/chart" Target="charts/chart71.xml"/><Relationship Id="rId89" Type="http://schemas.openxmlformats.org/officeDocument/2006/relationships/chart" Target="charts/chart76.xml"/><Relationship Id="rId7" Type="http://schemas.openxmlformats.org/officeDocument/2006/relationships/endnotes" Target="endnotes.xml"/><Relationship Id="rId71" Type="http://schemas.openxmlformats.org/officeDocument/2006/relationships/chart" Target="charts/chart58.xml"/><Relationship Id="rId92" Type="http://schemas.openxmlformats.org/officeDocument/2006/relationships/chart" Target="charts/chart79.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chart" Target="charts/chart49.xml"/><Relationship Id="rId66" Type="http://schemas.openxmlformats.org/officeDocument/2006/relationships/chart" Target="charts/chart53.xml"/><Relationship Id="rId74" Type="http://schemas.openxmlformats.org/officeDocument/2006/relationships/chart" Target="charts/chart61.xml"/><Relationship Id="rId79" Type="http://schemas.openxmlformats.org/officeDocument/2006/relationships/chart" Target="charts/chart66.xml"/><Relationship Id="rId87" Type="http://schemas.openxmlformats.org/officeDocument/2006/relationships/chart" Target="charts/chart74.xml"/><Relationship Id="rId102" Type="http://schemas.openxmlformats.org/officeDocument/2006/relationships/chart" Target="charts/chart89.xml"/><Relationship Id="rId5" Type="http://schemas.openxmlformats.org/officeDocument/2006/relationships/webSettings" Target="webSettings.xml"/><Relationship Id="rId61" Type="http://schemas.openxmlformats.org/officeDocument/2006/relationships/image" Target="media/image12.emf"/><Relationship Id="rId82" Type="http://schemas.openxmlformats.org/officeDocument/2006/relationships/chart" Target="charts/chart69.xml"/><Relationship Id="rId90" Type="http://schemas.openxmlformats.org/officeDocument/2006/relationships/chart" Target="charts/chart77.xml"/><Relationship Id="rId95" Type="http://schemas.openxmlformats.org/officeDocument/2006/relationships/chart" Target="charts/chart82.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64" Type="http://schemas.openxmlformats.org/officeDocument/2006/relationships/chart" Target="charts/chart51.xml"/><Relationship Id="rId69" Type="http://schemas.openxmlformats.org/officeDocument/2006/relationships/chart" Target="charts/chart56.xml"/><Relationship Id="rId77" Type="http://schemas.openxmlformats.org/officeDocument/2006/relationships/chart" Target="charts/chart64.xml"/><Relationship Id="rId100" Type="http://schemas.openxmlformats.org/officeDocument/2006/relationships/chart" Target="charts/chart87.xml"/><Relationship Id="rId105"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chart" Target="charts/chart42.xml"/><Relationship Id="rId72" Type="http://schemas.openxmlformats.org/officeDocument/2006/relationships/chart" Target="charts/chart59.xml"/><Relationship Id="rId80" Type="http://schemas.openxmlformats.org/officeDocument/2006/relationships/chart" Target="charts/chart67.xml"/><Relationship Id="rId85" Type="http://schemas.openxmlformats.org/officeDocument/2006/relationships/chart" Target="charts/chart72.xml"/><Relationship Id="rId93" Type="http://schemas.openxmlformats.org/officeDocument/2006/relationships/chart" Target="charts/chart80.xml"/><Relationship Id="rId98" Type="http://schemas.openxmlformats.org/officeDocument/2006/relationships/chart" Target="charts/chart85.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image" Target="media/image10.emf"/><Relationship Id="rId67" Type="http://schemas.openxmlformats.org/officeDocument/2006/relationships/chart" Target="charts/chart54.xml"/><Relationship Id="rId103" Type="http://schemas.openxmlformats.org/officeDocument/2006/relationships/chart" Target="charts/chart90.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image" Target="media/image13.emf"/><Relationship Id="rId70" Type="http://schemas.openxmlformats.org/officeDocument/2006/relationships/chart" Target="charts/chart57.xml"/><Relationship Id="rId75" Type="http://schemas.openxmlformats.org/officeDocument/2006/relationships/chart" Target="charts/chart62.xml"/><Relationship Id="rId83" Type="http://schemas.openxmlformats.org/officeDocument/2006/relationships/chart" Target="charts/chart70.xml"/><Relationship Id="rId88" Type="http://schemas.openxmlformats.org/officeDocument/2006/relationships/chart" Target="charts/chart75.xml"/><Relationship Id="rId91" Type="http://schemas.openxmlformats.org/officeDocument/2006/relationships/chart" Target="charts/chart78.xml"/><Relationship Id="rId96" Type="http://schemas.openxmlformats.org/officeDocument/2006/relationships/chart" Target="charts/chart8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8.xml"/><Relationship Id="rId106" Type="http://schemas.openxmlformats.org/officeDocument/2006/relationships/theme" Target="theme/theme1.xm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image" Target="media/image11.emf"/><Relationship Id="rId65" Type="http://schemas.openxmlformats.org/officeDocument/2006/relationships/chart" Target="charts/chart52.xml"/><Relationship Id="rId73" Type="http://schemas.openxmlformats.org/officeDocument/2006/relationships/chart" Target="charts/chart60.xml"/><Relationship Id="rId78" Type="http://schemas.openxmlformats.org/officeDocument/2006/relationships/chart" Target="charts/chart65.xml"/><Relationship Id="rId81" Type="http://schemas.openxmlformats.org/officeDocument/2006/relationships/chart" Target="charts/chart68.xml"/><Relationship Id="rId86" Type="http://schemas.openxmlformats.org/officeDocument/2006/relationships/chart" Target="charts/chart73.xml"/><Relationship Id="rId94" Type="http://schemas.openxmlformats.org/officeDocument/2006/relationships/chart" Target="charts/chart81.xml"/><Relationship Id="rId99" Type="http://schemas.openxmlformats.org/officeDocument/2006/relationships/chart" Target="charts/chart86.xml"/><Relationship Id="rId101" Type="http://schemas.openxmlformats.org/officeDocument/2006/relationships/chart" Target="charts/chart88.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34" Type="http://schemas.openxmlformats.org/officeDocument/2006/relationships/chart" Target="charts/chart25.xml"/><Relationship Id="rId50" Type="http://schemas.openxmlformats.org/officeDocument/2006/relationships/chart" Target="charts/chart41.xml"/><Relationship Id="rId55" Type="http://schemas.openxmlformats.org/officeDocument/2006/relationships/chart" Target="charts/chart46.xml"/><Relationship Id="rId76" Type="http://schemas.openxmlformats.org/officeDocument/2006/relationships/chart" Target="charts/chart63.xml"/><Relationship Id="rId97" Type="http://schemas.openxmlformats.org/officeDocument/2006/relationships/chart" Target="charts/chart84.xml"/><Relationship Id="rId104" Type="http://schemas.openxmlformats.org/officeDocument/2006/relationships/chart" Target="charts/chart9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jpeg"/><Relationship Id="rId1" Type="http://schemas.openxmlformats.org/officeDocument/2006/relationships/image" Target="../media/image4.jpeg"/><Relationship Id="rId6" Type="http://schemas.openxmlformats.org/officeDocument/2006/relationships/package" Target="../embeddings/_____Microsoft_Office_Excel25.xlsx"/><Relationship Id="rId5" Type="http://schemas.openxmlformats.org/officeDocument/2006/relationships/image" Target="../media/image7.jpeg"/><Relationship Id="rId4" Type="http://schemas.openxmlformats.org/officeDocument/2006/relationships/image" Target="../media/image6.jpeg"/></Relationships>
</file>

<file path=word/charts/_rels/chart26.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jpeg"/><Relationship Id="rId1" Type="http://schemas.openxmlformats.org/officeDocument/2006/relationships/image" Target="../media/image4.jpeg"/><Relationship Id="rId6" Type="http://schemas.openxmlformats.org/officeDocument/2006/relationships/package" Target="../embeddings/_____Microsoft_Office_Excel26.xlsx"/><Relationship Id="rId5" Type="http://schemas.openxmlformats.org/officeDocument/2006/relationships/image" Target="../media/image7.jpeg"/><Relationship Id="rId4" Type="http://schemas.openxmlformats.org/officeDocument/2006/relationships/image" Target="../media/image6.jpeg"/></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9.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10.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11.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12.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13.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14.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15.xm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52;&#1054;&#1048;%20&#1044;&#1054;&#1050;&#1059;&#1052;&#1045;&#1053;&#1058;&#1067;\&#1044;&#1048;&#1040;&#1043;&#1056;&#1040;&#1052;&#1052;&#1067;%20(&#1089;%20&#1057;&#1077;&#1090;&#1080;%20-%202014%20&#1075;.)\&#1076;&#1080;&#1072;&#1075;&#1088;&#1072;&#1084;&#1084;&#1099;%20&#1042;&#1072;&#1083;&#1086;&#1074;&#1072;&#1103;%20&#1087;&#1088;&#1086;&#1076;&#1091;&#1082;&#1094;&#1080;&#1103;\&#1042;&#1072;&#1083;%20&#1089;&#1093;.xlsx" TargetMode="External"/></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52;&#1054;&#1048;%20&#1044;&#1054;&#1050;&#1059;&#1052;&#1045;&#1053;&#1058;&#1067;\&#1044;&#1080;&#1072;&#1075;&#1088;&#1072;&#1084;&#1084;&#1099;%20&#1082;%20&#1076;&#1086;&#1082;&#1083;&#1072;&#1076;&#1091;%20&#1048;&#1085;&#1074;&#1077;&#1089;-&#1072;&#1103;%20&#1076;&#1077;&#1103;&#1090;-&#1090;&#1100;%20&#1079;&#1072;%202012-2013%20&#1075;&#1075;\&#1080;&#1085;&#1074;-&#1072;&#1103;%20&#1076;&#1077;&#1103;&#1090;-&#1090;&#1100;%202012-2013%20&#1075;&#1075;._&#1048;&#1074;&#1072;&#1085;&#1086;&#1074;&#1072;.xlsx" TargetMode="External"/></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1052;&#1054;&#1048;%20&#1044;&#1054;&#1050;&#1059;&#1052;&#1045;&#1053;&#1058;&#1067;\&#1044;&#1080;&#1072;&#1075;&#1088;&#1072;&#1084;&#1084;&#1099;%20&#1082;%20&#1076;&#1086;&#1082;&#1083;&#1072;&#1076;&#1091;%20&#1048;&#1085;&#1074;&#1077;&#1089;-&#1072;&#1103;%20&#1076;&#1077;&#1103;&#1090;-&#1090;&#1100;%20&#1079;&#1072;%202012-2013%20&#1075;&#1075;\&#1080;&#1085;&#1074;-&#1072;&#1103;%20&#1076;&#1077;&#1103;&#1090;-&#1090;&#1100;%202012-2013%20&#1075;&#1075;._&#1048;&#1074;&#1072;&#1085;&#1086;&#1074;&#1072;.xlsx" TargetMode="Externa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image" Target="../media/image9.jpeg"/></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image" Target="../media/image9.jpeg"/></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image" Target="../media/image9.jpeg"/></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2.xlsx"/><Relationship Id="rId1" Type="http://schemas.openxmlformats.org/officeDocument/2006/relationships/image" Target="../media/image9.jpeg"/></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image" Target="../media/image9.jpeg"/></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image" Target="../media/image9.jpeg"/></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Office_Excel45.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6.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2.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16.xml"/></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Office_Excel48.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image" Target="../media/image5.jpeg"/></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image" Target="../media/image5.jpeg"/></Relationships>
</file>

<file path=word/charts/_rels/chart55.xml.rels><?xml version="1.0" encoding="UTF-8" standalone="yes"?>
<Relationships xmlns="http://schemas.openxmlformats.org/package/2006/relationships"><Relationship Id="rId3" Type="http://schemas.openxmlformats.org/officeDocument/2006/relationships/package" Target="../embeddings/_____Microsoft_Office_Excel52.xlsx"/><Relationship Id="rId2" Type="http://schemas.openxmlformats.org/officeDocument/2006/relationships/image" Target="../media/image5.jpeg"/><Relationship Id="rId1" Type="http://schemas.openxmlformats.org/officeDocument/2006/relationships/image" Target="../media/image14.jpeg"/></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Office_Excel54.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5.xlsx"/></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17.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3.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18.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Office_Excel58.xlsx"/><Relationship Id="rId1" Type="http://schemas.openxmlformats.org/officeDocument/2006/relationships/themeOverride" Target="../theme/themeOverride19.xml"/></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Office_Excel59.xlsx"/></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Office_Excel60.xlsx"/><Relationship Id="rId1" Type="http://schemas.openxmlformats.org/officeDocument/2006/relationships/themeOverride" Target="../theme/themeOverride20.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Office_Excel61.xlsx"/><Relationship Id="rId1" Type="http://schemas.openxmlformats.org/officeDocument/2006/relationships/themeOverride" Target="../theme/themeOverride21.xml"/></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Office_Excel62.xlsx"/></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Office_Excel63.xlsx"/><Relationship Id="rId1" Type="http://schemas.openxmlformats.org/officeDocument/2006/relationships/themeOverride" Target="../theme/themeOverride22.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Office_Excel64.xlsx"/><Relationship Id="rId1" Type="http://schemas.openxmlformats.org/officeDocument/2006/relationships/themeOverride" Target="../theme/themeOverride23.xml"/></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Office_Excel65.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Office_Excel6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4.xml"/></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Office_Excel67.xlsx"/></Relationships>
</file>

<file path=word/charts/_rels/chart7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4.jpeg"/><Relationship Id="rId1" Type="http://schemas.openxmlformats.org/officeDocument/2006/relationships/themeOverride" Target="../theme/themeOverride24.xml"/><Relationship Id="rId5" Type="http://schemas.openxmlformats.org/officeDocument/2006/relationships/package" Target="../embeddings/_____Microsoft_Office_Excel68.xlsx"/><Relationship Id="rId4" Type="http://schemas.openxmlformats.org/officeDocument/2006/relationships/image" Target="../media/image15.jpeg"/></Relationships>
</file>

<file path=word/charts/_rels/chart7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4.jpeg"/><Relationship Id="rId1" Type="http://schemas.openxmlformats.org/officeDocument/2006/relationships/themeOverride" Target="../theme/themeOverride25.xml"/><Relationship Id="rId5" Type="http://schemas.openxmlformats.org/officeDocument/2006/relationships/package" Target="../embeddings/_____Microsoft_Office_Excel69.xlsx"/><Relationship Id="rId4" Type="http://schemas.openxmlformats.org/officeDocument/2006/relationships/image" Target="../media/image15.jpeg"/></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Office_Excel70.xlsx"/><Relationship Id="rId1" Type="http://schemas.openxmlformats.org/officeDocument/2006/relationships/themeOverride" Target="../theme/themeOverride26.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Office_Excel71.xlsx"/><Relationship Id="rId1" Type="http://schemas.openxmlformats.org/officeDocument/2006/relationships/themeOverride" Target="../theme/themeOverride27.xml"/></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Office_Excel72.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Office_Excel73.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_____Microsoft_Office_Excel74.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_____Microsoft_Office_Excel75.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_____Microsoft_Office_Excel7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5.xml"/></Relationships>
</file>

<file path=word/charts/_rels/chart80.xml.rels><?xml version="1.0" encoding="UTF-8" standalone="yes"?>
<Relationships xmlns="http://schemas.openxmlformats.org/package/2006/relationships"><Relationship Id="rId1" Type="http://schemas.openxmlformats.org/officeDocument/2006/relationships/package" Target="../embeddings/_____Microsoft_Office_Excel77.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_____Microsoft_Office_Excel78.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_____Microsoft_Office_Excel79.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_____Microsoft_Office_Excel80.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_____Microsoft_Office_Excel81.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_____Microsoft_Office_Excel82.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_____Microsoft_Office_Excel83.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_____Microsoft_Office_Excel84.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_____Microsoft_Office_Excel85.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_____Microsoft_Office_Excel86.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6.xml"/></Relationships>
</file>

<file path=word/charts/_rels/chart90.xml.rels><?xml version="1.0" encoding="UTF-8" standalone="yes"?>
<Relationships xmlns="http://schemas.openxmlformats.org/package/2006/relationships"><Relationship Id="rId1" Type="http://schemas.openxmlformats.org/officeDocument/2006/relationships/package" Target="../embeddings/_____Microsoft_Office_Excel87.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_____Microsoft_Office_Excel8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36553592461719664"/>
          <c:y val="5.842021902434668E-2"/>
          <c:w val="0.58734982332155672"/>
          <c:h val="0.49271517784415192"/>
        </c:manualLayout>
      </c:layout>
      <c:lineChart>
        <c:grouping val="standard"/>
        <c:ser>
          <c:idx val="0"/>
          <c:order val="0"/>
          <c:tx>
            <c:strRef>
              <c:f>Лист1!$B$1</c:f>
              <c:strCache>
                <c:ptCount val="1"/>
                <c:pt idx="0">
                  <c:v>Валовой внутренний продукт (в текущих ценах), млн. долл. США</c:v>
                </c:pt>
              </c:strCache>
            </c:strRef>
          </c:tx>
          <c:spPr>
            <a:ln>
              <a:solidFill>
                <a:schemeClr val="accent3">
                  <a:lumMod val="75000"/>
                </a:schemeClr>
              </a:solidFill>
            </a:ln>
          </c:spPr>
          <c:marker>
            <c:spPr>
              <a:ln cap="sq">
                <a:solidFill>
                  <a:schemeClr val="accent3">
                    <a:lumMod val="75000"/>
                  </a:schemeClr>
                </a:solidFill>
                <a:bevel/>
              </a:ln>
            </c:spPr>
          </c:marker>
          <c:dLbls>
            <c:dLbl>
              <c:idx val="0"/>
              <c:tx>
                <c:rich>
                  <a:bodyPr/>
                  <a:lstStyle/>
                  <a:p>
                    <a:r>
                      <a:rPr lang="ru-RU" sz="800" b="1">
                        <a:latin typeface="Times New Roman" pitchFamily="18" charset="0"/>
                        <a:cs typeface="Times New Roman" pitchFamily="18" charset="0"/>
                      </a:rPr>
                      <a:t>-5,1%</a:t>
                    </a:r>
                    <a:endParaRPr lang="en-US" sz="800" b="1">
                      <a:latin typeface="Times New Roman" pitchFamily="18" charset="0"/>
                      <a:cs typeface="Times New Roman" pitchFamily="18" charset="0"/>
                    </a:endParaRPr>
                  </a:p>
                </c:rich>
              </c:tx>
              <c:dLblPos val="t"/>
              <c:showVal val="1"/>
            </c:dLbl>
            <c:dLbl>
              <c:idx val="1"/>
              <c:layout>
                <c:manualLayout>
                  <c:x val="7.684918347742555E-3"/>
                  <c:y val="1.9047619047619188E-2"/>
                </c:manualLayout>
              </c:layout>
              <c:tx>
                <c:rich>
                  <a:bodyPr/>
                  <a:lstStyle/>
                  <a:p>
                    <a:r>
                      <a:rPr lang="ru-RU" sz="800" b="1">
                        <a:latin typeface="Times New Roman" pitchFamily="18" charset="0"/>
                        <a:cs typeface="Times New Roman" pitchFamily="18" charset="0"/>
                      </a:rPr>
                      <a:t>+1,0%</a:t>
                    </a:r>
                    <a:endParaRPr lang="en-US" sz="800" b="1">
                      <a:latin typeface="Times New Roman" pitchFamily="18" charset="0"/>
                      <a:cs typeface="Times New Roman" pitchFamily="18" charset="0"/>
                    </a:endParaRPr>
                  </a:p>
                </c:rich>
              </c:tx>
              <c:dLblPos val="t"/>
              <c:showVal val="1"/>
            </c:dLbl>
            <c:txPr>
              <a:bodyPr/>
              <a:lstStyle/>
              <a:p>
                <a:pPr>
                  <a:defRPr sz="800" b="1">
                    <a:latin typeface="Times New Roman" pitchFamily="18" charset="0"/>
                    <a:cs typeface="Times New Roman" pitchFamily="18" charset="0"/>
                  </a:defRPr>
                </a:pPr>
                <a:endParaRPr lang="ru-RU"/>
              </a:p>
            </c:txPr>
            <c:dLblPos val="t"/>
            <c:showVal val="1"/>
          </c:dLbls>
          <c:cat>
            <c:strRef>
              <c:f>Лист1!$A$2:$A$3</c:f>
              <c:strCache>
                <c:ptCount val="2"/>
                <c:pt idx="0">
                  <c:v>январь-июнь 2013</c:v>
                </c:pt>
                <c:pt idx="1">
                  <c:v>январь - июнь 2014</c:v>
                </c:pt>
              </c:strCache>
            </c:strRef>
          </c:cat>
          <c:val>
            <c:numRef>
              <c:f>Лист1!$B$2:$B$3</c:f>
              <c:numCache>
                <c:formatCode>General</c:formatCode>
                <c:ptCount val="2"/>
                <c:pt idx="0">
                  <c:v>392.4</c:v>
                </c:pt>
                <c:pt idx="1">
                  <c:v>429.5</c:v>
                </c:pt>
              </c:numCache>
            </c:numRef>
          </c:val>
        </c:ser>
        <c:dLbls>
          <c:showVal val="1"/>
        </c:dLbls>
        <c:marker val="1"/>
        <c:axId val="74999680"/>
        <c:axId val="75001216"/>
      </c:lineChart>
      <c:catAx>
        <c:axId val="74999680"/>
        <c:scaling>
          <c:orientation val="minMax"/>
        </c:scaling>
        <c:axPos val="b"/>
        <c:tickLblPos val="nextTo"/>
        <c:crossAx val="75001216"/>
        <c:crosses val="autoZero"/>
        <c:auto val="1"/>
        <c:lblAlgn val="ctr"/>
        <c:lblOffset val="100"/>
      </c:catAx>
      <c:valAx>
        <c:axId val="75001216"/>
        <c:scaling>
          <c:orientation val="minMax"/>
          <c:min val="390"/>
        </c:scaling>
        <c:axPos val="l"/>
        <c:majorGridlines/>
        <c:title>
          <c:tx>
            <c:rich>
              <a:bodyPr rot="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 реальный прирост (спад) ВВП</a:t>
                </a:r>
              </a:p>
            </c:rich>
          </c:tx>
          <c:layout>
            <c:manualLayout>
              <c:xMode val="edge"/>
              <c:yMode val="edge"/>
              <c:x val="0.10129564193168633"/>
              <c:y val="0.13026618453809347"/>
            </c:manualLayout>
          </c:layout>
        </c:title>
        <c:numFmt formatCode="General" sourceLinked="1"/>
        <c:tickLblPos val="nextTo"/>
        <c:txPr>
          <a:bodyPr/>
          <a:lstStyle/>
          <a:p>
            <a:pPr>
              <a:defRPr lang="ru-RU" b="1">
                <a:latin typeface="Times New Roman" pitchFamily="18" charset="0"/>
                <a:cs typeface="Times New Roman" pitchFamily="18" charset="0"/>
              </a:defRPr>
            </a:pPr>
            <a:endParaRPr lang="ru-RU"/>
          </a:p>
        </c:txPr>
        <c:crossAx val="74999680"/>
        <c:crosses val="autoZero"/>
        <c:crossBetween val="between"/>
        <c:majorUnit val="25"/>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30"/>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инфляционных составляющих</a:t>
            </a:r>
          </a:p>
        </c:rich>
      </c:tx>
    </c:title>
    <c:plotArea>
      <c:layout/>
      <c:barChart>
        <c:barDir val="col"/>
        <c:grouping val="clustered"/>
        <c:ser>
          <c:idx val="0"/>
          <c:order val="0"/>
          <c:tx>
            <c:strRef>
              <c:f>Лист1!$B$1</c:f>
              <c:strCache>
                <c:ptCount val="1"/>
                <c:pt idx="0">
                  <c:v>январь-июнь 2013 года</c:v>
                </c:pt>
              </c:strCache>
            </c:strRef>
          </c:tx>
          <c:spPr>
            <a:solidFill>
              <a:schemeClr val="accent6">
                <a:lumMod val="75000"/>
              </a:schemeClr>
            </a:solidFill>
          </c:spPr>
          <c:cat>
            <c:strRef>
              <c:f>Лист1!$A$2:$A$5</c:f>
              <c:strCache>
                <c:ptCount val="4"/>
                <c:pt idx="0">
                  <c:v>Сводный индекс потребительских цен</c:v>
                </c:pt>
                <c:pt idx="1">
                  <c:v>Индекс цен на продовольственные товары</c:v>
                </c:pt>
                <c:pt idx="2">
                  <c:v>Индекс цен на непродовольственные товары</c:v>
                </c:pt>
                <c:pt idx="3">
                  <c:v>Индекс  тарифов на услуги</c:v>
                </c:pt>
              </c:strCache>
            </c:strRef>
          </c:cat>
          <c:val>
            <c:numRef>
              <c:f>Лист1!$B$2:$B$5</c:f>
              <c:numCache>
                <c:formatCode>General</c:formatCode>
                <c:ptCount val="4"/>
                <c:pt idx="0">
                  <c:v>103.4</c:v>
                </c:pt>
                <c:pt idx="1">
                  <c:v>104.5</c:v>
                </c:pt>
                <c:pt idx="2">
                  <c:v>100.5</c:v>
                </c:pt>
                <c:pt idx="3">
                  <c:v>105.9</c:v>
                </c:pt>
              </c:numCache>
            </c:numRef>
          </c:val>
        </c:ser>
        <c:ser>
          <c:idx val="1"/>
          <c:order val="1"/>
          <c:tx>
            <c:strRef>
              <c:f>Лист1!$C$1</c:f>
              <c:strCache>
                <c:ptCount val="1"/>
                <c:pt idx="0">
                  <c:v>январь-июнь 2014 года</c:v>
                </c:pt>
              </c:strCache>
            </c:strRef>
          </c:tx>
          <c:spPr>
            <a:solidFill>
              <a:schemeClr val="accent6">
                <a:lumMod val="60000"/>
                <a:lumOff val="40000"/>
              </a:schemeClr>
            </a:solidFill>
          </c:spPr>
          <c:cat>
            <c:strRef>
              <c:f>Лист1!$A$2:$A$5</c:f>
              <c:strCache>
                <c:ptCount val="4"/>
                <c:pt idx="0">
                  <c:v>Сводный индекс потребительских цен</c:v>
                </c:pt>
                <c:pt idx="1">
                  <c:v>Индекс цен на продовольственные товары</c:v>
                </c:pt>
                <c:pt idx="2">
                  <c:v>Индекс цен на непродовольственные товары</c:v>
                </c:pt>
                <c:pt idx="3">
                  <c:v>Индекс  тарифов на услуги</c:v>
                </c:pt>
              </c:strCache>
            </c:strRef>
          </c:cat>
          <c:val>
            <c:numRef>
              <c:f>Лист1!$C$2:$C$5</c:f>
              <c:numCache>
                <c:formatCode>General</c:formatCode>
                <c:ptCount val="4"/>
                <c:pt idx="0" formatCode="0.0">
                  <c:v>102</c:v>
                </c:pt>
                <c:pt idx="1">
                  <c:v>102.9</c:v>
                </c:pt>
                <c:pt idx="2">
                  <c:v>98.1</c:v>
                </c:pt>
                <c:pt idx="3">
                  <c:v>107.2</c:v>
                </c:pt>
              </c:numCache>
            </c:numRef>
          </c:val>
        </c:ser>
        <c:axId val="149481728"/>
        <c:axId val="149659648"/>
      </c:barChart>
      <c:catAx>
        <c:axId val="149481728"/>
        <c:scaling>
          <c:orientation val="minMax"/>
        </c:scaling>
        <c:axPos val="b"/>
        <c:tickLblPos val="nextTo"/>
        <c:crossAx val="149659648"/>
        <c:crosses val="autoZero"/>
        <c:auto val="1"/>
        <c:lblAlgn val="ctr"/>
        <c:lblOffset val="100"/>
      </c:catAx>
      <c:valAx>
        <c:axId val="149659648"/>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49481728"/>
        <c:crosses val="autoZero"/>
        <c:crossBetween val="between"/>
        <c:minorUnit val="4"/>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Структура потребительского рынка,%</a:t>
            </a:r>
          </a:p>
        </c:rich>
      </c:tx>
      <c:layout>
        <c:manualLayout>
          <c:xMode val="edge"/>
          <c:yMode val="edge"/>
          <c:x val="0.32336494108449859"/>
          <c:y val="7.9477668597211046E-4"/>
        </c:manualLayout>
      </c:layout>
      <c:spPr>
        <a:noFill/>
        <a:ln w="25399">
          <a:noFill/>
        </a:ln>
      </c:spPr>
    </c:title>
    <c:view3D>
      <c:depthPercent val="100"/>
      <c:rAngAx val="1"/>
    </c:view3D>
    <c:plotArea>
      <c:layout>
        <c:manualLayout>
          <c:layoutTarget val="inner"/>
          <c:xMode val="edge"/>
          <c:yMode val="edge"/>
          <c:x val="0.33554609929078605"/>
          <c:y val="0.10229201686867891"/>
          <c:w val="0.66445397663684036"/>
          <c:h val="0.45821422322209732"/>
        </c:manualLayout>
      </c:layout>
      <c:bar3DChart>
        <c:barDir val="col"/>
        <c:grouping val="stacked"/>
        <c:ser>
          <c:idx val="0"/>
          <c:order val="0"/>
          <c:tx>
            <c:strRef>
              <c:f>Лист1!$B$1</c:f>
              <c:strCache>
                <c:ptCount val="1"/>
                <c:pt idx="0">
                  <c:v>Розничный товарооборот, включая общественное питание</c:v>
                </c:pt>
              </c:strCache>
            </c:strRef>
          </c:tx>
          <c:spPr>
            <a:solidFill>
              <a:srgbClr val="FFFF00"/>
            </a:solidFill>
          </c:spPr>
          <c:dLbls>
            <c:dLbl>
              <c:idx val="0"/>
              <c:tx>
                <c:rich>
                  <a:bodyPr/>
                  <a:lstStyle/>
                  <a:p>
                    <a:r>
                      <a:rPr lang="ru-RU"/>
                      <a:t>+4,1*</a:t>
                    </a:r>
                    <a:endParaRPr lang="en-US"/>
                  </a:p>
                </c:rich>
              </c:tx>
            </c:dLbl>
            <c:dLbl>
              <c:idx val="1"/>
              <c:tx>
                <c:rich>
                  <a:bodyPr/>
                  <a:lstStyle/>
                  <a:p>
                    <a:r>
                      <a:rPr lang="ru-RU"/>
                      <a:t>-1,2*</a:t>
                    </a:r>
                    <a:endParaRPr lang="en-US"/>
                  </a:p>
                </c:rich>
              </c:tx>
            </c:dLbl>
            <c:spPr>
              <a:noFill/>
              <a:ln w="25399">
                <a:noFill/>
              </a:ln>
            </c:spPr>
            <c:txPr>
              <a:bodyPr/>
              <a:lstStyle/>
              <a:p>
                <a:pPr>
                  <a:defRPr b="1">
                    <a:latin typeface="Times New Roman" pitchFamily="18" charset="0"/>
                    <a:cs typeface="Times New Roman" pitchFamily="18" charset="0"/>
                  </a:defRPr>
                </a:pPr>
                <a:endParaRPr lang="ru-RU"/>
              </a:p>
            </c:txPr>
            <c:showVal val="1"/>
          </c:dLbls>
          <c:cat>
            <c:strRef>
              <c:f>Лист1!$A$2:$A$3</c:f>
              <c:strCache>
                <c:ptCount val="2"/>
                <c:pt idx="0">
                  <c:v>январь-июнь 2013 года</c:v>
                </c:pt>
                <c:pt idx="1">
                  <c:v>январь-июнь 2014 года</c:v>
                </c:pt>
              </c:strCache>
            </c:strRef>
          </c:cat>
          <c:val>
            <c:numRef>
              <c:f>Лист1!$B$2:$B$3</c:f>
              <c:numCache>
                <c:formatCode>0.0</c:formatCode>
                <c:ptCount val="2"/>
                <c:pt idx="0" formatCode="General">
                  <c:v>77.2</c:v>
                </c:pt>
                <c:pt idx="1">
                  <c:v>76.5</c:v>
                </c:pt>
              </c:numCache>
            </c:numRef>
          </c:val>
        </c:ser>
        <c:ser>
          <c:idx val="1"/>
          <c:order val="1"/>
          <c:tx>
            <c:strRef>
              <c:f>Лист1!$C$1</c:f>
              <c:strCache>
                <c:ptCount val="1"/>
                <c:pt idx="0">
                  <c:v>Платние услуги населению</c:v>
                </c:pt>
              </c:strCache>
            </c:strRef>
          </c:tx>
          <c:spPr>
            <a:solidFill>
              <a:srgbClr val="FF0000"/>
            </a:solidFill>
          </c:spPr>
          <c:dLbls>
            <c:dLbl>
              <c:idx val="0"/>
              <c:tx>
                <c:rich>
                  <a:bodyPr/>
                  <a:lstStyle/>
                  <a:p>
                    <a:r>
                      <a:rPr lang="ru-RU"/>
                      <a:t>+3,1*</a:t>
                    </a:r>
                    <a:endParaRPr lang="en-US"/>
                  </a:p>
                </c:rich>
              </c:tx>
            </c:dLbl>
            <c:dLbl>
              <c:idx val="1"/>
              <c:tx>
                <c:rich>
                  <a:bodyPr/>
                  <a:lstStyle/>
                  <a:p>
                    <a:r>
                      <a:rPr lang="ru-RU"/>
                      <a:t>+4</a:t>
                    </a:r>
                    <a:r>
                      <a:rPr lang="en-US"/>
                      <a:t>,</a:t>
                    </a:r>
                    <a:r>
                      <a:rPr lang="ru-RU"/>
                      <a:t>5*</a:t>
                    </a:r>
                    <a:endParaRPr lang="en-US"/>
                  </a:p>
                </c:rich>
              </c:tx>
            </c:dLbl>
            <c:spPr>
              <a:noFill/>
              <a:ln w="25399">
                <a:noFill/>
              </a:ln>
            </c:spPr>
            <c:txPr>
              <a:bodyPr/>
              <a:lstStyle/>
              <a:p>
                <a:pPr>
                  <a:defRPr b="1">
                    <a:latin typeface="Times New Roman" pitchFamily="18" charset="0"/>
                    <a:cs typeface="Times New Roman" pitchFamily="18" charset="0"/>
                  </a:defRPr>
                </a:pPr>
                <a:endParaRPr lang="ru-RU"/>
              </a:p>
            </c:txPr>
            <c:showVal val="1"/>
          </c:dLbls>
          <c:cat>
            <c:strRef>
              <c:f>Лист1!$A$2:$A$3</c:f>
              <c:strCache>
                <c:ptCount val="2"/>
                <c:pt idx="0">
                  <c:v>январь-июнь 2013 года</c:v>
                </c:pt>
                <c:pt idx="1">
                  <c:v>январь-июнь 2014 года</c:v>
                </c:pt>
              </c:strCache>
            </c:strRef>
          </c:cat>
          <c:val>
            <c:numRef>
              <c:f>Лист1!$C$2:$C$3</c:f>
              <c:numCache>
                <c:formatCode>0.0</c:formatCode>
                <c:ptCount val="2"/>
                <c:pt idx="0" formatCode="General">
                  <c:v>22.8</c:v>
                </c:pt>
                <c:pt idx="1">
                  <c:v>23.5</c:v>
                </c:pt>
              </c:numCache>
            </c:numRef>
          </c:val>
        </c:ser>
        <c:dLbls>
          <c:showVal val="1"/>
        </c:dLbls>
        <c:shape val="cylinder"/>
        <c:axId val="149219968"/>
        <c:axId val="149729664"/>
        <c:axId val="0"/>
      </c:bar3DChart>
      <c:catAx>
        <c:axId val="149219968"/>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ru-RU"/>
          </a:p>
        </c:txPr>
        <c:crossAx val="149729664"/>
        <c:crosses val="autoZero"/>
        <c:auto val="1"/>
        <c:lblAlgn val="ctr"/>
        <c:lblOffset val="100"/>
      </c:catAx>
      <c:valAx>
        <c:axId val="149729664"/>
        <c:scaling>
          <c:orientation val="minMax"/>
        </c:scaling>
        <c:axPos val="l"/>
        <c:title>
          <c:tx>
            <c:rich>
              <a:bodyPr rot="0" vert="horz"/>
              <a:lstStyle/>
              <a:p>
                <a:pPr algn="ctr">
                  <a:defRPr sz="1000" b="0" i="0" u="none" strike="noStrike" baseline="0">
                    <a:solidFill>
                      <a:srgbClr val="000000"/>
                    </a:solidFill>
                    <a:latin typeface="Times New Roman"/>
                    <a:ea typeface="Times New Roman"/>
                    <a:cs typeface="Times New Roman"/>
                  </a:defRPr>
                </a:pPr>
                <a:r>
                  <a:rPr lang="ru-RU"/>
                  <a:t>*- темп прироста в сопоставимых ценах, в %</a:t>
                </a:r>
              </a:p>
            </c:rich>
          </c:tx>
          <c:spPr>
            <a:noFill/>
            <a:ln w="25399">
              <a:noFill/>
            </a:ln>
          </c:spPr>
        </c:title>
        <c:numFmt formatCode="General" sourceLinked="1"/>
        <c:tickLblPos val="nextTo"/>
        <c:txPr>
          <a:bodyPr/>
          <a:lstStyle/>
          <a:p>
            <a:pPr>
              <a:defRPr b="0">
                <a:latin typeface="Times New Roman" pitchFamily="18" charset="0"/>
                <a:cs typeface="Times New Roman" pitchFamily="18" charset="0"/>
              </a:defRPr>
            </a:pPr>
            <a:endParaRPr lang="ru-RU"/>
          </a:p>
        </c:txPr>
        <c:crossAx val="149219968"/>
        <c:crosses val="autoZero"/>
        <c:crossBetween val="between"/>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spPr>
        <a:noFill/>
        <a:ln w="25399">
          <a:noFill/>
        </a:ln>
      </c:spPr>
    </c:plotArea>
    <c:plotVisOnly val="1"/>
    <c:dispBlanksAs val="gap"/>
  </c:chart>
  <c:spPr>
    <a:noFill/>
    <a:ln>
      <a:no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27"/>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оплаты труда, руб. ПМР </a:t>
            </a:r>
          </a:p>
        </c:rich>
      </c:tx>
    </c:title>
    <c:plotArea>
      <c:layout>
        <c:manualLayout>
          <c:layoutTarget val="inner"/>
          <c:xMode val="edge"/>
          <c:yMode val="edge"/>
          <c:x val="0.30145882207202224"/>
          <c:y val="0.14717091020556633"/>
          <c:w val="0.68943548455156967"/>
          <c:h val="0.43383965085759635"/>
        </c:manualLayout>
      </c:layout>
      <c:barChart>
        <c:barDir val="col"/>
        <c:grouping val="clustered"/>
        <c:ser>
          <c:idx val="0"/>
          <c:order val="0"/>
          <c:tx>
            <c:strRef>
              <c:f>Лист1!$B$1</c:f>
              <c:strCache>
                <c:ptCount val="1"/>
                <c:pt idx="0">
                  <c:v>январь-июнь 2013 года</c:v>
                </c:pt>
              </c:strCache>
            </c:strRef>
          </c:tx>
          <c:dLbls>
            <c:dLbl>
              <c:idx val="0"/>
              <c:layout>
                <c:manualLayout>
                  <c:x val="0"/>
                  <c:y val="0"/>
                </c:manualLayout>
              </c:layout>
              <c:tx>
                <c:rich>
                  <a:bodyPr/>
                  <a:lstStyle/>
                  <a:p>
                    <a:r>
                      <a:rPr lang="ru-RU" sz="800" b="1">
                        <a:latin typeface="Times New Roman" pitchFamily="18" charset="0"/>
                        <a:cs typeface="Times New Roman" pitchFamily="18" charset="0"/>
                      </a:rPr>
                      <a:t>+4,7*</a:t>
                    </a:r>
                    <a:endParaRPr lang="en-US" sz="800" b="1">
                      <a:latin typeface="Times New Roman" pitchFamily="18" charset="0"/>
                      <a:cs typeface="Times New Roman" pitchFamily="18" charset="0"/>
                    </a:endParaRPr>
                  </a:p>
                </c:rich>
              </c:tx>
              <c:dLblPos val="outEnd"/>
              <c:showVal val="1"/>
            </c:dLbl>
            <c:dLbl>
              <c:idx val="1"/>
              <c:tx>
                <c:rich>
                  <a:bodyPr/>
                  <a:lstStyle/>
                  <a:p>
                    <a:r>
                      <a:rPr lang="ru-RU" sz="800" b="1">
                        <a:latin typeface="Times New Roman" pitchFamily="18" charset="0"/>
                        <a:cs typeface="Times New Roman" pitchFamily="18" charset="0"/>
                      </a:rPr>
                      <a:t>+2,6*</a:t>
                    </a:r>
                    <a:endParaRPr lang="en-US" sz="800" b="1">
                      <a:latin typeface="Times New Roman" pitchFamily="18" charset="0"/>
                      <a:cs typeface="Times New Roman" pitchFamily="18" charset="0"/>
                    </a:endParaRPr>
                  </a:p>
                </c:rich>
              </c:tx>
              <c:dLblPos val="outEnd"/>
              <c:showVal val="1"/>
            </c:dLbl>
            <c:dLbl>
              <c:idx val="2"/>
              <c:tx>
                <c:rich>
                  <a:bodyPr/>
                  <a:lstStyle/>
                  <a:p>
                    <a:r>
                      <a:rPr lang="ru-RU" sz="800" b="1">
                        <a:latin typeface="Times New Roman" pitchFamily="18" charset="0"/>
                        <a:cs typeface="Times New Roman" pitchFamily="18" charset="0"/>
                      </a:rPr>
                      <a:t>+7,8*</a:t>
                    </a:r>
                    <a:endParaRPr lang="en-US" sz="800" b="1">
                      <a:latin typeface="Times New Roman" pitchFamily="18" charset="0"/>
                      <a:cs typeface="Times New Roman" pitchFamily="18" charset="0"/>
                    </a:endParaRPr>
                  </a:p>
                </c:rich>
              </c:tx>
              <c:dLblPos val="outEnd"/>
              <c:showVal val="1"/>
            </c:dLbl>
            <c:txPr>
              <a:bodyPr/>
              <a:lstStyle/>
              <a:p>
                <a:pPr>
                  <a:defRPr sz="800" b="1">
                    <a:latin typeface="Times New Roman" pitchFamily="18" charset="0"/>
                    <a:cs typeface="Times New Roman" pitchFamily="18" charset="0"/>
                  </a:defRPr>
                </a:pPr>
                <a:endParaRPr lang="ru-RU"/>
              </a:p>
            </c:txPr>
            <c:dLblPos val="outEnd"/>
            <c:showVal val="1"/>
          </c:dLbls>
          <c:cat>
            <c:strRef>
              <c:f>Лист1!$A$2:$A$4</c:f>
              <c:strCache>
                <c:ptCount val="3"/>
                <c:pt idx="0">
                  <c:v>в целом по республике</c:v>
                </c:pt>
                <c:pt idx="1">
                  <c:v>во внебюджетном секторе экономики</c:v>
                </c:pt>
                <c:pt idx="2">
                  <c:v>в бюджетном секторе экономики</c:v>
                </c:pt>
              </c:strCache>
            </c:strRef>
          </c:cat>
          <c:val>
            <c:numRef>
              <c:f>Лист1!$B$2:$B$4</c:f>
              <c:numCache>
                <c:formatCode>#,##0</c:formatCode>
                <c:ptCount val="3"/>
                <c:pt idx="0">
                  <c:v>3656</c:v>
                </c:pt>
                <c:pt idx="1">
                  <c:v>4674</c:v>
                </c:pt>
                <c:pt idx="2">
                  <c:v>2419</c:v>
                </c:pt>
              </c:numCache>
            </c:numRef>
          </c:val>
        </c:ser>
        <c:ser>
          <c:idx val="1"/>
          <c:order val="1"/>
          <c:tx>
            <c:strRef>
              <c:f>Лист1!$C$1</c:f>
              <c:strCache>
                <c:ptCount val="1"/>
                <c:pt idx="0">
                  <c:v>январь-июнь 2014 года</c:v>
                </c:pt>
              </c:strCache>
            </c:strRef>
          </c:tx>
          <c:dLbls>
            <c:dLbl>
              <c:idx val="0"/>
              <c:tx>
                <c:rich>
                  <a:bodyPr/>
                  <a:lstStyle/>
                  <a:p>
                    <a:r>
                      <a:rPr lang="ru-RU" sz="800" b="1">
                        <a:latin typeface="Times New Roman" pitchFamily="18" charset="0"/>
                        <a:cs typeface="Times New Roman" pitchFamily="18" charset="0"/>
                      </a:rPr>
                      <a:t>+7,8*</a:t>
                    </a:r>
                    <a:endParaRPr lang="en-US" sz="800" b="1">
                      <a:latin typeface="Times New Roman" pitchFamily="18" charset="0"/>
                      <a:cs typeface="Times New Roman" pitchFamily="18" charset="0"/>
                    </a:endParaRPr>
                  </a:p>
                </c:rich>
              </c:tx>
              <c:dLblPos val="outEnd"/>
              <c:showVal val="1"/>
            </c:dLbl>
            <c:dLbl>
              <c:idx val="1"/>
              <c:layout>
                <c:manualLayout>
                  <c:x val="-5.8997050147492824E-3"/>
                  <c:y val="0"/>
                </c:manualLayout>
              </c:layout>
              <c:tx>
                <c:rich>
                  <a:bodyPr/>
                  <a:lstStyle/>
                  <a:p>
                    <a:r>
                      <a:rPr lang="ru-RU" sz="800" b="1">
                        <a:latin typeface="Times New Roman" pitchFamily="18" charset="0"/>
                        <a:cs typeface="Times New Roman" pitchFamily="18" charset="0"/>
                      </a:rPr>
                      <a:t>+6,3*</a:t>
                    </a:r>
                    <a:endParaRPr lang="en-US" sz="800" b="1">
                      <a:latin typeface="Times New Roman" pitchFamily="18" charset="0"/>
                      <a:cs typeface="Times New Roman" pitchFamily="18" charset="0"/>
                    </a:endParaRPr>
                  </a:p>
                </c:rich>
              </c:tx>
              <c:dLblPos val="outEnd"/>
              <c:showVal val="1"/>
            </c:dLbl>
            <c:dLbl>
              <c:idx val="2"/>
              <c:tx>
                <c:rich>
                  <a:bodyPr/>
                  <a:lstStyle/>
                  <a:p>
                    <a:r>
                      <a:rPr lang="ru-RU" sz="800" b="1">
                        <a:latin typeface="Times New Roman" pitchFamily="18" charset="0"/>
                        <a:cs typeface="Times New Roman" pitchFamily="18" charset="0"/>
                      </a:rPr>
                      <a:t>+10,1*</a:t>
                    </a:r>
                    <a:endParaRPr lang="en-US" sz="800" b="1">
                      <a:latin typeface="Times New Roman" pitchFamily="18" charset="0"/>
                      <a:cs typeface="Times New Roman" pitchFamily="18" charset="0"/>
                    </a:endParaRPr>
                  </a:p>
                </c:rich>
              </c:tx>
              <c:dLblPos val="outEnd"/>
              <c:showVal val="1"/>
            </c:dLbl>
            <c:txPr>
              <a:bodyPr/>
              <a:lstStyle/>
              <a:p>
                <a:pPr>
                  <a:defRPr sz="800" b="1">
                    <a:latin typeface="Times New Roman" pitchFamily="18" charset="0"/>
                    <a:cs typeface="Times New Roman" pitchFamily="18" charset="0"/>
                  </a:defRPr>
                </a:pPr>
                <a:endParaRPr lang="ru-RU"/>
              </a:p>
            </c:txPr>
            <c:dLblPos val="outEnd"/>
            <c:showVal val="1"/>
          </c:dLbls>
          <c:cat>
            <c:strRef>
              <c:f>Лист1!$A$2:$A$4</c:f>
              <c:strCache>
                <c:ptCount val="3"/>
                <c:pt idx="0">
                  <c:v>в целом по республике</c:v>
                </c:pt>
                <c:pt idx="1">
                  <c:v>во внебюджетном секторе экономики</c:v>
                </c:pt>
                <c:pt idx="2">
                  <c:v>в бюджетном секторе экономики</c:v>
                </c:pt>
              </c:strCache>
            </c:strRef>
          </c:cat>
          <c:val>
            <c:numRef>
              <c:f>Лист1!$C$2:$C$4</c:f>
              <c:numCache>
                <c:formatCode>#,##0</c:formatCode>
                <c:ptCount val="3"/>
                <c:pt idx="0">
                  <c:v>4020</c:v>
                </c:pt>
                <c:pt idx="1">
                  <c:v>5078</c:v>
                </c:pt>
                <c:pt idx="2">
                  <c:v>2722</c:v>
                </c:pt>
              </c:numCache>
            </c:numRef>
          </c:val>
        </c:ser>
        <c:dLbls>
          <c:showVal val="1"/>
        </c:dLbls>
        <c:axId val="150023168"/>
        <c:axId val="150086400"/>
      </c:barChart>
      <c:catAx>
        <c:axId val="150023168"/>
        <c:scaling>
          <c:orientation val="minMax"/>
        </c:scaling>
        <c:axPos val="b"/>
        <c:tickLblPos val="nextTo"/>
        <c:crossAx val="150086400"/>
        <c:crosses val="autoZero"/>
        <c:auto val="1"/>
        <c:lblAlgn val="ctr"/>
        <c:lblOffset val="100"/>
      </c:catAx>
      <c:valAx>
        <c:axId val="150086400"/>
        <c:scaling>
          <c:orientation val="minMax"/>
        </c:scaling>
        <c:axPos val="l"/>
        <c:title>
          <c:tx>
            <c:rich>
              <a:bodyPr rot="0" vert="horz"/>
              <a:lstStyle/>
              <a:p>
                <a:pPr>
                  <a:defRPr sz="900" b="1">
                    <a:latin typeface="Times New Roman" pitchFamily="18" charset="0"/>
                    <a:cs typeface="Times New Roman" pitchFamily="18" charset="0"/>
                  </a:defRPr>
                </a:pPr>
                <a:r>
                  <a:rPr lang="ru-RU" sz="900" b="1">
                    <a:latin typeface="Times New Roman" pitchFamily="18" charset="0"/>
                    <a:cs typeface="Times New Roman" pitchFamily="18" charset="0"/>
                  </a:rPr>
                  <a:t>*-темп реального прироста заработной платы, %</a:t>
                </a:r>
              </a:p>
            </c:rich>
          </c:tx>
        </c:title>
        <c:numFmt formatCode="#,##0" sourceLinked="1"/>
        <c:tickLblPos val="nextTo"/>
        <c:txPr>
          <a:bodyPr/>
          <a:lstStyle/>
          <a:p>
            <a:pPr>
              <a:defRPr sz="900" b="1">
                <a:latin typeface="Times New Roman" pitchFamily="18" charset="0"/>
                <a:cs typeface="Times New Roman" pitchFamily="18" charset="0"/>
              </a:defRPr>
            </a:pPr>
            <a:endParaRPr lang="ru-RU"/>
          </a:p>
        </c:txPr>
        <c:crossAx val="150023168"/>
        <c:crosses val="autoZero"/>
        <c:crossBetween val="between"/>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b="1"/>
              <a:t>Динамика оплаты труда в разрезе отраслей экономики, руб. ПМР</a:t>
            </a:r>
            <a:endParaRPr lang="ru-RU" b="1">
              <a:solidFill>
                <a:srgbClr val="FF0000"/>
              </a:solidFill>
            </a:endParaRPr>
          </a:p>
        </c:rich>
      </c:tx>
      <c:layout>
        <c:manualLayout>
          <c:xMode val="edge"/>
          <c:yMode val="edge"/>
          <c:x val="0.17176795208291493"/>
          <c:y val="1.7827634559378708E-2"/>
        </c:manualLayout>
      </c:layout>
      <c:spPr>
        <a:noFill/>
        <a:ln w="25176">
          <a:noFill/>
        </a:ln>
      </c:spPr>
    </c:title>
    <c:plotArea>
      <c:layout>
        <c:manualLayout>
          <c:layoutTarget val="inner"/>
          <c:xMode val="edge"/>
          <c:yMode val="edge"/>
          <c:x val="7.4762159273115983E-2"/>
          <c:y val="0.10683077492330022"/>
          <c:w val="0.91585760517799353"/>
          <c:h val="0.34324130369779726"/>
        </c:manualLayout>
      </c:layout>
      <c:lineChart>
        <c:grouping val="standard"/>
        <c:ser>
          <c:idx val="0"/>
          <c:order val="0"/>
          <c:tx>
            <c:strRef>
              <c:f>Sheet1!$A$2</c:f>
              <c:strCache>
                <c:ptCount val="1"/>
                <c:pt idx="0">
                  <c:v>I полугодие 2013 года</c:v>
                </c:pt>
              </c:strCache>
            </c:strRef>
          </c:tx>
          <c:spPr>
            <a:ln w="24130">
              <a:solidFill>
                <a:srgbClr val="000080"/>
              </a:solidFill>
              <a:prstDash val="solid"/>
            </a:ln>
          </c:spPr>
          <c:marker>
            <c:symbol val="diamond"/>
            <c:size val="2"/>
            <c:spPr>
              <a:solidFill>
                <a:srgbClr val="000080"/>
              </a:solidFill>
              <a:ln>
                <a:solidFill>
                  <a:srgbClr val="000080"/>
                </a:solidFill>
                <a:prstDash val="solid"/>
              </a:ln>
            </c:spPr>
          </c:marker>
          <c:dLbls>
            <c:dLbl>
              <c:idx val="0"/>
              <c:layout>
                <c:manualLayout>
                  <c:x val="3.2697859882899256E-2"/>
                  <c:y val="2.97176551561192E-2"/>
                </c:manualLayout>
              </c:layout>
              <c:dLblPos val="t"/>
              <c:showVal val="1"/>
            </c:dLbl>
            <c:dLbl>
              <c:idx val="1"/>
              <c:layout>
                <c:manualLayout>
                  <c:x val="-1.4723231711420691E-2"/>
                  <c:y val="4.7464665508360773E-2"/>
                </c:manualLayout>
              </c:layout>
              <c:dLblPos val="t"/>
              <c:showVal val="1"/>
            </c:dLbl>
            <c:dLbl>
              <c:idx val="2"/>
              <c:layout>
                <c:manualLayout>
                  <c:x val="0"/>
                  <c:y val="5.6036375734723323E-2"/>
                </c:manualLayout>
              </c:layout>
              <c:dLblPos val="t"/>
              <c:showVal val="1"/>
            </c:dLbl>
            <c:dLbl>
              <c:idx val="3"/>
              <c:layout>
                <c:manualLayout>
                  <c:x val="3.8443031159566592E-2"/>
                  <c:y val="4.3385949995687158E-2"/>
                </c:manualLayout>
              </c:layout>
              <c:dLblPos val="t"/>
              <c:showVal val="1"/>
            </c:dLbl>
            <c:dLbl>
              <c:idx val="4"/>
              <c:layout>
                <c:manualLayout>
                  <c:x val="3.2023857594724543E-2"/>
                  <c:y val="4.3987036831663932E-2"/>
                </c:manualLayout>
              </c:layout>
              <c:dLblPos val="t"/>
              <c:showVal val="1"/>
            </c:dLbl>
            <c:dLbl>
              <c:idx val="5"/>
              <c:layout>
                <c:manualLayout>
                  <c:x val="-2.8818443804034581E-2"/>
                  <c:y val="9.9058940069344532E-3"/>
                </c:manualLayout>
              </c:layout>
              <c:dLblPos val="t"/>
              <c:showVal val="1"/>
            </c:dLbl>
            <c:dLbl>
              <c:idx val="6"/>
              <c:layout>
                <c:manualLayout>
                  <c:x val="5.9792045225117319E-3"/>
                  <c:y val="4.1535723527516812E-2"/>
                </c:manualLayout>
              </c:layout>
              <c:dLblPos val="t"/>
              <c:showVal val="1"/>
            </c:dLbl>
            <c:dLbl>
              <c:idx val="7"/>
              <c:layout>
                <c:manualLayout>
                  <c:x val="8.0974493572918763E-3"/>
                  <c:y val="6.8308750138627083E-2"/>
                </c:manualLayout>
              </c:layout>
              <c:dLblPos val="t"/>
              <c:showVal val="1"/>
            </c:dLbl>
            <c:dLbl>
              <c:idx val="8"/>
              <c:layout>
                <c:manualLayout>
                  <c:x val="2.136752136752137E-3"/>
                  <c:y val="5.4440378051335184E-2"/>
                </c:manualLayout>
              </c:layout>
              <c:dLblPos val="t"/>
              <c:showVal val="1"/>
            </c:dLbl>
            <c:dLbl>
              <c:idx val="10"/>
              <c:layout>
                <c:manualLayout>
                  <c:x val="2.3270240258429855E-2"/>
                  <c:y val="6.9257575197466517E-2"/>
                </c:manualLayout>
              </c:layout>
              <c:dLblPos val="t"/>
              <c:showVal val="1"/>
            </c:dLbl>
            <c:dLbl>
              <c:idx val="11"/>
              <c:layout>
                <c:manualLayout>
                  <c:x val="-7.834667328012898E-17"/>
                  <c:y val="9.3896713615023528E-3"/>
                </c:manualLayout>
              </c:layout>
              <c:dLblPos val="t"/>
              <c:showVal val="1"/>
            </c:dLbl>
            <c:dLbl>
              <c:idx val="12"/>
              <c:layout>
                <c:manualLayout>
                  <c:x val="-5.7638468268389476E-3"/>
                  <c:y val="4.6098278811039034E-2"/>
                </c:manualLayout>
              </c:layout>
              <c:dLblPos val="t"/>
              <c:showVal val="1"/>
            </c:dLbl>
            <c:dLbl>
              <c:idx val="13"/>
              <c:layout>
                <c:manualLayout>
                  <c:x val="0"/>
                  <c:y val="4.1604754829123423E-2"/>
                </c:manualLayout>
              </c:layout>
              <c:dLblPos val="t"/>
              <c:showVal val="1"/>
            </c:dLbl>
            <c:dLbl>
              <c:idx val="14"/>
              <c:layout>
                <c:manualLayout>
                  <c:x val="0"/>
                  <c:y val="4.9776665240789122E-2"/>
                </c:manualLayout>
              </c:layout>
              <c:dLblPos val="t"/>
              <c:showVal val="1"/>
            </c:dLbl>
            <c:dLbl>
              <c:idx val="15"/>
              <c:layout>
                <c:manualLayout>
                  <c:x val="1.8153139511407516E-2"/>
                  <c:y val="5.2459428486932087E-2"/>
                </c:manualLayout>
              </c:layout>
              <c:dLblPos val="t"/>
              <c:showVal val="1"/>
            </c:dLbl>
            <c:dLbl>
              <c:idx val="16"/>
              <c:layout>
                <c:manualLayout>
                  <c:x val="2.9464970724813886E-2"/>
                  <c:y val="5.4756817369659781E-2"/>
                </c:manualLayout>
              </c:layout>
              <c:dLblPos val="t"/>
              <c:showVal val="1"/>
            </c:dLbl>
            <c:dLbl>
              <c:idx val="17"/>
              <c:layout>
                <c:manualLayout>
                  <c:x val="3.079514099199139E-2"/>
                  <c:y val="1.5946294384434824E-2"/>
                </c:manualLayout>
              </c:layout>
              <c:dLblPos val="t"/>
              <c:showVal val="1"/>
            </c:dLbl>
            <c:dLbl>
              <c:idx val="18"/>
              <c:layout>
                <c:manualLayout>
                  <c:x val="-3.4188034188034191E-2"/>
                  <c:y val="2.1986840686010641E-2"/>
                </c:manualLayout>
              </c:layout>
              <c:dLblPos val="t"/>
              <c:showVal val="1"/>
            </c:dLbl>
            <c:txPr>
              <a:bodyPr/>
              <a:lstStyle/>
              <a:p>
                <a:pPr>
                  <a:defRPr sz="900" b="1"/>
                </a:pPr>
                <a:endParaRPr lang="ru-RU"/>
              </a:p>
            </c:txPr>
            <c:dLblPos val="t"/>
            <c:showVal val="1"/>
          </c:dLbls>
          <c:cat>
            <c:strRef>
              <c:f>Sheet1!$B$1:$T$1</c:f>
              <c:strCache>
                <c:ptCount val="19"/>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Заготовки</c:v>
                </c:pt>
                <c:pt idx="10">
                  <c:v>Операции с недвиж. Имуществом</c:v>
                </c:pt>
                <c:pt idx="11">
                  <c:v>Общая комерческая деятельность</c:v>
                </c:pt>
                <c:pt idx="12">
                  <c:v>ЖКХ</c:v>
                </c:pt>
                <c:pt idx="13">
                  <c:v>Здравоохранение</c:v>
                </c:pt>
                <c:pt idx="14">
                  <c:v>Образование</c:v>
                </c:pt>
                <c:pt idx="15">
                  <c:v>Культура и искусство</c:v>
                </c:pt>
                <c:pt idx="16">
                  <c:v>Физкультура отдых и туризм</c:v>
                </c:pt>
                <c:pt idx="17">
                  <c:v>Банки и кредитование</c:v>
                </c:pt>
                <c:pt idx="18">
                  <c:v>Страхование</c:v>
                </c:pt>
              </c:strCache>
            </c:strRef>
          </c:cat>
          <c:val>
            <c:numRef>
              <c:f>Sheet1!$B$2:$T$2</c:f>
              <c:numCache>
                <c:formatCode>General</c:formatCode>
                <c:ptCount val="19"/>
                <c:pt idx="0">
                  <c:v>4711</c:v>
                </c:pt>
                <c:pt idx="1">
                  <c:v>2800</c:v>
                </c:pt>
                <c:pt idx="2">
                  <c:v>1798</c:v>
                </c:pt>
                <c:pt idx="3">
                  <c:v>3791</c:v>
                </c:pt>
                <c:pt idx="4">
                  <c:v>6244</c:v>
                </c:pt>
                <c:pt idx="5">
                  <c:v>4137</c:v>
                </c:pt>
                <c:pt idx="6">
                  <c:v>1729</c:v>
                </c:pt>
                <c:pt idx="7" formatCode="0">
                  <c:v>4246</c:v>
                </c:pt>
                <c:pt idx="8" formatCode="0">
                  <c:v>3479</c:v>
                </c:pt>
                <c:pt idx="9" formatCode="0">
                  <c:v>2727</c:v>
                </c:pt>
                <c:pt idx="10" formatCode="0">
                  <c:v>3745</c:v>
                </c:pt>
                <c:pt idx="11" formatCode="0">
                  <c:v>4169</c:v>
                </c:pt>
                <c:pt idx="12" formatCode="0">
                  <c:v>3616</c:v>
                </c:pt>
                <c:pt idx="13" formatCode="0">
                  <c:v>2448</c:v>
                </c:pt>
                <c:pt idx="14" formatCode="0">
                  <c:v>2388</c:v>
                </c:pt>
                <c:pt idx="15" formatCode="0">
                  <c:v>2215</c:v>
                </c:pt>
                <c:pt idx="16" formatCode="0">
                  <c:v>4333</c:v>
                </c:pt>
                <c:pt idx="17" formatCode="0">
                  <c:v>7986</c:v>
                </c:pt>
                <c:pt idx="18" formatCode="0">
                  <c:v>5670</c:v>
                </c:pt>
              </c:numCache>
            </c:numRef>
          </c:val>
        </c:ser>
        <c:ser>
          <c:idx val="1"/>
          <c:order val="1"/>
          <c:tx>
            <c:strRef>
              <c:f>Sheet1!$A$3</c:f>
              <c:strCache>
                <c:ptCount val="1"/>
                <c:pt idx="0">
                  <c:v>I полугодие 2014 года</c:v>
                </c:pt>
              </c:strCache>
            </c:strRef>
          </c:tx>
          <c:spPr>
            <a:ln w="24130">
              <a:solidFill>
                <a:srgbClr val="FF9900"/>
              </a:solidFill>
              <a:prstDash val="solid"/>
            </a:ln>
          </c:spPr>
          <c:marker>
            <c:symbol val="circle"/>
            <c:size val="2"/>
            <c:spPr>
              <a:solidFill>
                <a:srgbClr val="FF9900"/>
              </a:solidFill>
              <a:ln>
                <a:solidFill>
                  <a:srgbClr val="FF9900"/>
                </a:solidFill>
                <a:prstDash val="solid"/>
              </a:ln>
            </c:spPr>
          </c:marker>
          <c:dLbls>
            <c:dLbl>
              <c:idx val="0"/>
              <c:layout>
                <c:manualLayout>
                  <c:x val="1.7291066282420754E-2"/>
                  <c:y val="3.9623576027736605E-3"/>
                </c:manualLayout>
              </c:layout>
              <c:dLblPos val="t"/>
              <c:showVal val="1"/>
            </c:dLbl>
            <c:dLbl>
              <c:idx val="1"/>
              <c:layout>
                <c:manualLayout>
                  <c:x val="2.113352545629205E-2"/>
                  <c:y val="1.1887072808320961E-2"/>
                </c:manualLayout>
              </c:layout>
              <c:dLblPos val="t"/>
              <c:showVal val="1"/>
            </c:dLbl>
            <c:dLbl>
              <c:idx val="2"/>
              <c:layout>
                <c:manualLayout>
                  <c:x val="-6.4102564102564534E-3"/>
                  <c:y val="-7.8277886497064575E-3"/>
                </c:manualLayout>
              </c:layout>
              <c:dLblPos val="t"/>
              <c:showVal val="1"/>
            </c:dLbl>
            <c:dLbl>
              <c:idx val="3"/>
              <c:layout>
                <c:manualLayout>
                  <c:x val="-2.3054755043227668E-2"/>
                  <c:y val="1.7830609212481481E-2"/>
                </c:manualLayout>
              </c:layout>
              <c:dLblPos val="t"/>
              <c:showVal val="1"/>
            </c:dLbl>
            <c:dLbl>
              <c:idx val="4"/>
              <c:layout>
                <c:manualLayout>
                  <c:x val="2.1618211185140492E-3"/>
                  <c:y val="2.5006592485798451E-2"/>
                </c:manualLayout>
              </c:layout>
              <c:dLblPos val="t"/>
              <c:showVal val="1"/>
            </c:dLbl>
            <c:dLbl>
              <c:idx val="5"/>
              <c:layout>
                <c:manualLayout>
                  <c:x val="1.9212295869356393E-2"/>
                  <c:y val="0"/>
                </c:manualLayout>
              </c:layout>
              <c:dLblPos val="t"/>
              <c:showVal val="1"/>
            </c:dLbl>
            <c:dLbl>
              <c:idx val="6"/>
              <c:layout>
                <c:manualLayout>
                  <c:x val="0"/>
                  <c:y val="-2.049084874791841E-2"/>
                </c:manualLayout>
              </c:layout>
              <c:dLblPos val="t"/>
              <c:showVal val="1"/>
            </c:dLbl>
            <c:dLbl>
              <c:idx val="7"/>
              <c:layout>
                <c:manualLayout>
                  <c:x val="-4.3105188774479245E-4"/>
                  <c:y val="1.6281838009685832E-2"/>
                </c:manualLayout>
              </c:layout>
              <c:dLblPos val="t"/>
              <c:showVal val="1"/>
            </c:dLbl>
            <c:dLbl>
              <c:idx val="8"/>
              <c:layout>
                <c:manualLayout>
                  <c:x val="2.136752136752137E-3"/>
                  <c:y val="9.4882505883947706E-4"/>
                </c:manualLayout>
              </c:layout>
              <c:dLblPos val="t"/>
              <c:showVal val="1"/>
            </c:dLbl>
            <c:dLbl>
              <c:idx val="10"/>
              <c:layout>
                <c:manualLayout>
                  <c:x val="1.9397334948516368E-3"/>
                  <c:y val="2.0603058420515154E-3"/>
                </c:manualLayout>
              </c:layout>
              <c:dLblPos val="t"/>
              <c:showVal val="1"/>
            </c:dLbl>
            <c:dLbl>
              <c:idx val="11"/>
              <c:layout>
                <c:manualLayout>
                  <c:x val="-6.1947304663840085E-3"/>
                  <c:y val="6.6960186314738823E-2"/>
                </c:manualLayout>
              </c:layout>
              <c:dLblPos val="t"/>
              <c:showVal val="1"/>
            </c:dLbl>
            <c:dLbl>
              <c:idx val="12"/>
              <c:layout>
                <c:manualLayout>
                  <c:x val="1.6644457904300441E-2"/>
                  <c:y val="1.3984449126957933E-2"/>
                </c:manualLayout>
              </c:layout>
              <c:dLblPos val="t"/>
              <c:showVal val="1"/>
            </c:dLbl>
            <c:dLbl>
              <c:idx val="13"/>
              <c:layout>
                <c:manualLayout>
                  <c:x val="-2.1369203849518808E-3"/>
                  <c:y val="-1.6904736223040681E-3"/>
                </c:manualLayout>
              </c:layout>
              <c:dLblPos val="t"/>
              <c:showVal val="1"/>
            </c:dLbl>
            <c:dLbl>
              <c:idx val="16"/>
              <c:layout>
                <c:manualLayout>
                  <c:x val="-2.4975984630163352E-2"/>
                  <c:y val="1.7830609212481481E-2"/>
                </c:manualLayout>
              </c:layout>
              <c:dLblPos val="t"/>
              <c:showVal val="1"/>
            </c:dLbl>
            <c:dLbl>
              <c:idx val="18"/>
              <c:layout>
                <c:manualLayout>
                  <c:x val="-7.0765192812437894E-3"/>
                  <c:y val="4.2409767272241813E-2"/>
                </c:manualLayout>
              </c:layout>
              <c:dLblPos val="t"/>
              <c:showVal val="1"/>
            </c:dLbl>
            <c:txPr>
              <a:bodyPr/>
              <a:lstStyle/>
              <a:p>
                <a:pPr>
                  <a:defRPr sz="900" b="1"/>
                </a:pPr>
                <a:endParaRPr lang="ru-RU"/>
              </a:p>
            </c:txPr>
            <c:dLblPos val="t"/>
            <c:showVal val="1"/>
          </c:dLbls>
          <c:cat>
            <c:strRef>
              <c:f>Sheet1!$B$1:$T$1</c:f>
              <c:strCache>
                <c:ptCount val="19"/>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Заготовки</c:v>
                </c:pt>
                <c:pt idx="10">
                  <c:v>Операции с недвиж. Имуществом</c:v>
                </c:pt>
                <c:pt idx="11">
                  <c:v>Общая комерческая деятельность</c:v>
                </c:pt>
                <c:pt idx="12">
                  <c:v>ЖКХ</c:v>
                </c:pt>
                <c:pt idx="13">
                  <c:v>Здравоохранение</c:v>
                </c:pt>
                <c:pt idx="14">
                  <c:v>Образование</c:v>
                </c:pt>
                <c:pt idx="15">
                  <c:v>Культура и искусство</c:v>
                </c:pt>
                <c:pt idx="16">
                  <c:v>Физкультура отдых и туризм</c:v>
                </c:pt>
                <c:pt idx="17">
                  <c:v>Банки и кредитование</c:v>
                </c:pt>
                <c:pt idx="18">
                  <c:v>Страхование</c:v>
                </c:pt>
              </c:strCache>
            </c:strRef>
          </c:cat>
          <c:val>
            <c:numRef>
              <c:f>Sheet1!$B$3:$T$3</c:f>
              <c:numCache>
                <c:formatCode>0</c:formatCode>
                <c:ptCount val="19"/>
                <c:pt idx="0" formatCode="General">
                  <c:v>5102</c:v>
                </c:pt>
                <c:pt idx="1">
                  <c:v>3175</c:v>
                </c:pt>
                <c:pt idx="2" formatCode="General">
                  <c:v>1927</c:v>
                </c:pt>
                <c:pt idx="3" formatCode="General">
                  <c:v>4300</c:v>
                </c:pt>
                <c:pt idx="4" formatCode="General">
                  <c:v>6781</c:v>
                </c:pt>
                <c:pt idx="5" formatCode="General">
                  <c:v>5006</c:v>
                </c:pt>
                <c:pt idx="6" formatCode="General">
                  <c:v>1982</c:v>
                </c:pt>
                <c:pt idx="7">
                  <c:v>4317</c:v>
                </c:pt>
                <c:pt idx="8">
                  <c:v>4261</c:v>
                </c:pt>
                <c:pt idx="9">
                  <c:v>5081</c:v>
                </c:pt>
                <c:pt idx="10">
                  <c:v>4235</c:v>
                </c:pt>
                <c:pt idx="11">
                  <c:v>4303</c:v>
                </c:pt>
                <c:pt idx="12">
                  <c:v>4051</c:v>
                </c:pt>
                <c:pt idx="13">
                  <c:v>2719</c:v>
                </c:pt>
                <c:pt idx="14">
                  <c:v>2714</c:v>
                </c:pt>
                <c:pt idx="15">
                  <c:v>2490</c:v>
                </c:pt>
                <c:pt idx="16">
                  <c:v>5061</c:v>
                </c:pt>
                <c:pt idx="17">
                  <c:v>8308</c:v>
                </c:pt>
                <c:pt idx="18">
                  <c:v>5439</c:v>
                </c:pt>
              </c:numCache>
            </c:numRef>
          </c:val>
        </c:ser>
        <c:ser>
          <c:idx val="2"/>
          <c:order val="2"/>
          <c:tx>
            <c:strRef>
              <c:f>Sheet1!$A$4</c:f>
              <c:strCache>
                <c:ptCount val="1"/>
                <c:pt idx="0">
                  <c:v>средняя заработная плата в целом по республике </c:v>
                </c:pt>
              </c:strCache>
            </c:strRef>
          </c:tx>
          <c:spPr>
            <a:ln w="24130">
              <a:solidFill>
                <a:srgbClr val="008080"/>
              </a:solidFill>
              <a:prstDash val="solid"/>
            </a:ln>
          </c:spPr>
          <c:marker>
            <c:symbol val="triangle"/>
            <c:size val="2"/>
            <c:spPr>
              <a:solidFill>
                <a:srgbClr val="008080"/>
              </a:solidFill>
              <a:ln>
                <a:solidFill>
                  <a:srgbClr val="008080"/>
                </a:solidFill>
                <a:prstDash val="solid"/>
              </a:ln>
            </c:spPr>
          </c:marker>
          <c:cat>
            <c:strRef>
              <c:f>Sheet1!$B$1:$T$1</c:f>
              <c:strCache>
                <c:ptCount val="19"/>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Заготовки</c:v>
                </c:pt>
                <c:pt idx="10">
                  <c:v>Операции с недвиж. Имуществом</c:v>
                </c:pt>
                <c:pt idx="11">
                  <c:v>Общая комерческая деятельность</c:v>
                </c:pt>
                <c:pt idx="12">
                  <c:v>ЖКХ</c:v>
                </c:pt>
                <c:pt idx="13">
                  <c:v>Здравоохранение</c:v>
                </c:pt>
                <c:pt idx="14">
                  <c:v>Образование</c:v>
                </c:pt>
                <c:pt idx="15">
                  <c:v>Культура и искусство</c:v>
                </c:pt>
                <c:pt idx="16">
                  <c:v>Физкультура отдых и туризм</c:v>
                </c:pt>
                <c:pt idx="17">
                  <c:v>Банки и кредитование</c:v>
                </c:pt>
                <c:pt idx="18">
                  <c:v>Страхование</c:v>
                </c:pt>
              </c:strCache>
            </c:strRef>
          </c:cat>
          <c:val>
            <c:numRef>
              <c:f>Sheet1!$B$4:$T$4</c:f>
              <c:numCache>
                <c:formatCode>General</c:formatCode>
                <c:ptCount val="19"/>
                <c:pt idx="0">
                  <c:v>4020</c:v>
                </c:pt>
                <c:pt idx="1">
                  <c:v>4020</c:v>
                </c:pt>
                <c:pt idx="2">
                  <c:v>4020</c:v>
                </c:pt>
                <c:pt idx="3">
                  <c:v>4020</c:v>
                </c:pt>
                <c:pt idx="4">
                  <c:v>4020</c:v>
                </c:pt>
                <c:pt idx="5">
                  <c:v>4020</c:v>
                </c:pt>
                <c:pt idx="6">
                  <c:v>4020</c:v>
                </c:pt>
                <c:pt idx="7">
                  <c:v>4020</c:v>
                </c:pt>
                <c:pt idx="8">
                  <c:v>4020</c:v>
                </c:pt>
                <c:pt idx="9">
                  <c:v>4020</c:v>
                </c:pt>
                <c:pt idx="10">
                  <c:v>4020</c:v>
                </c:pt>
                <c:pt idx="11">
                  <c:v>4020</c:v>
                </c:pt>
                <c:pt idx="12">
                  <c:v>4020</c:v>
                </c:pt>
                <c:pt idx="13">
                  <c:v>4020</c:v>
                </c:pt>
                <c:pt idx="14">
                  <c:v>4020</c:v>
                </c:pt>
                <c:pt idx="15">
                  <c:v>4020</c:v>
                </c:pt>
                <c:pt idx="16">
                  <c:v>4020</c:v>
                </c:pt>
                <c:pt idx="17">
                  <c:v>4020</c:v>
                </c:pt>
                <c:pt idx="18">
                  <c:v>4020</c:v>
                </c:pt>
              </c:numCache>
            </c:numRef>
          </c:val>
        </c:ser>
        <c:marker val="1"/>
        <c:axId val="150216704"/>
        <c:axId val="150218624"/>
      </c:lineChart>
      <c:catAx>
        <c:axId val="150216704"/>
        <c:scaling>
          <c:orientation val="minMax"/>
        </c:scaling>
        <c:axPos val="b"/>
        <c:numFmt formatCode="General" sourceLinked="1"/>
        <c:tickLblPos val="nextTo"/>
        <c:spPr>
          <a:ln w="3016">
            <a:solidFill>
              <a:srgbClr val="000000"/>
            </a:solidFill>
            <a:prstDash val="solid"/>
          </a:ln>
        </c:spPr>
        <c:txPr>
          <a:bodyPr rot="-5400000" vert="horz"/>
          <a:lstStyle/>
          <a:p>
            <a:pPr>
              <a:defRPr/>
            </a:pPr>
            <a:endParaRPr lang="ru-RU"/>
          </a:p>
        </c:txPr>
        <c:crossAx val="150218624"/>
        <c:crosses val="autoZero"/>
        <c:auto val="1"/>
        <c:lblAlgn val="ctr"/>
        <c:lblOffset val="200"/>
        <c:tickLblSkip val="1"/>
        <c:tickMarkSkip val="1"/>
      </c:catAx>
      <c:valAx>
        <c:axId val="150218624"/>
        <c:scaling>
          <c:orientation val="minMax"/>
          <c:max val="9000"/>
          <c:min val="1000"/>
        </c:scaling>
        <c:axPos val="l"/>
        <c:numFmt formatCode="General" sourceLinked="0"/>
        <c:tickLblPos val="nextTo"/>
        <c:spPr>
          <a:ln w="3016">
            <a:solidFill>
              <a:srgbClr val="000000"/>
            </a:solidFill>
            <a:prstDash val="solid"/>
          </a:ln>
        </c:spPr>
        <c:txPr>
          <a:bodyPr rot="0" vert="horz"/>
          <a:lstStyle/>
          <a:p>
            <a:pPr>
              <a:defRPr/>
            </a:pPr>
            <a:endParaRPr lang="ru-RU"/>
          </a:p>
        </c:txPr>
        <c:crossAx val="150216704"/>
        <c:crosses val="autoZero"/>
        <c:crossBetween val="between"/>
        <c:majorUnit val="500"/>
      </c:valAx>
    </c:plotArea>
    <c:legend>
      <c:legendPos val="r"/>
      <c:layout>
        <c:manualLayout>
          <c:xMode val="edge"/>
          <c:yMode val="edge"/>
          <c:x val="0"/>
          <c:y val="0.90114112318238704"/>
          <c:w val="1"/>
          <c:h val="9.8763414066912525E-2"/>
        </c:manualLayout>
      </c:layout>
      <c:spPr>
        <a:solidFill>
          <a:srgbClr val="FFFFFF"/>
        </a:solidFill>
        <a:ln w="3016">
          <a:noFill/>
          <a:prstDash val="solid"/>
        </a:ln>
      </c:spPr>
    </c:legend>
    <c:plotVisOnly val="1"/>
    <c:dispBlanksAs val="gap"/>
  </c:chart>
  <c:spPr>
    <a:noFill/>
    <a:ln>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36553592461719664"/>
          <c:y val="5.8420219024346513E-2"/>
          <c:w val="0.58734982332155505"/>
          <c:h val="0.49271517784415103"/>
        </c:manualLayout>
      </c:layout>
      <c:lineChart>
        <c:grouping val="standard"/>
        <c:ser>
          <c:idx val="0"/>
          <c:order val="0"/>
          <c:tx>
            <c:strRef>
              <c:f>Лист1!$B$1</c:f>
              <c:strCache>
                <c:ptCount val="1"/>
                <c:pt idx="0">
                  <c:v>Валовой внутренний продукт (в текущих ценах), млн. долл. США</c:v>
                </c:pt>
              </c:strCache>
            </c:strRef>
          </c:tx>
          <c:spPr>
            <a:ln>
              <a:solidFill>
                <a:schemeClr val="accent3">
                  <a:lumMod val="75000"/>
                </a:schemeClr>
              </a:solidFill>
            </a:ln>
          </c:spPr>
          <c:marker>
            <c:spPr>
              <a:ln cap="sq">
                <a:solidFill>
                  <a:schemeClr val="accent3">
                    <a:lumMod val="75000"/>
                  </a:schemeClr>
                </a:solidFill>
                <a:bevel/>
              </a:ln>
            </c:spPr>
          </c:marker>
          <c:dLbls>
            <c:dLbl>
              <c:idx val="0"/>
              <c:tx>
                <c:rich>
                  <a:bodyPr/>
                  <a:lstStyle/>
                  <a:p>
                    <a:r>
                      <a:rPr lang="ru-RU" sz="800" b="1">
                        <a:latin typeface="Times New Roman" pitchFamily="18" charset="0"/>
                        <a:cs typeface="Times New Roman" pitchFamily="18" charset="0"/>
                      </a:rPr>
                      <a:t>-5,1%</a:t>
                    </a:r>
                    <a:endParaRPr lang="en-US" sz="800" b="1">
                      <a:latin typeface="Times New Roman" pitchFamily="18" charset="0"/>
                      <a:cs typeface="Times New Roman" pitchFamily="18" charset="0"/>
                    </a:endParaRPr>
                  </a:p>
                </c:rich>
              </c:tx>
              <c:dLblPos val="t"/>
              <c:showVal val="1"/>
            </c:dLbl>
            <c:dLbl>
              <c:idx val="1"/>
              <c:layout>
                <c:manualLayout>
                  <c:x val="7.684918347742555E-3"/>
                  <c:y val="1.904761904761916E-2"/>
                </c:manualLayout>
              </c:layout>
              <c:tx>
                <c:rich>
                  <a:bodyPr/>
                  <a:lstStyle/>
                  <a:p>
                    <a:r>
                      <a:rPr lang="ru-RU" sz="800" b="1">
                        <a:latin typeface="Times New Roman" pitchFamily="18" charset="0"/>
                        <a:cs typeface="Times New Roman" pitchFamily="18" charset="0"/>
                      </a:rPr>
                      <a:t>+1,0%</a:t>
                    </a:r>
                    <a:endParaRPr lang="en-US" sz="800" b="1">
                      <a:latin typeface="Times New Roman" pitchFamily="18" charset="0"/>
                      <a:cs typeface="Times New Roman" pitchFamily="18" charset="0"/>
                    </a:endParaRPr>
                  </a:p>
                </c:rich>
              </c:tx>
              <c:dLblPos val="t"/>
              <c:showVal val="1"/>
            </c:dLbl>
            <c:txPr>
              <a:bodyPr/>
              <a:lstStyle/>
              <a:p>
                <a:pPr>
                  <a:defRPr sz="800" b="1">
                    <a:latin typeface="Times New Roman" pitchFamily="18" charset="0"/>
                    <a:cs typeface="Times New Roman" pitchFamily="18" charset="0"/>
                  </a:defRPr>
                </a:pPr>
                <a:endParaRPr lang="ru-RU"/>
              </a:p>
            </c:txPr>
            <c:dLblPos val="t"/>
            <c:showVal val="1"/>
          </c:dLbls>
          <c:cat>
            <c:strRef>
              <c:f>Лист1!$A$2:$A$3</c:f>
              <c:strCache>
                <c:ptCount val="2"/>
                <c:pt idx="0">
                  <c:v>январь-июнь 2013</c:v>
                </c:pt>
                <c:pt idx="1">
                  <c:v>январь - июнь 2014</c:v>
                </c:pt>
              </c:strCache>
            </c:strRef>
          </c:cat>
          <c:val>
            <c:numRef>
              <c:f>Лист1!$B$2:$B$3</c:f>
              <c:numCache>
                <c:formatCode>General</c:formatCode>
                <c:ptCount val="2"/>
                <c:pt idx="0">
                  <c:v>392.4</c:v>
                </c:pt>
                <c:pt idx="1">
                  <c:v>429.5</c:v>
                </c:pt>
              </c:numCache>
            </c:numRef>
          </c:val>
        </c:ser>
        <c:dLbls>
          <c:showVal val="1"/>
        </c:dLbls>
        <c:marker val="1"/>
        <c:axId val="150267776"/>
        <c:axId val="150269312"/>
      </c:lineChart>
      <c:catAx>
        <c:axId val="150267776"/>
        <c:scaling>
          <c:orientation val="minMax"/>
        </c:scaling>
        <c:axPos val="b"/>
        <c:tickLblPos val="nextTo"/>
        <c:crossAx val="150269312"/>
        <c:crosses val="autoZero"/>
        <c:auto val="1"/>
        <c:lblAlgn val="ctr"/>
        <c:lblOffset val="100"/>
      </c:catAx>
      <c:valAx>
        <c:axId val="150269312"/>
        <c:scaling>
          <c:orientation val="minMax"/>
          <c:min val="390"/>
        </c:scaling>
        <c:axPos val="l"/>
        <c:majorGridlines/>
        <c:title>
          <c:tx>
            <c:rich>
              <a:bodyPr rot="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 реальный прирост (спад) ВВП</a:t>
                </a:r>
              </a:p>
            </c:rich>
          </c:tx>
          <c:layout>
            <c:manualLayout>
              <c:xMode val="edge"/>
              <c:yMode val="edge"/>
              <c:x val="0.1012956419316858"/>
              <c:y val="0.13026618453809297"/>
            </c:manualLayout>
          </c:layout>
        </c:title>
        <c:numFmt formatCode="General" sourceLinked="1"/>
        <c:tickLblPos val="nextTo"/>
        <c:txPr>
          <a:bodyPr/>
          <a:lstStyle/>
          <a:p>
            <a:pPr>
              <a:defRPr lang="ru-RU" b="1">
                <a:latin typeface="Times New Roman" pitchFamily="18" charset="0"/>
                <a:cs typeface="Times New Roman" pitchFamily="18" charset="0"/>
              </a:defRPr>
            </a:pPr>
            <a:endParaRPr lang="ru-RU"/>
          </a:p>
        </c:txPr>
        <c:crossAx val="150267776"/>
        <c:crosses val="autoZero"/>
        <c:crossBetween val="between"/>
        <c:majorUnit val="25"/>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Структура производста ВВП, млн. руб.</a:t>
            </a:r>
          </a:p>
        </c:rich>
      </c:tx>
    </c:title>
    <c:plotArea>
      <c:layout/>
      <c:barChart>
        <c:barDir val="col"/>
        <c:grouping val="clustered"/>
        <c:ser>
          <c:idx val="0"/>
          <c:order val="0"/>
          <c:tx>
            <c:strRef>
              <c:f>Лист1!$B$1</c:f>
              <c:strCache>
                <c:ptCount val="1"/>
                <c:pt idx="0">
                  <c:v>январь-июнь 2013 года</c:v>
                </c:pt>
              </c:strCache>
            </c:strRef>
          </c:tx>
          <c:dLbls>
            <c:dLbl>
              <c:idx val="0"/>
              <c:tx>
                <c:rich>
                  <a:bodyPr/>
                  <a:lstStyle/>
                  <a:p>
                    <a:r>
                      <a:rPr lang="ru-RU" sz="800" b="1">
                        <a:latin typeface="Times New Roman" pitchFamily="18" charset="0"/>
                        <a:cs typeface="Times New Roman" pitchFamily="18" charset="0"/>
                      </a:rPr>
                      <a:t>16,74*</a:t>
                    </a:r>
                    <a:endParaRPr lang="en-US" sz="800" b="1">
                      <a:latin typeface="Times New Roman" pitchFamily="18" charset="0"/>
                      <a:cs typeface="Times New Roman" pitchFamily="18" charset="0"/>
                    </a:endParaRPr>
                  </a:p>
                </c:rich>
              </c:tx>
              <c:dLblPos val="outEnd"/>
              <c:showVal val="1"/>
            </c:dLbl>
            <c:dLbl>
              <c:idx val="1"/>
              <c:layout>
                <c:manualLayout>
                  <c:x val="-4.6296296296296597E-3"/>
                  <c:y val="0"/>
                </c:manualLayout>
              </c:layout>
              <c:tx>
                <c:rich>
                  <a:bodyPr/>
                  <a:lstStyle/>
                  <a:p>
                    <a:r>
                      <a:rPr lang="ru-RU" sz="800" b="1">
                        <a:latin typeface="Times New Roman" pitchFamily="18" charset="0"/>
                        <a:cs typeface="Times New Roman" pitchFamily="18" charset="0"/>
                      </a:rPr>
                      <a:t>76,35*</a:t>
                    </a:r>
                    <a:endParaRPr lang="en-US" sz="800" b="1">
                      <a:latin typeface="Times New Roman" pitchFamily="18" charset="0"/>
                      <a:cs typeface="Times New Roman" pitchFamily="18" charset="0"/>
                    </a:endParaRPr>
                  </a:p>
                </c:rich>
              </c:tx>
              <c:dLblPos val="outEnd"/>
              <c:showVal val="1"/>
            </c:dLbl>
            <c:dLbl>
              <c:idx val="2"/>
              <c:tx>
                <c:rich>
                  <a:bodyPr/>
                  <a:lstStyle/>
                  <a:p>
                    <a:r>
                      <a:rPr lang="ru-RU" sz="800" b="1">
                        <a:latin typeface="Times New Roman" pitchFamily="18" charset="0"/>
                        <a:cs typeface="Times New Roman" pitchFamily="18" charset="0"/>
                      </a:rPr>
                      <a:t>6,91*</a:t>
                    </a:r>
                    <a:endParaRPr lang="en-US" sz="800" b="1">
                      <a:latin typeface="Times New Roman" pitchFamily="18" charset="0"/>
                      <a:cs typeface="Times New Roman" pitchFamily="18" charset="0"/>
                    </a:endParaRPr>
                  </a:p>
                </c:rich>
              </c:tx>
              <c:dLblPos val="outEnd"/>
              <c:showVal val="1"/>
            </c:dLbl>
            <c:dLblPos val="outEnd"/>
            <c:showVal val="1"/>
          </c:dLbls>
          <c:cat>
            <c:strRef>
              <c:f>Лист1!$A$2:$A$4</c:f>
              <c:strCache>
                <c:ptCount val="3"/>
                <c:pt idx="0">
                  <c:v>Производство товаров</c:v>
                </c:pt>
                <c:pt idx="1">
                  <c:v>Производство  услуг</c:v>
                </c:pt>
                <c:pt idx="2">
                  <c:v>Чистые налоги на продукты и на импорт (за минусом субсидий)</c:v>
                </c:pt>
              </c:strCache>
            </c:strRef>
          </c:cat>
          <c:val>
            <c:numRef>
              <c:f>Лист1!$B$2:$B$4</c:f>
              <c:numCache>
                <c:formatCode>0.0</c:formatCode>
                <c:ptCount val="3"/>
                <c:pt idx="0">
                  <c:v>729.3</c:v>
                </c:pt>
                <c:pt idx="1">
                  <c:v>3325.6</c:v>
                </c:pt>
                <c:pt idx="2">
                  <c:v>300.89999999999969</c:v>
                </c:pt>
              </c:numCache>
            </c:numRef>
          </c:val>
        </c:ser>
        <c:ser>
          <c:idx val="1"/>
          <c:order val="1"/>
          <c:tx>
            <c:strRef>
              <c:f>Лист1!$C$1</c:f>
              <c:strCache>
                <c:ptCount val="1"/>
                <c:pt idx="0">
                  <c:v>январь-июнь 2014 года</c:v>
                </c:pt>
              </c:strCache>
            </c:strRef>
          </c:tx>
          <c:dLbls>
            <c:dLbl>
              <c:idx val="0"/>
              <c:tx>
                <c:rich>
                  <a:bodyPr/>
                  <a:lstStyle/>
                  <a:p>
                    <a:r>
                      <a:rPr lang="ru-RU" sz="800" b="1">
                        <a:latin typeface="Times New Roman" pitchFamily="18" charset="0"/>
                        <a:cs typeface="Times New Roman" pitchFamily="18" charset="0"/>
                      </a:rPr>
                      <a:t>19,02*</a:t>
                    </a:r>
                    <a:endParaRPr lang="en-US" sz="800" b="1">
                      <a:latin typeface="Times New Roman" pitchFamily="18" charset="0"/>
                      <a:cs typeface="Times New Roman" pitchFamily="18" charset="0"/>
                    </a:endParaRPr>
                  </a:p>
                </c:rich>
              </c:tx>
              <c:dLblPos val="outEnd"/>
              <c:showVal val="1"/>
            </c:dLbl>
            <c:dLbl>
              <c:idx val="1"/>
              <c:tx>
                <c:rich>
                  <a:bodyPr/>
                  <a:lstStyle/>
                  <a:p>
                    <a:r>
                      <a:rPr lang="ru-RU" sz="800" b="1">
                        <a:latin typeface="Times New Roman" pitchFamily="18" charset="0"/>
                        <a:cs typeface="Times New Roman" pitchFamily="18" charset="0"/>
                      </a:rPr>
                      <a:t>75,50*</a:t>
                    </a:r>
                    <a:endParaRPr lang="en-US" sz="800" b="1">
                      <a:latin typeface="Times New Roman" pitchFamily="18" charset="0"/>
                      <a:cs typeface="Times New Roman" pitchFamily="18" charset="0"/>
                    </a:endParaRPr>
                  </a:p>
                </c:rich>
              </c:tx>
              <c:dLblPos val="outEnd"/>
              <c:showVal val="1"/>
            </c:dLbl>
            <c:dLbl>
              <c:idx val="2"/>
              <c:tx>
                <c:rich>
                  <a:bodyPr/>
                  <a:lstStyle/>
                  <a:p>
                    <a:r>
                      <a:rPr lang="ru-RU" sz="800" b="1">
                        <a:latin typeface="Times New Roman" pitchFamily="18" charset="0"/>
                        <a:cs typeface="Times New Roman" pitchFamily="18" charset="0"/>
                      </a:rPr>
                      <a:t>5,48*</a:t>
                    </a:r>
                    <a:endParaRPr lang="en-US" sz="800" b="1">
                      <a:latin typeface="Times New Roman" pitchFamily="18" charset="0"/>
                      <a:cs typeface="Times New Roman" pitchFamily="18" charset="0"/>
                    </a:endParaRPr>
                  </a:p>
                </c:rich>
              </c:tx>
              <c:dLblPos val="outEnd"/>
              <c:showVal val="1"/>
            </c:dLbl>
            <c:dLblPos val="outEnd"/>
            <c:showVal val="1"/>
          </c:dLbls>
          <c:cat>
            <c:strRef>
              <c:f>Лист1!$A$2:$A$4</c:f>
              <c:strCache>
                <c:ptCount val="3"/>
                <c:pt idx="0">
                  <c:v>Производство товаров</c:v>
                </c:pt>
                <c:pt idx="1">
                  <c:v>Производство  услуг</c:v>
                </c:pt>
                <c:pt idx="2">
                  <c:v>Чистые налоги на продукты и на импорт (за минусом субсидий)</c:v>
                </c:pt>
              </c:strCache>
            </c:strRef>
          </c:cat>
          <c:val>
            <c:numRef>
              <c:f>Лист1!$C$2:$C$4</c:f>
              <c:numCache>
                <c:formatCode>0.0</c:formatCode>
                <c:ptCount val="3"/>
                <c:pt idx="0">
                  <c:v>907.1</c:v>
                </c:pt>
                <c:pt idx="1">
                  <c:v>3599.3</c:v>
                </c:pt>
                <c:pt idx="2">
                  <c:v>261.10000000000002</c:v>
                </c:pt>
              </c:numCache>
            </c:numRef>
          </c:val>
        </c:ser>
        <c:dLbls>
          <c:showVal val="1"/>
        </c:dLbls>
        <c:axId val="150185856"/>
        <c:axId val="150187392"/>
      </c:barChart>
      <c:catAx>
        <c:axId val="150185856"/>
        <c:scaling>
          <c:orientation val="minMax"/>
        </c:scaling>
        <c:axPos val="b"/>
        <c:tickLblPos val="nextTo"/>
        <c:crossAx val="150187392"/>
        <c:crosses val="autoZero"/>
        <c:auto val="1"/>
        <c:lblAlgn val="ctr"/>
        <c:lblOffset val="100"/>
      </c:catAx>
      <c:valAx>
        <c:axId val="150187392"/>
        <c:scaling>
          <c:orientation val="minMax"/>
        </c:scaling>
        <c:axPos val="l"/>
        <c:title>
          <c:tx>
            <c:rich>
              <a:bodyPr rot="0" vert="horz"/>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*_ удельный вес в структуре ВВП,%</a:t>
                </a:r>
              </a:p>
            </c:rich>
          </c:tx>
          <c:layout>
            <c:manualLayout>
              <c:xMode val="edge"/>
              <c:yMode val="edge"/>
              <c:x val="0.77777777777778101"/>
              <c:y val="0.20674134483189793"/>
            </c:manualLayout>
          </c:layout>
        </c:title>
        <c:numFmt formatCode="0.0" sourceLinked="1"/>
        <c:tickLblPos val="nextTo"/>
        <c:txPr>
          <a:bodyPr/>
          <a:lstStyle/>
          <a:p>
            <a:pPr>
              <a:defRPr sz="900" b="1">
                <a:latin typeface="Times New Roman" pitchFamily="18" charset="0"/>
                <a:cs typeface="Times New Roman" pitchFamily="18" charset="0"/>
              </a:defRPr>
            </a:pPr>
            <a:endParaRPr lang="ru-RU"/>
          </a:p>
        </c:txPr>
        <c:crossAx val="150185856"/>
        <c:crosses val="autoZero"/>
        <c:crossBetween val="between"/>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Структура валовой добавленной стоимости отраслей товарного производства, %</a:t>
            </a:r>
          </a:p>
        </c:rich>
      </c:tx>
      <c:layout>
        <c:manualLayout>
          <c:xMode val="edge"/>
          <c:yMode val="edge"/>
          <c:x val="0.11878715160604929"/>
          <c:y val="0"/>
        </c:manualLayout>
      </c:layout>
    </c:title>
    <c:plotArea>
      <c:layout>
        <c:manualLayout>
          <c:layoutTarget val="inner"/>
          <c:xMode val="edge"/>
          <c:yMode val="edge"/>
          <c:x val="7.4859242594675662E-2"/>
          <c:y val="0.18139262004014201"/>
          <c:w val="0.90672111087465423"/>
          <c:h val="0.6606717475823588"/>
        </c:manualLayout>
      </c:layout>
      <c:barChart>
        <c:barDir val="col"/>
        <c:grouping val="clustered"/>
        <c:ser>
          <c:idx val="0"/>
          <c:order val="0"/>
          <c:tx>
            <c:strRef>
              <c:f>Лист1!$B$1</c:f>
              <c:strCache>
                <c:ptCount val="1"/>
                <c:pt idx="0">
                  <c:v>январь-июнь 2013 года</c:v>
                </c:pt>
              </c:strCache>
            </c:strRef>
          </c:tx>
          <c:dLbls>
            <c:dLbl>
              <c:idx val="0"/>
              <c:layout>
                <c:manualLayout>
                  <c:x val="0"/>
                  <c:y val="1.2615052077766319E-2"/>
                </c:manualLayout>
              </c:layout>
              <c:dLblPos val="outEnd"/>
              <c:showVal val="1"/>
            </c:dLbl>
            <c:dLbl>
              <c:idx val="2"/>
              <c:layout>
                <c:manualLayout>
                  <c:x val="2.5396825396825401E-3"/>
                  <c:y val="1.8099547511312229E-2"/>
                </c:manualLayout>
              </c:layout>
              <c:dLblPos val="outEnd"/>
              <c:showVal val="1"/>
            </c:dLbl>
            <c:txPr>
              <a:bodyPr/>
              <a:lstStyle/>
              <a:p>
                <a:pPr>
                  <a:defRPr sz="800" b="1">
                    <a:latin typeface="Times New Roman" pitchFamily="18" charset="0"/>
                    <a:cs typeface="Times New Roman" pitchFamily="18" charset="0"/>
                  </a:defRPr>
                </a:pPr>
                <a:endParaRPr lang="ru-RU"/>
              </a:p>
            </c:txPr>
            <c:dLblPos val="outEnd"/>
            <c:showVal val="1"/>
          </c:dLbls>
          <c:cat>
            <c:strRef>
              <c:f>Лист1!$A$2:$A$4</c:f>
              <c:strCache>
                <c:ptCount val="3"/>
                <c:pt idx="0">
                  <c:v>Промышленность</c:v>
                </c:pt>
                <c:pt idx="1">
                  <c:v>Селькое хозяйство</c:v>
                </c:pt>
                <c:pt idx="2">
                  <c:v>Строительство</c:v>
                </c:pt>
              </c:strCache>
            </c:strRef>
          </c:cat>
          <c:val>
            <c:numRef>
              <c:f>Лист1!$B$2:$B$4</c:f>
              <c:numCache>
                <c:formatCode>General</c:formatCode>
                <c:ptCount val="3"/>
                <c:pt idx="0">
                  <c:v>27.45</c:v>
                </c:pt>
                <c:pt idx="1">
                  <c:v>-13.18</c:v>
                </c:pt>
                <c:pt idx="2">
                  <c:v>2.4699999999999998</c:v>
                </c:pt>
              </c:numCache>
            </c:numRef>
          </c:val>
        </c:ser>
        <c:ser>
          <c:idx val="1"/>
          <c:order val="1"/>
          <c:tx>
            <c:strRef>
              <c:f>Лист1!$C$1</c:f>
              <c:strCache>
                <c:ptCount val="1"/>
                <c:pt idx="0">
                  <c:v>январь-июнь 2014 года</c:v>
                </c:pt>
              </c:strCache>
            </c:strRef>
          </c:tx>
          <c:dLbls>
            <c:dLbl>
              <c:idx val="0"/>
              <c:layout>
                <c:manualLayout>
                  <c:x val="-2.5396825396825401E-3"/>
                  <c:y val="1.0420778850607571E-2"/>
                </c:manualLayout>
              </c:layout>
              <c:dLblPos val="outEnd"/>
              <c:showVal val="1"/>
            </c:dLbl>
            <c:dLbl>
              <c:idx val="2"/>
              <c:layout>
                <c:manualLayout>
                  <c:x val="-1.0158730158730254E-2"/>
                  <c:y val="1.2066365007541479E-2"/>
                </c:manualLayout>
              </c:layout>
              <c:dLblPos val="outEnd"/>
              <c:showVal val="1"/>
            </c:dLbl>
            <c:txPr>
              <a:bodyPr/>
              <a:lstStyle/>
              <a:p>
                <a:pPr>
                  <a:defRPr sz="800" b="1">
                    <a:latin typeface="Times New Roman" pitchFamily="18" charset="0"/>
                    <a:cs typeface="Times New Roman" pitchFamily="18" charset="0"/>
                  </a:defRPr>
                </a:pPr>
                <a:endParaRPr lang="ru-RU"/>
              </a:p>
            </c:txPr>
            <c:dLblPos val="outEnd"/>
            <c:showVal val="1"/>
          </c:dLbls>
          <c:cat>
            <c:strRef>
              <c:f>Лист1!$A$2:$A$4</c:f>
              <c:strCache>
                <c:ptCount val="3"/>
                <c:pt idx="0">
                  <c:v>Промышленность</c:v>
                </c:pt>
                <c:pt idx="1">
                  <c:v>Селькое хозяйство</c:v>
                </c:pt>
                <c:pt idx="2">
                  <c:v>Строительство</c:v>
                </c:pt>
              </c:strCache>
            </c:strRef>
          </c:cat>
          <c:val>
            <c:numRef>
              <c:f>Лист1!$C$2:$C$4</c:f>
              <c:numCache>
                <c:formatCode>General</c:formatCode>
                <c:ptCount val="3"/>
                <c:pt idx="0">
                  <c:v>33.840000000000003</c:v>
                </c:pt>
                <c:pt idx="1">
                  <c:v>-17.610000000000031</c:v>
                </c:pt>
                <c:pt idx="2">
                  <c:v>2.79</c:v>
                </c:pt>
              </c:numCache>
            </c:numRef>
          </c:val>
        </c:ser>
        <c:dLbls>
          <c:showVal val="1"/>
        </c:dLbls>
        <c:axId val="150554880"/>
        <c:axId val="150577152"/>
      </c:barChart>
      <c:catAx>
        <c:axId val="150554880"/>
        <c:scaling>
          <c:orientation val="minMax"/>
        </c:scaling>
        <c:axPos val="b"/>
        <c:tickLblPos val="nextTo"/>
        <c:txPr>
          <a:bodyPr/>
          <a:lstStyle/>
          <a:p>
            <a:pPr>
              <a:defRPr b="1">
                <a:latin typeface="Times New Roman" pitchFamily="18" charset="0"/>
                <a:cs typeface="Times New Roman" pitchFamily="18" charset="0"/>
              </a:defRPr>
            </a:pPr>
            <a:endParaRPr lang="ru-RU"/>
          </a:p>
        </c:txPr>
        <c:crossAx val="150577152"/>
        <c:crosses val="autoZero"/>
        <c:auto val="1"/>
        <c:lblAlgn val="ctr"/>
        <c:lblOffset val="100"/>
      </c:catAx>
      <c:valAx>
        <c:axId val="150577152"/>
        <c:scaling>
          <c:orientation val="minMax"/>
          <c:max val="40"/>
          <c:min val="-20"/>
        </c:scaling>
        <c:axPos val="l"/>
        <c:numFmt formatCode="General" sourceLinked="1"/>
        <c:tickLblPos val="nextTo"/>
        <c:txPr>
          <a:bodyPr/>
          <a:lstStyle/>
          <a:p>
            <a:pPr>
              <a:defRPr sz="800" b="1">
                <a:latin typeface="Times New Roman" pitchFamily="18" charset="0"/>
                <a:cs typeface="Times New Roman" pitchFamily="18" charset="0"/>
              </a:defRPr>
            </a:pPr>
            <a:endParaRPr lang="ru-RU"/>
          </a:p>
        </c:txPr>
        <c:crossAx val="150554880"/>
        <c:crosses val="autoZero"/>
        <c:crossBetween val="between"/>
        <c:majorUnit val="10"/>
      </c:valAx>
    </c:plotArea>
    <c:legend>
      <c:legendPos val="b"/>
      <c:layout>
        <c:manualLayout>
          <c:xMode val="edge"/>
          <c:yMode val="edge"/>
          <c:x val="0.10004829396325469"/>
          <c:y val="0.90362980489508193"/>
          <c:w val="0.78466511686039264"/>
          <c:h val="9.6370195104922257E-2"/>
        </c:manualLayout>
      </c:layout>
      <c:txPr>
        <a:bodyPr/>
        <a:lstStyle/>
        <a:p>
          <a:pPr>
            <a:defRPr b="1">
              <a:latin typeface="Times New Roman" pitchFamily="18" charset="0"/>
              <a:cs typeface="Times New Roman" pitchFamily="18" charset="0"/>
            </a:defRPr>
          </a:pPr>
          <a:endParaRPr lang="ru-RU"/>
        </a:p>
      </c:txPr>
    </c:legend>
    <c:plotVisOnly val="1"/>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27"/>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Структура ВДС  отраслей рыночных услуг, %</a:t>
            </a:r>
          </a:p>
        </c:rich>
      </c:tx>
    </c:title>
    <c:plotArea>
      <c:layout>
        <c:manualLayout>
          <c:layoutTarget val="inner"/>
          <c:xMode val="edge"/>
          <c:yMode val="edge"/>
          <c:x val="6.6265417803166804E-2"/>
          <c:y val="0.11541557305336834"/>
          <c:w val="0.90976944058463283"/>
          <c:h val="0.36595837285045857"/>
        </c:manualLayout>
      </c:layout>
      <c:barChart>
        <c:barDir val="col"/>
        <c:grouping val="clustered"/>
        <c:ser>
          <c:idx val="0"/>
          <c:order val="0"/>
          <c:tx>
            <c:strRef>
              <c:f>Лист1!$B$1</c:f>
              <c:strCache>
                <c:ptCount val="1"/>
                <c:pt idx="0">
                  <c:v>январь-июнь 2013 года</c:v>
                </c:pt>
              </c:strCache>
            </c:strRef>
          </c:tx>
          <c:dLbls>
            <c:dLbl>
              <c:idx val="0"/>
              <c:layout>
                <c:manualLayout>
                  <c:x val="-2.1536915086923761E-3"/>
                  <c:y val="9.3023255813953504E-3"/>
                </c:manualLayout>
              </c:layout>
              <c:showVal val="1"/>
            </c:dLbl>
            <c:dLbl>
              <c:idx val="2"/>
              <c:layout>
                <c:manualLayout>
                  <c:x val="-6.5145130181149613E-3"/>
                  <c:y val="1.1204541292803604E-2"/>
                </c:manualLayout>
              </c:layout>
              <c:showVal val="1"/>
            </c:dLbl>
            <c:dLbl>
              <c:idx val="3"/>
              <c:layout>
                <c:manualLayout>
                  <c:x val="-1.0893376462148451E-2"/>
                  <c:y val="1.1769028871391135E-2"/>
                </c:manualLayout>
              </c:layout>
              <c:showVal val="1"/>
            </c:dLbl>
            <c:dLbl>
              <c:idx val="4"/>
              <c:layout>
                <c:manualLayout>
                  <c:x val="0"/>
                  <c:y val="9.3023255813953227E-3"/>
                </c:manualLayout>
              </c:layout>
              <c:showVal val="1"/>
            </c:dLbl>
            <c:dLbl>
              <c:idx val="5"/>
              <c:layout>
                <c:manualLayout>
                  <c:x val="-2.1715616153545453E-3"/>
                  <c:y val="0"/>
                </c:manualLayout>
              </c:layout>
              <c:showVal val="1"/>
            </c:dLbl>
            <c:dLbl>
              <c:idx val="7"/>
              <c:layout>
                <c:manualLayout>
                  <c:x val="-8.7254232337161067E-3"/>
                  <c:y val="6.835622291399673E-3"/>
                </c:manualLayout>
              </c:layout>
              <c:showVal val="1"/>
            </c:dLbl>
            <c:dLbl>
              <c:idx val="8"/>
              <c:layout>
                <c:manualLayout>
                  <c:x val="0"/>
                  <c:y val="1.2402856619666813E-2"/>
                </c:manualLayout>
              </c:layout>
              <c:showVal val="1"/>
            </c:dLbl>
            <c:dLbl>
              <c:idx val="9"/>
              <c:layout>
                <c:manualLayout>
                  <c:x val="-4.3644298963447896E-3"/>
                  <c:y val="-1.5503875968992343E-2"/>
                </c:manualLayout>
              </c:layout>
              <c:showVal val="1"/>
            </c:dLbl>
            <c:dLbl>
              <c:idx val="10"/>
              <c:layout>
                <c:manualLayout>
                  <c:x val="1.0653332817849487E-5"/>
                  <c:y val="9.3023255813953504E-3"/>
                </c:manualLayout>
              </c:layout>
              <c:showVal val="1"/>
            </c:dLbl>
            <c:txPr>
              <a:bodyPr/>
              <a:lstStyle/>
              <a:p>
                <a:pPr>
                  <a:defRPr sz="800" b="1">
                    <a:latin typeface="Times New Roman" pitchFamily="18" charset="0"/>
                    <a:cs typeface="Times New Roman" pitchFamily="18" charset="0"/>
                  </a:defRPr>
                </a:pPr>
                <a:endParaRPr lang="ru-RU"/>
              </a:p>
            </c:txPr>
            <c:showVal val="1"/>
          </c:dLbls>
          <c:cat>
            <c:strRef>
              <c:f>Лист1!$A$2:$A$12</c:f>
              <c:strCache>
                <c:ptCount val="11"/>
                <c:pt idx="0">
                  <c:v>Транспорт</c:v>
                </c:pt>
                <c:pt idx="1">
                  <c:v>Связь</c:v>
                </c:pt>
                <c:pt idx="2">
                  <c:v>Торговля и общественное питание</c:v>
                </c:pt>
                <c:pt idx="3">
                  <c:v>Операции с недвижимым имуществом</c:v>
                </c:pt>
                <c:pt idx="4">
                  <c:v>Общая коммерческая деятельность</c:v>
                </c:pt>
                <c:pt idx="5">
                  <c:v>Жилищно-коммунальное хозяйство</c:v>
                </c:pt>
                <c:pt idx="6">
                  <c:v>Непр. виды быт. Обслуживания</c:v>
                </c:pt>
                <c:pt idx="7">
                  <c:v>Финансы, кредит, страхование</c:v>
                </c:pt>
                <c:pt idx="8">
                  <c:v>Здравоохранение и соц. Обеспечение</c:v>
                </c:pt>
                <c:pt idx="9">
                  <c:v>Образование</c:v>
                </c:pt>
                <c:pt idx="10">
                  <c:v>Прочие отрасли</c:v>
                </c:pt>
              </c:strCache>
            </c:strRef>
          </c:cat>
          <c:val>
            <c:numRef>
              <c:f>Лист1!$B$2:$B$12</c:f>
              <c:numCache>
                <c:formatCode>0.00</c:formatCode>
                <c:ptCount val="11"/>
                <c:pt idx="0" formatCode="General">
                  <c:v>3.4899999999999998</c:v>
                </c:pt>
                <c:pt idx="1">
                  <c:v>4</c:v>
                </c:pt>
                <c:pt idx="2" formatCode="General">
                  <c:v>20.079999999999988</c:v>
                </c:pt>
                <c:pt idx="3" formatCode="General">
                  <c:v>2.29</c:v>
                </c:pt>
                <c:pt idx="4" formatCode="General">
                  <c:v>0.45</c:v>
                </c:pt>
                <c:pt idx="5" formatCode="General">
                  <c:v>3.8499999999999988</c:v>
                </c:pt>
                <c:pt idx="6" formatCode="General">
                  <c:v>0.76000000000000256</c:v>
                </c:pt>
                <c:pt idx="7" formatCode="General">
                  <c:v>4.75</c:v>
                </c:pt>
                <c:pt idx="8" formatCode="General">
                  <c:v>0.39000000000000135</c:v>
                </c:pt>
                <c:pt idx="9" formatCode="General">
                  <c:v>0.46</c:v>
                </c:pt>
                <c:pt idx="10" formatCode="General">
                  <c:v>1.9400000000000046</c:v>
                </c:pt>
              </c:numCache>
            </c:numRef>
          </c:val>
        </c:ser>
        <c:ser>
          <c:idx val="1"/>
          <c:order val="1"/>
          <c:tx>
            <c:strRef>
              <c:f>Лист1!$C$1</c:f>
              <c:strCache>
                <c:ptCount val="1"/>
                <c:pt idx="0">
                  <c:v>январь-июнь 2014 года</c:v>
                </c:pt>
              </c:strCache>
            </c:strRef>
          </c:tx>
          <c:dLbls>
            <c:dLbl>
              <c:idx val="0"/>
              <c:layout>
                <c:manualLayout>
                  <c:x val="2.1715616153545453E-3"/>
                  <c:y val="-5.0029909052066194E-3"/>
                </c:manualLayout>
              </c:layout>
              <c:showVal val="1"/>
            </c:dLbl>
            <c:dLbl>
              <c:idx val="1"/>
              <c:layout>
                <c:manualLayout>
                  <c:x val="1.3071811195449997E-2"/>
                  <c:y val="1.1134956967588355E-2"/>
                </c:manualLayout>
              </c:layout>
              <c:showVal val="1"/>
            </c:dLbl>
            <c:dLbl>
              <c:idx val="2"/>
              <c:layout>
                <c:manualLayout>
                  <c:x val="1.087189796856408E-2"/>
                  <c:y val="7.4696941952024087E-3"/>
                </c:manualLayout>
              </c:layout>
              <c:showVal val="1"/>
            </c:dLbl>
            <c:dLbl>
              <c:idx val="3"/>
              <c:layout>
                <c:manualLayout>
                  <c:x val="6.5359477124183737E-3"/>
                  <c:y val="3.7348272642390677E-3"/>
                </c:manualLayout>
              </c:layout>
              <c:showVal val="1"/>
            </c:dLbl>
            <c:dLbl>
              <c:idx val="4"/>
              <c:layout>
                <c:manualLayout>
                  <c:x val="1.5250544662309387E-2"/>
                  <c:y val="-7.4696545284780582E-3"/>
                </c:manualLayout>
              </c:layout>
              <c:showVal val="1"/>
            </c:dLbl>
            <c:dLbl>
              <c:idx val="5"/>
              <c:layout>
                <c:manualLayout>
                  <c:x val="1.3071811195449997E-2"/>
                  <c:y val="9.8668131599829855E-3"/>
                </c:manualLayout>
              </c:layout>
              <c:showVal val="1"/>
            </c:dLbl>
            <c:dLbl>
              <c:idx val="6"/>
              <c:layout>
                <c:manualLayout>
                  <c:x val="2.178649237472767E-2"/>
                  <c:y val="0"/>
                </c:manualLayout>
              </c:layout>
              <c:showVal val="1"/>
            </c:dLbl>
            <c:dLbl>
              <c:idx val="7"/>
              <c:layout>
                <c:manualLayout>
                  <c:x val="8.7039447401317006E-3"/>
                  <c:y val="5.5674784837942129E-3"/>
                </c:manualLayout>
              </c:layout>
              <c:showVal val="1"/>
            </c:dLbl>
            <c:dLbl>
              <c:idx val="8"/>
              <c:layout>
                <c:manualLayout>
                  <c:x val="1.3068374636476521E-2"/>
                  <c:y val="-1.3740584752487456E-2"/>
                </c:manualLayout>
              </c:layout>
              <c:showVal val="1"/>
            </c:dLbl>
            <c:dLbl>
              <c:idx val="9"/>
              <c:layout>
                <c:manualLayout>
                  <c:x val="1.3068374636476521E-2"/>
                  <c:y val="1.1985594823902886E-3"/>
                </c:manualLayout>
              </c:layout>
              <c:showVal val="1"/>
            </c:dLbl>
            <c:dLbl>
              <c:idx val="10"/>
              <c:layout>
                <c:manualLayout>
                  <c:x val="1.0170324454124084E-2"/>
                  <c:y val="-8.6684978331197614E-3"/>
                </c:manualLayout>
              </c:layout>
              <c:showVal val="1"/>
            </c:dLbl>
            <c:txPr>
              <a:bodyPr/>
              <a:lstStyle/>
              <a:p>
                <a:pPr>
                  <a:defRPr sz="800" b="1">
                    <a:latin typeface="Times New Roman" pitchFamily="18" charset="0"/>
                    <a:cs typeface="Times New Roman" pitchFamily="18" charset="0"/>
                  </a:defRPr>
                </a:pPr>
                <a:endParaRPr lang="ru-RU"/>
              </a:p>
            </c:txPr>
            <c:showVal val="1"/>
          </c:dLbls>
          <c:cat>
            <c:strRef>
              <c:f>Лист1!$A$2:$A$12</c:f>
              <c:strCache>
                <c:ptCount val="11"/>
                <c:pt idx="0">
                  <c:v>Транспорт</c:v>
                </c:pt>
                <c:pt idx="1">
                  <c:v>Связь</c:v>
                </c:pt>
                <c:pt idx="2">
                  <c:v>Торговля и общественное питание</c:v>
                </c:pt>
                <c:pt idx="3">
                  <c:v>Операции с недвижимым имуществом</c:v>
                </c:pt>
                <c:pt idx="4">
                  <c:v>Общая коммерческая деятельность</c:v>
                </c:pt>
                <c:pt idx="5">
                  <c:v>Жилищно-коммунальное хозяйство</c:v>
                </c:pt>
                <c:pt idx="6">
                  <c:v>Непр. виды быт. Обслуживания</c:v>
                </c:pt>
                <c:pt idx="7">
                  <c:v>Финансы, кредит, страхование</c:v>
                </c:pt>
                <c:pt idx="8">
                  <c:v>Здравоохранение и соц. Обеспечение</c:v>
                </c:pt>
                <c:pt idx="9">
                  <c:v>Образование</c:v>
                </c:pt>
                <c:pt idx="10">
                  <c:v>Прочие отрасли</c:v>
                </c:pt>
              </c:strCache>
            </c:strRef>
          </c:cat>
          <c:val>
            <c:numRef>
              <c:f>Лист1!$C$2:$C$12</c:f>
              <c:numCache>
                <c:formatCode>General</c:formatCode>
                <c:ptCount val="11"/>
                <c:pt idx="0">
                  <c:v>3.8099999999999987</c:v>
                </c:pt>
                <c:pt idx="1">
                  <c:v>3.9699999999999998</c:v>
                </c:pt>
                <c:pt idx="2">
                  <c:v>17.600000000000001</c:v>
                </c:pt>
                <c:pt idx="3">
                  <c:v>2.5099999999999998</c:v>
                </c:pt>
                <c:pt idx="4">
                  <c:v>0.48000000000000032</c:v>
                </c:pt>
                <c:pt idx="5">
                  <c:v>3.42</c:v>
                </c:pt>
                <c:pt idx="6">
                  <c:v>0.70000000000000062</c:v>
                </c:pt>
                <c:pt idx="7">
                  <c:v>6.67</c:v>
                </c:pt>
                <c:pt idx="8">
                  <c:v>0.46</c:v>
                </c:pt>
                <c:pt idx="9">
                  <c:v>0.38000000000000134</c:v>
                </c:pt>
                <c:pt idx="10">
                  <c:v>2.2200000000000002</c:v>
                </c:pt>
              </c:numCache>
            </c:numRef>
          </c:val>
        </c:ser>
        <c:dLbls>
          <c:showVal val="1"/>
        </c:dLbls>
        <c:axId val="150688896"/>
        <c:axId val="150690432"/>
      </c:barChart>
      <c:catAx>
        <c:axId val="150688896"/>
        <c:scaling>
          <c:orientation val="minMax"/>
        </c:scaling>
        <c:axPos val="b"/>
        <c:tickLblPos val="nextTo"/>
        <c:txPr>
          <a:bodyPr rot="5400000" vert="horz"/>
          <a:lstStyle/>
          <a:p>
            <a:pPr>
              <a:defRPr b="1">
                <a:latin typeface="Times New Roman" pitchFamily="18" charset="0"/>
                <a:cs typeface="Times New Roman" pitchFamily="18" charset="0"/>
              </a:defRPr>
            </a:pPr>
            <a:endParaRPr lang="ru-RU"/>
          </a:p>
        </c:txPr>
        <c:crossAx val="150690432"/>
        <c:crosses val="autoZero"/>
        <c:auto val="1"/>
        <c:lblAlgn val="ctr"/>
        <c:lblOffset val="100"/>
      </c:catAx>
      <c:valAx>
        <c:axId val="150690432"/>
        <c:scaling>
          <c:orientation val="minMax"/>
        </c:scaling>
        <c:axPos val="l"/>
        <c:numFmt formatCode="General" sourceLinked="1"/>
        <c:tickLblPos val="nextTo"/>
        <c:txPr>
          <a:bodyPr/>
          <a:lstStyle/>
          <a:p>
            <a:pPr>
              <a:defRPr b="1">
                <a:latin typeface="Times New Roman" pitchFamily="18" charset="0"/>
                <a:cs typeface="Times New Roman" pitchFamily="18" charset="0"/>
              </a:defRPr>
            </a:pPr>
            <a:endParaRPr lang="ru-RU"/>
          </a:p>
        </c:txPr>
        <c:crossAx val="150688896"/>
        <c:crosses val="autoZero"/>
        <c:crossBetween val="between"/>
      </c:valAx>
    </c:plotArea>
    <c:legend>
      <c:legendPos val="b"/>
      <c:layout>
        <c:manualLayout>
          <c:xMode val="edge"/>
          <c:yMode val="edge"/>
          <c:x val="0.19159432473076096"/>
          <c:y val="0.96398925715681183"/>
          <c:w val="0.61681116372908962"/>
          <c:h val="3.5338338521638285E-2"/>
        </c:manualLayout>
      </c:layout>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28"/>
  <c:chart>
    <c:title>
      <c:tx>
        <c:rich>
          <a:bodyPr/>
          <a:lstStyle/>
          <a:p>
            <a:pPr>
              <a:defRPr sz="1200"/>
            </a:pPr>
            <a:r>
              <a:rPr lang="ru-RU" sz="1200"/>
              <a:t>Структура нерыночных услуг в общем объеме ВВП, %</a:t>
            </a:r>
          </a:p>
        </c:rich>
      </c:tx>
    </c:title>
    <c:plotArea>
      <c:layout>
        <c:manualLayout>
          <c:layoutTarget val="inner"/>
          <c:xMode val="edge"/>
          <c:yMode val="edge"/>
          <c:x val="9.200222368037328E-2"/>
          <c:y val="0.24186507936507939"/>
          <c:w val="0.88253481335666351"/>
          <c:h val="0.29506311711036132"/>
        </c:manualLayout>
      </c:layout>
      <c:barChart>
        <c:barDir val="col"/>
        <c:grouping val="clustered"/>
        <c:ser>
          <c:idx val="0"/>
          <c:order val="0"/>
          <c:tx>
            <c:strRef>
              <c:f>Лист1!$B$1</c:f>
              <c:strCache>
                <c:ptCount val="1"/>
                <c:pt idx="0">
                  <c:v>январь-июнь 2013 года</c:v>
                </c:pt>
              </c:strCache>
            </c:strRef>
          </c:tx>
          <c:dLbls>
            <c:dLbl>
              <c:idx val="1"/>
              <c:layout>
                <c:manualLayout>
                  <c:x val="0"/>
                  <c:y val="1.1904761904761921E-2"/>
                </c:manualLayout>
              </c:layout>
              <c:dLblPos val="outEnd"/>
              <c:showVal val="1"/>
            </c:dLbl>
            <c:dLbl>
              <c:idx val="2"/>
              <c:layout>
                <c:manualLayout>
                  <c:x val="-6.9444444444444718E-3"/>
                  <c:y val="0"/>
                </c:manualLayout>
              </c:layout>
              <c:dLblPos val="outEnd"/>
              <c:showVal val="1"/>
            </c:dLbl>
            <c:dLbl>
              <c:idx val="3"/>
              <c:layout>
                <c:manualLayout>
                  <c:x val="0"/>
                  <c:y val="1.1904761904761921E-2"/>
                </c:manualLayout>
              </c:layout>
              <c:dLblPos val="outEnd"/>
              <c:showVal val="1"/>
            </c:dLbl>
            <c:dLbl>
              <c:idx val="4"/>
              <c:layout>
                <c:manualLayout>
                  <c:x val="-6.9444444444444718E-3"/>
                  <c:y val="0"/>
                </c:manualLayout>
              </c:layout>
              <c:dLblPos val="outEnd"/>
              <c:showVal val="1"/>
            </c:dLbl>
            <c:dLbl>
              <c:idx val="5"/>
              <c:layout>
                <c:manualLayout>
                  <c:x val="-6.9444444444444007E-3"/>
                  <c:y val="1.984126984126993E-2"/>
                </c:manualLayout>
              </c:layout>
              <c:dLblPos val="outEnd"/>
              <c:showVal val="1"/>
            </c:dLbl>
            <c:dLbl>
              <c:idx val="6"/>
              <c:layout>
                <c:manualLayout>
                  <c:x val="-1.388888888888897E-2"/>
                  <c:y val="7.9365079365079413E-3"/>
                </c:manualLayout>
              </c:layout>
              <c:dLblPos val="outEnd"/>
              <c:showVal val="1"/>
            </c:dLbl>
            <c:dLblPos val="outEnd"/>
            <c:showVal val="1"/>
          </c:dLbls>
          <c:cat>
            <c:strRef>
              <c:f>Лист1!$A$2:$A$8</c:f>
              <c:strCache>
                <c:ptCount val="7"/>
                <c:pt idx="0">
                  <c:v>здравоохранение и социальное обеспечение</c:v>
                </c:pt>
                <c:pt idx="1">
                  <c:v>образование</c:v>
                </c:pt>
                <c:pt idx="2">
                  <c:v>культура, искусство, кинематографиямнаука и научное обслуживание</c:v>
                </c:pt>
                <c:pt idx="3">
                  <c:v>наука и научное обслуживание</c:v>
                </c:pt>
                <c:pt idx="4">
                  <c:v>управление</c:v>
                </c:pt>
                <c:pt idx="5">
                  <c:v>оборона</c:v>
                </c:pt>
                <c:pt idx="6">
                  <c:v>прочие отрасли</c:v>
                </c:pt>
              </c:strCache>
            </c:strRef>
          </c:cat>
          <c:val>
            <c:numRef>
              <c:f>Лист1!$B$2:$B$8</c:f>
              <c:numCache>
                <c:formatCode>General</c:formatCode>
                <c:ptCount val="7"/>
                <c:pt idx="0">
                  <c:v>9.06</c:v>
                </c:pt>
                <c:pt idx="1">
                  <c:v>9.11</c:v>
                </c:pt>
                <c:pt idx="2">
                  <c:v>0.74000000000000232</c:v>
                </c:pt>
                <c:pt idx="3">
                  <c:v>0.2</c:v>
                </c:pt>
                <c:pt idx="4">
                  <c:v>5.26</c:v>
                </c:pt>
                <c:pt idx="5">
                  <c:v>1.1499999999999948</c:v>
                </c:pt>
                <c:pt idx="6">
                  <c:v>8.3700000000000028</c:v>
                </c:pt>
              </c:numCache>
            </c:numRef>
          </c:val>
        </c:ser>
        <c:ser>
          <c:idx val="1"/>
          <c:order val="1"/>
          <c:tx>
            <c:strRef>
              <c:f>Лист1!$C$1</c:f>
              <c:strCache>
                <c:ptCount val="1"/>
                <c:pt idx="0">
                  <c:v>январь-июнь 2014 года</c:v>
                </c:pt>
              </c:strCache>
            </c:strRef>
          </c:tx>
          <c:dLbls>
            <c:dLbl>
              <c:idx val="0"/>
              <c:layout>
                <c:manualLayout>
                  <c:x val="6.9444444444444718E-3"/>
                  <c:y val="1.5873015873015879E-2"/>
                </c:manualLayout>
              </c:layout>
              <c:dLblPos val="outEnd"/>
              <c:showVal val="1"/>
            </c:dLbl>
            <c:dLbl>
              <c:idx val="2"/>
              <c:layout>
                <c:manualLayout>
                  <c:x val="6.9444444444444718E-3"/>
                  <c:y val="0"/>
                </c:manualLayout>
              </c:layout>
              <c:dLblPos val="outEnd"/>
              <c:showVal val="1"/>
            </c:dLbl>
            <c:dLbl>
              <c:idx val="3"/>
              <c:layout>
                <c:manualLayout>
                  <c:x val="0"/>
                  <c:y val="7.9365079365079413E-3"/>
                </c:manualLayout>
              </c:layout>
              <c:dLblPos val="outEnd"/>
              <c:showVal val="1"/>
            </c:dLbl>
            <c:dLbl>
              <c:idx val="4"/>
              <c:layout>
                <c:manualLayout>
                  <c:x val="0"/>
                  <c:y val="2.3809523809523812E-2"/>
                </c:manualLayout>
              </c:layout>
              <c:dLblPos val="outEnd"/>
              <c:showVal val="1"/>
            </c:dLbl>
            <c:dLbl>
              <c:idx val="5"/>
              <c:layout>
                <c:manualLayout>
                  <c:x val="0"/>
                  <c:y val="1.1904761904761921E-2"/>
                </c:manualLayout>
              </c:layout>
              <c:dLblPos val="outEnd"/>
              <c:showVal val="1"/>
            </c:dLbl>
            <c:dLbl>
              <c:idx val="6"/>
              <c:layout>
                <c:manualLayout>
                  <c:x val="0"/>
                  <c:y val="1.1904761904761921E-2"/>
                </c:manualLayout>
              </c:layout>
              <c:dLblPos val="outEnd"/>
              <c:showVal val="1"/>
            </c:dLbl>
            <c:dLblPos val="outEnd"/>
            <c:showVal val="1"/>
          </c:dLbls>
          <c:cat>
            <c:strRef>
              <c:f>Лист1!$A$2:$A$8</c:f>
              <c:strCache>
                <c:ptCount val="7"/>
                <c:pt idx="0">
                  <c:v>здравоохранение и социальное обеспечение</c:v>
                </c:pt>
                <c:pt idx="1">
                  <c:v>образование</c:v>
                </c:pt>
                <c:pt idx="2">
                  <c:v>культура, искусство, кинематографиямнаука и научное обслуживание</c:v>
                </c:pt>
                <c:pt idx="3">
                  <c:v>наука и научное обслуживание</c:v>
                </c:pt>
                <c:pt idx="4">
                  <c:v>управление</c:v>
                </c:pt>
                <c:pt idx="5">
                  <c:v>оборона</c:v>
                </c:pt>
                <c:pt idx="6">
                  <c:v>прочие отрасли</c:v>
                </c:pt>
              </c:strCache>
            </c:strRef>
          </c:cat>
          <c:val>
            <c:numRef>
              <c:f>Лист1!$C$2:$C$8</c:f>
              <c:numCache>
                <c:formatCode>General</c:formatCode>
                <c:ptCount val="7"/>
                <c:pt idx="0">
                  <c:v>8.6</c:v>
                </c:pt>
                <c:pt idx="1">
                  <c:v>9.129999999999999</c:v>
                </c:pt>
                <c:pt idx="2">
                  <c:v>0.74000000000000232</c:v>
                </c:pt>
                <c:pt idx="3">
                  <c:v>0.2</c:v>
                </c:pt>
                <c:pt idx="4">
                  <c:v>5.25</c:v>
                </c:pt>
                <c:pt idx="5">
                  <c:v>1.1499999999999948</c:v>
                </c:pt>
                <c:pt idx="6">
                  <c:v>8.2100000000000009</c:v>
                </c:pt>
              </c:numCache>
            </c:numRef>
          </c:val>
        </c:ser>
        <c:dLbls>
          <c:showVal val="1"/>
        </c:dLbls>
        <c:axId val="150433792"/>
        <c:axId val="150435328"/>
      </c:barChart>
      <c:catAx>
        <c:axId val="150433792"/>
        <c:scaling>
          <c:orientation val="minMax"/>
        </c:scaling>
        <c:axPos val="b"/>
        <c:tickLblPos val="nextTo"/>
        <c:txPr>
          <a:bodyPr rot="5400000" vert="horz"/>
          <a:lstStyle/>
          <a:p>
            <a:pPr>
              <a:defRPr sz="900"/>
            </a:pPr>
            <a:endParaRPr lang="ru-RU"/>
          </a:p>
        </c:txPr>
        <c:crossAx val="150435328"/>
        <c:crosses val="autoZero"/>
        <c:auto val="1"/>
        <c:lblAlgn val="ctr"/>
        <c:lblOffset val="100"/>
      </c:catAx>
      <c:valAx>
        <c:axId val="150435328"/>
        <c:scaling>
          <c:orientation val="minMax"/>
        </c:scaling>
        <c:axPos val="l"/>
        <c:numFmt formatCode="General" sourceLinked="1"/>
        <c:tickLblPos val="nextTo"/>
        <c:crossAx val="150433792"/>
        <c:crosses val="autoZero"/>
        <c:crossBetween val="between"/>
      </c:valAx>
    </c:plotArea>
    <c:legend>
      <c:legendPos val="b"/>
      <c:layout>
        <c:manualLayout>
          <c:xMode val="edge"/>
          <c:yMode val="edge"/>
          <c:x val="0.46252606445027822"/>
          <c:y val="0.9328562296475118"/>
          <c:w val="0.49855879994167668"/>
          <c:h val="6.6256947107972516E-2"/>
        </c:manualLayout>
      </c:layout>
      <c:txPr>
        <a:bodyPr/>
        <a:lstStyle/>
        <a:p>
          <a:pPr>
            <a:defRPr sz="900"/>
          </a:pPr>
          <a:endParaRPr lang="ru-RU"/>
        </a:p>
      </c:txPr>
    </c:legend>
    <c:plotVisOnly val="1"/>
  </c:chart>
  <c:spPr>
    <a:ln>
      <a:noFill/>
    </a:ln>
  </c:spPr>
  <c:txPr>
    <a:bodyPr/>
    <a:lstStyle/>
    <a:p>
      <a:pPr>
        <a:defRPr sz="800" b="1">
          <a:latin typeface="Times New Roman" pitchFamily="18" charset="0"/>
          <a:cs typeface="Times New Roman" pitchFamily="18" charset="0"/>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200"/>
            </a:pPr>
            <a:r>
              <a:rPr lang="ru-RU" sz="1050"/>
              <a:t>Динамика доходов консолидированного бюджета за </a:t>
            </a:r>
            <a:r>
              <a:rPr lang="en-US" sz="1050"/>
              <a:t>I</a:t>
            </a:r>
            <a:r>
              <a:rPr lang="ru-RU" sz="1050"/>
              <a:t> полугодие 2013 - 2014 годов, млн. руб. </a:t>
            </a:r>
          </a:p>
        </c:rich>
      </c:tx>
      <c:layout>
        <c:manualLayout>
          <c:xMode val="edge"/>
          <c:yMode val="edge"/>
          <c:x val="0.17309628151684953"/>
          <c:y val="0"/>
        </c:manualLayout>
      </c:layout>
    </c:title>
    <c:plotArea>
      <c:layout>
        <c:manualLayout>
          <c:layoutTarget val="inner"/>
          <c:xMode val="edge"/>
          <c:yMode val="edge"/>
          <c:x val="0.23784800655574387"/>
          <c:y val="0.25072687342653599"/>
          <c:w val="0.76215199344426265"/>
          <c:h val="0.45194868498581142"/>
        </c:manualLayout>
      </c:layout>
      <c:barChart>
        <c:barDir val="col"/>
        <c:grouping val="stacked"/>
        <c:ser>
          <c:idx val="0"/>
          <c:order val="0"/>
          <c:tx>
            <c:strRef>
              <c:f>Лист1!$B$1</c:f>
              <c:strCache>
                <c:ptCount val="1"/>
                <c:pt idx="0">
                  <c:v>Республиканский бюджет</c:v>
                </c:pt>
              </c:strCache>
            </c:strRef>
          </c:tx>
          <c:spPr>
            <a:solidFill>
              <a:srgbClr val="7030A0"/>
            </a:solidFill>
          </c:spPr>
          <c:dLbls>
            <c:dLbl>
              <c:idx val="0"/>
              <c:tx>
                <c:rich>
                  <a:bodyPr/>
                  <a:lstStyle/>
                  <a:p>
                    <a:r>
                      <a:rPr lang="ru-RU" b="1"/>
                      <a:t>66,9%</a:t>
                    </a:r>
                    <a:endParaRPr lang="en-US" b="1"/>
                  </a:p>
                </c:rich>
              </c:tx>
              <c:showVal val="1"/>
            </c:dLbl>
            <c:dLbl>
              <c:idx val="1"/>
              <c:tx>
                <c:rich>
                  <a:bodyPr/>
                  <a:lstStyle/>
                  <a:p>
                    <a:r>
                      <a:rPr lang="ru-RU" b="1"/>
                      <a:t>71,7%</a:t>
                    </a:r>
                    <a:endParaRPr lang="en-US" b="1"/>
                  </a:p>
                </c:rich>
              </c:tx>
              <c:showVal val="1"/>
            </c:dLbl>
            <c:txPr>
              <a:bodyPr/>
              <a:lstStyle/>
              <a:p>
                <a:pPr>
                  <a:defRPr sz="900" b="1"/>
                </a:pPr>
                <a:endParaRPr lang="ru-RU"/>
              </a:p>
            </c:txPr>
            <c:showVal val="1"/>
          </c:dLbls>
          <c:cat>
            <c:strRef>
              <c:f>Лист1!$A$2:$A$3</c:f>
              <c:strCache>
                <c:ptCount val="2"/>
                <c:pt idx="0">
                  <c:v>I полугодие 2013 года</c:v>
                </c:pt>
                <c:pt idx="1">
                  <c:v>Iполугодие 2014 года</c:v>
                </c:pt>
              </c:strCache>
            </c:strRef>
          </c:cat>
          <c:val>
            <c:numRef>
              <c:f>Лист1!$B$2:$B$3</c:f>
              <c:numCache>
                <c:formatCode>#,##0.00</c:formatCode>
                <c:ptCount val="2"/>
                <c:pt idx="0">
                  <c:v>66.900000000000006</c:v>
                </c:pt>
                <c:pt idx="1">
                  <c:v>71.7</c:v>
                </c:pt>
              </c:numCache>
            </c:numRef>
          </c:val>
        </c:ser>
        <c:ser>
          <c:idx val="1"/>
          <c:order val="1"/>
          <c:tx>
            <c:strRef>
              <c:f>Лист1!$C$1</c:f>
              <c:strCache>
                <c:ptCount val="1"/>
                <c:pt idx="0">
                  <c:v>Местный бюджет</c:v>
                </c:pt>
              </c:strCache>
            </c:strRef>
          </c:tx>
          <c:spPr>
            <a:solidFill>
              <a:srgbClr val="FFFF00"/>
            </a:solidFill>
          </c:spPr>
          <c:dLbls>
            <c:dLbl>
              <c:idx val="0"/>
              <c:tx>
                <c:rich>
                  <a:bodyPr/>
                  <a:lstStyle/>
                  <a:p>
                    <a:r>
                      <a:rPr lang="ru-RU" b="1"/>
                      <a:t>33,1%</a:t>
                    </a:r>
                    <a:endParaRPr lang="en-US" b="1"/>
                  </a:p>
                </c:rich>
              </c:tx>
              <c:showVal val="1"/>
            </c:dLbl>
            <c:dLbl>
              <c:idx val="1"/>
              <c:tx>
                <c:rich>
                  <a:bodyPr/>
                  <a:lstStyle/>
                  <a:p>
                    <a:r>
                      <a:rPr lang="ru-RU" b="1"/>
                      <a:t>28,3%</a:t>
                    </a:r>
                    <a:endParaRPr lang="en-US" b="1"/>
                  </a:p>
                </c:rich>
              </c:tx>
              <c:showVal val="1"/>
            </c:dLbl>
            <c:txPr>
              <a:bodyPr/>
              <a:lstStyle/>
              <a:p>
                <a:pPr>
                  <a:defRPr sz="900" b="1"/>
                </a:pPr>
                <a:endParaRPr lang="ru-RU"/>
              </a:p>
            </c:txPr>
            <c:showVal val="1"/>
          </c:dLbls>
          <c:cat>
            <c:strRef>
              <c:f>Лист1!$A$2:$A$3</c:f>
              <c:strCache>
                <c:ptCount val="2"/>
                <c:pt idx="0">
                  <c:v>I полугодие 2013 года</c:v>
                </c:pt>
                <c:pt idx="1">
                  <c:v>Iполугодие 2014 года</c:v>
                </c:pt>
              </c:strCache>
            </c:strRef>
          </c:cat>
          <c:val>
            <c:numRef>
              <c:f>Лист1!$C$2:$C$3</c:f>
              <c:numCache>
                <c:formatCode>#,##0.00</c:formatCode>
                <c:ptCount val="2"/>
                <c:pt idx="0">
                  <c:v>33.1</c:v>
                </c:pt>
                <c:pt idx="1">
                  <c:v>28.3</c:v>
                </c:pt>
              </c:numCache>
            </c:numRef>
          </c:val>
        </c:ser>
        <c:overlap val="100"/>
        <c:axId val="150784640"/>
        <c:axId val="150925696"/>
      </c:barChart>
      <c:catAx>
        <c:axId val="150784640"/>
        <c:scaling>
          <c:orientation val="minMax"/>
        </c:scaling>
        <c:axPos val="b"/>
        <c:tickLblPos val="nextTo"/>
        <c:txPr>
          <a:bodyPr/>
          <a:lstStyle/>
          <a:p>
            <a:pPr>
              <a:defRPr sz="1000" b="1"/>
            </a:pPr>
            <a:endParaRPr lang="ru-RU"/>
          </a:p>
        </c:txPr>
        <c:crossAx val="150925696"/>
        <c:crosses val="autoZero"/>
        <c:auto val="1"/>
        <c:lblAlgn val="ctr"/>
        <c:lblOffset val="100"/>
      </c:catAx>
      <c:valAx>
        <c:axId val="150925696"/>
        <c:scaling>
          <c:orientation val="minMax"/>
          <c:max val="100"/>
          <c:min val="0"/>
        </c:scaling>
        <c:axPos val="l"/>
        <c:numFmt formatCode="#,##0.00" sourceLinked="1"/>
        <c:tickLblPos val="nextTo"/>
        <c:txPr>
          <a:bodyPr/>
          <a:lstStyle/>
          <a:p>
            <a:pPr>
              <a:defRPr sz="1000" b="1"/>
            </a:pPr>
            <a:endParaRPr lang="ru-RU"/>
          </a:p>
        </c:txPr>
        <c:crossAx val="150784640"/>
        <c:crosses val="autoZero"/>
        <c:crossBetween val="between"/>
        <c:majorUnit val="20"/>
      </c:valAx>
    </c:plotArea>
    <c:legend>
      <c:legendPos val="b"/>
      <c:layout>
        <c:manualLayout>
          <c:xMode val="edge"/>
          <c:yMode val="edge"/>
          <c:x val="2.9390051343183527E-2"/>
          <c:y val="0.87423101928772662"/>
          <c:w val="0.93303050266127163"/>
          <c:h val="0.12412430319321872"/>
        </c:manualLayout>
      </c:layout>
      <c:txPr>
        <a:bodyPr/>
        <a:lstStyle/>
        <a:p>
          <a:pPr>
            <a:defRPr sz="1100"/>
          </a:pPr>
          <a:endParaRPr lang="ru-RU"/>
        </a:p>
      </c:txPr>
    </c:legend>
    <c:plotVisOnly val="1"/>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Структура производста ВВП, млн. руб.</a:t>
            </a:r>
          </a:p>
        </c:rich>
      </c:tx>
    </c:title>
    <c:plotArea>
      <c:layout/>
      <c:barChart>
        <c:barDir val="col"/>
        <c:grouping val="clustered"/>
        <c:ser>
          <c:idx val="0"/>
          <c:order val="0"/>
          <c:tx>
            <c:strRef>
              <c:f>Лист1!$B$1</c:f>
              <c:strCache>
                <c:ptCount val="1"/>
                <c:pt idx="0">
                  <c:v>январь-июнь 2013 года</c:v>
                </c:pt>
              </c:strCache>
            </c:strRef>
          </c:tx>
          <c:dLbls>
            <c:dLbl>
              <c:idx val="0"/>
              <c:tx>
                <c:rich>
                  <a:bodyPr/>
                  <a:lstStyle/>
                  <a:p>
                    <a:r>
                      <a:rPr lang="ru-RU" sz="800" b="1">
                        <a:latin typeface="Times New Roman" pitchFamily="18" charset="0"/>
                        <a:cs typeface="Times New Roman" pitchFamily="18" charset="0"/>
                      </a:rPr>
                      <a:t>16,74*</a:t>
                    </a:r>
                    <a:endParaRPr lang="en-US" sz="800" b="1">
                      <a:latin typeface="Times New Roman" pitchFamily="18" charset="0"/>
                      <a:cs typeface="Times New Roman" pitchFamily="18" charset="0"/>
                    </a:endParaRPr>
                  </a:p>
                </c:rich>
              </c:tx>
              <c:dLblPos val="outEnd"/>
              <c:showVal val="1"/>
            </c:dLbl>
            <c:dLbl>
              <c:idx val="1"/>
              <c:layout>
                <c:manualLayout>
                  <c:x val="-4.6296296296296719E-3"/>
                  <c:y val="0"/>
                </c:manualLayout>
              </c:layout>
              <c:tx>
                <c:rich>
                  <a:bodyPr/>
                  <a:lstStyle/>
                  <a:p>
                    <a:r>
                      <a:rPr lang="ru-RU" sz="800" b="1">
                        <a:latin typeface="Times New Roman" pitchFamily="18" charset="0"/>
                        <a:cs typeface="Times New Roman" pitchFamily="18" charset="0"/>
                      </a:rPr>
                      <a:t>76,35*</a:t>
                    </a:r>
                    <a:endParaRPr lang="en-US" sz="800" b="1">
                      <a:latin typeface="Times New Roman" pitchFamily="18" charset="0"/>
                      <a:cs typeface="Times New Roman" pitchFamily="18" charset="0"/>
                    </a:endParaRPr>
                  </a:p>
                </c:rich>
              </c:tx>
              <c:dLblPos val="outEnd"/>
              <c:showVal val="1"/>
            </c:dLbl>
            <c:dLbl>
              <c:idx val="2"/>
              <c:tx>
                <c:rich>
                  <a:bodyPr/>
                  <a:lstStyle/>
                  <a:p>
                    <a:r>
                      <a:rPr lang="ru-RU" sz="800" b="1">
                        <a:latin typeface="Times New Roman" pitchFamily="18" charset="0"/>
                        <a:cs typeface="Times New Roman" pitchFamily="18" charset="0"/>
                      </a:rPr>
                      <a:t>6,91*</a:t>
                    </a:r>
                    <a:endParaRPr lang="en-US" sz="800" b="1">
                      <a:latin typeface="Times New Roman" pitchFamily="18" charset="0"/>
                      <a:cs typeface="Times New Roman" pitchFamily="18" charset="0"/>
                    </a:endParaRPr>
                  </a:p>
                </c:rich>
              </c:tx>
              <c:dLblPos val="outEnd"/>
              <c:showVal val="1"/>
            </c:dLbl>
            <c:dLblPos val="outEnd"/>
            <c:showVal val="1"/>
          </c:dLbls>
          <c:cat>
            <c:strRef>
              <c:f>Лист1!$A$2:$A$4</c:f>
              <c:strCache>
                <c:ptCount val="3"/>
                <c:pt idx="0">
                  <c:v>Производство товаров</c:v>
                </c:pt>
                <c:pt idx="1">
                  <c:v>Производство  услуг</c:v>
                </c:pt>
                <c:pt idx="2">
                  <c:v>Чистые налоги на продукты и на импорт (за минусом субсидий)</c:v>
                </c:pt>
              </c:strCache>
            </c:strRef>
          </c:cat>
          <c:val>
            <c:numRef>
              <c:f>Лист1!$B$2:$B$4</c:f>
              <c:numCache>
                <c:formatCode>0.0</c:formatCode>
                <c:ptCount val="3"/>
                <c:pt idx="0">
                  <c:v>729.3</c:v>
                </c:pt>
                <c:pt idx="1">
                  <c:v>3325.6</c:v>
                </c:pt>
                <c:pt idx="2">
                  <c:v>300.89999999999969</c:v>
                </c:pt>
              </c:numCache>
            </c:numRef>
          </c:val>
        </c:ser>
        <c:ser>
          <c:idx val="1"/>
          <c:order val="1"/>
          <c:tx>
            <c:strRef>
              <c:f>Лист1!$C$1</c:f>
              <c:strCache>
                <c:ptCount val="1"/>
                <c:pt idx="0">
                  <c:v>январь-июнь 2014 года</c:v>
                </c:pt>
              </c:strCache>
            </c:strRef>
          </c:tx>
          <c:dLbls>
            <c:dLbl>
              <c:idx val="0"/>
              <c:tx>
                <c:rich>
                  <a:bodyPr/>
                  <a:lstStyle/>
                  <a:p>
                    <a:r>
                      <a:rPr lang="ru-RU" sz="800" b="1">
                        <a:latin typeface="Times New Roman" pitchFamily="18" charset="0"/>
                        <a:cs typeface="Times New Roman" pitchFamily="18" charset="0"/>
                      </a:rPr>
                      <a:t>19,02*</a:t>
                    </a:r>
                    <a:endParaRPr lang="en-US" sz="800" b="1">
                      <a:latin typeface="Times New Roman" pitchFamily="18" charset="0"/>
                      <a:cs typeface="Times New Roman" pitchFamily="18" charset="0"/>
                    </a:endParaRPr>
                  </a:p>
                </c:rich>
              </c:tx>
              <c:dLblPos val="outEnd"/>
              <c:showVal val="1"/>
            </c:dLbl>
            <c:dLbl>
              <c:idx val="1"/>
              <c:tx>
                <c:rich>
                  <a:bodyPr/>
                  <a:lstStyle/>
                  <a:p>
                    <a:r>
                      <a:rPr lang="ru-RU" sz="800" b="1">
                        <a:latin typeface="Times New Roman" pitchFamily="18" charset="0"/>
                        <a:cs typeface="Times New Roman" pitchFamily="18" charset="0"/>
                      </a:rPr>
                      <a:t>75,50*</a:t>
                    </a:r>
                    <a:endParaRPr lang="en-US" sz="800" b="1">
                      <a:latin typeface="Times New Roman" pitchFamily="18" charset="0"/>
                      <a:cs typeface="Times New Roman" pitchFamily="18" charset="0"/>
                    </a:endParaRPr>
                  </a:p>
                </c:rich>
              </c:tx>
              <c:dLblPos val="outEnd"/>
              <c:showVal val="1"/>
            </c:dLbl>
            <c:dLbl>
              <c:idx val="2"/>
              <c:tx>
                <c:rich>
                  <a:bodyPr/>
                  <a:lstStyle/>
                  <a:p>
                    <a:r>
                      <a:rPr lang="ru-RU" sz="800" b="1">
                        <a:latin typeface="Times New Roman" pitchFamily="18" charset="0"/>
                        <a:cs typeface="Times New Roman" pitchFamily="18" charset="0"/>
                      </a:rPr>
                      <a:t>5,48*</a:t>
                    </a:r>
                    <a:endParaRPr lang="en-US" sz="800" b="1">
                      <a:latin typeface="Times New Roman" pitchFamily="18" charset="0"/>
                      <a:cs typeface="Times New Roman" pitchFamily="18" charset="0"/>
                    </a:endParaRPr>
                  </a:p>
                </c:rich>
              </c:tx>
              <c:dLblPos val="outEnd"/>
              <c:showVal val="1"/>
            </c:dLbl>
            <c:dLblPos val="outEnd"/>
            <c:showVal val="1"/>
          </c:dLbls>
          <c:cat>
            <c:strRef>
              <c:f>Лист1!$A$2:$A$4</c:f>
              <c:strCache>
                <c:ptCount val="3"/>
                <c:pt idx="0">
                  <c:v>Производство товаров</c:v>
                </c:pt>
                <c:pt idx="1">
                  <c:v>Производство  услуг</c:v>
                </c:pt>
                <c:pt idx="2">
                  <c:v>Чистые налоги на продукты и на импорт (за минусом субсидий)</c:v>
                </c:pt>
              </c:strCache>
            </c:strRef>
          </c:cat>
          <c:val>
            <c:numRef>
              <c:f>Лист1!$C$2:$C$4</c:f>
              <c:numCache>
                <c:formatCode>0.0</c:formatCode>
                <c:ptCount val="3"/>
                <c:pt idx="0">
                  <c:v>907.1</c:v>
                </c:pt>
                <c:pt idx="1">
                  <c:v>3599.3</c:v>
                </c:pt>
                <c:pt idx="2">
                  <c:v>261.10000000000002</c:v>
                </c:pt>
              </c:numCache>
            </c:numRef>
          </c:val>
        </c:ser>
        <c:dLbls>
          <c:showVal val="1"/>
        </c:dLbls>
        <c:axId val="66303872"/>
        <c:axId val="66305408"/>
      </c:barChart>
      <c:catAx>
        <c:axId val="66303872"/>
        <c:scaling>
          <c:orientation val="minMax"/>
        </c:scaling>
        <c:axPos val="b"/>
        <c:tickLblPos val="nextTo"/>
        <c:crossAx val="66305408"/>
        <c:crosses val="autoZero"/>
        <c:auto val="1"/>
        <c:lblAlgn val="ctr"/>
        <c:lblOffset val="100"/>
      </c:catAx>
      <c:valAx>
        <c:axId val="66305408"/>
        <c:scaling>
          <c:orientation val="minMax"/>
        </c:scaling>
        <c:axPos val="l"/>
        <c:title>
          <c:tx>
            <c:rich>
              <a:bodyPr rot="0" vert="horz"/>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*_ удельный вес в структуре ВВП,%</a:t>
                </a:r>
              </a:p>
            </c:rich>
          </c:tx>
          <c:layout>
            <c:manualLayout>
              <c:xMode val="edge"/>
              <c:yMode val="edge"/>
              <c:x val="0.77777777777778223"/>
              <c:y val="0.2067413448318986"/>
            </c:manualLayout>
          </c:layout>
        </c:title>
        <c:numFmt formatCode="0.0" sourceLinked="1"/>
        <c:tickLblPos val="nextTo"/>
        <c:txPr>
          <a:bodyPr/>
          <a:lstStyle/>
          <a:p>
            <a:pPr>
              <a:defRPr sz="900" b="1">
                <a:latin typeface="Times New Roman" pitchFamily="18" charset="0"/>
                <a:cs typeface="Times New Roman" pitchFamily="18" charset="0"/>
              </a:defRPr>
            </a:pPr>
            <a:endParaRPr lang="ru-RU"/>
          </a:p>
        </c:txPr>
        <c:crossAx val="66303872"/>
        <c:crosses val="autoZero"/>
        <c:crossBetween val="between"/>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Динамика поступлений в доходную часть Консолидированного бюджета (%) </a:t>
            </a:r>
            <a:endParaRPr lang="ru-RU" sz="1100">
              <a:solidFill>
                <a:srgbClr val="FF0000"/>
              </a:solidFill>
              <a:latin typeface="Times New Roman" pitchFamily="18" charset="0"/>
              <a:cs typeface="Times New Roman" pitchFamily="18" charset="0"/>
            </a:endParaRPr>
          </a:p>
        </c:rich>
      </c:tx>
      <c:layout>
        <c:manualLayout>
          <c:xMode val="edge"/>
          <c:yMode val="edge"/>
          <c:x val="0.12595483405191321"/>
          <c:y val="0"/>
        </c:manualLayout>
      </c:layout>
    </c:title>
    <c:plotArea>
      <c:layout>
        <c:manualLayout>
          <c:layoutTarget val="inner"/>
          <c:xMode val="edge"/>
          <c:yMode val="edge"/>
          <c:x val="8.7457367274562228E-2"/>
          <c:y val="0.2460299169920834"/>
          <c:w val="0.58321548993065797"/>
          <c:h val="0.60502229904188864"/>
        </c:manualLayout>
      </c:layout>
      <c:barChart>
        <c:barDir val="col"/>
        <c:grouping val="stacked"/>
        <c:ser>
          <c:idx val="0"/>
          <c:order val="0"/>
          <c:tx>
            <c:strRef>
              <c:f>Лист1!$B$1</c:f>
              <c:strCache>
                <c:ptCount val="1"/>
                <c:pt idx="0">
                  <c:v>Налоговые доходы</c:v>
                </c:pt>
              </c:strCache>
            </c:strRef>
          </c:tx>
          <c:spPr>
            <a:solidFill>
              <a:schemeClr val="accent5">
                <a:lumMod val="75000"/>
              </a:schemeClr>
            </a:solidFill>
          </c:spPr>
          <c:dLbls>
            <c:dLbl>
              <c:idx val="0"/>
              <c:layout>
                <c:manualLayout>
                  <c:x val="-9.6118299445471372E-2"/>
                  <c:y val="-5.4200542005420054E-3"/>
                </c:manualLayout>
              </c:layout>
              <c:showVal val="1"/>
            </c:dLbl>
            <c:dLbl>
              <c:idx val="1"/>
              <c:layout>
                <c:manualLayout>
                  <c:x val="-0.10351201478743063"/>
                  <c:y val="0"/>
                </c:manualLayout>
              </c:layout>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I полугодие 2013 года</c:v>
                </c:pt>
                <c:pt idx="1">
                  <c:v>I полугодие 2014 года</c:v>
                </c:pt>
              </c:strCache>
            </c:strRef>
          </c:cat>
          <c:val>
            <c:numRef>
              <c:f>Лист1!$B$2:$B$3</c:f>
              <c:numCache>
                <c:formatCode>General</c:formatCode>
                <c:ptCount val="2"/>
                <c:pt idx="0" formatCode="0.0">
                  <c:v>83</c:v>
                </c:pt>
                <c:pt idx="1">
                  <c:v>83.9</c:v>
                </c:pt>
              </c:numCache>
            </c:numRef>
          </c:val>
        </c:ser>
        <c:ser>
          <c:idx val="1"/>
          <c:order val="1"/>
          <c:tx>
            <c:strRef>
              <c:f>Лист1!$C$1</c:f>
              <c:strCache>
                <c:ptCount val="1"/>
                <c:pt idx="0">
                  <c:v>Неналоговые доходы</c:v>
                </c:pt>
              </c:strCache>
            </c:strRef>
          </c:tx>
          <c:spPr>
            <a:solidFill>
              <a:srgbClr val="FFFF00"/>
            </a:solidFill>
          </c:spPr>
          <c:dLbls>
            <c:dLbl>
              <c:idx val="0"/>
              <c:layout>
                <c:manualLayout>
                  <c:x val="8.8724584103513568E-2"/>
                  <c:y val="5.4200542005420054E-3"/>
                </c:manualLayout>
              </c:layout>
              <c:showVal val="1"/>
            </c:dLbl>
            <c:dLbl>
              <c:idx val="1"/>
              <c:layout>
                <c:manualLayout>
                  <c:x val="9.118915588416511E-2"/>
                  <c:y val="0"/>
                </c:manualLayout>
              </c:layout>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I полугодие 2013 года</c:v>
                </c:pt>
                <c:pt idx="1">
                  <c:v>I полугодие 2014 года</c:v>
                </c:pt>
              </c:strCache>
            </c:strRef>
          </c:cat>
          <c:val>
            <c:numRef>
              <c:f>Лист1!$C$2:$C$3</c:f>
              <c:numCache>
                <c:formatCode>General</c:formatCode>
                <c:ptCount val="2"/>
                <c:pt idx="0">
                  <c:v>2.6</c:v>
                </c:pt>
                <c:pt idx="1">
                  <c:v>1.6</c:v>
                </c:pt>
              </c:numCache>
            </c:numRef>
          </c:val>
        </c:ser>
        <c:ser>
          <c:idx val="2"/>
          <c:order val="2"/>
          <c:tx>
            <c:strRef>
              <c:f>Лист1!$D$1</c:f>
              <c:strCache>
                <c:ptCount val="1"/>
                <c:pt idx="0">
                  <c:v>Доходы целевых бюджетных фондов</c:v>
                </c:pt>
              </c:strCache>
            </c:strRef>
          </c:tx>
          <c:spPr>
            <a:solidFill>
              <a:schemeClr val="accent6">
                <a:lumMod val="50000"/>
              </a:schemeClr>
            </a:solidFill>
          </c:spPr>
          <c:dLbls>
            <c:dLbl>
              <c:idx val="0"/>
              <c:layout>
                <c:manualLayout>
                  <c:x val="-9.118915588416511E-2"/>
                  <c:y val="0"/>
                </c:manualLayout>
              </c:layout>
              <c:showVal val="1"/>
            </c:dLbl>
            <c:dLbl>
              <c:idx val="1"/>
              <c:layout>
                <c:manualLayout>
                  <c:x val="-9.6118299445471331E-2"/>
                  <c:y val="0"/>
                </c:manualLayout>
              </c:layout>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I полугодие 2013 года</c:v>
                </c:pt>
                <c:pt idx="1">
                  <c:v>I полугодие 2014 года</c:v>
                </c:pt>
              </c:strCache>
            </c:strRef>
          </c:cat>
          <c:val>
            <c:numRef>
              <c:f>Лист1!$D$2:$D$3</c:f>
              <c:numCache>
                <c:formatCode>General</c:formatCode>
                <c:ptCount val="2"/>
                <c:pt idx="0">
                  <c:v>7.8</c:v>
                </c:pt>
                <c:pt idx="1">
                  <c:v>6.4</c:v>
                </c:pt>
              </c:numCache>
            </c:numRef>
          </c:val>
        </c:ser>
        <c:ser>
          <c:idx val="3"/>
          <c:order val="3"/>
          <c:tx>
            <c:strRef>
              <c:f>Лист1!$E$1</c:f>
              <c:strCache>
                <c:ptCount val="1"/>
                <c:pt idx="0">
                  <c:v>Доходы от предприн. и иной принос. доход деятельности</c:v>
                </c:pt>
              </c:strCache>
            </c:strRef>
          </c:tx>
          <c:spPr>
            <a:solidFill>
              <a:schemeClr val="accent2">
                <a:lumMod val="40000"/>
                <a:lumOff val="60000"/>
              </a:schemeClr>
            </a:solidFill>
          </c:spPr>
          <c:dLbls>
            <c:dLbl>
              <c:idx val="0"/>
              <c:layout>
                <c:manualLayout>
                  <c:x val="8.1330868761553765E-2"/>
                  <c:y val="5.4200542005420054E-3"/>
                </c:manualLayout>
              </c:layout>
              <c:showVal val="1"/>
            </c:dLbl>
            <c:dLbl>
              <c:idx val="1"/>
              <c:layout>
                <c:manualLayout>
                  <c:x val="8.8724584103513568E-2"/>
                  <c:y val="-1.6260162601626063E-2"/>
                </c:manualLayout>
              </c:layout>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I полугодие 2013 года</c:v>
                </c:pt>
                <c:pt idx="1">
                  <c:v>I полугодие 2014 года</c:v>
                </c:pt>
              </c:strCache>
            </c:strRef>
          </c:cat>
          <c:val>
            <c:numRef>
              <c:f>Лист1!$E$2:$E$3</c:f>
              <c:numCache>
                <c:formatCode>General</c:formatCode>
                <c:ptCount val="2"/>
                <c:pt idx="0">
                  <c:v>6.6</c:v>
                </c:pt>
                <c:pt idx="1">
                  <c:v>6.6</c:v>
                </c:pt>
              </c:numCache>
            </c:numRef>
          </c:val>
        </c:ser>
        <c:ser>
          <c:idx val="4"/>
          <c:order val="4"/>
          <c:tx>
            <c:strRef>
              <c:f>Лист1!$F$1</c:f>
              <c:strCache>
                <c:ptCount val="1"/>
                <c:pt idx="0">
                  <c:v>Безвозмездные перечисления</c:v>
                </c:pt>
              </c:strCache>
            </c:strRef>
          </c:tx>
          <c:dLbls>
            <c:dLbl>
              <c:idx val="0"/>
              <c:layout>
                <c:manualLayout>
                  <c:x val="-9.3653727664818262E-2"/>
                  <c:y val="-2.1680216802168056E-2"/>
                </c:manualLayout>
              </c:layout>
              <c:showVal val="1"/>
            </c:dLbl>
            <c:dLbl>
              <c:idx val="1"/>
              <c:layout>
                <c:manualLayout>
                  <c:x val="-8.3795440542208416E-2"/>
                  <c:y val="-3.2520325203252036E-2"/>
                </c:manualLayout>
              </c:layout>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I полугодие 2013 года</c:v>
                </c:pt>
                <c:pt idx="1">
                  <c:v>I полугодие 2014 года</c:v>
                </c:pt>
              </c:strCache>
            </c:strRef>
          </c:cat>
          <c:val>
            <c:numRef>
              <c:f>Лист1!$F$2:$F$3</c:f>
              <c:numCache>
                <c:formatCode>General</c:formatCode>
                <c:ptCount val="2"/>
                <c:pt idx="0">
                  <c:v>0</c:v>
                </c:pt>
                <c:pt idx="1">
                  <c:v>1.5</c:v>
                </c:pt>
              </c:numCache>
            </c:numRef>
          </c:val>
        </c:ser>
        <c:overlap val="100"/>
        <c:axId val="151188608"/>
        <c:axId val="151190144"/>
      </c:barChart>
      <c:catAx>
        <c:axId val="151188608"/>
        <c:scaling>
          <c:orientation val="minMax"/>
        </c:scaling>
        <c:axPos val="b"/>
        <c:tickLblPos val="nextTo"/>
        <c:txPr>
          <a:bodyPr/>
          <a:lstStyle/>
          <a:p>
            <a:pPr>
              <a:defRPr b="1">
                <a:latin typeface="Times New Roman" pitchFamily="18" charset="0"/>
                <a:cs typeface="Times New Roman" pitchFamily="18" charset="0"/>
              </a:defRPr>
            </a:pPr>
            <a:endParaRPr lang="ru-RU"/>
          </a:p>
        </c:txPr>
        <c:crossAx val="151190144"/>
        <c:crosses val="autoZero"/>
        <c:auto val="1"/>
        <c:lblAlgn val="ctr"/>
        <c:lblOffset val="100"/>
      </c:catAx>
      <c:valAx>
        <c:axId val="151190144"/>
        <c:scaling>
          <c:orientation val="minMax"/>
          <c:max val="100"/>
          <c:min val="0"/>
        </c:scaling>
        <c:axPos val="l"/>
        <c:majorGridlines>
          <c:spPr>
            <a:ln>
              <a:noFill/>
            </a:ln>
          </c:spPr>
        </c:majorGridlines>
        <c:numFmt formatCode="0.0" sourceLinked="1"/>
        <c:tickLblPos val="nextTo"/>
        <c:txPr>
          <a:bodyPr/>
          <a:lstStyle/>
          <a:p>
            <a:pPr>
              <a:defRPr b="1">
                <a:latin typeface="Times New Roman" pitchFamily="18" charset="0"/>
                <a:cs typeface="Times New Roman" pitchFamily="18" charset="0"/>
              </a:defRPr>
            </a:pPr>
            <a:endParaRPr lang="ru-RU"/>
          </a:p>
        </c:txPr>
        <c:crossAx val="151188608"/>
        <c:crosses val="autoZero"/>
        <c:crossBetween val="between"/>
      </c:valAx>
    </c:plotArea>
    <c:legend>
      <c:legendPos val="r"/>
      <c:layout>
        <c:manualLayout>
          <c:xMode val="edge"/>
          <c:yMode val="edge"/>
          <c:x val="0.69531846885475856"/>
          <c:y val="0.12318556510711402"/>
          <c:w val="0.29979496374834697"/>
          <c:h val="0.87284740783549852"/>
        </c:manualLayout>
      </c:layout>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lineChart>
        <c:grouping val="standard"/>
        <c:ser>
          <c:idx val="0"/>
          <c:order val="0"/>
          <c:tx>
            <c:strRef>
              <c:f>Лист1!$B$1</c:f>
              <c:strCache>
                <c:ptCount val="1"/>
                <c:pt idx="0">
                  <c:v>Налог на доходы организаций по отрасли( подотрасли, виду деятельности)</c:v>
                </c:pt>
              </c:strCache>
            </c:strRef>
          </c:tx>
          <c:dLbls>
            <c:dLbl>
              <c:idx val="0"/>
              <c:layout>
                <c:manualLayout>
                  <c:x val="-0.11955420466058769"/>
                  <c:y val="2.7777777777778487E-2"/>
                </c:manualLayout>
              </c:layout>
              <c:tx>
                <c:rich>
                  <a:bodyPr/>
                  <a:lstStyle/>
                  <a:p>
                    <a:r>
                      <a:rPr lang="ru-RU"/>
                      <a:t>103,7%*</a:t>
                    </a:r>
                    <a:endParaRPr lang="en-US"/>
                  </a:p>
                </c:rich>
              </c:tx>
              <c:showVal val="1"/>
            </c:dLbl>
            <c:dLbl>
              <c:idx val="1"/>
              <c:layout>
                <c:manualLayout>
                  <c:x val="-8.1053698074974728E-3"/>
                  <c:y val="-3.4519956850053941E-2"/>
                </c:manualLayout>
              </c:layout>
              <c:tx>
                <c:rich>
                  <a:bodyPr/>
                  <a:lstStyle/>
                  <a:p>
                    <a:r>
                      <a:rPr lang="ru-RU"/>
                      <a:t>108,2%*</a:t>
                    </a:r>
                    <a:endParaRPr lang="en-US"/>
                  </a:p>
                </c:rich>
              </c:tx>
              <c:showVal val="1"/>
            </c:dLbl>
            <c:showVal val="1"/>
          </c:dLbls>
          <c:cat>
            <c:strRef>
              <c:f>Лист1!$A$2:$A$3</c:f>
              <c:strCache>
                <c:ptCount val="2"/>
                <c:pt idx="0">
                  <c:v>I полугодие 2013 года</c:v>
                </c:pt>
                <c:pt idx="1">
                  <c:v>I полугодие 2014 года</c:v>
                </c:pt>
              </c:strCache>
            </c:strRef>
          </c:cat>
          <c:val>
            <c:numRef>
              <c:f>Лист1!$B$2:$B$3</c:f>
              <c:numCache>
                <c:formatCode>0.0</c:formatCode>
                <c:ptCount val="2"/>
                <c:pt idx="0" formatCode="General">
                  <c:v>340.1</c:v>
                </c:pt>
                <c:pt idx="1">
                  <c:v>368</c:v>
                </c:pt>
              </c:numCache>
            </c:numRef>
          </c:val>
        </c:ser>
        <c:ser>
          <c:idx val="1"/>
          <c:order val="1"/>
          <c:tx>
            <c:strRef>
              <c:f>Лист1!$C$1</c:f>
              <c:strCache>
                <c:ptCount val="1"/>
                <c:pt idx="0">
                  <c:v>Подоходный налог с физических лиц</c:v>
                </c:pt>
              </c:strCache>
            </c:strRef>
          </c:tx>
          <c:dLbls>
            <c:dLbl>
              <c:idx val="0"/>
              <c:layout>
                <c:manualLayout>
                  <c:x val="-0.12360688956433639"/>
                  <c:y val="-1.5873015873015879E-2"/>
                </c:manualLayout>
              </c:layout>
              <c:tx>
                <c:rich>
                  <a:bodyPr/>
                  <a:lstStyle/>
                  <a:p>
                    <a:r>
                      <a:rPr lang="ru-RU"/>
                      <a:t>115,1%*</a:t>
                    </a:r>
                    <a:endParaRPr lang="en-US"/>
                  </a:p>
                </c:rich>
              </c:tx>
              <c:showVal val="1"/>
            </c:dLbl>
            <c:dLbl>
              <c:idx val="1"/>
              <c:tx>
                <c:rich>
                  <a:bodyPr/>
                  <a:lstStyle/>
                  <a:p>
                    <a:r>
                      <a:rPr lang="ru-RU"/>
                      <a:t>104,0%*</a:t>
                    </a:r>
                    <a:endParaRPr lang="en-US"/>
                  </a:p>
                </c:rich>
              </c:tx>
              <c:showVal val="1"/>
            </c:dLbl>
            <c:showVal val="1"/>
          </c:dLbls>
          <c:cat>
            <c:strRef>
              <c:f>Лист1!$A$2:$A$3</c:f>
              <c:strCache>
                <c:ptCount val="2"/>
                <c:pt idx="0">
                  <c:v>I полугодие 2013 года</c:v>
                </c:pt>
                <c:pt idx="1">
                  <c:v>I полугодие 2014 года</c:v>
                </c:pt>
              </c:strCache>
            </c:strRef>
          </c:cat>
          <c:val>
            <c:numRef>
              <c:f>Лист1!$C$2:$C$3</c:f>
              <c:numCache>
                <c:formatCode>General</c:formatCode>
                <c:ptCount val="2"/>
                <c:pt idx="0">
                  <c:v>216.1</c:v>
                </c:pt>
                <c:pt idx="1">
                  <c:v>224.7</c:v>
                </c:pt>
              </c:numCache>
            </c:numRef>
          </c:val>
        </c:ser>
        <c:ser>
          <c:idx val="2"/>
          <c:order val="2"/>
          <c:tx>
            <c:strRef>
              <c:f>Лист1!$D$1</c:f>
              <c:strCache>
                <c:ptCount val="1"/>
                <c:pt idx="0">
                  <c:v>Налоги на товары и услуги, лицензионные и регистрационные сборы</c:v>
                </c:pt>
              </c:strCache>
            </c:strRef>
          </c:tx>
          <c:dLbls>
            <c:dLbl>
              <c:idx val="0"/>
              <c:layout>
                <c:manualLayout>
                  <c:x val="-0.10942249240121668"/>
                  <c:y val="-6.3684563701381897E-2"/>
                </c:manualLayout>
              </c:layout>
              <c:tx>
                <c:rich>
                  <a:bodyPr/>
                  <a:lstStyle/>
                  <a:p>
                    <a:r>
                      <a:rPr lang="ru-RU"/>
                      <a:t>82,1%*</a:t>
                    </a:r>
                    <a:endParaRPr lang="en-US"/>
                  </a:p>
                </c:rich>
              </c:tx>
              <c:showVal val="1"/>
            </c:dLbl>
            <c:dLbl>
              <c:idx val="1"/>
              <c:layout>
                <c:manualLayout>
                  <c:x val="-6.0790273556231783E-3"/>
                  <c:y val="3.9875306848780052E-2"/>
                </c:manualLayout>
              </c:layout>
              <c:tx>
                <c:rich>
                  <a:bodyPr/>
                  <a:lstStyle/>
                  <a:p>
                    <a:r>
                      <a:rPr lang="ru-RU"/>
                      <a:t>в 3,1 раз*</a:t>
                    </a:r>
                    <a:endParaRPr lang="en-US"/>
                  </a:p>
                </c:rich>
              </c:tx>
              <c:showVal val="1"/>
            </c:dLbl>
            <c:showVal val="1"/>
          </c:dLbls>
          <c:cat>
            <c:strRef>
              <c:f>Лист1!$A$2:$A$3</c:f>
              <c:strCache>
                <c:ptCount val="2"/>
                <c:pt idx="0">
                  <c:v>I полугодие 2013 года</c:v>
                </c:pt>
                <c:pt idx="1">
                  <c:v>I полугодие 2014 года</c:v>
                </c:pt>
              </c:strCache>
            </c:strRef>
          </c:cat>
          <c:val>
            <c:numRef>
              <c:f>Лист1!$D$2:$D$3</c:f>
              <c:numCache>
                <c:formatCode>0.0</c:formatCode>
                <c:ptCount val="2"/>
                <c:pt idx="0" formatCode="General">
                  <c:v>100.7</c:v>
                </c:pt>
                <c:pt idx="1">
                  <c:v>308</c:v>
                </c:pt>
              </c:numCache>
            </c:numRef>
          </c:val>
        </c:ser>
        <c:ser>
          <c:idx val="3"/>
          <c:order val="3"/>
          <c:tx>
            <c:strRef>
              <c:f>Лист1!$E$1</c:f>
              <c:strCache>
                <c:ptCount val="1"/>
                <c:pt idx="0">
                  <c:v>Налог на игорную деятельность</c:v>
                </c:pt>
              </c:strCache>
            </c:strRef>
          </c:tx>
          <c:dLbls>
            <c:dLbl>
              <c:idx val="0"/>
              <c:layout>
                <c:manualLayout>
                  <c:x val="-0.10536980749746593"/>
                  <c:y val="-1.5873015873015879E-2"/>
                </c:manualLayout>
              </c:layout>
              <c:tx>
                <c:rich>
                  <a:bodyPr/>
                  <a:lstStyle/>
                  <a:p>
                    <a:r>
                      <a:rPr lang="ru-RU"/>
                      <a:t>110,6%*</a:t>
                    </a:r>
                    <a:endParaRPr lang="en-US"/>
                  </a:p>
                </c:rich>
              </c:tx>
              <c:showVal val="1"/>
            </c:dLbl>
            <c:dLbl>
              <c:idx val="1"/>
              <c:layout>
                <c:manualLayout>
                  <c:x val="-1.2158054711246199E-2"/>
                  <c:y val="-3.9682539682539802E-3"/>
                </c:manualLayout>
              </c:layout>
              <c:tx>
                <c:rich>
                  <a:bodyPr/>
                  <a:lstStyle/>
                  <a:p>
                    <a:r>
                      <a:rPr lang="ru-RU"/>
                      <a:t>117,0%*</a:t>
                    </a:r>
                    <a:endParaRPr lang="en-US"/>
                  </a:p>
                </c:rich>
              </c:tx>
              <c:showVal val="1"/>
            </c:dLbl>
            <c:showVal val="1"/>
          </c:dLbls>
          <c:cat>
            <c:strRef>
              <c:f>Лист1!$A$2:$A$3</c:f>
              <c:strCache>
                <c:ptCount val="2"/>
                <c:pt idx="0">
                  <c:v>I полугодие 2013 года</c:v>
                </c:pt>
                <c:pt idx="1">
                  <c:v>I полугодие 2014 года</c:v>
                </c:pt>
              </c:strCache>
            </c:strRef>
          </c:cat>
          <c:val>
            <c:numRef>
              <c:f>Лист1!$E$2:$E$3</c:f>
              <c:numCache>
                <c:formatCode>General</c:formatCode>
                <c:ptCount val="2"/>
                <c:pt idx="0">
                  <c:v>5.7</c:v>
                </c:pt>
                <c:pt idx="1">
                  <c:v>6.7</c:v>
                </c:pt>
              </c:numCache>
            </c:numRef>
          </c:val>
        </c:ser>
        <c:ser>
          <c:idx val="4"/>
          <c:order val="4"/>
          <c:tx>
            <c:strRef>
              <c:f>Лист1!$F$1</c:f>
              <c:strCache>
                <c:ptCount val="1"/>
                <c:pt idx="0">
                  <c:v>Платежи за пользование природными ресурсами</c:v>
                </c:pt>
              </c:strCache>
            </c:strRef>
          </c:tx>
          <c:dLbls>
            <c:dLbl>
              <c:idx val="0"/>
              <c:layout>
                <c:manualLayout>
                  <c:x val="-0.11752786220871327"/>
                  <c:y val="-1.2752337996585377E-2"/>
                </c:manualLayout>
              </c:layout>
              <c:tx>
                <c:rich>
                  <a:bodyPr/>
                  <a:lstStyle/>
                  <a:p>
                    <a:r>
                      <a:rPr lang="ru-RU"/>
                      <a:t>120,2%*</a:t>
                    </a:r>
                    <a:endParaRPr lang="en-US"/>
                  </a:p>
                </c:rich>
              </c:tx>
              <c:showVal val="1"/>
            </c:dLbl>
            <c:dLbl>
              <c:idx val="1"/>
              <c:layout>
                <c:manualLayout>
                  <c:x val="-1.2158054711246199E-2"/>
                  <c:y val="-1.086461279718676E-2"/>
                </c:manualLayout>
              </c:layout>
              <c:tx>
                <c:rich>
                  <a:bodyPr/>
                  <a:lstStyle/>
                  <a:p>
                    <a:r>
                      <a:rPr lang="ru-RU"/>
                      <a:t>103,2%*</a:t>
                    </a:r>
                    <a:endParaRPr lang="en-US"/>
                  </a:p>
                </c:rich>
              </c:tx>
              <c:showVal val="1"/>
            </c:dLbl>
            <c:showVal val="1"/>
          </c:dLbls>
          <c:cat>
            <c:strRef>
              <c:f>Лист1!$A$2:$A$3</c:f>
              <c:strCache>
                <c:ptCount val="2"/>
                <c:pt idx="0">
                  <c:v>I полугодие 2013 года</c:v>
                </c:pt>
                <c:pt idx="1">
                  <c:v>I полугодие 2014 года</c:v>
                </c:pt>
              </c:strCache>
            </c:strRef>
          </c:cat>
          <c:val>
            <c:numRef>
              <c:f>Лист1!$F$2:$F$3</c:f>
              <c:numCache>
                <c:formatCode>General</c:formatCode>
                <c:ptCount val="2"/>
                <c:pt idx="0">
                  <c:v>33.5</c:v>
                </c:pt>
                <c:pt idx="1">
                  <c:v>34.6</c:v>
                </c:pt>
              </c:numCache>
            </c:numRef>
          </c:val>
        </c:ser>
        <c:ser>
          <c:idx val="5"/>
          <c:order val="5"/>
          <c:tx>
            <c:strRef>
              <c:f>Лист1!$G$1</c:f>
              <c:strCache>
                <c:ptCount val="1"/>
                <c:pt idx="0">
                  <c:v>Налоги на внешнюю торговлю и внешнеэкономические операции</c:v>
                </c:pt>
              </c:strCache>
            </c:strRef>
          </c:tx>
          <c:dLbls>
            <c:dLbl>
              <c:idx val="0"/>
              <c:layout>
                <c:manualLayout>
                  <c:x val="-0.11550151975683892"/>
                  <c:y val="-5.1779935275080895E-2"/>
                </c:manualLayout>
              </c:layout>
              <c:tx>
                <c:rich>
                  <a:bodyPr/>
                  <a:lstStyle/>
                  <a:p>
                    <a:r>
                      <a:rPr lang="ru-RU"/>
                      <a:t>171,7%*</a:t>
                    </a:r>
                    <a:endParaRPr lang="en-US"/>
                  </a:p>
                </c:rich>
              </c:tx>
              <c:showVal val="1"/>
            </c:dLbl>
            <c:dLbl>
              <c:idx val="1"/>
              <c:layout>
                <c:manualLayout>
                  <c:x val="-1.0131712259371834E-2"/>
                  <c:y val="4.5076404284416548E-3"/>
                </c:manualLayout>
              </c:layout>
              <c:tx>
                <c:rich>
                  <a:bodyPr/>
                  <a:lstStyle/>
                  <a:p>
                    <a:r>
                      <a:rPr lang="ru-RU"/>
                      <a:t>95,7%*</a:t>
                    </a:r>
                    <a:endParaRPr lang="en-US"/>
                  </a:p>
                </c:rich>
              </c:tx>
              <c:showVal val="1"/>
            </c:dLbl>
            <c:showVal val="1"/>
          </c:dLbls>
          <c:cat>
            <c:strRef>
              <c:f>Лист1!$A$2:$A$3</c:f>
              <c:strCache>
                <c:ptCount val="2"/>
                <c:pt idx="0">
                  <c:v>I полугодие 2013 года</c:v>
                </c:pt>
                <c:pt idx="1">
                  <c:v>I полугодие 2014 года</c:v>
                </c:pt>
              </c:strCache>
            </c:strRef>
          </c:cat>
          <c:val>
            <c:numRef>
              <c:f>Лист1!$G$2:$G$3</c:f>
              <c:numCache>
                <c:formatCode>General</c:formatCode>
                <c:ptCount val="2"/>
                <c:pt idx="0">
                  <c:v>355.3</c:v>
                </c:pt>
                <c:pt idx="1">
                  <c:v>340.1</c:v>
                </c:pt>
              </c:numCache>
            </c:numRef>
          </c:val>
        </c:ser>
        <c:ser>
          <c:idx val="6"/>
          <c:order val="6"/>
          <c:tx>
            <c:strRef>
              <c:f>Лист1!$H$1</c:f>
              <c:strCache>
                <c:ptCount val="1"/>
                <c:pt idx="0">
                  <c:v>Прочие налоги, пошлины и сборы</c:v>
                </c:pt>
              </c:strCache>
            </c:strRef>
          </c:tx>
          <c:dLbls>
            <c:dLbl>
              <c:idx val="0"/>
              <c:layout>
                <c:manualLayout>
                  <c:x val="-0.11144883485308998"/>
                  <c:y val="-7.5782517476577563E-2"/>
                </c:manualLayout>
              </c:layout>
              <c:tx>
                <c:rich>
                  <a:bodyPr/>
                  <a:lstStyle/>
                  <a:p>
                    <a:r>
                      <a:rPr lang="ru-RU"/>
                      <a:t>102,4%*</a:t>
                    </a:r>
                    <a:endParaRPr lang="en-US"/>
                  </a:p>
                </c:rich>
              </c:tx>
              <c:showVal val="1"/>
            </c:dLbl>
            <c:dLbl>
              <c:idx val="1"/>
              <c:layout>
                <c:manualLayout>
                  <c:x val="-2.4316109422492398E-2"/>
                  <c:y val="-6.5418376101045894E-2"/>
                </c:manualLayout>
              </c:layout>
              <c:tx>
                <c:rich>
                  <a:bodyPr/>
                  <a:lstStyle/>
                  <a:p>
                    <a:r>
                      <a:rPr lang="ru-RU"/>
                      <a:t>121,5%*</a:t>
                    </a:r>
                    <a:endParaRPr lang="en-US"/>
                  </a:p>
                </c:rich>
              </c:tx>
              <c:showVal val="1"/>
            </c:dLbl>
            <c:showVal val="1"/>
          </c:dLbls>
          <c:cat>
            <c:strRef>
              <c:f>Лист1!$A$2:$A$3</c:f>
              <c:strCache>
                <c:ptCount val="2"/>
                <c:pt idx="0">
                  <c:v>I полугодие 2013 года</c:v>
                </c:pt>
                <c:pt idx="1">
                  <c:v>I полугодие 2014 года</c:v>
                </c:pt>
              </c:strCache>
            </c:strRef>
          </c:cat>
          <c:val>
            <c:numRef>
              <c:f>Лист1!$H$2:$H$3</c:f>
              <c:numCache>
                <c:formatCode>General</c:formatCode>
                <c:ptCount val="2"/>
                <c:pt idx="0">
                  <c:v>39.6</c:v>
                </c:pt>
                <c:pt idx="1">
                  <c:v>48.1</c:v>
                </c:pt>
              </c:numCache>
            </c:numRef>
          </c:val>
        </c:ser>
        <c:marker val="1"/>
        <c:axId val="151598976"/>
        <c:axId val="151600512"/>
      </c:lineChart>
      <c:catAx>
        <c:axId val="151598976"/>
        <c:scaling>
          <c:orientation val="minMax"/>
        </c:scaling>
        <c:axPos val="b"/>
        <c:tickLblPos val="nextTo"/>
        <c:txPr>
          <a:bodyPr/>
          <a:lstStyle/>
          <a:p>
            <a:pPr>
              <a:defRPr b="1"/>
            </a:pPr>
            <a:endParaRPr lang="ru-RU"/>
          </a:p>
        </c:txPr>
        <c:crossAx val="151600512"/>
        <c:crosses val="autoZero"/>
        <c:auto val="1"/>
        <c:lblAlgn val="ctr"/>
        <c:lblOffset val="100"/>
      </c:catAx>
      <c:valAx>
        <c:axId val="151600512"/>
        <c:scaling>
          <c:orientation val="minMax"/>
          <c:max val="400"/>
        </c:scaling>
        <c:axPos val="l"/>
        <c:majorGridlines/>
        <c:numFmt formatCode="General" sourceLinked="1"/>
        <c:tickLblPos val="nextTo"/>
        <c:txPr>
          <a:bodyPr/>
          <a:lstStyle/>
          <a:p>
            <a:pPr>
              <a:defRPr b="1"/>
            </a:pPr>
            <a:endParaRPr lang="ru-RU"/>
          </a:p>
        </c:txPr>
        <c:crossAx val="151598976"/>
        <c:crosses val="autoZero"/>
        <c:crossBetween val="between"/>
        <c:majorUnit val="50"/>
      </c:valAx>
    </c:plotArea>
    <c:legend>
      <c:legendPos val="r"/>
      <c:layout>
        <c:manualLayout>
          <c:xMode val="edge"/>
          <c:yMode val="edge"/>
          <c:x val="0.64893617021276551"/>
          <c:y val="0"/>
          <c:w val="0.33890577507599517"/>
          <c:h val="1"/>
        </c:manualLayout>
      </c:layout>
    </c:legend>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b="1" i="0" u="none" strike="noStrike" baseline="0"/>
              <a:t>1 полугодие </a:t>
            </a:r>
            <a:r>
              <a:rPr lang="ru-RU"/>
              <a:t>2013 год</a:t>
            </a:r>
          </a:p>
        </c:rich>
      </c:tx>
      <c:layout>
        <c:manualLayout>
          <c:xMode val="edge"/>
          <c:yMode val="edge"/>
          <c:x val="0.63769397834856512"/>
          <c:y val="2.1991400011168818E-3"/>
        </c:manualLayout>
      </c:layout>
    </c:title>
    <c:view3D>
      <c:rotX val="30"/>
      <c:perspective val="30"/>
    </c:view3D>
    <c:plotArea>
      <c:layout>
        <c:manualLayout>
          <c:layoutTarget val="inner"/>
          <c:xMode val="edge"/>
          <c:yMode val="edge"/>
          <c:x val="0.23048443225747245"/>
          <c:y val="1.0048212058599018E-3"/>
          <c:w val="0.46836634551115891"/>
          <c:h val="0.64330559743862514"/>
        </c:manualLayout>
      </c:layout>
      <c:pie3DChart>
        <c:varyColors val="1"/>
        <c:ser>
          <c:idx val="0"/>
          <c:order val="0"/>
          <c:tx>
            <c:strRef>
              <c:f>Лист1!$B$1</c:f>
              <c:strCache>
                <c:ptCount val="1"/>
                <c:pt idx="0">
                  <c:v>2012 год</c:v>
                </c:pt>
              </c:strCache>
            </c:strRef>
          </c:tx>
          <c:explosion val="25"/>
          <c:dPt>
            <c:idx val="0"/>
            <c:spPr>
              <a:blipFill>
                <a:blip xmlns:r="http://schemas.openxmlformats.org/officeDocument/2006/relationships" r:embed="rId1"/>
                <a:tile tx="0" ty="0" sx="100000" sy="100000" flip="none" algn="tl"/>
              </a:blipFill>
            </c:spPr>
          </c:dPt>
          <c:dPt>
            <c:idx val="1"/>
            <c:spPr>
              <a:solidFill>
                <a:srgbClr val="C00000"/>
              </a:solidFill>
            </c:spPr>
          </c:dPt>
          <c:dPt>
            <c:idx val="2"/>
            <c:spPr>
              <a:blipFill>
                <a:blip xmlns:r="http://schemas.openxmlformats.org/officeDocument/2006/relationships" r:embed="rId2"/>
                <a:tile tx="0" ty="0" sx="100000" sy="100000" flip="none" algn="tl"/>
              </a:blipFill>
            </c:spPr>
          </c:dPt>
          <c:dPt>
            <c:idx val="3"/>
            <c:spPr>
              <a:blipFill>
                <a:blip xmlns:r="http://schemas.openxmlformats.org/officeDocument/2006/relationships" r:embed="rId3"/>
                <a:tile tx="0" ty="0" sx="100000" sy="100000" flip="none" algn="tl"/>
              </a:blipFill>
            </c:spPr>
          </c:dPt>
          <c:dLbls>
            <c:dLbl>
              <c:idx val="0"/>
              <c:layout>
                <c:manualLayout>
                  <c:x val="-2.1627967430588812E-3"/>
                  <c:y val="-5.1588391876547422E-2"/>
                </c:manualLayout>
              </c:layout>
              <c:showVal val="1"/>
            </c:dLbl>
            <c:dLbl>
              <c:idx val="1"/>
              <c:layout>
                <c:manualLayout>
                  <c:x val="3.4225050942114664E-2"/>
                  <c:y val="-1.4249920887548628E-2"/>
                </c:manualLayout>
              </c:layout>
              <c:showVal val="1"/>
            </c:dLbl>
            <c:dLbl>
              <c:idx val="2"/>
              <c:layout>
                <c:manualLayout>
                  <c:x val="-1.5761112927976655E-2"/>
                  <c:y val="3.6662385286945612E-2"/>
                </c:manualLayout>
              </c:layout>
              <c:showVal val="1"/>
            </c:dLbl>
            <c:dLbl>
              <c:idx val="3"/>
              <c:layout>
                <c:manualLayout>
                  <c:x val="3.0623994581322884E-2"/>
                  <c:y val="-7.6132169525320967E-2"/>
                </c:manualLayout>
              </c:layout>
              <c:showVal val="1"/>
            </c:dLbl>
            <c:dLbl>
              <c:idx val="4"/>
              <c:layout>
                <c:manualLayout>
                  <c:x val="7.6163463438037982E-2"/>
                  <c:y val="-3.369102118049197E-2"/>
                </c:manualLayout>
              </c:layout>
              <c:tx>
                <c:rich>
                  <a:bodyPr/>
                  <a:lstStyle/>
                  <a:p>
                    <a:r>
                      <a:rPr lang="en-US"/>
                      <a:t>0,0</a:t>
                    </a:r>
                    <a:r>
                      <a:rPr lang="ru-RU"/>
                      <a:t>0</a:t>
                    </a:r>
                    <a:r>
                      <a:rPr lang="en-US"/>
                      <a:t>1</a:t>
                    </a:r>
                  </a:p>
                </c:rich>
              </c:tx>
              <c:showVal val="1"/>
            </c:dLbl>
            <c:showVal val="1"/>
            <c:showLeaderLines val="1"/>
          </c:dLbls>
          <c:cat>
            <c:strRef>
              <c:f>Лист1!$A$2:$A$5</c:f>
              <c:strCache>
                <c:ptCount val="4"/>
                <c:pt idx="0">
                  <c:v>Доходы от имущества, наход. в гос. и муницип. собственности</c:v>
                </c:pt>
                <c:pt idx="1">
                  <c:v>Доходы от продажи имущества, наход. в гос. и муницип. собственности</c:v>
                </c:pt>
                <c:pt idx="2">
                  <c:v>Администратиные платежи и сборы</c:v>
                </c:pt>
                <c:pt idx="3">
                  <c:v>Штрафные санкции и возмещение ущерба</c:v>
                </c:pt>
              </c:strCache>
            </c:strRef>
          </c:cat>
          <c:val>
            <c:numRef>
              <c:f>Лист1!$B$2:$B$5</c:f>
              <c:numCache>
                <c:formatCode>General</c:formatCode>
                <c:ptCount val="4"/>
                <c:pt idx="0">
                  <c:v>26.479999999999986</c:v>
                </c:pt>
                <c:pt idx="1">
                  <c:v>7.76</c:v>
                </c:pt>
                <c:pt idx="2">
                  <c:v>26.279999999999987</c:v>
                </c:pt>
                <c:pt idx="3">
                  <c:v>39.480000000000004</c:v>
                </c:pt>
              </c:numCache>
            </c:numRef>
          </c:val>
        </c:ser>
      </c:pie3DChart>
    </c:plotArea>
    <c:legend>
      <c:legendPos val="b"/>
      <c:layout>
        <c:manualLayout>
          <c:xMode val="edge"/>
          <c:yMode val="edge"/>
          <c:x val="0"/>
          <c:y val="0.5683773570856836"/>
          <c:w val="1"/>
          <c:h val="0.43162264291431962"/>
        </c:manualLayout>
      </c:layout>
      <c:txPr>
        <a:bodyPr/>
        <a:lstStyle/>
        <a:p>
          <a:pPr>
            <a:defRPr sz="900"/>
          </a:pPr>
          <a:endParaRPr lang="ru-RU"/>
        </a:p>
      </c:txPr>
    </c:legend>
    <c:plotVisOnly val="1"/>
  </c:chart>
  <c:spPr>
    <a:ln>
      <a:noFill/>
    </a:ln>
  </c:spPr>
  <c:txPr>
    <a:bodyPr/>
    <a:lstStyle/>
    <a:p>
      <a:pPr>
        <a:defRPr sz="1100">
          <a:latin typeface="Times New Roman" pitchFamily="18" charset="0"/>
          <a:cs typeface="Times New Roman" pitchFamily="18" charset="0"/>
        </a:defRPr>
      </a:pPr>
      <a:endParaRPr lang="ru-RU"/>
    </a:p>
  </c:txPr>
  <c:externalData r:id="rId4"/>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b="1" i="0" u="none" strike="noStrike" baseline="0"/>
              <a:t>1 полугодие </a:t>
            </a:r>
            <a:r>
              <a:rPr lang="ru-RU"/>
              <a:t>2014 год</a:t>
            </a:r>
          </a:p>
        </c:rich>
      </c:tx>
      <c:layout>
        <c:manualLayout>
          <c:xMode val="edge"/>
          <c:yMode val="edge"/>
          <c:x val="0.73696338805106365"/>
          <c:y val="0"/>
        </c:manualLayout>
      </c:layout>
    </c:title>
    <c:view3D>
      <c:rotX val="30"/>
      <c:perspective val="30"/>
    </c:view3D>
    <c:plotArea>
      <c:layout>
        <c:manualLayout>
          <c:layoutTarget val="inner"/>
          <c:xMode val="edge"/>
          <c:yMode val="edge"/>
          <c:x val="0.24286169313581571"/>
          <c:y val="4.8696040654492813E-4"/>
          <c:w val="0.47158361137061777"/>
          <c:h val="0.64760298579698816"/>
        </c:manualLayout>
      </c:layout>
      <c:pie3DChart>
        <c:varyColors val="1"/>
        <c:ser>
          <c:idx val="0"/>
          <c:order val="0"/>
          <c:tx>
            <c:strRef>
              <c:f>Лист1!$B$1</c:f>
              <c:strCache>
                <c:ptCount val="1"/>
                <c:pt idx="0">
                  <c:v>2013 год</c:v>
                </c:pt>
              </c:strCache>
            </c:strRef>
          </c:tx>
          <c:explosion val="25"/>
          <c:dPt>
            <c:idx val="0"/>
            <c:explosion val="13"/>
            <c:spPr>
              <a:blipFill>
                <a:blip xmlns:r="http://schemas.openxmlformats.org/officeDocument/2006/relationships" r:embed="rId1"/>
                <a:tile tx="0" ty="0" sx="100000" sy="100000" flip="none" algn="tl"/>
              </a:blipFill>
            </c:spPr>
          </c:dPt>
          <c:dPt>
            <c:idx val="1"/>
            <c:explosion val="20"/>
            <c:spPr>
              <a:solidFill>
                <a:srgbClr val="C00000"/>
              </a:solidFill>
            </c:spPr>
          </c:dPt>
          <c:dPt>
            <c:idx val="2"/>
            <c:explosion val="17"/>
            <c:spPr>
              <a:blipFill>
                <a:blip xmlns:r="http://schemas.openxmlformats.org/officeDocument/2006/relationships" r:embed="rId2"/>
                <a:tile tx="0" ty="0" sx="100000" sy="100000" flip="none" algn="tl"/>
              </a:blipFill>
            </c:spPr>
          </c:dPt>
          <c:dPt>
            <c:idx val="3"/>
            <c:explosion val="18"/>
            <c:spPr>
              <a:blipFill>
                <a:blip xmlns:r="http://schemas.openxmlformats.org/officeDocument/2006/relationships" r:embed="rId3"/>
                <a:tile tx="0" ty="0" sx="100000" sy="100000" flip="none" algn="tl"/>
              </a:blipFill>
            </c:spPr>
          </c:dPt>
          <c:dLbls>
            <c:dLbl>
              <c:idx val="0"/>
              <c:layout>
                <c:manualLayout>
                  <c:x val="-2.8699115313288552E-3"/>
                  <c:y val="-0.11635313027732"/>
                </c:manualLayout>
              </c:layout>
              <c:showVal val="1"/>
            </c:dLbl>
            <c:dLbl>
              <c:idx val="1"/>
              <c:layout>
                <c:manualLayout>
                  <c:x val="4.0995093004678823E-2"/>
                  <c:y val="3.8118781663919916E-2"/>
                </c:manualLayout>
              </c:layout>
              <c:showVal val="1"/>
            </c:dLbl>
            <c:dLbl>
              <c:idx val="2"/>
              <c:layout>
                <c:manualLayout>
                  <c:x val="-7.4547800169046732E-2"/>
                  <c:y val="2.038904711379165E-2"/>
                </c:manualLayout>
              </c:layout>
              <c:showVal val="1"/>
            </c:dLbl>
            <c:dLbl>
              <c:idx val="3"/>
              <c:layout>
                <c:manualLayout>
                  <c:x val="3.0623994581322894E-2"/>
                  <c:y val="-7.6132169525320967E-2"/>
                </c:manualLayout>
              </c:layout>
              <c:showVal val="1"/>
            </c:dLbl>
            <c:dLbl>
              <c:idx val="4"/>
              <c:layout>
                <c:manualLayout>
                  <c:x val="7.6163463438037982E-2"/>
                  <c:y val="-3.369102118049197E-2"/>
                </c:manualLayout>
              </c:layout>
              <c:tx>
                <c:rich>
                  <a:bodyPr/>
                  <a:lstStyle/>
                  <a:p>
                    <a:r>
                      <a:rPr lang="en-US"/>
                      <a:t>0,0</a:t>
                    </a:r>
                    <a:r>
                      <a:rPr lang="ru-RU"/>
                      <a:t>06</a:t>
                    </a:r>
                    <a:endParaRPr lang="en-US"/>
                  </a:p>
                </c:rich>
              </c:tx>
              <c:showVal val="1"/>
            </c:dLbl>
            <c:showVal val="1"/>
            <c:showLeaderLines val="1"/>
          </c:dLbls>
          <c:cat>
            <c:strRef>
              <c:f>Лист1!$A$2:$A$5</c:f>
              <c:strCache>
                <c:ptCount val="4"/>
                <c:pt idx="0">
                  <c:v>Доходы от имущества, наход. в гос. и муницип. собственности</c:v>
                </c:pt>
                <c:pt idx="1">
                  <c:v>Доходы от продажи имущества, наход. в гос. и муницип. собственности</c:v>
                </c:pt>
                <c:pt idx="2">
                  <c:v>Администратиные платежи и сборы</c:v>
                </c:pt>
                <c:pt idx="3">
                  <c:v>Штрафные санкции и возмещение ущерба</c:v>
                </c:pt>
              </c:strCache>
            </c:strRef>
          </c:cat>
          <c:val>
            <c:numRef>
              <c:f>Лист1!$B$2:$B$5</c:f>
              <c:numCache>
                <c:formatCode>General</c:formatCode>
                <c:ptCount val="4"/>
                <c:pt idx="0">
                  <c:v>33.15</c:v>
                </c:pt>
                <c:pt idx="1">
                  <c:v>7.22</c:v>
                </c:pt>
                <c:pt idx="2">
                  <c:v>15.77</c:v>
                </c:pt>
                <c:pt idx="3">
                  <c:v>43.87</c:v>
                </c:pt>
              </c:numCache>
            </c:numRef>
          </c:val>
        </c:ser>
      </c:pie3DChart>
    </c:plotArea>
    <c:legend>
      <c:legendPos val="b"/>
      <c:layout>
        <c:manualLayout>
          <c:xMode val="edge"/>
          <c:yMode val="edge"/>
          <c:x val="0"/>
          <c:y val="0.56811023622048062"/>
          <c:w val="0.8836473819150984"/>
          <c:h val="0.43188976377953453"/>
        </c:manualLayout>
      </c:layout>
      <c:txPr>
        <a:bodyPr/>
        <a:lstStyle/>
        <a:p>
          <a:pPr>
            <a:defRPr sz="900"/>
          </a:pPr>
          <a:endParaRPr lang="ru-RU"/>
        </a:p>
      </c:txPr>
    </c:legend>
    <c:plotVisOnly val="1"/>
  </c:chart>
  <c:spPr>
    <a:ln>
      <a:noFill/>
    </a:ln>
  </c:spPr>
  <c:txPr>
    <a:bodyPr/>
    <a:lstStyle/>
    <a:p>
      <a:pPr>
        <a:defRPr sz="1100">
          <a:latin typeface="Times New Roman" pitchFamily="18" charset="0"/>
          <a:cs typeface="Times New Roman" pitchFamily="18" charset="0"/>
        </a:defRPr>
      </a:pPr>
      <a:endParaRPr lang="ru-RU"/>
    </a:p>
  </c:txPr>
  <c:externalData r:id="rId4"/>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100"/>
            </a:pPr>
            <a:r>
              <a:rPr lang="ru-RU" sz="1100"/>
              <a:t>Динамика расходов консолидированного бюджета за </a:t>
            </a:r>
            <a:r>
              <a:rPr lang="ru-RU" sz="1100" b="1" i="0" u="none" strike="noStrike" baseline="0"/>
              <a:t>1 полугодие </a:t>
            </a:r>
            <a:r>
              <a:rPr lang="ru-RU" sz="1100"/>
              <a:t>2013 - 2014 года, млн. руб.</a:t>
            </a:r>
            <a:endParaRPr lang="ru-RU" sz="1100">
              <a:solidFill>
                <a:srgbClr val="FF0000"/>
              </a:solidFill>
            </a:endParaRPr>
          </a:p>
        </c:rich>
      </c:tx>
      <c:layout>
        <c:manualLayout>
          <c:xMode val="edge"/>
          <c:yMode val="edge"/>
          <c:x val="0.18516242846693506"/>
          <c:y val="3.0666393973480591E-2"/>
        </c:manualLayout>
      </c:layout>
    </c:title>
    <c:plotArea>
      <c:layout>
        <c:manualLayout>
          <c:layoutTarget val="inner"/>
          <c:xMode val="edge"/>
          <c:yMode val="edge"/>
          <c:x val="0.23784800655574376"/>
          <c:y val="0.25072687342653599"/>
          <c:w val="0.76215199344426265"/>
          <c:h val="0.45194868498581103"/>
        </c:manualLayout>
      </c:layout>
      <c:barChart>
        <c:barDir val="col"/>
        <c:grouping val="stacked"/>
        <c:ser>
          <c:idx val="0"/>
          <c:order val="0"/>
          <c:tx>
            <c:strRef>
              <c:f>Лист1!$B$1</c:f>
              <c:strCache>
                <c:ptCount val="1"/>
                <c:pt idx="0">
                  <c:v>Республиканский бюджет</c:v>
                </c:pt>
              </c:strCache>
            </c:strRef>
          </c:tx>
          <c:spPr>
            <a:solidFill>
              <a:srgbClr val="7030A0"/>
            </a:solidFill>
          </c:spPr>
          <c:dLbls>
            <c:dLbl>
              <c:idx val="0"/>
              <c:tx>
                <c:rich>
                  <a:bodyPr/>
                  <a:lstStyle/>
                  <a:p>
                    <a:r>
                      <a:rPr lang="ru-RU" b="1"/>
                      <a:t>67,84%</a:t>
                    </a:r>
                    <a:endParaRPr lang="en-US" b="1"/>
                  </a:p>
                </c:rich>
              </c:tx>
              <c:showVal val="1"/>
            </c:dLbl>
            <c:dLbl>
              <c:idx val="1"/>
              <c:tx>
                <c:rich>
                  <a:bodyPr/>
                  <a:lstStyle/>
                  <a:p>
                    <a:r>
                      <a:rPr lang="ru-RU" b="1"/>
                      <a:t>72,14%</a:t>
                    </a:r>
                    <a:endParaRPr lang="en-US" b="1"/>
                  </a:p>
                </c:rich>
              </c:tx>
              <c:showVal val="1"/>
            </c:dLbl>
            <c:txPr>
              <a:bodyPr/>
              <a:lstStyle/>
              <a:p>
                <a:pPr>
                  <a:defRPr sz="900" b="1"/>
                </a:pPr>
                <a:endParaRPr lang="ru-RU"/>
              </a:p>
            </c:txPr>
            <c:showVal val="1"/>
          </c:dLbls>
          <c:cat>
            <c:strRef>
              <c:f>Лист1!$A$2:$A$3</c:f>
              <c:strCache>
                <c:ptCount val="2"/>
                <c:pt idx="0">
                  <c:v>I полугодие 2013 года</c:v>
                </c:pt>
                <c:pt idx="1">
                  <c:v>I полугодие 2014 года</c:v>
                </c:pt>
              </c:strCache>
            </c:strRef>
          </c:cat>
          <c:val>
            <c:numRef>
              <c:f>Лист1!$B$2:$B$3</c:f>
              <c:numCache>
                <c:formatCode>#,##0.00</c:formatCode>
                <c:ptCount val="2"/>
                <c:pt idx="0">
                  <c:v>67.84</c:v>
                </c:pt>
                <c:pt idx="1">
                  <c:v>72.14</c:v>
                </c:pt>
              </c:numCache>
            </c:numRef>
          </c:val>
        </c:ser>
        <c:ser>
          <c:idx val="1"/>
          <c:order val="1"/>
          <c:tx>
            <c:strRef>
              <c:f>Лист1!$C$1</c:f>
              <c:strCache>
                <c:ptCount val="1"/>
                <c:pt idx="0">
                  <c:v>Местный бюджет</c:v>
                </c:pt>
              </c:strCache>
            </c:strRef>
          </c:tx>
          <c:spPr>
            <a:solidFill>
              <a:srgbClr val="FFFF00"/>
            </a:solidFill>
          </c:spPr>
          <c:dLbls>
            <c:dLbl>
              <c:idx val="0"/>
              <c:tx>
                <c:rich>
                  <a:bodyPr/>
                  <a:lstStyle/>
                  <a:p>
                    <a:r>
                      <a:rPr lang="ru-RU" b="1"/>
                      <a:t>32,16%</a:t>
                    </a:r>
                    <a:endParaRPr lang="en-US" b="1"/>
                  </a:p>
                </c:rich>
              </c:tx>
              <c:showVal val="1"/>
            </c:dLbl>
            <c:dLbl>
              <c:idx val="1"/>
              <c:layout>
                <c:manualLayout>
                  <c:x val="0"/>
                  <c:y val="-5.1480051480051478E-3"/>
                </c:manualLayout>
              </c:layout>
              <c:tx>
                <c:rich>
                  <a:bodyPr/>
                  <a:lstStyle/>
                  <a:p>
                    <a:r>
                      <a:rPr lang="ru-RU" b="1"/>
                      <a:t>27,86%</a:t>
                    </a:r>
                    <a:endParaRPr lang="en-US" b="1"/>
                  </a:p>
                </c:rich>
              </c:tx>
              <c:showVal val="1"/>
            </c:dLbl>
            <c:txPr>
              <a:bodyPr/>
              <a:lstStyle/>
              <a:p>
                <a:pPr>
                  <a:defRPr sz="900" b="1"/>
                </a:pPr>
                <a:endParaRPr lang="ru-RU"/>
              </a:p>
            </c:txPr>
            <c:showVal val="1"/>
          </c:dLbls>
          <c:cat>
            <c:strRef>
              <c:f>Лист1!$A$2:$A$3</c:f>
              <c:strCache>
                <c:ptCount val="2"/>
                <c:pt idx="0">
                  <c:v>I полугодие 2013 года</c:v>
                </c:pt>
                <c:pt idx="1">
                  <c:v>I полугодие 2014 года</c:v>
                </c:pt>
              </c:strCache>
            </c:strRef>
          </c:cat>
          <c:val>
            <c:numRef>
              <c:f>Лист1!$C$2:$C$3</c:f>
              <c:numCache>
                <c:formatCode>#,##0.00</c:formatCode>
                <c:ptCount val="2"/>
                <c:pt idx="0">
                  <c:v>32.160000000000011</c:v>
                </c:pt>
                <c:pt idx="1">
                  <c:v>27.86</c:v>
                </c:pt>
              </c:numCache>
            </c:numRef>
          </c:val>
        </c:ser>
        <c:overlap val="100"/>
        <c:axId val="151982464"/>
        <c:axId val="151984000"/>
      </c:barChart>
      <c:catAx>
        <c:axId val="151982464"/>
        <c:scaling>
          <c:orientation val="minMax"/>
        </c:scaling>
        <c:axPos val="b"/>
        <c:tickLblPos val="nextTo"/>
        <c:txPr>
          <a:bodyPr/>
          <a:lstStyle/>
          <a:p>
            <a:pPr>
              <a:defRPr sz="1000" b="1"/>
            </a:pPr>
            <a:endParaRPr lang="ru-RU"/>
          </a:p>
        </c:txPr>
        <c:crossAx val="151984000"/>
        <c:crosses val="autoZero"/>
        <c:auto val="1"/>
        <c:lblAlgn val="ctr"/>
        <c:lblOffset val="100"/>
      </c:catAx>
      <c:valAx>
        <c:axId val="151984000"/>
        <c:scaling>
          <c:orientation val="minMax"/>
          <c:max val="100"/>
          <c:min val="0"/>
        </c:scaling>
        <c:axPos val="l"/>
        <c:numFmt formatCode="#,##0.00" sourceLinked="1"/>
        <c:tickLblPos val="nextTo"/>
        <c:txPr>
          <a:bodyPr/>
          <a:lstStyle/>
          <a:p>
            <a:pPr>
              <a:defRPr sz="1000" b="1"/>
            </a:pPr>
            <a:endParaRPr lang="ru-RU"/>
          </a:p>
        </c:txPr>
        <c:crossAx val="151982464"/>
        <c:crosses val="autoZero"/>
        <c:crossBetween val="between"/>
        <c:majorUnit val="20"/>
      </c:valAx>
    </c:plotArea>
    <c:legend>
      <c:legendPos val="b"/>
      <c:layout>
        <c:manualLayout>
          <c:xMode val="edge"/>
          <c:yMode val="edge"/>
          <c:x val="2.9390051343183527E-2"/>
          <c:y val="0.87423101928772662"/>
          <c:w val="0.93303050266127163"/>
          <c:h val="0.12412430319321872"/>
        </c:manualLayout>
      </c:layout>
      <c:txPr>
        <a:bodyPr/>
        <a:lstStyle/>
        <a:p>
          <a:pPr>
            <a:defRPr sz="1100"/>
          </a:pPr>
          <a:endParaRPr lang="ru-RU"/>
        </a:p>
      </c:txPr>
    </c:legend>
    <c:plotVisOnly val="1"/>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b="1" i="0" u="none" strike="noStrike" baseline="0"/>
              <a:t>1 полугодие </a:t>
            </a:r>
            <a:r>
              <a:rPr lang="ru-RU" sz="1100"/>
              <a:t>2013 года</a:t>
            </a:r>
          </a:p>
        </c:rich>
      </c:tx>
      <c:layout>
        <c:manualLayout>
          <c:xMode val="edge"/>
          <c:yMode val="edge"/>
          <c:x val="0.44215749730312826"/>
          <c:y val="0"/>
        </c:manualLayout>
      </c:layout>
    </c:title>
    <c:view3D>
      <c:rotX val="30"/>
      <c:perspective val="30"/>
    </c:view3D>
    <c:plotArea>
      <c:layout>
        <c:manualLayout>
          <c:layoutTarget val="inner"/>
          <c:xMode val="edge"/>
          <c:yMode val="edge"/>
          <c:x val="0.19543561909130291"/>
          <c:y val="0.20183698032221192"/>
          <c:w val="0.5529919609105467"/>
          <c:h val="0.71199729066124795"/>
        </c:manualLayout>
      </c:layout>
      <c:pie3DChart>
        <c:varyColors val="1"/>
        <c:ser>
          <c:idx val="0"/>
          <c:order val="0"/>
          <c:tx>
            <c:strRef>
              <c:f>Лист1!$B$1</c:f>
              <c:strCache>
                <c:ptCount val="1"/>
                <c:pt idx="0">
                  <c:v>2013 год</c:v>
                </c:pt>
              </c:strCache>
            </c:strRef>
          </c:tx>
          <c:explosion val="25"/>
          <c:dPt>
            <c:idx val="0"/>
            <c:explosion val="1"/>
            <c:spPr>
              <a:blipFill>
                <a:blip xmlns:r="http://schemas.openxmlformats.org/officeDocument/2006/relationships" r:embed="rId1"/>
                <a:tile tx="0" ty="0" sx="100000" sy="100000" flip="none" algn="tl"/>
              </a:blipFill>
            </c:spPr>
          </c:dPt>
          <c:dPt>
            <c:idx val="1"/>
            <c:explosion val="17"/>
            <c:spPr>
              <a:blipFill>
                <a:blip xmlns:r="http://schemas.openxmlformats.org/officeDocument/2006/relationships" r:embed="rId2"/>
                <a:tile tx="0" ty="0" sx="100000" sy="100000" flip="none" algn="tl"/>
              </a:blipFill>
            </c:spPr>
          </c:dPt>
          <c:dPt>
            <c:idx val="2"/>
            <c:spPr>
              <a:blipFill>
                <a:blip xmlns:r="http://schemas.openxmlformats.org/officeDocument/2006/relationships" r:embed="rId3"/>
                <a:tile tx="0" ty="0" sx="100000" sy="100000" flip="none" algn="tl"/>
              </a:blipFill>
            </c:spPr>
          </c:dPt>
          <c:dPt>
            <c:idx val="3"/>
            <c:spPr>
              <a:blipFill>
                <a:blip xmlns:r="http://schemas.openxmlformats.org/officeDocument/2006/relationships" r:embed="rId4"/>
                <a:tile tx="0" ty="0" sx="100000" sy="100000" flip="none" algn="tl"/>
              </a:blipFill>
            </c:spPr>
          </c:dPt>
          <c:dPt>
            <c:idx val="4"/>
            <c:spPr>
              <a:blipFill>
                <a:blip xmlns:r="http://schemas.openxmlformats.org/officeDocument/2006/relationships" r:embed="rId5"/>
                <a:tile tx="0" ty="0" sx="100000" sy="100000" flip="none" algn="tl"/>
              </a:blipFill>
            </c:spPr>
          </c:dPt>
          <c:dPt>
            <c:idx val="5"/>
            <c:spPr>
              <a:solidFill>
                <a:schemeClr val="tx2">
                  <a:lumMod val="50000"/>
                </a:schemeClr>
              </a:solidFill>
            </c:spPr>
          </c:dPt>
          <c:dLbls>
            <c:dLbl>
              <c:idx val="0"/>
              <c:layout>
                <c:manualLayout>
                  <c:x val="-5.0296369203849521E-2"/>
                  <c:y val="-0.13394231971003906"/>
                </c:manualLayout>
              </c:layout>
              <c:showVal val="1"/>
            </c:dLbl>
            <c:dLbl>
              <c:idx val="1"/>
              <c:layout>
                <c:manualLayout>
                  <c:x val="-1.339585156022164E-2"/>
                  <c:y val="3.3523622047244094E-2"/>
                </c:manualLayout>
              </c:layout>
              <c:showVal val="1"/>
            </c:dLbl>
            <c:dLbl>
              <c:idx val="2"/>
              <c:layout>
                <c:manualLayout>
                  <c:x val="-3.321968249114491E-2"/>
                  <c:y val="-5.1576978292078085E-3"/>
                </c:manualLayout>
              </c:layout>
              <c:showVal val="1"/>
            </c:dLbl>
            <c:dLbl>
              <c:idx val="3"/>
              <c:layout>
                <c:manualLayout>
                  <c:x val="1.0908245844269467E-2"/>
                  <c:y val="-7.2922134733158422E-2"/>
                </c:manualLayout>
              </c:layout>
              <c:showVal val="1"/>
            </c:dLbl>
            <c:dLbl>
              <c:idx val="4"/>
              <c:layout>
                <c:manualLayout>
                  <c:x val="1.8419914491820597E-2"/>
                  <c:y val="-7.5004172865488591E-2"/>
                </c:manualLayout>
              </c:layout>
              <c:showVal val="1"/>
            </c:dLbl>
            <c:dLbl>
              <c:idx val="5"/>
              <c:layout>
                <c:manualLayout>
                  <c:x val="2.3961340769904298E-2"/>
                  <c:y val="-3.0889263842020388E-2"/>
                </c:manualLayout>
              </c:layout>
              <c:showVal val="1"/>
            </c:dLbl>
            <c:showVal val="1"/>
            <c:showLeaderLines val="1"/>
          </c:dLbls>
          <c:cat>
            <c:strRef>
              <c:f>Лист1!$A$2:$A$7</c:f>
              <c:strCache>
                <c:ptCount val="6"/>
                <c:pt idx="0">
                  <c:v>социальные отрасли</c:v>
                </c:pt>
                <c:pt idx="1">
                  <c:v>силовые структуры</c:v>
                </c:pt>
                <c:pt idx="2">
                  <c:v>инфраструктура</c:v>
                </c:pt>
                <c:pt idx="3">
                  <c:v>прочие расходы </c:v>
                </c:pt>
                <c:pt idx="4">
                  <c:v>финансовая помощь другим бюджетам</c:v>
                </c:pt>
                <c:pt idx="5">
                  <c:v>функционирование государства</c:v>
                </c:pt>
              </c:strCache>
            </c:strRef>
          </c:cat>
          <c:val>
            <c:numRef>
              <c:f>Лист1!$B$2:$B$7</c:f>
              <c:numCache>
                <c:formatCode>General</c:formatCode>
                <c:ptCount val="6"/>
                <c:pt idx="0">
                  <c:v>48.1</c:v>
                </c:pt>
                <c:pt idx="1">
                  <c:v>20.399999999999999</c:v>
                </c:pt>
                <c:pt idx="2">
                  <c:v>6.1</c:v>
                </c:pt>
                <c:pt idx="3" formatCode="#,##0.00">
                  <c:v>10.9</c:v>
                </c:pt>
                <c:pt idx="4">
                  <c:v>8.2000000000000011</c:v>
                </c:pt>
                <c:pt idx="5">
                  <c:v>6.3</c:v>
                </c:pt>
              </c:numCache>
            </c:numRef>
          </c:val>
        </c:ser>
      </c:pie3DChart>
    </c:plotArea>
    <c:plotVisOnly val="1"/>
  </c:chart>
  <c:spPr>
    <a:ln>
      <a:noFill/>
    </a:ln>
  </c:spPr>
  <c:txPr>
    <a:bodyPr/>
    <a:lstStyle/>
    <a:p>
      <a:pPr>
        <a:defRPr>
          <a:latin typeface="Times New Roman" pitchFamily="18" charset="0"/>
          <a:cs typeface="Times New Roman" pitchFamily="18" charset="0"/>
        </a:defRPr>
      </a:pPr>
      <a:endParaRPr lang="ru-RU"/>
    </a:p>
  </c:txPr>
  <c:externalData r:id="rId6"/>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l">
              <a:defRPr sz="1100"/>
            </a:pPr>
            <a:r>
              <a:rPr lang="ru-RU" sz="1100" b="1" i="0" u="none" strike="noStrike" baseline="0"/>
              <a:t>1 полугодие </a:t>
            </a:r>
            <a:r>
              <a:rPr lang="ru-RU" sz="1100"/>
              <a:t>2014 года</a:t>
            </a:r>
          </a:p>
        </c:rich>
      </c:tx>
      <c:layout>
        <c:manualLayout>
          <c:xMode val="edge"/>
          <c:yMode val="edge"/>
          <c:x val="0.1247590953785644"/>
          <c:y val="5.6901727063122624E-3"/>
        </c:manualLayout>
      </c:layout>
    </c:title>
    <c:view3D>
      <c:rotX val="30"/>
      <c:perspective val="30"/>
    </c:view3D>
    <c:plotArea>
      <c:layout>
        <c:manualLayout>
          <c:layoutTarget val="inner"/>
          <c:xMode val="edge"/>
          <c:yMode val="edge"/>
          <c:x val="6.4241438846692839E-2"/>
          <c:y val="0.21702295500355268"/>
          <c:w val="0.51092219667231853"/>
          <c:h val="0.65926968806319808"/>
        </c:manualLayout>
      </c:layout>
      <c:pie3DChart>
        <c:varyColors val="1"/>
        <c:ser>
          <c:idx val="0"/>
          <c:order val="0"/>
          <c:tx>
            <c:strRef>
              <c:f>Лист1!$B$1</c:f>
              <c:strCache>
                <c:ptCount val="1"/>
                <c:pt idx="0">
                  <c:v>I полугодие 2014</c:v>
                </c:pt>
              </c:strCache>
            </c:strRef>
          </c:tx>
          <c:explosion val="28"/>
          <c:dPt>
            <c:idx val="0"/>
            <c:explosion val="6"/>
            <c:spPr>
              <a:blipFill>
                <a:blip xmlns:r="http://schemas.openxmlformats.org/officeDocument/2006/relationships" r:embed="rId1"/>
                <a:tile tx="0" ty="0" sx="100000" sy="100000" flip="none" algn="tl"/>
              </a:blipFill>
            </c:spPr>
          </c:dPt>
          <c:dPt>
            <c:idx val="1"/>
            <c:spPr>
              <a:blipFill>
                <a:blip xmlns:r="http://schemas.openxmlformats.org/officeDocument/2006/relationships" r:embed="rId2"/>
                <a:tile tx="0" ty="0" sx="100000" sy="100000" flip="none" algn="tl"/>
              </a:blipFill>
            </c:spPr>
          </c:dPt>
          <c:dPt>
            <c:idx val="2"/>
            <c:spPr>
              <a:blipFill>
                <a:blip xmlns:r="http://schemas.openxmlformats.org/officeDocument/2006/relationships" r:embed="rId3"/>
                <a:tile tx="0" ty="0" sx="100000" sy="100000" flip="none" algn="tl"/>
              </a:blipFill>
            </c:spPr>
          </c:dPt>
          <c:dPt>
            <c:idx val="3"/>
            <c:spPr>
              <a:blipFill>
                <a:blip xmlns:r="http://schemas.openxmlformats.org/officeDocument/2006/relationships" r:embed="rId4"/>
                <a:tile tx="0" ty="0" sx="100000" sy="100000" flip="none" algn="tl"/>
              </a:blipFill>
            </c:spPr>
          </c:dPt>
          <c:dPt>
            <c:idx val="4"/>
            <c:spPr>
              <a:blipFill>
                <a:blip xmlns:r="http://schemas.openxmlformats.org/officeDocument/2006/relationships" r:embed="rId5"/>
                <a:tile tx="0" ty="0" sx="100000" sy="100000" flip="none" algn="tl"/>
              </a:blipFill>
            </c:spPr>
          </c:dPt>
          <c:dPt>
            <c:idx val="5"/>
            <c:spPr>
              <a:solidFill>
                <a:schemeClr val="tx2">
                  <a:lumMod val="50000"/>
                </a:schemeClr>
              </a:solidFill>
            </c:spPr>
          </c:dPt>
          <c:dLbls>
            <c:dLbl>
              <c:idx val="0"/>
              <c:layout>
                <c:manualLayout>
                  <c:x val="-5.8007572062341813E-2"/>
                  <c:y val="-0.16191296529922741"/>
                </c:manualLayout>
              </c:layout>
              <c:showVal val="1"/>
            </c:dLbl>
            <c:dLbl>
              <c:idx val="1"/>
              <c:layout>
                <c:manualLayout>
                  <c:x val="-5.2764112450545533E-2"/>
                  <c:y val="3.1687475529647409E-2"/>
                </c:manualLayout>
              </c:layout>
              <c:showVal val="1"/>
            </c:dLbl>
            <c:dLbl>
              <c:idx val="2"/>
              <c:layout>
                <c:manualLayout>
                  <c:x val="9.1298322222997175E-4"/>
                  <c:y val="9.1242876408404699E-2"/>
                </c:manualLayout>
              </c:layout>
              <c:showVal val="1"/>
            </c:dLbl>
            <c:dLbl>
              <c:idx val="3"/>
              <c:layout>
                <c:manualLayout>
                  <c:x val="0"/>
                  <c:y val="-7.7346299454504594E-2"/>
                </c:manualLayout>
              </c:layout>
              <c:showVal val="1"/>
            </c:dLbl>
            <c:dLbl>
              <c:idx val="4"/>
              <c:layout>
                <c:manualLayout>
                  <c:x val="1.4745855883058961E-2"/>
                  <c:y val="-7.3986746131871714E-2"/>
                </c:manualLayout>
              </c:layout>
              <c:showVal val="1"/>
            </c:dLbl>
            <c:dLbl>
              <c:idx val="5"/>
              <c:layout>
                <c:manualLayout>
                  <c:x val="1.5451652614219685E-2"/>
                  <c:y val="-4.6648395469902647E-2"/>
                </c:manualLayout>
              </c:layout>
              <c:showVal val="1"/>
            </c:dLbl>
            <c:showVal val="1"/>
            <c:showLeaderLines val="1"/>
          </c:dLbls>
          <c:cat>
            <c:strRef>
              <c:f>Лист1!$A$2:$A$7</c:f>
              <c:strCache>
                <c:ptCount val="6"/>
                <c:pt idx="0">
                  <c:v>социальные отрасли</c:v>
                </c:pt>
                <c:pt idx="1">
                  <c:v>силовые структуры</c:v>
                </c:pt>
                <c:pt idx="2">
                  <c:v>инфраструктура</c:v>
                </c:pt>
                <c:pt idx="3">
                  <c:v>прочие расходы </c:v>
                </c:pt>
                <c:pt idx="4">
                  <c:v>финансовая помощь другим бюджетам</c:v>
                </c:pt>
                <c:pt idx="5">
                  <c:v>функционирование государства</c:v>
                </c:pt>
              </c:strCache>
            </c:strRef>
          </c:cat>
          <c:val>
            <c:numRef>
              <c:f>Лист1!$B$2:$B$7</c:f>
              <c:numCache>
                <c:formatCode>General</c:formatCode>
                <c:ptCount val="6"/>
                <c:pt idx="0" formatCode="#,##0.0">
                  <c:v>43.9</c:v>
                </c:pt>
                <c:pt idx="1">
                  <c:v>16.899999999999999</c:v>
                </c:pt>
                <c:pt idx="2" formatCode="0.0">
                  <c:v>17</c:v>
                </c:pt>
                <c:pt idx="3" formatCode="0.0">
                  <c:v>10</c:v>
                </c:pt>
                <c:pt idx="4">
                  <c:v>6.6</c:v>
                </c:pt>
                <c:pt idx="5">
                  <c:v>5.6</c:v>
                </c:pt>
              </c:numCache>
            </c:numRef>
          </c:val>
        </c:ser>
      </c:pie3DChart>
    </c:plotArea>
    <c:legend>
      <c:legendPos val="r"/>
      <c:layout>
        <c:manualLayout>
          <c:xMode val="edge"/>
          <c:yMode val="edge"/>
          <c:x val="0.5486725663716816"/>
          <c:y val="0"/>
          <c:w val="0.44739429695181931"/>
          <c:h val="0.99789968242920579"/>
        </c:manualLayout>
      </c:layout>
    </c:legend>
    <c:plotVisOnly val="1"/>
  </c:chart>
  <c:spPr>
    <a:ln>
      <a:noFill/>
    </a:ln>
  </c:spPr>
  <c:txPr>
    <a:bodyPr/>
    <a:lstStyle/>
    <a:p>
      <a:pPr>
        <a:defRPr>
          <a:latin typeface="Times New Roman" pitchFamily="18" charset="0"/>
          <a:cs typeface="Times New Roman" pitchFamily="18" charset="0"/>
        </a:defRPr>
      </a:pPr>
      <a:endParaRPr lang="ru-RU"/>
    </a:p>
  </c:txPr>
  <c:externalData r:id="rId6"/>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style val="32"/>
  <c:chart>
    <c:autoTitleDeleted val="1"/>
    <c:plotArea>
      <c:layout>
        <c:manualLayout>
          <c:layoutTarget val="inner"/>
          <c:xMode val="edge"/>
          <c:yMode val="edge"/>
          <c:x val="0.28632812464707091"/>
          <c:y val="8.2281182243523515E-2"/>
          <c:w val="0.72032520325203264"/>
          <c:h val="0.44239631336408547"/>
        </c:manualLayout>
      </c:layout>
      <c:barChart>
        <c:barDir val="col"/>
        <c:grouping val="clustered"/>
        <c:ser>
          <c:idx val="0"/>
          <c:order val="0"/>
          <c:tx>
            <c:strRef>
              <c:f>Sheet1!$B$1</c:f>
              <c:strCache>
                <c:ptCount val="1"/>
                <c:pt idx="0">
                  <c:v>январь-июнь 2013 год</c:v>
                </c:pt>
              </c:strCache>
            </c:strRef>
          </c:tx>
          <c:dLbls>
            <c:dLbl>
              <c:idx val="0"/>
              <c:layout>
                <c:manualLayout>
                  <c:x val="-4.1492931030681073E-2"/>
                  <c:y val="9.0660623141666265E-3"/>
                </c:manualLayout>
              </c:layout>
              <c:tx>
                <c:rich>
                  <a:bodyPr/>
                  <a:lstStyle/>
                  <a:p>
                    <a:r>
                      <a:rPr lang="ru-RU" sz="900" b="1">
                        <a:latin typeface="Times New Roman" pitchFamily="18" charset="0"/>
                        <a:cs typeface="Times New Roman" pitchFamily="18" charset="0"/>
                      </a:rPr>
                      <a:t>-17,4*</a:t>
                    </a:r>
                    <a:endParaRPr lang="en-US" sz="900" b="1">
                      <a:latin typeface="Times New Roman" pitchFamily="18" charset="0"/>
                      <a:cs typeface="Times New Roman" pitchFamily="18" charset="0"/>
                    </a:endParaRPr>
                  </a:p>
                </c:rich>
              </c:tx>
              <c:showVal val="1"/>
            </c:dLbl>
            <c:dLbl>
              <c:idx val="1"/>
              <c:layout>
                <c:manualLayout>
                  <c:x val="-3.7261165883677012E-2"/>
                  <c:y val="-6.2101093451879434E-3"/>
                </c:manualLayout>
              </c:layout>
              <c:tx>
                <c:rich>
                  <a:bodyPr/>
                  <a:lstStyle/>
                  <a:p>
                    <a:r>
                      <a:rPr lang="ru-RU" sz="900" b="1">
                        <a:latin typeface="Times New Roman" pitchFamily="18" charset="0"/>
                        <a:cs typeface="Times New Roman" pitchFamily="18" charset="0"/>
                      </a:rPr>
                      <a:t>-30,9*</a:t>
                    </a:r>
                    <a:endParaRPr lang="en-US" sz="900" b="1">
                      <a:latin typeface="Times New Roman" pitchFamily="18" charset="0"/>
                      <a:cs typeface="Times New Roman" pitchFamily="18" charset="0"/>
                    </a:endParaRPr>
                  </a:p>
                </c:rich>
              </c:tx>
              <c:showVal val="1"/>
            </c:dLbl>
            <c:dLbl>
              <c:idx val="2"/>
              <c:layout>
                <c:manualLayout>
                  <c:x val="-2.8047464940668787E-2"/>
                  <c:y val="0"/>
                </c:manualLayout>
              </c:layout>
              <c:tx>
                <c:rich>
                  <a:bodyPr/>
                  <a:lstStyle/>
                  <a:p>
                    <a:r>
                      <a:rPr lang="ru-RU" b="1">
                        <a:latin typeface="Times New Roman" pitchFamily="18" charset="0"/>
                        <a:cs typeface="Times New Roman" pitchFamily="18" charset="0"/>
                      </a:rPr>
                      <a:t>-12,6*</a:t>
                    </a:r>
                    <a:endParaRPr lang="en-US" b="1">
                      <a:latin typeface="Times New Roman" pitchFamily="18" charset="0"/>
                      <a:cs typeface="Times New Roman" pitchFamily="18" charset="0"/>
                    </a:endParaRPr>
                  </a:p>
                </c:rich>
              </c:tx>
              <c:showVal val="1"/>
            </c:dLbl>
            <c:dLbl>
              <c:idx val="3"/>
              <c:delete val="1"/>
            </c:dLbl>
            <c:txPr>
              <a:bodyPr/>
              <a:lstStyle/>
              <a:p>
                <a:pPr>
                  <a:defRPr>
                    <a:latin typeface="Times New Roman" pitchFamily="18" charset="0"/>
                    <a:cs typeface="Times New Roman" pitchFamily="18" charset="0"/>
                  </a:defRPr>
                </a:pPr>
                <a:endParaRPr lang="ru-RU"/>
              </a:p>
            </c:txPr>
            <c:showVal val="1"/>
          </c:dLbls>
          <c:cat>
            <c:strRef>
              <c:f>Sheet1!$A$2:$A$5</c:f>
              <c:strCache>
                <c:ptCount val="4"/>
                <c:pt idx="0">
                  <c:v>ВТО</c:v>
                </c:pt>
                <c:pt idx="1">
                  <c:v>Экспорт</c:v>
                </c:pt>
                <c:pt idx="2">
                  <c:v>Импорт</c:v>
                </c:pt>
                <c:pt idx="3">
                  <c:v>Сальдо</c:v>
                </c:pt>
              </c:strCache>
            </c:strRef>
          </c:cat>
          <c:val>
            <c:numRef>
              <c:f>Sheet1!$B$2:$B$5</c:f>
              <c:numCache>
                <c:formatCode>#,##0.0</c:formatCode>
                <c:ptCount val="4"/>
                <c:pt idx="0">
                  <c:v>960.5</c:v>
                </c:pt>
                <c:pt idx="1">
                  <c:v>211.8</c:v>
                </c:pt>
                <c:pt idx="2">
                  <c:v>748.7</c:v>
                </c:pt>
                <c:pt idx="3">
                  <c:v>-537</c:v>
                </c:pt>
              </c:numCache>
            </c:numRef>
          </c:val>
        </c:ser>
        <c:ser>
          <c:idx val="1"/>
          <c:order val="1"/>
          <c:tx>
            <c:strRef>
              <c:f>Sheet1!$C$1</c:f>
              <c:strCache>
                <c:ptCount val="1"/>
                <c:pt idx="0">
                  <c:v>январь-июнь 2014 год</c:v>
                </c:pt>
              </c:strCache>
            </c:strRef>
          </c:tx>
          <c:dLbls>
            <c:dLbl>
              <c:idx val="0"/>
              <c:layout>
                <c:manualLayout>
                  <c:x val="7.8766624760146105E-4"/>
                  <c:y val="1.8647761280762735E-2"/>
                </c:manualLayout>
              </c:layout>
              <c:tx>
                <c:rich>
                  <a:bodyPr/>
                  <a:lstStyle/>
                  <a:p>
                    <a:r>
                      <a:rPr lang="ru-RU" sz="900" b="1">
                        <a:latin typeface="Times New Roman" pitchFamily="18" charset="0"/>
                        <a:cs typeface="Times New Roman" pitchFamily="18" charset="0"/>
                      </a:rPr>
                      <a:t>+23,6*</a:t>
                    </a:r>
                    <a:endParaRPr lang="en-US" sz="900" b="1">
                      <a:latin typeface="Times New Roman" pitchFamily="18" charset="0"/>
                      <a:cs typeface="Times New Roman" pitchFamily="18" charset="0"/>
                    </a:endParaRPr>
                  </a:p>
                </c:rich>
              </c:tx>
              <c:showVal val="1"/>
            </c:dLbl>
            <c:dLbl>
              <c:idx val="1"/>
              <c:layout>
                <c:manualLayout>
                  <c:x val="7.3967224685158835E-4"/>
                  <c:y val="1.3470087456780185E-2"/>
                </c:manualLayout>
              </c:layout>
              <c:tx>
                <c:rich>
                  <a:bodyPr/>
                  <a:lstStyle/>
                  <a:p>
                    <a:r>
                      <a:rPr lang="ru-RU" sz="900" b="1">
                        <a:latin typeface="Times New Roman" pitchFamily="18" charset="0"/>
                        <a:cs typeface="Times New Roman" pitchFamily="18" charset="0"/>
                      </a:rPr>
                      <a:t>+71,4*</a:t>
                    </a:r>
                    <a:endParaRPr lang="en-US" sz="900" b="1">
                      <a:latin typeface="Times New Roman" pitchFamily="18" charset="0"/>
                      <a:cs typeface="Times New Roman" pitchFamily="18" charset="0"/>
                    </a:endParaRPr>
                  </a:p>
                </c:rich>
              </c:tx>
              <c:showVal val="1"/>
            </c:dLbl>
            <c:dLbl>
              <c:idx val="2"/>
              <c:layout>
                <c:manualLayout>
                  <c:x val="5.1380048082225018E-3"/>
                  <c:y val="4.1460131136745165E-3"/>
                </c:manualLayout>
              </c:layout>
              <c:tx>
                <c:rich>
                  <a:bodyPr/>
                  <a:lstStyle/>
                  <a:p>
                    <a:r>
                      <a:rPr lang="ru-RU" b="1">
                        <a:latin typeface="Times New Roman" pitchFamily="18" charset="0"/>
                        <a:cs typeface="Times New Roman" pitchFamily="18" charset="0"/>
                      </a:rPr>
                      <a:t>+10,1*</a:t>
                    </a:r>
                    <a:endParaRPr lang="en-US" b="1">
                      <a:latin typeface="Times New Roman" pitchFamily="18" charset="0"/>
                      <a:cs typeface="Times New Roman" pitchFamily="18" charset="0"/>
                    </a:endParaRPr>
                  </a:p>
                </c:rich>
              </c:tx>
              <c:showVal val="1"/>
            </c:dLbl>
            <c:dLbl>
              <c:idx val="3"/>
              <c:delete val="1"/>
            </c:dLbl>
            <c:txPr>
              <a:bodyPr/>
              <a:lstStyle/>
              <a:p>
                <a:pPr>
                  <a:defRPr>
                    <a:latin typeface="Times New Roman" pitchFamily="18" charset="0"/>
                    <a:cs typeface="Times New Roman" pitchFamily="18" charset="0"/>
                  </a:defRPr>
                </a:pPr>
                <a:endParaRPr lang="ru-RU"/>
              </a:p>
            </c:txPr>
            <c:showVal val="1"/>
          </c:dLbls>
          <c:cat>
            <c:strRef>
              <c:f>Sheet1!$A$2:$A$5</c:f>
              <c:strCache>
                <c:ptCount val="4"/>
                <c:pt idx="0">
                  <c:v>ВТО</c:v>
                </c:pt>
                <c:pt idx="1">
                  <c:v>Экспорт</c:v>
                </c:pt>
                <c:pt idx="2">
                  <c:v>Импорт</c:v>
                </c:pt>
                <c:pt idx="3">
                  <c:v>Сальдо</c:v>
                </c:pt>
              </c:strCache>
            </c:strRef>
          </c:cat>
          <c:val>
            <c:numRef>
              <c:f>Sheet1!$C$2:$C$5</c:f>
              <c:numCache>
                <c:formatCode>#,##0.0</c:formatCode>
                <c:ptCount val="4"/>
                <c:pt idx="0">
                  <c:v>1187.5999999999999</c:v>
                </c:pt>
                <c:pt idx="1">
                  <c:v>363</c:v>
                </c:pt>
                <c:pt idx="2">
                  <c:v>824.6</c:v>
                </c:pt>
                <c:pt idx="3">
                  <c:v>-461.7</c:v>
                </c:pt>
              </c:numCache>
            </c:numRef>
          </c:val>
        </c:ser>
        <c:gapWidth val="50"/>
        <c:overlap val="60"/>
        <c:axId val="152064384"/>
        <c:axId val="152065920"/>
      </c:barChart>
      <c:catAx>
        <c:axId val="152064384"/>
        <c:scaling>
          <c:orientation val="minMax"/>
        </c:scaling>
        <c:axPos val="b"/>
        <c:numFmt formatCode="General" sourceLinked="1"/>
        <c:majorTickMark val="cross"/>
        <c:tickLblPos val="nextTo"/>
        <c:txPr>
          <a:bodyPr rot="0" vert="horz"/>
          <a:lstStyle/>
          <a:p>
            <a:pPr>
              <a:defRPr/>
            </a:pPr>
            <a:endParaRPr lang="ru-RU"/>
          </a:p>
        </c:txPr>
        <c:crossAx val="152065920"/>
        <c:crosses val="autoZero"/>
        <c:lblAlgn val="ctr"/>
        <c:lblOffset val="20"/>
        <c:tickMarkSkip val="1"/>
      </c:catAx>
      <c:valAx>
        <c:axId val="152065920"/>
        <c:scaling>
          <c:orientation val="minMax"/>
        </c:scaling>
        <c:axPos val="l"/>
        <c:title>
          <c:tx>
            <c:rich>
              <a:bodyPr rot="0" vert="horz"/>
              <a:lstStyle/>
              <a:p>
                <a:pPr>
                  <a:defRPr>
                    <a:latin typeface="Times New Roman" pitchFamily="18" charset="0"/>
                    <a:cs typeface="Times New Roman" pitchFamily="18" charset="0"/>
                  </a:defRPr>
                </a:pPr>
                <a:endParaRPr lang="ru-RU">
                  <a:latin typeface="Times New Roman" pitchFamily="18" charset="0"/>
                  <a:cs typeface="Times New Roman" pitchFamily="18" charset="0"/>
                </a:endParaRPr>
              </a:p>
              <a:p>
                <a:pPr>
                  <a:defRPr>
                    <a:latin typeface="Times New Roman" pitchFamily="18" charset="0"/>
                    <a:cs typeface="Times New Roman" pitchFamily="18" charset="0"/>
                  </a:defRPr>
                </a:pPr>
                <a:endParaRPr lang="ru-RU">
                  <a:latin typeface="Times New Roman" pitchFamily="18" charset="0"/>
                  <a:cs typeface="Times New Roman" pitchFamily="18" charset="0"/>
                </a:endParaRPr>
              </a:p>
              <a:p>
                <a:pPr>
                  <a:defRPr>
                    <a:latin typeface="Times New Roman" pitchFamily="18" charset="0"/>
                    <a:cs typeface="Times New Roman" pitchFamily="18" charset="0"/>
                  </a:defRPr>
                </a:pPr>
                <a:endParaRPr lang="ru-RU">
                  <a:latin typeface="Times New Roman" pitchFamily="18" charset="0"/>
                  <a:cs typeface="Times New Roman" pitchFamily="18" charset="0"/>
                </a:endParaRPr>
              </a:p>
              <a:p>
                <a:pPr>
                  <a:defRPr>
                    <a:latin typeface="Times New Roman" pitchFamily="18" charset="0"/>
                    <a:cs typeface="Times New Roman" pitchFamily="18" charset="0"/>
                  </a:defRPr>
                </a:pPr>
                <a:r>
                  <a:rPr lang="ru-RU">
                    <a:latin typeface="Times New Roman" pitchFamily="18" charset="0"/>
                    <a:cs typeface="Times New Roman" pitchFamily="18" charset="0"/>
                  </a:rPr>
                  <a:t>* - темп прироста (спада) в % к </a:t>
                </a:r>
              </a:p>
              <a:p>
                <a:pPr>
                  <a:defRPr>
                    <a:latin typeface="Times New Roman" pitchFamily="18" charset="0"/>
                    <a:cs typeface="Times New Roman" pitchFamily="18" charset="0"/>
                  </a:defRPr>
                </a:pPr>
                <a:r>
                  <a:rPr lang="ru-RU">
                    <a:latin typeface="Times New Roman" pitchFamily="18" charset="0"/>
                    <a:cs typeface="Times New Roman" pitchFamily="18" charset="0"/>
                  </a:rPr>
                  <a:t>предыдущему </a:t>
                </a:r>
              </a:p>
              <a:p>
                <a:pPr>
                  <a:defRPr>
                    <a:latin typeface="Times New Roman" pitchFamily="18" charset="0"/>
                    <a:cs typeface="Times New Roman" pitchFamily="18" charset="0"/>
                  </a:defRPr>
                </a:pPr>
                <a:r>
                  <a:rPr lang="ru-RU">
                    <a:latin typeface="Times New Roman" pitchFamily="18" charset="0"/>
                    <a:cs typeface="Times New Roman" pitchFamily="18" charset="0"/>
                  </a:rPr>
                  <a:t>году</a:t>
                </a:r>
              </a:p>
            </c:rich>
          </c:tx>
          <c:layout>
            <c:manualLayout>
              <c:xMode val="edge"/>
              <c:yMode val="edge"/>
              <c:x val="1.6593003594758112E-3"/>
              <c:y val="2.5053910514707374E-3"/>
            </c:manualLayout>
          </c:layout>
        </c:title>
        <c:numFmt formatCode="#,##0.0" sourceLinked="1"/>
        <c:majorTickMark val="cross"/>
        <c:tickLblPos val="nextTo"/>
        <c:txPr>
          <a:bodyPr rot="0" vert="horz"/>
          <a:lstStyle/>
          <a:p>
            <a:pPr>
              <a:defRPr b="1">
                <a:latin typeface="Times New Roman" pitchFamily="18" charset="0"/>
                <a:cs typeface="Times New Roman" pitchFamily="18" charset="0"/>
              </a:defRPr>
            </a:pPr>
            <a:endParaRPr lang="ru-RU"/>
          </a:p>
        </c:txPr>
        <c:crossAx val="152064384"/>
        <c:crosses val="autoZero"/>
        <c:crossBetween val="between"/>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dispBlanksAs val="gap"/>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title>
      <c:tx>
        <c:rich>
          <a:bodyPr/>
          <a:lstStyle/>
          <a:p>
            <a:pPr>
              <a:defRPr/>
            </a:pPr>
            <a:r>
              <a:rPr lang="ru-RU" sz="1176">
                <a:latin typeface="Times New Roman" pitchFamily="18" charset="0"/>
                <a:cs typeface="Times New Roman" pitchFamily="18" charset="0"/>
              </a:rPr>
              <a:t>Экспорт товаров в разрезе основных стран, млн. долл. США</a:t>
            </a:r>
          </a:p>
        </c:rich>
      </c:tx>
      <c:layout>
        <c:manualLayout>
          <c:xMode val="edge"/>
          <c:yMode val="edge"/>
          <c:x val="0.24426007724644191"/>
          <c:y val="0"/>
        </c:manualLayout>
      </c:layout>
      <c:spPr>
        <a:noFill/>
        <a:ln w="24889">
          <a:noFill/>
        </a:ln>
      </c:spPr>
    </c:title>
    <c:plotArea>
      <c:layout>
        <c:manualLayout>
          <c:layoutTarget val="inner"/>
          <c:xMode val="edge"/>
          <c:yMode val="edge"/>
          <c:x val="0.21837597403128348"/>
          <c:y val="8.2857142857143046E-2"/>
          <c:w val="0.78162402596871661"/>
          <c:h val="0.55495763029621292"/>
        </c:manualLayout>
      </c:layout>
      <c:barChart>
        <c:barDir val="col"/>
        <c:grouping val="clustered"/>
        <c:ser>
          <c:idx val="0"/>
          <c:order val="0"/>
          <c:tx>
            <c:strRef>
              <c:f>Лист1!$B$1</c:f>
              <c:strCache>
                <c:ptCount val="1"/>
                <c:pt idx="0">
                  <c:v>январь-июнь 2013 г.</c:v>
                </c:pt>
              </c:strCache>
            </c:strRef>
          </c:tx>
          <c:dLbls>
            <c:dLbl>
              <c:idx val="0"/>
              <c:layout>
                <c:manualLayout>
                  <c:x val="-2.113048071843615E-3"/>
                  <c:y val="1.8115942028985508E-2"/>
                </c:manualLayout>
              </c:layout>
              <c:tx>
                <c:rich>
                  <a:bodyPr/>
                  <a:lstStyle/>
                  <a:p>
                    <a:r>
                      <a:rPr lang="ru-RU" b="1">
                        <a:latin typeface="Times New Roman" pitchFamily="18" charset="0"/>
                        <a:cs typeface="Times New Roman" pitchFamily="18" charset="0"/>
                      </a:rPr>
                      <a:t>45,3*</a:t>
                    </a:r>
                    <a:endParaRPr lang="en-US" b="1">
                      <a:latin typeface="Times New Roman" pitchFamily="18" charset="0"/>
                      <a:cs typeface="Times New Roman" pitchFamily="18" charset="0"/>
                    </a:endParaRPr>
                  </a:p>
                </c:rich>
              </c:tx>
              <c:dLblPos val="outEnd"/>
            </c:dLbl>
            <c:dLbl>
              <c:idx val="1"/>
              <c:layout>
                <c:manualLayout>
                  <c:x val="2.1230309761201215E-3"/>
                  <c:y val="1.3442314275933061E-2"/>
                </c:manualLayout>
              </c:layout>
              <c:tx>
                <c:rich>
                  <a:bodyPr/>
                  <a:lstStyle/>
                  <a:p>
                    <a:r>
                      <a:rPr lang="ru-RU" b="1">
                        <a:latin typeface="Times New Roman" pitchFamily="18" charset="0"/>
                        <a:cs typeface="Times New Roman" pitchFamily="18" charset="0"/>
                      </a:rPr>
                      <a:t>19,0*</a:t>
                    </a:r>
                    <a:endParaRPr lang="en-US" b="1">
                      <a:latin typeface="Times New Roman" pitchFamily="18" charset="0"/>
                      <a:cs typeface="Times New Roman" pitchFamily="18" charset="0"/>
                    </a:endParaRPr>
                  </a:p>
                </c:rich>
              </c:tx>
              <c:dLblPos val="outEnd"/>
            </c:dLbl>
            <c:dLbl>
              <c:idx val="2"/>
              <c:layout>
                <c:manualLayout>
                  <c:x val="-4.2462283339782299E-3"/>
                  <c:y val="1.1834417436950821E-2"/>
                </c:manualLayout>
              </c:layout>
              <c:tx>
                <c:rich>
                  <a:bodyPr/>
                  <a:lstStyle/>
                  <a:p>
                    <a:r>
                      <a:rPr lang="ru-RU" b="1">
                        <a:latin typeface="Times New Roman" pitchFamily="18" charset="0"/>
                        <a:cs typeface="Times New Roman" pitchFamily="18" charset="0"/>
                      </a:rPr>
                      <a:t>3,8*</a:t>
                    </a:r>
                    <a:endParaRPr lang="en-US" b="1">
                      <a:latin typeface="Times New Roman" pitchFamily="18" charset="0"/>
                      <a:cs typeface="Times New Roman" pitchFamily="18" charset="0"/>
                    </a:endParaRPr>
                  </a:p>
                </c:rich>
              </c:tx>
              <c:dLblPos val="outEnd"/>
            </c:dLbl>
            <c:dLbl>
              <c:idx val="3"/>
              <c:layout>
                <c:manualLayout>
                  <c:x val="-7.5040863794464665E-3"/>
                  <c:y val="1.0085620365415623E-2"/>
                </c:manualLayout>
              </c:layout>
              <c:tx>
                <c:rich>
                  <a:bodyPr/>
                  <a:lstStyle/>
                  <a:p>
                    <a:r>
                      <a:rPr lang="ru-RU" b="1">
                        <a:latin typeface="Times New Roman" pitchFamily="18" charset="0"/>
                        <a:cs typeface="Times New Roman" pitchFamily="18" charset="0"/>
                      </a:rPr>
                      <a:t>10,4*</a:t>
                    </a:r>
                    <a:endParaRPr lang="en-US" b="1">
                      <a:latin typeface="Times New Roman" pitchFamily="18" charset="0"/>
                      <a:cs typeface="Times New Roman" pitchFamily="18" charset="0"/>
                    </a:endParaRPr>
                  </a:p>
                </c:rich>
              </c:tx>
              <c:dLblPos val="outEnd"/>
            </c:dLbl>
            <c:dLbl>
              <c:idx val="4"/>
              <c:layout>
                <c:manualLayout>
                  <c:x val="-1.0091052406087941E-3"/>
                  <c:y val="9.9600593404085766E-3"/>
                </c:manualLayout>
              </c:layout>
              <c:tx>
                <c:rich>
                  <a:bodyPr/>
                  <a:lstStyle/>
                  <a:p>
                    <a:r>
                      <a:rPr lang="ru-RU" b="1">
                        <a:latin typeface="Times New Roman" pitchFamily="18" charset="0"/>
                        <a:cs typeface="Times New Roman" pitchFamily="18" charset="0"/>
                      </a:rPr>
                      <a:t>7,1*</a:t>
                    </a:r>
                    <a:endParaRPr lang="en-US" b="1">
                      <a:latin typeface="Times New Roman" pitchFamily="18" charset="0"/>
                      <a:cs typeface="Times New Roman" pitchFamily="18" charset="0"/>
                    </a:endParaRPr>
                  </a:p>
                </c:rich>
              </c:tx>
              <c:dLblPos val="outEnd"/>
            </c:dLbl>
            <c:dLbl>
              <c:idx val="5"/>
              <c:layout>
                <c:manualLayout>
                  <c:x val="0"/>
                  <c:y val="2.3809523809523812E-2"/>
                </c:manualLayout>
              </c:layout>
              <c:tx>
                <c:rich>
                  <a:bodyPr/>
                  <a:lstStyle/>
                  <a:p>
                    <a:r>
                      <a:rPr lang="ru-RU" b="1">
                        <a:latin typeface="Times New Roman" pitchFamily="18" charset="0"/>
                        <a:cs typeface="Times New Roman" pitchFamily="18" charset="0"/>
                      </a:rPr>
                      <a:t>4</a:t>
                    </a:r>
                    <a:r>
                      <a:rPr lang="en-US" b="1">
                        <a:latin typeface="Times New Roman" pitchFamily="18" charset="0"/>
                        <a:cs typeface="Times New Roman" pitchFamily="18" charset="0"/>
                      </a:rPr>
                      <a:t>,</a:t>
                    </a:r>
                    <a:r>
                      <a:rPr lang="ru-RU" b="1">
                        <a:latin typeface="Times New Roman" pitchFamily="18" charset="0"/>
                        <a:cs typeface="Times New Roman" pitchFamily="18" charset="0"/>
                      </a:rPr>
                      <a:t>9*</a:t>
                    </a:r>
                    <a:endParaRPr lang="en-US" b="1">
                      <a:latin typeface="Times New Roman" pitchFamily="18" charset="0"/>
                      <a:cs typeface="Times New Roman" pitchFamily="18" charset="0"/>
                    </a:endParaRPr>
                  </a:p>
                </c:rich>
              </c:tx>
              <c:dLblPos val="outEnd"/>
            </c:dLbl>
            <c:dLbl>
              <c:idx val="6"/>
              <c:layout>
                <c:manualLayout>
                  <c:x val="-3.3236415970983252E-3"/>
                  <c:y val="1.5872988702499143E-2"/>
                </c:manualLayout>
              </c:layout>
              <c:tx>
                <c:rich>
                  <a:bodyPr/>
                  <a:lstStyle/>
                  <a:p>
                    <a:r>
                      <a:rPr lang="ru-RU" b="1">
                        <a:latin typeface="Times New Roman" pitchFamily="18" charset="0"/>
                        <a:cs typeface="Times New Roman" pitchFamily="18" charset="0"/>
                      </a:rPr>
                      <a:t>0,5*</a:t>
                    </a:r>
                    <a:endParaRPr lang="en-US" b="1">
                      <a:latin typeface="Times New Roman" pitchFamily="18" charset="0"/>
                      <a:cs typeface="Times New Roman" pitchFamily="18" charset="0"/>
                    </a:endParaRPr>
                  </a:p>
                </c:rich>
              </c:tx>
              <c:dLblPos val="outEnd"/>
            </c:dLbl>
            <c:dLbl>
              <c:idx val="7"/>
              <c:layout>
                <c:manualLayout>
                  <c:x val="-5.4366896689420595E-3"/>
                  <c:y val="2.2428962684012909E-2"/>
                </c:manualLayout>
              </c:layout>
              <c:tx>
                <c:rich>
                  <a:bodyPr/>
                  <a:lstStyle/>
                  <a:p>
                    <a:r>
                      <a:rPr lang="ru-RU" b="1">
                        <a:latin typeface="Times New Roman" pitchFamily="18" charset="0"/>
                        <a:cs typeface="Times New Roman" pitchFamily="18" charset="0"/>
                      </a:rPr>
                      <a:t>9,0*</a:t>
                    </a:r>
                    <a:endParaRPr lang="en-US" b="1">
                      <a:latin typeface="Times New Roman" pitchFamily="18" charset="0"/>
                      <a:cs typeface="Times New Roman" pitchFamily="18" charset="0"/>
                    </a:endParaRPr>
                  </a:p>
                </c:rich>
              </c:tx>
              <c:dLblPos val="outEnd"/>
            </c:dLbl>
            <c:spPr>
              <a:noFill/>
              <a:ln w="24889">
                <a:noFill/>
              </a:ln>
            </c:spPr>
            <c:txPr>
              <a:bodyPr/>
              <a:lstStyle/>
              <a:p>
                <a:pPr>
                  <a:defRPr b="1">
                    <a:latin typeface="Times New Roman" pitchFamily="18" charset="0"/>
                    <a:cs typeface="Times New Roman" pitchFamily="18" charset="0"/>
                  </a:defRPr>
                </a:pPr>
                <a:endParaRPr lang="ru-RU"/>
              </a:p>
            </c:txPr>
            <c:dLblPos val="outEnd"/>
            <c:showVal val="1"/>
          </c:dLbls>
          <c:cat>
            <c:strRef>
              <c:f>Лист1!$A$2:$A$9</c:f>
              <c:strCache>
                <c:ptCount val="8"/>
                <c:pt idx="0">
                  <c:v>Молдова</c:v>
                </c:pt>
                <c:pt idx="1">
                  <c:v>Россия</c:v>
                </c:pt>
                <c:pt idx="2">
                  <c:v>Украина</c:v>
                </c:pt>
                <c:pt idx="3">
                  <c:v>Италия</c:v>
                </c:pt>
                <c:pt idx="4">
                  <c:v>Германия</c:v>
                </c:pt>
                <c:pt idx="5">
                  <c:v>Румыния</c:v>
                </c:pt>
                <c:pt idx="6">
                  <c:v>Польша</c:v>
                </c:pt>
                <c:pt idx="7">
                  <c:v>Прочие страны</c:v>
                </c:pt>
              </c:strCache>
            </c:strRef>
          </c:cat>
          <c:val>
            <c:numRef>
              <c:f>Лист1!$B$2:$B$9</c:f>
              <c:numCache>
                <c:formatCode>General</c:formatCode>
                <c:ptCount val="8"/>
                <c:pt idx="0" formatCode="0.0">
                  <c:v>96</c:v>
                </c:pt>
                <c:pt idx="1">
                  <c:v>40.1</c:v>
                </c:pt>
                <c:pt idx="2">
                  <c:v>8.1</c:v>
                </c:pt>
                <c:pt idx="3">
                  <c:v>22.1</c:v>
                </c:pt>
                <c:pt idx="4">
                  <c:v>15</c:v>
                </c:pt>
                <c:pt idx="5">
                  <c:v>10.4</c:v>
                </c:pt>
                <c:pt idx="6">
                  <c:v>1.1000000000000001</c:v>
                </c:pt>
                <c:pt idx="7" formatCode="0.0">
                  <c:v>19</c:v>
                </c:pt>
              </c:numCache>
            </c:numRef>
          </c:val>
        </c:ser>
        <c:ser>
          <c:idx val="1"/>
          <c:order val="1"/>
          <c:tx>
            <c:strRef>
              <c:f>Лист1!$C$1</c:f>
              <c:strCache>
                <c:ptCount val="1"/>
                <c:pt idx="0">
                  <c:v>январь-июнь 2014 г.</c:v>
                </c:pt>
              </c:strCache>
            </c:strRef>
          </c:tx>
          <c:dLbls>
            <c:dLbl>
              <c:idx val="0"/>
              <c:layout>
                <c:manualLayout>
                  <c:x val="1.0286665386338907E-2"/>
                  <c:y val="1.6604999617766434E-2"/>
                </c:manualLayout>
              </c:layout>
              <c:tx>
                <c:rich>
                  <a:bodyPr/>
                  <a:lstStyle/>
                  <a:p>
                    <a:r>
                      <a:rPr lang="ru-RU" b="1">
                        <a:latin typeface="Times New Roman" pitchFamily="18" charset="0"/>
                        <a:cs typeface="Times New Roman" pitchFamily="18" charset="0"/>
                      </a:rPr>
                      <a:t>37,1*</a:t>
                    </a:r>
                    <a:endParaRPr lang="en-US" b="1">
                      <a:latin typeface="Times New Roman" pitchFamily="18" charset="0"/>
                      <a:cs typeface="Times New Roman" pitchFamily="18" charset="0"/>
                    </a:endParaRPr>
                  </a:p>
                </c:rich>
              </c:tx>
              <c:dLblPos val="outEnd"/>
            </c:dLbl>
            <c:dLbl>
              <c:idx val="1"/>
              <c:layout>
                <c:manualLayout>
                  <c:x val="1.3888888888889228E-2"/>
                  <c:y val="1.1904761904761921E-2"/>
                </c:manualLayout>
              </c:layout>
              <c:tx>
                <c:rich>
                  <a:bodyPr/>
                  <a:lstStyle/>
                  <a:p>
                    <a:r>
                      <a:rPr lang="ru-RU" b="1">
                        <a:latin typeface="Times New Roman" pitchFamily="18" charset="0"/>
                        <a:cs typeface="Times New Roman" pitchFamily="18" charset="0"/>
                      </a:rPr>
                      <a:t>13,8*</a:t>
                    </a:r>
                    <a:endParaRPr lang="en-US" b="1">
                      <a:latin typeface="Times New Roman" pitchFamily="18" charset="0"/>
                      <a:cs typeface="Times New Roman" pitchFamily="18" charset="0"/>
                    </a:endParaRPr>
                  </a:p>
                </c:rich>
              </c:tx>
              <c:dLblPos val="outEnd"/>
            </c:dLbl>
            <c:dLbl>
              <c:idx val="2"/>
              <c:layout>
                <c:manualLayout>
                  <c:x val="-1.4341378059449885E-3"/>
                  <c:y val="5.5439441429044813E-2"/>
                </c:manualLayout>
              </c:layout>
              <c:tx>
                <c:rich>
                  <a:bodyPr/>
                  <a:lstStyle/>
                  <a:p>
                    <a:r>
                      <a:rPr lang="ru-RU" b="1">
                        <a:latin typeface="Times New Roman" pitchFamily="18" charset="0"/>
                        <a:cs typeface="Times New Roman" pitchFamily="18" charset="0"/>
                      </a:rPr>
                      <a:t>5,0*</a:t>
                    </a:r>
                  </a:p>
                  <a:p>
                    <a:endParaRPr lang="en-US" b="1">
                      <a:latin typeface="Times New Roman" pitchFamily="18" charset="0"/>
                      <a:cs typeface="Times New Roman" pitchFamily="18" charset="0"/>
                    </a:endParaRPr>
                  </a:p>
                </c:rich>
              </c:tx>
              <c:dLblPos val="outEnd"/>
            </c:dLbl>
            <c:dLbl>
              <c:idx val="3"/>
              <c:layout>
                <c:manualLayout>
                  <c:x val="1.8333270940181605E-2"/>
                  <c:y val="1.096342576743169E-2"/>
                </c:manualLayout>
              </c:layout>
              <c:tx>
                <c:rich>
                  <a:bodyPr/>
                  <a:lstStyle/>
                  <a:p>
                    <a:r>
                      <a:rPr lang="ru-RU" b="1">
                        <a:latin typeface="Times New Roman" pitchFamily="18" charset="0"/>
                        <a:cs typeface="Times New Roman" pitchFamily="18" charset="0"/>
                      </a:rPr>
                      <a:t>7,3*</a:t>
                    </a:r>
                    <a:endParaRPr lang="en-US" b="1">
                      <a:latin typeface="Times New Roman" pitchFamily="18" charset="0"/>
                      <a:cs typeface="Times New Roman" pitchFamily="18" charset="0"/>
                    </a:endParaRPr>
                  </a:p>
                </c:rich>
              </c:tx>
              <c:dLblPos val="outEnd"/>
            </c:dLbl>
            <c:dLbl>
              <c:idx val="4"/>
              <c:layout>
                <c:manualLayout>
                  <c:x val="1.3888888888889228E-2"/>
                  <c:y val="7.9365079365078823E-3"/>
                </c:manualLayout>
              </c:layout>
              <c:tx>
                <c:rich>
                  <a:bodyPr/>
                  <a:lstStyle/>
                  <a:p>
                    <a:r>
                      <a:rPr lang="ru-RU" b="1">
                        <a:latin typeface="Times New Roman" pitchFamily="18" charset="0"/>
                        <a:cs typeface="Times New Roman" pitchFamily="18" charset="0"/>
                      </a:rPr>
                      <a:t>4,5*</a:t>
                    </a:r>
                    <a:endParaRPr lang="en-US" b="1">
                      <a:latin typeface="Times New Roman" pitchFamily="18" charset="0"/>
                      <a:cs typeface="Times New Roman" pitchFamily="18" charset="0"/>
                    </a:endParaRPr>
                  </a:p>
                </c:rich>
              </c:tx>
              <c:dLblPos val="outEnd"/>
            </c:dLbl>
            <c:dLbl>
              <c:idx val="5"/>
              <c:layout>
                <c:manualLayout>
                  <c:x val="1.1984310202112587E-2"/>
                  <c:y val="3.9444254250827352E-3"/>
                </c:manualLayout>
              </c:layout>
              <c:tx>
                <c:rich>
                  <a:bodyPr/>
                  <a:lstStyle/>
                  <a:p>
                    <a:r>
                      <a:rPr lang="ru-RU" b="1">
                        <a:latin typeface="Times New Roman" pitchFamily="18" charset="0"/>
                        <a:cs typeface="Times New Roman" pitchFamily="18" charset="0"/>
                      </a:rPr>
                      <a:t>12,6*</a:t>
                    </a:r>
                    <a:endParaRPr lang="en-US" b="1">
                      <a:latin typeface="Times New Roman" pitchFamily="18" charset="0"/>
                      <a:cs typeface="Times New Roman" pitchFamily="18" charset="0"/>
                    </a:endParaRPr>
                  </a:p>
                </c:rich>
              </c:tx>
              <c:dLblPos val="outEnd"/>
            </c:dLbl>
            <c:dLbl>
              <c:idx val="6"/>
              <c:layout>
                <c:manualLayout>
                  <c:x val="4.0347571450557594E-4"/>
                  <c:y val="2.1739130434782681E-2"/>
                </c:manualLayout>
              </c:layout>
              <c:tx>
                <c:rich>
                  <a:bodyPr/>
                  <a:lstStyle/>
                  <a:p>
                    <a:r>
                      <a:rPr lang="ru-RU" b="1">
                        <a:latin typeface="Times New Roman" pitchFamily="18" charset="0"/>
                        <a:cs typeface="Times New Roman" pitchFamily="18" charset="0"/>
                      </a:rPr>
                      <a:t>12,6*</a:t>
                    </a:r>
                    <a:endParaRPr lang="en-US" b="1">
                      <a:latin typeface="Times New Roman" pitchFamily="18" charset="0"/>
                      <a:cs typeface="Times New Roman" pitchFamily="18" charset="0"/>
                    </a:endParaRPr>
                  </a:p>
                </c:rich>
              </c:tx>
              <c:dLblPos val="outEnd"/>
            </c:dLbl>
            <c:dLbl>
              <c:idx val="7"/>
              <c:layout>
                <c:manualLayout>
                  <c:x val="2.1164021164021166E-2"/>
                  <c:y val="3.9447731755424984E-3"/>
                </c:manualLayout>
              </c:layout>
              <c:tx>
                <c:rich>
                  <a:bodyPr/>
                  <a:lstStyle/>
                  <a:p>
                    <a:r>
                      <a:rPr lang="ru-RU" b="1">
                        <a:latin typeface="Times New Roman" pitchFamily="18" charset="0"/>
                        <a:cs typeface="Times New Roman" pitchFamily="18" charset="0"/>
                      </a:rPr>
                      <a:t>14,4*</a:t>
                    </a:r>
                    <a:endParaRPr lang="en-US" b="1">
                      <a:latin typeface="Times New Roman" pitchFamily="18" charset="0"/>
                      <a:cs typeface="Times New Roman" pitchFamily="18" charset="0"/>
                    </a:endParaRPr>
                  </a:p>
                </c:rich>
              </c:tx>
              <c:dLblPos val="outEnd"/>
            </c:dLbl>
            <c:spPr>
              <a:noFill/>
              <a:ln w="24889">
                <a:noFill/>
              </a:ln>
            </c:spPr>
            <c:txPr>
              <a:bodyPr/>
              <a:lstStyle/>
              <a:p>
                <a:pPr>
                  <a:defRPr b="1">
                    <a:latin typeface="Times New Roman" pitchFamily="18" charset="0"/>
                    <a:cs typeface="Times New Roman" pitchFamily="18" charset="0"/>
                  </a:defRPr>
                </a:pPr>
                <a:endParaRPr lang="ru-RU"/>
              </a:p>
            </c:txPr>
            <c:dLblPos val="outEnd"/>
            <c:showVal val="1"/>
          </c:dLbls>
          <c:cat>
            <c:strRef>
              <c:f>Лист1!$A$2:$A$9</c:f>
              <c:strCache>
                <c:ptCount val="8"/>
                <c:pt idx="0">
                  <c:v>Молдова</c:v>
                </c:pt>
                <c:pt idx="1">
                  <c:v>Россия</c:v>
                </c:pt>
                <c:pt idx="2">
                  <c:v>Украина</c:v>
                </c:pt>
                <c:pt idx="3">
                  <c:v>Италия</c:v>
                </c:pt>
                <c:pt idx="4">
                  <c:v>Германия</c:v>
                </c:pt>
                <c:pt idx="5">
                  <c:v>Румыния</c:v>
                </c:pt>
                <c:pt idx="6">
                  <c:v>Польша</c:v>
                </c:pt>
                <c:pt idx="7">
                  <c:v>Прочие страны</c:v>
                </c:pt>
              </c:strCache>
            </c:strRef>
          </c:cat>
          <c:val>
            <c:numRef>
              <c:f>Лист1!$C$2:$C$9</c:f>
              <c:numCache>
                <c:formatCode>General</c:formatCode>
                <c:ptCount val="8"/>
                <c:pt idx="0">
                  <c:v>134.6</c:v>
                </c:pt>
                <c:pt idx="1">
                  <c:v>50</c:v>
                </c:pt>
                <c:pt idx="2">
                  <c:v>18.100000000000001</c:v>
                </c:pt>
                <c:pt idx="3">
                  <c:v>26.5</c:v>
                </c:pt>
                <c:pt idx="4">
                  <c:v>16.399999999999999</c:v>
                </c:pt>
                <c:pt idx="5">
                  <c:v>45.8</c:v>
                </c:pt>
                <c:pt idx="6">
                  <c:v>47.7</c:v>
                </c:pt>
                <c:pt idx="7">
                  <c:v>52.6</c:v>
                </c:pt>
              </c:numCache>
            </c:numRef>
          </c:val>
        </c:ser>
        <c:dLbls>
          <c:showVal val="1"/>
        </c:dLbls>
        <c:axId val="152404352"/>
        <c:axId val="152405888"/>
      </c:barChart>
      <c:catAx>
        <c:axId val="152404352"/>
        <c:scaling>
          <c:orientation val="minMax"/>
        </c:scaling>
        <c:axPos val="b"/>
        <c:numFmt formatCode="General" sourceLinked="1"/>
        <c:tickLblPos val="nextTo"/>
        <c:crossAx val="152405888"/>
        <c:crosses val="autoZero"/>
        <c:auto val="1"/>
        <c:lblAlgn val="ctr"/>
        <c:lblOffset val="100"/>
      </c:catAx>
      <c:valAx>
        <c:axId val="152405888"/>
        <c:scaling>
          <c:orientation val="minMax"/>
          <c:max val="150"/>
        </c:scaling>
        <c:axPos val="l"/>
        <c:title>
          <c:tx>
            <c:rich>
              <a:bodyPr rot="0" vert="horz"/>
              <a:lstStyle/>
              <a:p>
                <a:pPr algn="ctr">
                  <a:defRPr sz="1078" b="0" i="0" u="none" strike="noStrike" baseline="0">
                    <a:solidFill>
                      <a:srgbClr val="000000"/>
                    </a:solidFill>
                    <a:latin typeface="Calibri"/>
                    <a:ea typeface="Calibri"/>
                    <a:cs typeface="Calibri"/>
                  </a:defRPr>
                </a:pPr>
                <a:r>
                  <a:rPr lang="ru-RU" sz="882" b="1" i="0" strike="noStrike">
                    <a:solidFill>
                      <a:srgbClr val="000000"/>
                    </a:solidFill>
                    <a:latin typeface="Times New Roman"/>
                    <a:cs typeface="Times New Roman"/>
                  </a:rPr>
                  <a:t>*- </a:t>
                </a:r>
                <a:r>
                  <a:rPr lang="ru-RU" sz="882" b="0" i="0" strike="noStrike">
                    <a:solidFill>
                      <a:srgbClr val="000000"/>
                    </a:solidFill>
                    <a:latin typeface="Times New Roman"/>
                    <a:cs typeface="Times New Roman"/>
                  </a:rPr>
                  <a:t>удельный вес в общем объеме экспорта, %</a:t>
                </a:r>
              </a:p>
            </c:rich>
          </c:tx>
          <c:layout>
            <c:manualLayout>
              <c:xMode val="edge"/>
              <c:yMode val="edge"/>
              <c:x val="0.80935313037561118"/>
              <c:y val="0.11114159510548986"/>
            </c:manualLayout>
          </c:layout>
          <c:spPr>
            <a:noFill/>
            <a:ln w="24889">
              <a:noFill/>
            </a:ln>
          </c:spPr>
        </c:title>
        <c:numFmt formatCode="0.0" sourceLinked="1"/>
        <c:tickLblPos val="nextTo"/>
        <c:txPr>
          <a:bodyPr/>
          <a:lstStyle/>
          <a:p>
            <a:pPr>
              <a:defRPr>
                <a:latin typeface="Times New Roman" pitchFamily="18" charset="0"/>
                <a:cs typeface="Times New Roman" pitchFamily="18" charset="0"/>
              </a:defRPr>
            </a:pPr>
            <a:endParaRPr lang="ru-RU"/>
          </a:p>
        </c:txPr>
        <c:crossAx val="152404352"/>
        <c:crosses val="autoZero"/>
        <c:crossBetween val="between"/>
      </c:valAx>
      <c:dTable>
        <c:showHorzBorder val="1"/>
        <c:showVertBorder val="1"/>
        <c:showOutline val="1"/>
        <c:showKeys val="1"/>
        <c:txPr>
          <a:bodyPr/>
          <a:lstStyle/>
          <a:p>
            <a:pPr rtl="0">
              <a:defRPr sz="882" b="1">
                <a:latin typeface="Times New Roman" pitchFamily="18" charset="0"/>
                <a:cs typeface="Times New Roman" pitchFamily="18" charset="0"/>
              </a:defRPr>
            </a:pPr>
            <a:endParaRPr lang="ru-RU"/>
          </a:p>
        </c:txPr>
      </c:dTable>
    </c:plotArea>
    <c:legend>
      <c:legendPos val="b"/>
      <c:layout>
        <c:manualLayout>
          <c:xMode val="edge"/>
          <c:yMode val="edge"/>
          <c:x val="0.18355021411797356"/>
          <c:y val="0.85928560816690369"/>
          <c:w val="0.71545891128933969"/>
          <c:h val="4.8739096292208794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8.0192616372391654E-2"/>
          <c:y val="3.05444887118194E-2"/>
          <c:w val="0.92836811128945951"/>
          <c:h val="0.40381675398145089"/>
        </c:manualLayout>
      </c:layout>
      <c:barChart>
        <c:barDir val="col"/>
        <c:grouping val="clustered"/>
        <c:ser>
          <c:idx val="0"/>
          <c:order val="0"/>
          <c:tx>
            <c:strRef>
              <c:f>Sheet1!$A$2</c:f>
              <c:strCache>
                <c:ptCount val="1"/>
                <c:pt idx="0">
                  <c:v>январь-июнь 2013 года</c:v>
                </c:pt>
              </c:strCache>
            </c:strRef>
          </c:tx>
          <c:dLbls>
            <c:dLbl>
              <c:idx val="0"/>
              <c:tx>
                <c:rich>
                  <a:bodyPr/>
                  <a:lstStyle/>
                  <a:p>
                    <a:r>
                      <a:rPr lang="ru-RU"/>
                      <a:t>4,3*</a:t>
                    </a:r>
                    <a:endParaRPr lang="en-US"/>
                  </a:p>
                </c:rich>
              </c:tx>
              <c:dLblPos val="outEnd"/>
              <c:showVal val="1"/>
            </c:dLbl>
            <c:dLbl>
              <c:idx val="1"/>
              <c:layout>
                <c:manualLayout>
                  <c:x val="-4.2803638309256561E-3"/>
                  <c:y val="2.0202020202020211E-2"/>
                </c:manualLayout>
              </c:layout>
              <c:tx>
                <c:rich>
                  <a:bodyPr/>
                  <a:lstStyle/>
                  <a:p>
                    <a:r>
                      <a:rPr lang="ru-RU"/>
                      <a:t>34,5*</a:t>
                    </a:r>
                    <a:endParaRPr lang="en-US"/>
                  </a:p>
                </c:rich>
              </c:tx>
              <c:dLblPos val="outEnd"/>
              <c:showVal val="1"/>
            </c:dLbl>
            <c:dLbl>
              <c:idx val="2"/>
              <c:layout>
                <c:manualLayout>
                  <c:x val="-8.5607276618512567E-3"/>
                  <c:y val="2.5252525252525249E-2"/>
                </c:manualLayout>
              </c:layout>
              <c:tx>
                <c:rich>
                  <a:bodyPr/>
                  <a:lstStyle/>
                  <a:p>
                    <a:r>
                      <a:rPr lang="ru-RU"/>
                      <a:t>30,7*</a:t>
                    </a:r>
                    <a:endParaRPr lang="en-US"/>
                  </a:p>
                </c:rich>
              </c:tx>
              <c:dLblPos val="outEnd"/>
              <c:showVal val="1"/>
            </c:dLbl>
            <c:dLbl>
              <c:idx val="3"/>
              <c:tx>
                <c:rich>
                  <a:bodyPr/>
                  <a:lstStyle/>
                  <a:p>
                    <a:r>
                      <a:rPr lang="ru-RU"/>
                      <a:t>14,8*</a:t>
                    </a:r>
                    <a:endParaRPr lang="en-US"/>
                  </a:p>
                </c:rich>
              </c:tx>
              <c:dLblPos val="outEnd"/>
              <c:showVal val="1"/>
            </c:dLbl>
            <c:dLbl>
              <c:idx val="4"/>
              <c:layout>
                <c:manualLayout>
                  <c:x val="2.1401819154628294E-3"/>
                  <c:y val="5.0505050505050475E-3"/>
                </c:manualLayout>
              </c:layout>
              <c:tx>
                <c:rich>
                  <a:bodyPr/>
                  <a:lstStyle/>
                  <a:p>
                    <a:r>
                      <a:rPr lang="ru-RU"/>
                      <a:t>7,0*</a:t>
                    </a:r>
                    <a:endParaRPr lang="en-US"/>
                  </a:p>
                </c:rich>
              </c:tx>
              <c:dLblPos val="outEnd"/>
              <c:showVal val="1"/>
            </c:dLbl>
            <c:dLbl>
              <c:idx val="5"/>
              <c:tx>
                <c:rich>
                  <a:bodyPr/>
                  <a:lstStyle/>
                  <a:p>
                    <a:r>
                      <a:rPr lang="ru-RU"/>
                      <a:t>3,9*</a:t>
                    </a:r>
                    <a:endParaRPr lang="en-US"/>
                  </a:p>
                </c:rich>
              </c:tx>
              <c:dLblPos val="outEnd"/>
              <c:showVal val="1"/>
            </c:dLbl>
            <c:dLbl>
              <c:idx val="6"/>
              <c:layout>
                <c:manualLayout>
                  <c:x val="8.5607276618512567E-3"/>
                  <c:y val="0"/>
                </c:manualLayout>
              </c:layout>
              <c:tx>
                <c:rich>
                  <a:bodyPr/>
                  <a:lstStyle/>
                  <a:p>
                    <a:r>
                      <a:rPr lang="ru-RU"/>
                      <a:t>4,8*</a:t>
                    </a:r>
                    <a:endParaRPr lang="en-US"/>
                  </a:p>
                </c:rich>
              </c:tx>
              <c:dLblPos val="outEnd"/>
              <c:showVal val="1"/>
            </c:dLbl>
            <c:spPr>
              <a:noFill/>
              <a:ln w="25363">
                <a:noFill/>
              </a:ln>
            </c:spPr>
            <c:txPr>
              <a:bodyPr rot="0" vert="horz"/>
              <a:lstStyle/>
              <a:p>
                <a:pPr>
                  <a:defRPr sz="899" b="1">
                    <a:latin typeface="Times New Roman" pitchFamily="18" charset="0"/>
                    <a:cs typeface="Times New Roman" pitchFamily="18" charset="0"/>
                  </a:defRPr>
                </a:pPr>
                <a:endParaRPr lang="ru-RU"/>
              </a:p>
            </c:txPr>
            <c:dLblPos val="outEnd"/>
            <c:showVal val="1"/>
          </c:dLbls>
          <c:cat>
            <c:strRef>
              <c:f>Sheet1!$B$1:$H$1</c:f>
              <c:strCache>
                <c:ptCount val="7"/>
                <c:pt idx="0">
                  <c:v>Металлы и изделия из них</c:v>
                </c:pt>
                <c:pt idx="1">
                  <c:v>Топливно-энергетические товары</c:v>
                </c:pt>
                <c:pt idx="2">
                  <c:v>Продукция легкой промышленности</c:v>
                </c:pt>
                <c:pt idx="3">
                  <c:v>Продовольственные товары и сырье</c:v>
                </c:pt>
                <c:pt idx="4">
                  <c:v>Машиностроительная продукция</c:v>
                </c:pt>
                <c:pt idx="5">
                  <c:v>Минеральные продукты</c:v>
                </c:pt>
                <c:pt idx="6">
                  <c:v>Прочие товары</c:v>
                </c:pt>
              </c:strCache>
            </c:strRef>
          </c:cat>
          <c:val>
            <c:numRef>
              <c:f>Sheet1!$B$2:$H$2</c:f>
              <c:numCache>
                <c:formatCode>0.0</c:formatCode>
                <c:ptCount val="7"/>
                <c:pt idx="0">
                  <c:v>9</c:v>
                </c:pt>
                <c:pt idx="1">
                  <c:v>73</c:v>
                </c:pt>
                <c:pt idx="2">
                  <c:v>65.099999999999994</c:v>
                </c:pt>
                <c:pt idx="3" formatCode="General">
                  <c:v>31.3</c:v>
                </c:pt>
                <c:pt idx="4">
                  <c:v>14.8</c:v>
                </c:pt>
                <c:pt idx="5">
                  <c:v>8.4</c:v>
                </c:pt>
                <c:pt idx="6">
                  <c:v>10.200000000000001</c:v>
                </c:pt>
              </c:numCache>
            </c:numRef>
          </c:val>
        </c:ser>
        <c:ser>
          <c:idx val="1"/>
          <c:order val="1"/>
          <c:tx>
            <c:strRef>
              <c:f>Sheet1!$A$3</c:f>
              <c:strCache>
                <c:ptCount val="1"/>
                <c:pt idx="0">
                  <c:v>январь-июнь 2014 года</c:v>
                </c:pt>
              </c:strCache>
            </c:strRef>
          </c:tx>
          <c:spPr>
            <a:scene3d>
              <a:camera prst="orthographicFront"/>
              <a:lightRig rig="threePt" dir="t">
                <a:rot lat="0" lon="0" rev="1800000"/>
              </a:lightRig>
            </a:scene3d>
            <a:sp3d>
              <a:bevelT w="63500" h="25400"/>
            </a:sp3d>
          </c:spPr>
          <c:dLbls>
            <c:dLbl>
              <c:idx val="0"/>
              <c:layout>
                <c:manualLayout>
                  <c:x val="2.1401819154628294E-3"/>
                  <c:y val="2.5252525252525259E-2"/>
                </c:manualLayout>
              </c:layout>
              <c:tx>
                <c:rich>
                  <a:bodyPr/>
                  <a:lstStyle/>
                  <a:p>
                    <a:r>
                      <a:rPr lang="ru-RU"/>
                      <a:t>34,4*</a:t>
                    </a:r>
                    <a:endParaRPr lang="en-US"/>
                  </a:p>
                </c:rich>
              </c:tx>
              <c:dLblPos val="outEnd"/>
              <c:showVal val="1"/>
            </c:dLbl>
            <c:dLbl>
              <c:idx val="1"/>
              <c:layout>
                <c:manualLayout>
                  <c:x val="6.4205457463884395E-3"/>
                  <c:y val="5.0505050505050475E-3"/>
                </c:manualLayout>
              </c:layout>
              <c:tx>
                <c:rich>
                  <a:bodyPr/>
                  <a:lstStyle/>
                  <a:p>
                    <a:r>
                      <a:rPr lang="ru-RU"/>
                      <a:t>22,4*</a:t>
                    </a:r>
                    <a:endParaRPr lang="en-US"/>
                  </a:p>
                </c:rich>
              </c:tx>
              <c:dLblPos val="outEnd"/>
              <c:showVal val="1"/>
            </c:dLbl>
            <c:dLbl>
              <c:idx val="2"/>
              <c:layout>
                <c:manualLayout>
                  <c:x val="8.5607276618512567E-3"/>
                  <c:y val="6.0606060606060629E-2"/>
                </c:manualLayout>
              </c:layout>
              <c:tx>
                <c:rich>
                  <a:bodyPr/>
                  <a:lstStyle/>
                  <a:p>
                    <a:r>
                      <a:rPr lang="ru-RU"/>
                      <a:t>18,9*</a:t>
                    </a:r>
                  </a:p>
                  <a:p>
                    <a:endParaRPr lang="en-US"/>
                  </a:p>
                </c:rich>
              </c:tx>
              <c:dLblPos val="outEnd"/>
              <c:showVal val="1"/>
            </c:dLbl>
            <c:dLbl>
              <c:idx val="3"/>
              <c:layout>
                <c:manualLayout>
                  <c:x val="8.5607276618512567E-3"/>
                  <c:y val="1.0101010101010105E-2"/>
                </c:manualLayout>
              </c:layout>
              <c:tx>
                <c:rich>
                  <a:bodyPr/>
                  <a:lstStyle/>
                  <a:p>
                    <a:r>
                      <a:rPr lang="ru-RU"/>
                      <a:t>12,8*</a:t>
                    </a:r>
                    <a:endParaRPr lang="en-US"/>
                  </a:p>
                </c:rich>
              </c:tx>
              <c:dLblPos val="outEnd"/>
              <c:showVal val="1"/>
            </c:dLbl>
            <c:dLbl>
              <c:idx val="4"/>
              <c:tx>
                <c:rich>
                  <a:bodyPr/>
                  <a:lstStyle/>
                  <a:p>
                    <a:r>
                      <a:rPr lang="ru-RU"/>
                      <a:t>3,8*</a:t>
                    </a:r>
                    <a:endParaRPr lang="en-US"/>
                  </a:p>
                </c:rich>
              </c:tx>
              <c:dLblPos val="outEnd"/>
              <c:showVal val="1"/>
            </c:dLbl>
            <c:dLbl>
              <c:idx val="5"/>
              <c:layout>
                <c:manualLayout>
                  <c:x val="1.0700909577314071E-2"/>
                  <c:y val="0"/>
                </c:manualLayout>
              </c:layout>
              <c:tx>
                <c:rich>
                  <a:bodyPr/>
                  <a:lstStyle/>
                  <a:p>
                    <a:r>
                      <a:rPr lang="ru-RU"/>
                      <a:t>5,6*</a:t>
                    </a:r>
                    <a:endParaRPr lang="en-US"/>
                  </a:p>
                </c:rich>
              </c:tx>
              <c:dLblPos val="outEnd"/>
              <c:showVal val="1"/>
            </c:dLbl>
            <c:dLbl>
              <c:idx val="6"/>
              <c:layout>
                <c:manualLayout>
                  <c:x val="1.0700909577314071E-2"/>
                  <c:y val="-4.6295761483709794E-17"/>
                </c:manualLayout>
              </c:layout>
              <c:tx>
                <c:rich>
                  <a:bodyPr/>
                  <a:lstStyle/>
                  <a:p>
                    <a:r>
                      <a:rPr lang="en-US"/>
                      <a:t>2</a:t>
                    </a:r>
                    <a:r>
                      <a:rPr lang="ru-RU"/>
                      <a:t>,1*</a:t>
                    </a:r>
                    <a:endParaRPr lang="en-US"/>
                  </a:p>
                </c:rich>
              </c:tx>
              <c:dLblPos val="outEnd"/>
              <c:showVal val="1"/>
            </c:dLbl>
            <c:spPr>
              <a:noFill/>
              <a:ln w="25363">
                <a:noFill/>
              </a:ln>
            </c:spPr>
            <c:txPr>
              <a:bodyPr rot="0" vert="horz"/>
              <a:lstStyle/>
              <a:p>
                <a:pPr>
                  <a:defRPr sz="899" b="1">
                    <a:latin typeface="Times New Roman" pitchFamily="18" charset="0"/>
                    <a:cs typeface="Times New Roman" pitchFamily="18" charset="0"/>
                  </a:defRPr>
                </a:pPr>
                <a:endParaRPr lang="ru-RU"/>
              </a:p>
            </c:txPr>
            <c:dLblPos val="outEnd"/>
            <c:showVal val="1"/>
          </c:dLbls>
          <c:cat>
            <c:strRef>
              <c:f>Sheet1!$B$1:$H$1</c:f>
              <c:strCache>
                <c:ptCount val="7"/>
                <c:pt idx="0">
                  <c:v>Металлы и изделия из них</c:v>
                </c:pt>
                <c:pt idx="1">
                  <c:v>Топливно-энергетические товары</c:v>
                </c:pt>
                <c:pt idx="2">
                  <c:v>Продукция легкой промышленности</c:v>
                </c:pt>
                <c:pt idx="3">
                  <c:v>Продовольственные товары и сырье</c:v>
                </c:pt>
                <c:pt idx="4">
                  <c:v>Машиностроительная продукция</c:v>
                </c:pt>
                <c:pt idx="5">
                  <c:v>Минеральные продукты</c:v>
                </c:pt>
                <c:pt idx="6">
                  <c:v>Прочие товары</c:v>
                </c:pt>
              </c:strCache>
            </c:strRef>
          </c:cat>
          <c:val>
            <c:numRef>
              <c:f>Sheet1!$B$3:$H$3</c:f>
              <c:numCache>
                <c:formatCode>0.0</c:formatCode>
                <c:ptCount val="7"/>
                <c:pt idx="0">
                  <c:v>124.8</c:v>
                </c:pt>
                <c:pt idx="1">
                  <c:v>81.099999999999994</c:v>
                </c:pt>
                <c:pt idx="2">
                  <c:v>68.599999999999994</c:v>
                </c:pt>
                <c:pt idx="3">
                  <c:v>46.3</c:v>
                </c:pt>
                <c:pt idx="4">
                  <c:v>13.6</c:v>
                </c:pt>
                <c:pt idx="5">
                  <c:v>20.399999999999999</c:v>
                </c:pt>
                <c:pt idx="6">
                  <c:v>8.2000000000000011</c:v>
                </c:pt>
              </c:numCache>
            </c:numRef>
          </c:val>
        </c:ser>
        <c:dLbls>
          <c:showVal val="1"/>
        </c:dLbls>
        <c:gapWidth val="160"/>
        <c:axId val="152282240"/>
        <c:axId val="152283776"/>
      </c:barChart>
      <c:catAx>
        <c:axId val="152282240"/>
        <c:scaling>
          <c:orientation val="minMax"/>
        </c:scaling>
        <c:axPos val="b"/>
        <c:numFmt formatCode="General" sourceLinked="1"/>
        <c:tickLblPos val="low"/>
        <c:txPr>
          <a:bodyPr rot="-5400000" vert="horz"/>
          <a:lstStyle/>
          <a:p>
            <a:pPr>
              <a:defRPr b="1">
                <a:latin typeface="Times New Roman" pitchFamily="18" charset="0"/>
                <a:cs typeface="Times New Roman" pitchFamily="18" charset="0"/>
              </a:defRPr>
            </a:pPr>
            <a:endParaRPr lang="ru-RU"/>
          </a:p>
        </c:txPr>
        <c:crossAx val="152283776"/>
        <c:crosses val="autoZero"/>
        <c:lblAlgn val="ctr"/>
        <c:lblOffset val="160"/>
        <c:tickLblSkip val="1"/>
        <c:tickMarkSkip val="1"/>
      </c:catAx>
      <c:valAx>
        <c:axId val="152283776"/>
        <c:scaling>
          <c:orientation val="minMax"/>
        </c:scaling>
        <c:axPos val="l"/>
        <c:title>
          <c:tx>
            <c:rich>
              <a:bodyPr rot="0" vert="horz"/>
              <a:lstStyle/>
              <a:p>
                <a:pPr>
                  <a:defRPr/>
                </a:pPr>
                <a:r>
                  <a:rPr lang="ru-RU" sz="800">
                    <a:latin typeface="Times New Roman" pitchFamily="18" charset="0"/>
                    <a:cs typeface="Times New Roman" pitchFamily="18" charset="0"/>
                  </a:rPr>
                  <a:t>*- удельный вес в общем объеме экспорта,%</a:t>
                </a:r>
              </a:p>
            </c:rich>
          </c:tx>
          <c:layout>
            <c:manualLayout>
              <c:xMode val="edge"/>
              <c:yMode val="edge"/>
              <c:x val="0.78116639914392361"/>
              <c:y val="4.7138312256422531E-2"/>
            </c:manualLayout>
          </c:layout>
        </c:title>
        <c:numFmt formatCode="0.0" sourceLinked="1"/>
        <c:tickLblPos val="nextTo"/>
        <c:txPr>
          <a:bodyPr rot="0" vert="horz"/>
          <a:lstStyle/>
          <a:p>
            <a:pPr>
              <a:defRPr b="1">
                <a:latin typeface="Times New Roman" pitchFamily="18" charset="0"/>
                <a:cs typeface="Times New Roman" pitchFamily="18" charset="0"/>
              </a:defRPr>
            </a:pPr>
            <a:endParaRPr lang="ru-RU"/>
          </a:p>
        </c:txPr>
        <c:crossAx val="152282240"/>
        <c:crosses val="autoZero"/>
        <c:crossBetween val="between"/>
      </c:valAx>
    </c:plotArea>
    <c:legend>
      <c:legendPos val="r"/>
      <c:legendEntry>
        <c:idx val="1"/>
        <c:txPr>
          <a:bodyPr/>
          <a:lstStyle/>
          <a:p>
            <a:pPr>
              <a:defRPr>
                <a:latin typeface="Times New Roman" pitchFamily="18" charset="0"/>
                <a:cs typeface="Times New Roman" pitchFamily="18" charset="0"/>
              </a:defRPr>
            </a:pPr>
            <a:endParaRPr lang="ru-RU"/>
          </a:p>
        </c:txPr>
      </c:legendEntry>
      <c:layout>
        <c:manualLayout>
          <c:xMode val="edge"/>
          <c:yMode val="edge"/>
          <c:x val="0.13141034369072843"/>
          <c:y val="0.90813400293467261"/>
          <c:w val="0.73615633282381365"/>
          <c:h val="6.9151631636597821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title>
      <c:tx>
        <c:rich>
          <a:bodyPr/>
          <a:lstStyle/>
          <a:p>
            <a:pPr>
              <a:defRPr sz="1197"/>
            </a:pPr>
            <a:r>
              <a:rPr lang="ru-RU" sz="1197"/>
              <a:t>Динамика промышленной продукции в разрезе отраслей, %</a:t>
            </a:r>
          </a:p>
        </c:rich>
      </c:tx>
      <c:layout>
        <c:manualLayout>
          <c:xMode val="edge"/>
          <c:yMode val="edge"/>
          <c:x val="0.19576609466627878"/>
          <c:y val="0"/>
        </c:manualLayout>
      </c:layout>
    </c:title>
    <c:view3D>
      <c:rotX val="0"/>
      <c:rotY val="0"/>
      <c:depthPercent val="100"/>
      <c:perspective val="30"/>
    </c:view3D>
    <c:plotArea>
      <c:layout>
        <c:manualLayout>
          <c:layoutTarget val="inner"/>
          <c:xMode val="edge"/>
          <c:yMode val="edge"/>
          <c:x val="8.6717713118938181E-2"/>
          <c:y val="2.8458670927003691E-2"/>
          <c:w val="0.89082184788157859"/>
          <c:h val="0.49241089429038848"/>
        </c:manualLayout>
      </c:layout>
      <c:bar3DChart>
        <c:barDir val="col"/>
        <c:grouping val="clustered"/>
        <c:ser>
          <c:idx val="0"/>
          <c:order val="0"/>
          <c:tx>
            <c:strRef>
              <c:f>Лист1!$B$1</c:f>
              <c:strCache>
                <c:ptCount val="1"/>
                <c:pt idx="0">
                  <c:v>январь-июнь 2013 года</c:v>
                </c:pt>
              </c:strCache>
            </c:strRef>
          </c:tx>
          <c:spPr>
            <a:solidFill>
              <a:srgbClr val="FFFF00"/>
            </a:solidFill>
          </c:spPr>
          <c:dLbls>
            <c:dLbl>
              <c:idx val="2"/>
              <c:layout>
                <c:manualLayout>
                  <c:x val="2.5467874773270143E-3"/>
                  <c:y val="1.2850681336066065E-2"/>
                </c:manualLayout>
              </c:layout>
              <c:showVal val="1"/>
            </c:dLbl>
            <c:dLbl>
              <c:idx val="3"/>
              <c:layout>
                <c:manualLayout>
                  <c:x val="0"/>
                  <c:y val="-7.9365079365079517E-3"/>
                </c:manualLayout>
              </c:layout>
              <c:showVal val="1"/>
            </c:dLbl>
            <c:dLbl>
              <c:idx val="4"/>
              <c:layout>
                <c:manualLayout>
                  <c:x val="6.1068702290076413E-3"/>
                  <c:y val="-3.9682539682540001E-3"/>
                </c:manualLayout>
              </c:layout>
              <c:showVal val="1"/>
            </c:dLbl>
            <c:dLbl>
              <c:idx val="5"/>
              <c:layout>
                <c:manualLayout>
                  <c:x val="-6.1068021227438599E-3"/>
                  <c:y val="1.0958904109589039E-2"/>
                </c:manualLayout>
              </c:layout>
              <c:showVal val="1"/>
            </c:dLbl>
            <c:dLbl>
              <c:idx val="6"/>
              <c:layout>
                <c:manualLayout>
                  <c:x val="-8.2446962969821794E-3"/>
                  <c:y val="1.0603048376408221E-2"/>
                </c:manualLayout>
              </c:layout>
              <c:showVal val="1"/>
            </c:dLbl>
            <c:dLbl>
              <c:idx val="7"/>
              <c:layout>
                <c:manualLayout>
                  <c:x val="-4.0712468193385533E-3"/>
                  <c:y val="1.1904761904761947E-2"/>
                </c:manualLayout>
              </c:layout>
              <c:showVal val="1"/>
            </c:dLbl>
            <c:dLbl>
              <c:idx val="8"/>
              <c:layout>
                <c:manualLayout>
                  <c:x val="-3.5598463072928316E-3"/>
                  <c:y val="1.4539743168286856E-2"/>
                </c:manualLayout>
              </c:layout>
              <c:showVal val="1"/>
            </c:dLbl>
            <c:dLbl>
              <c:idx val="9"/>
              <c:layout>
                <c:manualLayout>
                  <c:x val="-1.4219521330544542E-3"/>
                  <c:y val="7.9522862823062333E-3"/>
                </c:manualLayout>
              </c:layout>
              <c:showVal val="1"/>
            </c:dLbl>
            <c:dLbl>
              <c:idx val="10"/>
              <c:layout>
                <c:manualLayout>
                  <c:x val="-9.8713475887669631E-3"/>
                  <c:y val="7.9522862823062333E-3"/>
                </c:manualLayout>
              </c:layout>
              <c:showVal val="1"/>
            </c:dLbl>
            <c:txPr>
              <a:bodyPr/>
              <a:lstStyle/>
              <a:p>
                <a:pPr>
                  <a:defRPr sz="798" b="1"/>
                </a:pPr>
                <a:endParaRPr lang="ru-RU"/>
              </a:p>
            </c:txPr>
            <c:showVal val="1"/>
          </c:dLbls>
          <c:cat>
            <c:strRef>
              <c:f>Лист1!$A$2:$A$12</c:f>
              <c:strCache>
                <c:ptCount val="11"/>
                <c:pt idx="0">
                  <c:v>Электроэнергетика</c:v>
                </c:pt>
                <c:pt idx="1">
                  <c:v>Черная металлургия</c:v>
                </c:pt>
                <c:pt idx="2">
                  <c:v>Химическая промышленность</c:v>
                </c:pt>
                <c:pt idx="3">
                  <c:v>Машиностроение и металлообработка</c:v>
                </c:pt>
                <c:pt idx="4">
                  <c:v>Электротехническая промышленность</c:v>
                </c:pt>
                <c:pt idx="5">
                  <c:v>Лесная и деревообрабатывающая промышленность</c:v>
                </c:pt>
                <c:pt idx="6">
                  <c:v>Промышленность строительных материалов</c:v>
                </c:pt>
                <c:pt idx="7">
                  <c:v>Легкая промышленность</c:v>
                </c:pt>
                <c:pt idx="8">
                  <c:v>Пищевая промышленность</c:v>
                </c:pt>
                <c:pt idx="9">
                  <c:v>Мукомольно-крупянная и комбикормовая</c:v>
                </c:pt>
                <c:pt idx="10">
                  <c:v>Полиграфическая промышленность</c:v>
                </c:pt>
              </c:strCache>
            </c:strRef>
          </c:cat>
          <c:val>
            <c:numRef>
              <c:f>Лист1!$B$2:$B$12</c:f>
              <c:numCache>
                <c:formatCode>#,##0.0</c:formatCode>
                <c:ptCount val="11"/>
                <c:pt idx="0">
                  <c:v>81</c:v>
                </c:pt>
                <c:pt idx="1">
                  <c:v>1.4</c:v>
                </c:pt>
                <c:pt idx="2">
                  <c:v>149.9</c:v>
                </c:pt>
                <c:pt idx="3">
                  <c:v>109.8</c:v>
                </c:pt>
                <c:pt idx="4">
                  <c:v>96.8</c:v>
                </c:pt>
                <c:pt idx="5">
                  <c:v>136.69999999999999</c:v>
                </c:pt>
                <c:pt idx="6">
                  <c:v>76.2</c:v>
                </c:pt>
                <c:pt idx="7">
                  <c:v>114.4</c:v>
                </c:pt>
                <c:pt idx="8">
                  <c:v>127.1</c:v>
                </c:pt>
                <c:pt idx="9">
                  <c:v>144.6</c:v>
                </c:pt>
                <c:pt idx="10">
                  <c:v>82.5</c:v>
                </c:pt>
              </c:numCache>
            </c:numRef>
          </c:val>
        </c:ser>
        <c:ser>
          <c:idx val="1"/>
          <c:order val="1"/>
          <c:tx>
            <c:strRef>
              <c:f>Лист1!$C$1</c:f>
              <c:strCache>
                <c:ptCount val="1"/>
                <c:pt idx="0">
                  <c:v>январь-июнь 2014 года</c:v>
                </c:pt>
              </c:strCache>
            </c:strRef>
          </c:tx>
          <c:spPr>
            <a:solidFill>
              <a:srgbClr val="00B0F0"/>
            </a:solidFill>
          </c:spPr>
          <c:dLbls>
            <c:dLbl>
              <c:idx val="0"/>
              <c:layout>
                <c:manualLayout>
                  <c:x val="1.4249363867684479E-2"/>
                  <c:y val="3.6375241165776907E-17"/>
                </c:manualLayout>
              </c:layout>
              <c:showVal val="1"/>
            </c:dLbl>
            <c:dLbl>
              <c:idx val="1"/>
              <c:layout>
                <c:manualLayout>
                  <c:x val="1.4249363867684479E-2"/>
                  <c:y val="-3.9682539682540001E-3"/>
                </c:manualLayout>
              </c:layout>
              <c:tx>
                <c:rich>
                  <a:bodyPr/>
                  <a:lstStyle/>
                  <a:p>
                    <a:r>
                      <a:rPr lang="ru-RU"/>
                      <a:t>в 111р. </a:t>
                    </a:r>
                    <a:endParaRPr lang="en-US"/>
                  </a:p>
                </c:rich>
              </c:tx>
            </c:dLbl>
            <c:dLbl>
              <c:idx val="2"/>
              <c:layout>
                <c:manualLayout>
                  <c:x val="8.5515766969535226E-3"/>
                  <c:y val="1.0958904109589039E-2"/>
                </c:manualLayout>
              </c:layout>
              <c:showVal val="1"/>
            </c:dLbl>
            <c:dLbl>
              <c:idx val="3"/>
              <c:layout>
                <c:manualLayout>
                  <c:x val="1.0178117048346058E-2"/>
                  <c:y val="1.984126984127044E-2"/>
                </c:manualLayout>
              </c:layout>
              <c:showVal val="1"/>
            </c:dLbl>
            <c:dLbl>
              <c:idx val="4"/>
              <c:layout>
                <c:manualLayout>
                  <c:x val="1.0178117048346058E-2"/>
                  <c:y val="1.1904761904761947E-2"/>
                </c:manualLayout>
              </c:layout>
              <c:showVal val="1"/>
            </c:dLbl>
            <c:dLbl>
              <c:idx val="5"/>
              <c:layout>
                <c:manualLayout>
                  <c:x val="1.2827365045430457E-2"/>
                  <c:y val="-6.0446553769819868E-3"/>
                </c:manualLayout>
              </c:layout>
              <c:showVal val="1"/>
            </c:dLbl>
            <c:dLbl>
              <c:idx val="6"/>
              <c:layout>
                <c:manualLayout>
                  <c:x val="6.1067099436999134E-3"/>
                  <c:y val="1.1904761904761987E-2"/>
                </c:manualLayout>
              </c:layout>
              <c:showVal val="1"/>
            </c:dLbl>
            <c:dLbl>
              <c:idx val="7"/>
              <c:layout>
                <c:manualLayout>
                  <c:x val="4.3781379278419385E-3"/>
                  <c:y val="1.0618911204687905E-2"/>
                </c:manualLayout>
              </c:layout>
              <c:showVal val="1"/>
            </c:dLbl>
            <c:dLbl>
              <c:idx val="8"/>
              <c:layout>
                <c:manualLayout>
                  <c:x val="6.4136825227152014E-3"/>
                  <c:y val="5.3015241882042111E-3"/>
                </c:manualLayout>
              </c:layout>
              <c:showVal val="1"/>
            </c:dLbl>
            <c:dLbl>
              <c:idx val="9"/>
              <c:layout>
                <c:manualLayout>
                  <c:x val="6.4136825227152014E-3"/>
                  <c:y val="7.9522862823062333E-3"/>
                </c:manualLayout>
              </c:layout>
              <c:showVal val="1"/>
            </c:dLbl>
            <c:dLbl>
              <c:idx val="10"/>
              <c:layout>
                <c:manualLayout>
                  <c:x val="6.4136825227152014E-3"/>
                  <c:y val="1.8555334658714423E-2"/>
                </c:manualLayout>
              </c:layout>
              <c:showVal val="1"/>
            </c:dLbl>
            <c:txPr>
              <a:bodyPr/>
              <a:lstStyle/>
              <a:p>
                <a:pPr>
                  <a:defRPr sz="798" b="1"/>
                </a:pPr>
                <a:endParaRPr lang="ru-RU"/>
              </a:p>
            </c:txPr>
            <c:showVal val="1"/>
          </c:dLbls>
          <c:cat>
            <c:strRef>
              <c:f>Лист1!$A$2:$A$12</c:f>
              <c:strCache>
                <c:ptCount val="11"/>
                <c:pt idx="0">
                  <c:v>Электроэнергетика</c:v>
                </c:pt>
                <c:pt idx="1">
                  <c:v>Черная металлургия</c:v>
                </c:pt>
                <c:pt idx="2">
                  <c:v>Химическая промышленность</c:v>
                </c:pt>
                <c:pt idx="3">
                  <c:v>Машиностроение и металлообработка</c:v>
                </c:pt>
                <c:pt idx="4">
                  <c:v>Электротехническая промышленность</c:v>
                </c:pt>
                <c:pt idx="5">
                  <c:v>Лесная и деревообрабатывающая промышленность</c:v>
                </c:pt>
                <c:pt idx="6">
                  <c:v>Промышленность строительных материалов</c:v>
                </c:pt>
                <c:pt idx="7">
                  <c:v>Легкая промышленность</c:v>
                </c:pt>
                <c:pt idx="8">
                  <c:v>Пищевая промышленность</c:v>
                </c:pt>
                <c:pt idx="9">
                  <c:v>Мукомольно-крупянная и комбикормовая</c:v>
                </c:pt>
                <c:pt idx="10">
                  <c:v>Полиграфическая промышленность</c:v>
                </c:pt>
              </c:strCache>
            </c:strRef>
          </c:cat>
          <c:val>
            <c:numRef>
              <c:f>Лист1!$C$2:$C$12</c:f>
              <c:numCache>
                <c:formatCode>#,##0.0</c:formatCode>
                <c:ptCount val="11"/>
                <c:pt idx="0">
                  <c:v>123</c:v>
                </c:pt>
                <c:pt idx="1">
                  <c:v>111</c:v>
                </c:pt>
                <c:pt idx="2">
                  <c:v>95.4</c:v>
                </c:pt>
                <c:pt idx="3">
                  <c:v>87.2</c:v>
                </c:pt>
                <c:pt idx="4">
                  <c:v>77.8</c:v>
                </c:pt>
                <c:pt idx="5">
                  <c:v>143.19999999999999</c:v>
                </c:pt>
                <c:pt idx="6">
                  <c:v>171.2</c:v>
                </c:pt>
                <c:pt idx="7">
                  <c:v>90.7</c:v>
                </c:pt>
                <c:pt idx="8">
                  <c:v>89.2</c:v>
                </c:pt>
                <c:pt idx="9">
                  <c:v>88.7</c:v>
                </c:pt>
                <c:pt idx="10">
                  <c:v>80.400000000000006</c:v>
                </c:pt>
              </c:numCache>
            </c:numRef>
          </c:val>
        </c:ser>
        <c:shape val="cylinder"/>
        <c:axId val="143673984"/>
        <c:axId val="143753600"/>
        <c:axId val="0"/>
      </c:bar3DChart>
      <c:catAx>
        <c:axId val="143673984"/>
        <c:scaling>
          <c:orientation val="minMax"/>
        </c:scaling>
        <c:axPos val="b"/>
        <c:numFmt formatCode="General" sourceLinked="1"/>
        <c:tickLblPos val="nextTo"/>
        <c:txPr>
          <a:bodyPr rot="5400000" vert="horz"/>
          <a:lstStyle/>
          <a:p>
            <a:pPr>
              <a:defRPr b="1"/>
            </a:pPr>
            <a:endParaRPr lang="ru-RU"/>
          </a:p>
        </c:txPr>
        <c:crossAx val="143753600"/>
        <c:crosses val="autoZero"/>
        <c:auto val="1"/>
        <c:lblAlgn val="ctr"/>
        <c:lblOffset val="100"/>
      </c:catAx>
      <c:valAx>
        <c:axId val="143753600"/>
        <c:scaling>
          <c:orientation val="minMax"/>
          <c:max val="200"/>
          <c:min val="20"/>
        </c:scaling>
        <c:axPos val="l"/>
        <c:numFmt formatCode="#,##0.0" sourceLinked="1"/>
        <c:tickLblPos val="nextTo"/>
        <c:txPr>
          <a:bodyPr/>
          <a:lstStyle/>
          <a:p>
            <a:pPr>
              <a:defRPr b="1"/>
            </a:pPr>
            <a:endParaRPr lang="ru-RU"/>
          </a:p>
        </c:txPr>
        <c:crossAx val="143673984"/>
        <c:crosses val="autoZero"/>
        <c:crossBetween val="between"/>
      </c:valAx>
      <c:spPr>
        <a:noFill/>
        <a:ln w="25346">
          <a:noFill/>
        </a:ln>
      </c:spPr>
    </c:plotArea>
    <c:legend>
      <c:legendPos val="b"/>
      <c:layout>
        <c:manualLayout>
          <c:xMode val="edge"/>
          <c:yMode val="edge"/>
          <c:x val="0.24237552763298187"/>
          <c:y val="0.95784989714123714"/>
          <c:w val="0.55198706053463054"/>
          <c:h val="4.2150102858764284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title>
      <c:tx>
        <c:rich>
          <a:bodyPr/>
          <a:lstStyle/>
          <a:p>
            <a:pPr>
              <a:defRPr sz="1197">
                <a:latin typeface="Times New Roman" pitchFamily="18" charset="0"/>
                <a:cs typeface="Times New Roman" pitchFamily="18" charset="0"/>
              </a:defRPr>
            </a:pPr>
            <a:r>
              <a:rPr lang="ru-RU" sz="1197">
                <a:latin typeface="Times New Roman" pitchFamily="18" charset="0"/>
                <a:cs typeface="Times New Roman" pitchFamily="18" charset="0"/>
              </a:rPr>
              <a:t>Импорт товаров в разрезе стран, млн. долл. США</a:t>
            </a:r>
          </a:p>
        </c:rich>
      </c:tx>
      <c:layout>
        <c:manualLayout>
          <c:xMode val="edge"/>
          <c:yMode val="edge"/>
          <c:x val="0.32412877628244141"/>
          <c:y val="3.5633092331860297E-3"/>
        </c:manualLayout>
      </c:layout>
      <c:spPr>
        <a:noFill/>
        <a:ln w="25335">
          <a:noFill/>
        </a:ln>
      </c:spPr>
    </c:title>
    <c:plotArea>
      <c:layout>
        <c:manualLayout>
          <c:layoutTarget val="inner"/>
          <c:xMode val="edge"/>
          <c:yMode val="edge"/>
          <c:x val="0.22144312054305809"/>
          <c:y val="9.6450454903899571E-2"/>
          <c:w val="0.77855687945694196"/>
          <c:h val="0.40764991819968732"/>
        </c:manualLayout>
      </c:layout>
      <c:barChart>
        <c:barDir val="col"/>
        <c:grouping val="clustered"/>
        <c:ser>
          <c:idx val="0"/>
          <c:order val="0"/>
          <c:tx>
            <c:strRef>
              <c:f>Лист1!$B$1</c:f>
              <c:strCache>
                <c:ptCount val="1"/>
                <c:pt idx="0">
                  <c:v>январь-июнь 2013 г.</c:v>
                </c:pt>
              </c:strCache>
            </c:strRef>
          </c:tx>
          <c:dLbls>
            <c:dLbl>
              <c:idx val="0"/>
              <c:layout>
                <c:manualLayout>
                  <c:x val="-6.9444444444445941E-3"/>
                  <c:y val="1.3071895424836621E-2"/>
                </c:manualLayout>
              </c:layout>
              <c:tx>
                <c:rich>
                  <a:bodyPr/>
                  <a:lstStyle/>
                  <a:p>
                    <a:r>
                      <a:rPr lang="ru-RU" sz="898" b="1">
                        <a:latin typeface="Times New Roman" pitchFamily="18" charset="0"/>
                        <a:cs typeface="Times New Roman" pitchFamily="18" charset="0"/>
                      </a:rPr>
                      <a:t>45,4*</a:t>
                    </a:r>
                    <a:endParaRPr lang="en-US" sz="900" b="1">
                      <a:latin typeface="Times New Roman" pitchFamily="18" charset="0"/>
                      <a:cs typeface="Times New Roman" pitchFamily="18" charset="0"/>
                    </a:endParaRPr>
                  </a:p>
                </c:rich>
              </c:tx>
              <c:dLblPos val="outEnd"/>
            </c:dLbl>
            <c:dLbl>
              <c:idx val="1"/>
              <c:layout>
                <c:manualLayout>
                  <c:x val="-6.9444444444445941E-3"/>
                  <c:y val="1.3773866501981372E-2"/>
                </c:manualLayout>
              </c:layout>
              <c:tx>
                <c:rich>
                  <a:bodyPr/>
                  <a:lstStyle/>
                  <a:p>
                    <a:r>
                      <a:rPr lang="ru-RU" sz="898" b="1">
                        <a:latin typeface="Times New Roman" pitchFamily="18" charset="0"/>
                        <a:cs typeface="Times New Roman" pitchFamily="18" charset="0"/>
                      </a:rPr>
                      <a:t>16,6*</a:t>
                    </a:r>
                    <a:endParaRPr lang="en-US" sz="900" b="1">
                      <a:latin typeface="Times New Roman" pitchFamily="18" charset="0"/>
                      <a:cs typeface="Times New Roman" pitchFamily="18" charset="0"/>
                    </a:endParaRPr>
                  </a:p>
                </c:rich>
              </c:tx>
              <c:dLblPos val="outEnd"/>
            </c:dLbl>
            <c:dLbl>
              <c:idx val="2"/>
              <c:layout>
                <c:manualLayout>
                  <c:x val="-1.3888888888889247E-2"/>
                  <c:y val="1.3422818791946381E-2"/>
                </c:manualLayout>
              </c:layout>
              <c:tx>
                <c:rich>
                  <a:bodyPr/>
                  <a:lstStyle/>
                  <a:p>
                    <a:r>
                      <a:rPr lang="ru-RU" sz="898" b="1">
                        <a:latin typeface="Times New Roman" pitchFamily="18" charset="0"/>
                        <a:cs typeface="Times New Roman" pitchFamily="18" charset="0"/>
                      </a:rPr>
                      <a:t>2,6</a:t>
                    </a:r>
                    <a:r>
                      <a:rPr lang="en-US" sz="898" b="1">
                        <a:latin typeface="Times New Roman" pitchFamily="18" charset="0"/>
                        <a:cs typeface="Times New Roman" pitchFamily="18" charset="0"/>
                      </a:rPr>
                      <a:t>9</a:t>
                    </a:r>
                    <a:r>
                      <a:rPr lang="ru-RU" sz="898" b="1">
                        <a:latin typeface="Times New Roman" pitchFamily="18" charset="0"/>
                        <a:cs typeface="Times New Roman" pitchFamily="18" charset="0"/>
                      </a:rPr>
                      <a:t>*</a:t>
                    </a:r>
                    <a:endParaRPr lang="en-US" sz="900" b="1">
                      <a:latin typeface="Times New Roman" pitchFamily="18" charset="0"/>
                      <a:cs typeface="Times New Roman" pitchFamily="18" charset="0"/>
                    </a:endParaRPr>
                  </a:p>
                </c:rich>
              </c:tx>
              <c:dLblPos val="outEnd"/>
            </c:dLbl>
            <c:dLbl>
              <c:idx val="3"/>
              <c:layout>
                <c:manualLayout>
                  <c:x val="4.6296296296297014E-3"/>
                  <c:y val="1.8752508877566725E-2"/>
                </c:manualLayout>
              </c:layout>
              <c:tx>
                <c:rich>
                  <a:bodyPr/>
                  <a:lstStyle/>
                  <a:p>
                    <a:r>
                      <a:rPr lang="ru-RU" sz="898" b="1">
                        <a:latin typeface="Times New Roman" pitchFamily="18" charset="0"/>
                        <a:cs typeface="Times New Roman" pitchFamily="18" charset="0"/>
                      </a:rPr>
                      <a:t>7,1*</a:t>
                    </a:r>
                    <a:endParaRPr lang="en-US" sz="900" b="1">
                      <a:latin typeface="Times New Roman" pitchFamily="18" charset="0"/>
                      <a:cs typeface="Times New Roman" pitchFamily="18" charset="0"/>
                    </a:endParaRPr>
                  </a:p>
                </c:rich>
              </c:tx>
              <c:dLblPos val="outEnd"/>
            </c:dLbl>
            <c:dLbl>
              <c:idx val="4"/>
              <c:layout>
                <c:manualLayout>
                  <c:x val="-3.5208973683887828E-3"/>
                  <c:y val="1.3422708778503161E-2"/>
                </c:manualLayout>
              </c:layout>
              <c:tx>
                <c:rich>
                  <a:bodyPr/>
                  <a:lstStyle/>
                  <a:p>
                    <a:r>
                      <a:rPr lang="ru-RU" sz="898" b="1">
                        <a:latin typeface="Times New Roman" pitchFamily="18" charset="0"/>
                        <a:cs typeface="Times New Roman" pitchFamily="18" charset="0"/>
                      </a:rPr>
                      <a:t>5,7*</a:t>
                    </a:r>
                    <a:endParaRPr lang="en-US" sz="900" b="1">
                      <a:latin typeface="Times New Roman" pitchFamily="18" charset="0"/>
                      <a:cs typeface="Times New Roman" pitchFamily="18" charset="0"/>
                    </a:endParaRPr>
                  </a:p>
                </c:rich>
              </c:tx>
              <c:dLblPos val="outEnd"/>
            </c:dLbl>
            <c:dLbl>
              <c:idx val="5"/>
              <c:layout>
                <c:manualLayout>
                  <c:x val="-6.9444444444445993E-3"/>
                  <c:y val="0"/>
                </c:manualLayout>
              </c:layout>
              <c:tx>
                <c:rich>
                  <a:bodyPr/>
                  <a:lstStyle/>
                  <a:p>
                    <a:r>
                      <a:rPr lang="ru-RU" sz="898" b="1">
                        <a:latin typeface="Times New Roman" pitchFamily="18" charset="0"/>
                        <a:cs typeface="Times New Roman" pitchFamily="18" charset="0"/>
                      </a:rPr>
                      <a:t>3,1*</a:t>
                    </a:r>
                    <a:endParaRPr lang="en-US" sz="900" b="1">
                      <a:latin typeface="Times New Roman" pitchFamily="18" charset="0"/>
                      <a:cs typeface="Times New Roman" pitchFamily="18" charset="0"/>
                    </a:endParaRPr>
                  </a:p>
                </c:rich>
              </c:tx>
              <c:dLblPos val="outEnd"/>
            </c:dLbl>
            <c:dLbl>
              <c:idx val="6"/>
              <c:layout>
                <c:manualLayout>
                  <c:x val="-7.4268010433377434E-3"/>
                  <c:y val="1.4869888475836441E-2"/>
                </c:manualLayout>
              </c:layout>
              <c:tx>
                <c:rich>
                  <a:bodyPr/>
                  <a:lstStyle/>
                  <a:p>
                    <a:r>
                      <a:rPr lang="ru-RU" sz="898" b="1">
                        <a:latin typeface="Times New Roman" pitchFamily="18" charset="0"/>
                        <a:cs typeface="Times New Roman" pitchFamily="18" charset="0"/>
                      </a:rPr>
                      <a:t>1,9*</a:t>
                    </a:r>
                    <a:endParaRPr lang="en-US" sz="900" b="1">
                      <a:latin typeface="Times New Roman" pitchFamily="18" charset="0"/>
                      <a:cs typeface="Times New Roman" pitchFamily="18" charset="0"/>
                    </a:endParaRPr>
                  </a:p>
                </c:rich>
              </c:tx>
              <c:dLblPos val="outEnd"/>
            </c:dLbl>
            <c:dLbl>
              <c:idx val="7"/>
              <c:layout>
                <c:manualLayout>
                  <c:x val="-1.8518518518518583E-2"/>
                  <c:y val="8.948545861297539E-3"/>
                </c:manualLayout>
              </c:layout>
              <c:tx>
                <c:rich>
                  <a:bodyPr/>
                  <a:lstStyle/>
                  <a:p>
                    <a:r>
                      <a:rPr lang="ru-RU" sz="898" b="1">
                        <a:latin typeface="Times New Roman" pitchFamily="18" charset="0"/>
                        <a:cs typeface="Times New Roman" pitchFamily="18" charset="0"/>
                      </a:rPr>
                      <a:t>17,7*</a:t>
                    </a:r>
                    <a:endParaRPr lang="en-US" sz="900" b="1">
                      <a:latin typeface="Times New Roman" pitchFamily="18" charset="0"/>
                      <a:cs typeface="Times New Roman" pitchFamily="18" charset="0"/>
                    </a:endParaRPr>
                  </a:p>
                </c:rich>
              </c:tx>
              <c:dLblPos val="outEnd"/>
            </c:dLbl>
            <c:spPr>
              <a:noFill/>
              <a:ln w="25335">
                <a:noFill/>
              </a:ln>
            </c:spPr>
            <c:txPr>
              <a:bodyPr/>
              <a:lstStyle/>
              <a:p>
                <a:pPr>
                  <a:defRPr sz="898">
                    <a:latin typeface="Times New Roman" pitchFamily="18" charset="0"/>
                    <a:cs typeface="Times New Roman" pitchFamily="18" charset="0"/>
                  </a:defRPr>
                </a:pPr>
                <a:endParaRPr lang="ru-RU"/>
              </a:p>
            </c:txPr>
            <c:dLblPos val="outEnd"/>
            <c:showVal val="1"/>
          </c:dLbls>
          <c:cat>
            <c:strRef>
              <c:f>Лист1!$A$2:$A$9</c:f>
              <c:strCache>
                <c:ptCount val="8"/>
                <c:pt idx="0">
                  <c:v>Россия</c:v>
                </c:pt>
                <c:pt idx="1">
                  <c:v>Украина</c:v>
                </c:pt>
                <c:pt idx="2">
                  <c:v> Молдова</c:v>
                </c:pt>
                <c:pt idx="3">
                  <c:v>Беларусь</c:v>
                </c:pt>
                <c:pt idx="4">
                  <c:v>Германия</c:v>
                </c:pt>
                <c:pt idx="5">
                  <c:v>Италия</c:v>
                </c:pt>
                <c:pt idx="6">
                  <c:v>Польша</c:v>
                </c:pt>
                <c:pt idx="7">
                  <c:v>Прочие страны</c:v>
                </c:pt>
              </c:strCache>
            </c:strRef>
          </c:cat>
          <c:val>
            <c:numRef>
              <c:f>Лист1!$B$2:$B$9</c:f>
              <c:numCache>
                <c:formatCode>General</c:formatCode>
                <c:ptCount val="8"/>
                <c:pt idx="0">
                  <c:v>340.1</c:v>
                </c:pt>
                <c:pt idx="1">
                  <c:v>124.1</c:v>
                </c:pt>
                <c:pt idx="2">
                  <c:v>19.5</c:v>
                </c:pt>
                <c:pt idx="3">
                  <c:v>53.2</c:v>
                </c:pt>
                <c:pt idx="4">
                  <c:v>42.3</c:v>
                </c:pt>
                <c:pt idx="5">
                  <c:v>22.9</c:v>
                </c:pt>
                <c:pt idx="6">
                  <c:v>14.4</c:v>
                </c:pt>
                <c:pt idx="7">
                  <c:v>132.19999999999999</c:v>
                </c:pt>
              </c:numCache>
            </c:numRef>
          </c:val>
        </c:ser>
        <c:ser>
          <c:idx val="1"/>
          <c:order val="1"/>
          <c:tx>
            <c:strRef>
              <c:f>Лист1!$C$1</c:f>
              <c:strCache>
                <c:ptCount val="1"/>
                <c:pt idx="0">
                  <c:v>январь-июнь 2014 г.</c:v>
                </c:pt>
              </c:strCache>
            </c:strRef>
          </c:tx>
          <c:dLbls>
            <c:dLbl>
              <c:idx val="0"/>
              <c:layout>
                <c:manualLayout>
                  <c:x val="6.3179894115101883E-3"/>
                  <c:y val="-8.3337724048434467E-3"/>
                </c:manualLayout>
              </c:layout>
              <c:tx>
                <c:rich>
                  <a:bodyPr/>
                  <a:lstStyle/>
                  <a:p>
                    <a:r>
                      <a:rPr lang="ru-RU" sz="898" b="1">
                        <a:latin typeface="Times New Roman" pitchFamily="18" charset="0"/>
                        <a:cs typeface="Times New Roman" pitchFamily="18" charset="0"/>
                      </a:rPr>
                      <a:t>46,6*</a:t>
                    </a:r>
                    <a:endParaRPr lang="en-US" sz="900" b="1">
                      <a:latin typeface="Times New Roman" pitchFamily="18" charset="0"/>
                      <a:cs typeface="Times New Roman" pitchFamily="18" charset="0"/>
                    </a:endParaRPr>
                  </a:p>
                </c:rich>
              </c:tx>
              <c:dLblPos val="outEnd"/>
            </c:dLbl>
            <c:dLbl>
              <c:idx val="1"/>
              <c:layout>
                <c:manualLayout>
                  <c:x val="1.7746994588639382E-2"/>
                  <c:y val="6.5358431758532568E-3"/>
                </c:manualLayout>
              </c:layout>
              <c:tx>
                <c:rich>
                  <a:bodyPr/>
                  <a:lstStyle/>
                  <a:p>
                    <a:r>
                      <a:rPr lang="ru-RU" sz="898" b="1">
                        <a:latin typeface="Times New Roman" pitchFamily="18" charset="0"/>
                        <a:cs typeface="Times New Roman" pitchFamily="18" charset="0"/>
                      </a:rPr>
                      <a:t>13,4*</a:t>
                    </a:r>
                    <a:endParaRPr lang="en-US" sz="900" b="1">
                      <a:latin typeface="Times New Roman" pitchFamily="18" charset="0"/>
                      <a:cs typeface="Times New Roman" pitchFamily="18" charset="0"/>
                    </a:endParaRPr>
                  </a:p>
                </c:rich>
              </c:tx>
              <c:dLblPos val="outEnd"/>
            </c:dLbl>
            <c:dLbl>
              <c:idx val="2"/>
              <c:layout>
                <c:manualLayout>
                  <c:x val="2.0833333333333412E-2"/>
                  <c:y val="1.7546189079306343E-2"/>
                </c:manualLayout>
              </c:layout>
              <c:tx>
                <c:rich>
                  <a:bodyPr/>
                  <a:lstStyle/>
                  <a:p>
                    <a:r>
                      <a:rPr lang="ru-RU" sz="898" b="1">
                        <a:latin typeface="Times New Roman" pitchFamily="18" charset="0"/>
                        <a:cs typeface="Times New Roman" pitchFamily="18" charset="0"/>
                      </a:rPr>
                      <a:t>6,7*</a:t>
                    </a:r>
                    <a:endParaRPr lang="en-US" sz="900" b="1">
                      <a:latin typeface="Times New Roman" pitchFamily="18" charset="0"/>
                      <a:cs typeface="Times New Roman" pitchFamily="18" charset="0"/>
                    </a:endParaRPr>
                  </a:p>
                </c:rich>
              </c:tx>
              <c:dLblPos val="outEnd"/>
            </c:dLbl>
            <c:dLbl>
              <c:idx val="3"/>
              <c:layout>
                <c:manualLayout>
                  <c:x val="2.1604938271605412E-2"/>
                  <c:y val="-4.4742454068242999E-3"/>
                </c:manualLayout>
              </c:layout>
              <c:tx>
                <c:rich>
                  <a:bodyPr/>
                  <a:lstStyle/>
                  <a:p>
                    <a:r>
                      <a:rPr lang="ru-RU" sz="898" b="1">
                        <a:latin typeface="Times New Roman" pitchFamily="18" charset="0"/>
                        <a:cs typeface="Times New Roman" pitchFamily="18" charset="0"/>
                      </a:rPr>
                      <a:t>7,8*</a:t>
                    </a:r>
                    <a:endParaRPr lang="en-US" sz="900" b="1">
                      <a:latin typeface="Times New Roman" pitchFamily="18" charset="0"/>
                      <a:cs typeface="Times New Roman" pitchFamily="18" charset="0"/>
                    </a:endParaRPr>
                  </a:p>
                </c:rich>
              </c:tx>
              <c:dLblPos val="outEnd"/>
            </c:dLbl>
            <c:dLbl>
              <c:idx val="4"/>
              <c:layout>
                <c:manualLayout>
                  <c:x val="1.6203703703703727E-2"/>
                  <c:y val="-3.5230495516921317E-7"/>
                </c:manualLayout>
              </c:layout>
              <c:tx>
                <c:rich>
                  <a:bodyPr/>
                  <a:lstStyle/>
                  <a:p>
                    <a:r>
                      <a:rPr lang="ru-RU" sz="898" b="1">
                        <a:latin typeface="Times New Roman" pitchFamily="18" charset="0"/>
                        <a:cs typeface="Times New Roman" pitchFamily="18" charset="0"/>
                      </a:rPr>
                      <a:t>5,4*</a:t>
                    </a:r>
                    <a:endParaRPr lang="en-US" sz="900" b="1">
                      <a:latin typeface="Times New Roman" pitchFamily="18" charset="0"/>
                      <a:cs typeface="Times New Roman" pitchFamily="18" charset="0"/>
                    </a:endParaRPr>
                  </a:p>
                </c:rich>
              </c:tx>
              <c:dLblPos val="outEnd"/>
            </c:dLbl>
            <c:dLbl>
              <c:idx val="5"/>
              <c:layout>
                <c:manualLayout>
                  <c:x val="1.3888888888889166E-2"/>
                  <c:y val="-1.3422818791946381E-2"/>
                </c:manualLayout>
              </c:layout>
              <c:tx>
                <c:rich>
                  <a:bodyPr/>
                  <a:lstStyle/>
                  <a:p>
                    <a:r>
                      <a:rPr lang="ru-RU" sz="898" b="1">
                        <a:latin typeface="Times New Roman" pitchFamily="18" charset="0"/>
                        <a:cs typeface="Times New Roman" pitchFamily="18" charset="0"/>
                      </a:rPr>
                      <a:t>2,9*</a:t>
                    </a:r>
                    <a:endParaRPr lang="en-US" sz="900" b="1">
                      <a:latin typeface="Times New Roman" pitchFamily="18" charset="0"/>
                      <a:cs typeface="Times New Roman" pitchFamily="18" charset="0"/>
                    </a:endParaRPr>
                  </a:p>
                </c:rich>
              </c:tx>
              <c:dLblPos val="outEnd"/>
            </c:dLbl>
            <c:dLbl>
              <c:idx val="6"/>
              <c:layout>
                <c:manualLayout>
                  <c:x val="1.157407407407408E-2"/>
                  <c:y val="0"/>
                </c:manualLayout>
              </c:layout>
              <c:tx>
                <c:rich>
                  <a:bodyPr/>
                  <a:lstStyle/>
                  <a:p>
                    <a:r>
                      <a:rPr lang="ru-RU" sz="898" b="1">
                        <a:latin typeface="Times New Roman" pitchFamily="18" charset="0"/>
                        <a:cs typeface="Times New Roman" pitchFamily="18" charset="0"/>
                      </a:rPr>
                      <a:t>1,9*</a:t>
                    </a:r>
                    <a:endParaRPr lang="en-US" sz="900" b="1">
                      <a:latin typeface="Times New Roman" pitchFamily="18" charset="0"/>
                      <a:cs typeface="Times New Roman" pitchFamily="18" charset="0"/>
                    </a:endParaRPr>
                  </a:p>
                </c:rich>
              </c:tx>
              <c:dLblPos val="outEnd"/>
            </c:dLbl>
            <c:dLbl>
              <c:idx val="7"/>
              <c:layout>
                <c:manualLayout>
                  <c:x val="3.1086160526231227E-3"/>
                  <c:y val="-8.2144028871391078E-3"/>
                </c:manualLayout>
              </c:layout>
              <c:tx>
                <c:rich>
                  <a:bodyPr/>
                  <a:lstStyle/>
                  <a:p>
                    <a:r>
                      <a:rPr lang="ru-RU" sz="898" b="1">
                        <a:latin typeface="Times New Roman" pitchFamily="18" charset="0"/>
                        <a:cs typeface="Times New Roman" pitchFamily="18" charset="0"/>
                      </a:rPr>
                      <a:t>15,2*</a:t>
                    </a:r>
                    <a:endParaRPr lang="en-US" sz="900" b="1">
                      <a:latin typeface="Times New Roman" pitchFamily="18" charset="0"/>
                      <a:cs typeface="Times New Roman" pitchFamily="18" charset="0"/>
                    </a:endParaRPr>
                  </a:p>
                </c:rich>
              </c:tx>
              <c:dLblPos val="outEnd"/>
            </c:dLbl>
            <c:spPr>
              <a:noFill/>
              <a:ln w="25335">
                <a:noFill/>
              </a:ln>
            </c:spPr>
            <c:txPr>
              <a:bodyPr/>
              <a:lstStyle/>
              <a:p>
                <a:pPr>
                  <a:defRPr sz="898">
                    <a:latin typeface="Times New Roman" pitchFamily="18" charset="0"/>
                    <a:cs typeface="Times New Roman" pitchFamily="18" charset="0"/>
                  </a:defRPr>
                </a:pPr>
                <a:endParaRPr lang="ru-RU"/>
              </a:p>
            </c:txPr>
            <c:dLblPos val="outEnd"/>
            <c:showVal val="1"/>
          </c:dLbls>
          <c:cat>
            <c:strRef>
              <c:f>Лист1!$A$2:$A$9</c:f>
              <c:strCache>
                <c:ptCount val="8"/>
                <c:pt idx="0">
                  <c:v>Россия</c:v>
                </c:pt>
                <c:pt idx="1">
                  <c:v>Украина</c:v>
                </c:pt>
                <c:pt idx="2">
                  <c:v> Молдова</c:v>
                </c:pt>
                <c:pt idx="3">
                  <c:v>Беларусь</c:v>
                </c:pt>
                <c:pt idx="4">
                  <c:v>Германия</c:v>
                </c:pt>
                <c:pt idx="5">
                  <c:v>Италия</c:v>
                </c:pt>
                <c:pt idx="6">
                  <c:v>Польша</c:v>
                </c:pt>
                <c:pt idx="7">
                  <c:v>Прочие страны</c:v>
                </c:pt>
              </c:strCache>
            </c:strRef>
          </c:cat>
          <c:val>
            <c:numRef>
              <c:f>Лист1!$C$2:$C$9</c:f>
              <c:numCache>
                <c:formatCode>General</c:formatCode>
                <c:ptCount val="8"/>
                <c:pt idx="0">
                  <c:v>384.6</c:v>
                </c:pt>
                <c:pt idx="1">
                  <c:v>110.6</c:v>
                </c:pt>
                <c:pt idx="2">
                  <c:v>55.9</c:v>
                </c:pt>
                <c:pt idx="3">
                  <c:v>64.099999999999994</c:v>
                </c:pt>
                <c:pt idx="4">
                  <c:v>44.1</c:v>
                </c:pt>
                <c:pt idx="5">
                  <c:v>24.1</c:v>
                </c:pt>
                <c:pt idx="6">
                  <c:v>15.6</c:v>
                </c:pt>
                <c:pt idx="7">
                  <c:v>125.6</c:v>
                </c:pt>
              </c:numCache>
            </c:numRef>
          </c:val>
        </c:ser>
        <c:dLbls>
          <c:showVal val="1"/>
        </c:dLbls>
        <c:axId val="152994176"/>
        <c:axId val="152995712"/>
      </c:barChart>
      <c:catAx>
        <c:axId val="152994176"/>
        <c:scaling>
          <c:orientation val="minMax"/>
        </c:scaling>
        <c:axPos val="b"/>
        <c:numFmt formatCode="General" sourceLinked="1"/>
        <c:tickLblPos val="nextTo"/>
        <c:crossAx val="152995712"/>
        <c:crosses val="autoZero"/>
        <c:auto val="1"/>
        <c:lblAlgn val="ctr"/>
        <c:lblOffset val="100"/>
      </c:catAx>
      <c:valAx>
        <c:axId val="152995712"/>
        <c:scaling>
          <c:orientation val="minMax"/>
          <c:max val="400"/>
        </c:scaling>
        <c:axPos val="l"/>
        <c:title>
          <c:tx>
            <c:rich>
              <a:bodyPr rot="0" vert="horz"/>
              <a:lstStyle/>
              <a:p>
                <a:pPr algn="ctr">
                  <a:defRPr sz="898" b="0" i="0" u="none" strike="noStrike" baseline="0">
                    <a:solidFill>
                      <a:srgbClr val="000000"/>
                    </a:solidFill>
                    <a:latin typeface="Times New Roman"/>
                    <a:ea typeface="Times New Roman"/>
                    <a:cs typeface="Times New Roman"/>
                  </a:defRPr>
                </a:pPr>
                <a:r>
                  <a:rPr lang="ru-RU"/>
                  <a:t>*- удельный вес страны в общем импорте,%</a:t>
                </a:r>
              </a:p>
            </c:rich>
          </c:tx>
          <c:layout>
            <c:manualLayout>
              <c:xMode val="edge"/>
              <c:yMode val="edge"/>
              <c:x val="3.1281680769686085E-2"/>
              <c:y val="0.24600854645235601"/>
            </c:manualLayout>
          </c:layout>
          <c:spPr>
            <a:noFill/>
            <a:ln w="25335">
              <a:noFill/>
            </a:ln>
          </c:spPr>
        </c:title>
        <c:numFmt formatCode="General" sourceLinked="1"/>
        <c:tickLblPos val="nextTo"/>
        <c:txPr>
          <a:bodyPr/>
          <a:lstStyle/>
          <a:p>
            <a:pPr>
              <a:defRPr>
                <a:latin typeface="Times New Roman" pitchFamily="18" charset="0"/>
                <a:cs typeface="Times New Roman" pitchFamily="18" charset="0"/>
              </a:defRPr>
            </a:pPr>
            <a:endParaRPr lang="ru-RU"/>
          </a:p>
        </c:txPr>
        <c:crossAx val="152994176"/>
        <c:crosses val="autoZero"/>
        <c:crossBetween val="between"/>
      </c:valAx>
      <c:dTable>
        <c:showHorzBorder val="1"/>
        <c:showVertBorder val="1"/>
        <c:showOutline val="1"/>
        <c:showKeys val="1"/>
        <c:txPr>
          <a:bodyPr/>
          <a:lstStyle/>
          <a:p>
            <a:pPr rtl="0">
              <a:defRPr sz="898" b="1">
                <a:latin typeface="Times New Roman" pitchFamily="18" charset="0"/>
                <a:cs typeface="Times New Roman" pitchFamily="18" charset="0"/>
              </a:defRPr>
            </a:pPr>
            <a:endParaRPr lang="ru-RU"/>
          </a:p>
        </c:txPr>
      </c:dTable>
    </c:plotArea>
    <c:legend>
      <c:legendPos val="r"/>
      <c:layout>
        <c:manualLayout>
          <c:xMode val="edge"/>
          <c:yMode val="edge"/>
          <c:x val="0.29055371189021539"/>
          <c:y val="0.9341097987751531"/>
          <c:w val="0.42865700885367558"/>
          <c:h val="6.5890201224847122E-2"/>
        </c:manualLayout>
      </c:layout>
      <c:txPr>
        <a:bodyPr/>
        <a:lstStyle/>
        <a:p>
          <a:pPr>
            <a:defRPr sz="898">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title>
      <c:tx>
        <c:rich>
          <a:bodyPr/>
          <a:lstStyle/>
          <a:p>
            <a:pPr>
              <a:defRPr sz="1128"/>
            </a:pPr>
            <a:r>
              <a:rPr lang="ru-RU" sz="1128"/>
              <a:t>Товарная структура импорта ПМР, млн. долл. США</a:t>
            </a:r>
          </a:p>
        </c:rich>
      </c:tx>
      <c:layout>
        <c:manualLayout>
          <c:xMode val="edge"/>
          <c:yMode val="edge"/>
          <c:x val="0.27361567668119124"/>
          <c:y val="1.8605110258653797E-2"/>
        </c:manualLayout>
      </c:layout>
      <c:spPr>
        <a:noFill/>
        <a:ln w="23365">
          <a:noFill/>
        </a:ln>
      </c:spPr>
    </c:title>
    <c:plotArea>
      <c:layout>
        <c:manualLayout>
          <c:layoutTarget val="inner"/>
          <c:xMode val="edge"/>
          <c:yMode val="edge"/>
          <c:x val="6.2191326001245134E-2"/>
          <c:y val="9.1213341980209237E-2"/>
          <c:w val="0.96291208791208749"/>
          <c:h val="0.38683743370253032"/>
        </c:manualLayout>
      </c:layout>
      <c:barChart>
        <c:barDir val="col"/>
        <c:grouping val="clustered"/>
        <c:ser>
          <c:idx val="0"/>
          <c:order val="0"/>
          <c:tx>
            <c:strRef>
              <c:f>Sheet1!$A$2</c:f>
              <c:strCache>
                <c:ptCount val="1"/>
                <c:pt idx="0">
                  <c:v>январь-июнь 2013 г.</c:v>
                </c:pt>
              </c:strCache>
            </c:strRef>
          </c:tx>
          <c:dLbls>
            <c:dLbl>
              <c:idx val="0"/>
              <c:layout>
                <c:manualLayout>
                  <c:x val="-8.7119092782380247E-4"/>
                  <c:y val="-1.8596403364773761E-2"/>
                </c:manualLayout>
              </c:layout>
              <c:tx>
                <c:rich>
                  <a:bodyPr/>
                  <a:lstStyle/>
                  <a:p>
                    <a:r>
                      <a:rPr lang="ru-RU"/>
                      <a:t>50,3*</a:t>
                    </a:r>
                    <a:endParaRPr lang="en-US"/>
                  </a:p>
                </c:rich>
              </c:tx>
              <c:dLblPos val="outEnd"/>
              <c:showVal val="1"/>
            </c:dLbl>
            <c:dLbl>
              <c:idx val="1"/>
              <c:layout>
                <c:manualLayout>
                  <c:x val="-1.5731287177619545E-3"/>
                  <c:y val="2.0290865281184192E-2"/>
                </c:manualLayout>
              </c:layout>
              <c:tx>
                <c:rich>
                  <a:bodyPr/>
                  <a:lstStyle/>
                  <a:p>
                    <a:r>
                      <a:rPr lang="ru-RU"/>
                      <a:t>3,6*</a:t>
                    </a:r>
                    <a:endParaRPr lang="en-US"/>
                  </a:p>
                </c:rich>
              </c:tx>
              <c:dLblPos val="outEnd"/>
              <c:showVal val="1"/>
            </c:dLbl>
            <c:dLbl>
              <c:idx val="2"/>
              <c:layout>
                <c:manualLayout>
                  <c:x val="-1.3042149635601906E-3"/>
                  <c:y val="2.9048663998967338E-2"/>
                </c:manualLayout>
              </c:layout>
              <c:tx>
                <c:rich>
                  <a:bodyPr/>
                  <a:lstStyle/>
                  <a:p>
                    <a:r>
                      <a:rPr lang="ru-RU"/>
                      <a:t>12,3*</a:t>
                    </a:r>
                    <a:endParaRPr lang="en-US"/>
                  </a:p>
                </c:rich>
              </c:tx>
              <c:dLblPos val="outEnd"/>
              <c:showVal val="1"/>
            </c:dLbl>
            <c:dLbl>
              <c:idx val="3"/>
              <c:layout>
                <c:manualLayout>
                  <c:x val="-4.1447211443067233E-3"/>
                  <c:y val="2.8191988296544887E-2"/>
                </c:manualLayout>
              </c:layout>
              <c:tx>
                <c:rich>
                  <a:bodyPr/>
                  <a:lstStyle/>
                  <a:p>
                    <a:r>
                      <a:rPr lang="ru-RU"/>
                      <a:t>12,2*</a:t>
                    </a:r>
                    <a:endParaRPr lang="en-US"/>
                  </a:p>
                </c:rich>
              </c:tx>
              <c:dLblPos val="outEnd"/>
              <c:showVal val="1"/>
            </c:dLbl>
            <c:dLbl>
              <c:idx val="4"/>
              <c:layout>
                <c:manualLayout>
                  <c:x val="1.2039404165388417E-3"/>
                  <c:y val="3.9873514104252416E-3"/>
                </c:manualLayout>
              </c:layout>
              <c:tx>
                <c:rich>
                  <a:bodyPr/>
                  <a:lstStyle/>
                  <a:p>
                    <a:r>
                      <a:rPr lang="ru-RU"/>
                      <a:t>5,0*</a:t>
                    </a:r>
                    <a:endParaRPr lang="en-US"/>
                  </a:p>
                </c:rich>
              </c:tx>
              <c:dLblPos val="outEnd"/>
              <c:showVal val="1"/>
            </c:dLbl>
            <c:dLbl>
              <c:idx val="5"/>
              <c:layout>
                <c:manualLayout>
                  <c:x val="-1.5629215179271418E-3"/>
                  <c:y val="-1.1404513002427561E-2"/>
                </c:manualLayout>
              </c:layout>
              <c:tx>
                <c:rich>
                  <a:bodyPr/>
                  <a:lstStyle/>
                  <a:p>
                    <a:r>
                      <a:rPr lang="ru-RU" b="1"/>
                      <a:t>16,6*</a:t>
                    </a:r>
                    <a:endParaRPr lang="en-US" b="1"/>
                  </a:p>
                </c:rich>
              </c:tx>
              <c:dLblPos val="outEnd"/>
            </c:dLbl>
            <c:dLbl>
              <c:idx val="6"/>
              <c:layout>
                <c:manualLayout>
                  <c:x val="-7.5617342090612003E-4"/>
                  <c:y val="1.6455402091132061E-2"/>
                </c:manualLayout>
              </c:layout>
              <c:tx>
                <c:rich>
                  <a:bodyPr/>
                  <a:lstStyle/>
                  <a:p>
                    <a:r>
                      <a:rPr lang="ru-RU" b="1"/>
                      <a:t>8</a:t>
                    </a:r>
                    <a:r>
                      <a:rPr lang="en-US" b="1"/>
                      <a:t>,2</a:t>
                    </a:r>
                  </a:p>
                </c:rich>
              </c:tx>
              <c:dLblPos val="outEnd"/>
            </c:dLbl>
            <c:dLbl>
              <c:idx val="7"/>
              <c:layout>
                <c:manualLayout>
                  <c:xMode val="edge"/>
                  <c:yMode val="edge"/>
                  <c:x val="0.72802197802197965"/>
                  <c:y val="0.43750000000000488"/>
                </c:manualLayout>
              </c:layout>
              <c:dLblPos val="outEnd"/>
              <c:showVal val="1"/>
            </c:dLbl>
            <c:spPr>
              <a:noFill/>
              <a:ln w="23365">
                <a:noFill/>
              </a:ln>
            </c:spPr>
            <c:txPr>
              <a:bodyPr rot="0" vert="horz" anchor="ctr" anchorCtr="0"/>
              <a:lstStyle/>
              <a:p>
                <a:pPr>
                  <a:defRPr b="1"/>
                </a:pPr>
                <a:endParaRPr lang="ru-RU"/>
              </a:p>
            </c:txPr>
            <c:showVal val="1"/>
          </c:dLbls>
          <c:cat>
            <c:strRef>
              <c:f>Sheet1!$B$1:$G$1</c:f>
              <c:strCache>
                <c:ptCount val="6"/>
                <c:pt idx="0">
                  <c:v>Топливно-энергетические товары</c:v>
                </c:pt>
                <c:pt idx="1">
                  <c:v>Металлы и изделия из них</c:v>
                </c:pt>
                <c:pt idx="2">
                  <c:v>Продовольственные товары и сырье</c:v>
                </c:pt>
                <c:pt idx="3">
                  <c:v>Машиностроительная продукция</c:v>
                </c:pt>
                <c:pt idx="4">
                  <c:v>Продукция легкой промышленности</c:v>
                </c:pt>
                <c:pt idx="5">
                  <c:v>Прочие товары</c:v>
                </c:pt>
              </c:strCache>
            </c:strRef>
          </c:cat>
          <c:val>
            <c:numRef>
              <c:f>Sheet1!$B$2:$G$2</c:f>
              <c:numCache>
                <c:formatCode>0.0</c:formatCode>
                <c:ptCount val="6"/>
                <c:pt idx="0" formatCode="General">
                  <c:v>376.4</c:v>
                </c:pt>
                <c:pt idx="1">
                  <c:v>27.1</c:v>
                </c:pt>
                <c:pt idx="2">
                  <c:v>92</c:v>
                </c:pt>
                <c:pt idx="3" formatCode="General">
                  <c:v>90.9</c:v>
                </c:pt>
                <c:pt idx="4">
                  <c:v>49.5</c:v>
                </c:pt>
                <c:pt idx="5" formatCode="General">
                  <c:v>112.8</c:v>
                </c:pt>
              </c:numCache>
            </c:numRef>
          </c:val>
        </c:ser>
        <c:ser>
          <c:idx val="1"/>
          <c:order val="1"/>
          <c:tx>
            <c:strRef>
              <c:f>Sheet1!$A$3</c:f>
              <c:strCache>
                <c:ptCount val="1"/>
                <c:pt idx="0">
                  <c:v>январь-июнь 2014 г.</c:v>
                </c:pt>
              </c:strCache>
            </c:strRef>
          </c:tx>
          <c:dLbls>
            <c:dLbl>
              <c:idx val="0"/>
              <c:layout>
                <c:manualLayout>
                  <c:x val="-1.1578696203644206E-3"/>
                  <c:y val="2.1640635084548859E-2"/>
                </c:manualLayout>
              </c:layout>
              <c:tx>
                <c:rich>
                  <a:bodyPr/>
                  <a:lstStyle/>
                  <a:p>
                    <a:r>
                      <a:rPr lang="ru-RU"/>
                      <a:t>46,6*</a:t>
                    </a:r>
                    <a:endParaRPr lang="en-US"/>
                  </a:p>
                </c:rich>
              </c:tx>
              <c:dLblPos val="outEnd"/>
              <c:showVal val="1"/>
            </c:dLbl>
            <c:dLbl>
              <c:idx val="1"/>
              <c:layout>
                <c:manualLayout>
                  <c:x val="9.1876075299201295E-4"/>
                  <c:y val="1.6703670237941701E-2"/>
                </c:manualLayout>
              </c:layout>
              <c:tx>
                <c:rich>
                  <a:bodyPr/>
                  <a:lstStyle/>
                  <a:p>
                    <a:r>
                      <a:rPr lang="ru-RU"/>
                      <a:t>11,3*</a:t>
                    </a:r>
                    <a:endParaRPr lang="en-US"/>
                  </a:p>
                </c:rich>
              </c:tx>
              <c:dLblPos val="outEnd"/>
              <c:showVal val="1"/>
            </c:dLbl>
            <c:dLbl>
              <c:idx val="2"/>
              <c:layout>
                <c:manualLayout>
                  <c:x val="3.6095727268541495E-3"/>
                  <c:y val="2.2607030678542545E-2"/>
                </c:manualLayout>
              </c:layout>
              <c:tx>
                <c:rich>
                  <a:bodyPr/>
                  <a:lstStyle/>
                  <a:p>
                    <a:r>
                      <a:rPr lang="en-US" b="1"/>
                      <a:t>10,</a:t>
                    </a:r>
                    <a:r>
                      <a:rPr lang="ru-RU" b="1"/>
                      <a:t>2*</a:t>
                    </a:r>
                    <a:endParaRPr lang="en-US" b="1"/>
                  </a:p>
                </c:rich>
              </c:tx>
              <c:dLblPos val="outEnd"/>
            </c:dLbl>
            <c:dLbl>
              <c:idx val="3"/>
              <c:layout>
                <c:manualLayout>
                  <c:x val="7.6797816540875134E-3"/>
                  <c:y val="1.7186868034938303E-2"/>
                </c:manualLayout>
              </c:layout>
              <c:tx>
                <c:rich>
                  <a:bodyPr/>
                  <a:lstStyle/>
                  <a:p>
                    <a:r>
                      <a:rPr lang="ru-RU"/>
                      <a:t>11,0*</a:t>
                    </a:r>
                    <a:endParaRPr lang="en-US"/>
                  </a:p>
                </c:rich>
              </c:tx>
              <c:dLblPos val="outEnd"/>
              <c:showVal val="1"/>
            </c:dLbl>
            <c:dLbl>
              <c:idx val="4"/>
              <c:layout>
                <c:manualLayout>
                  <c:x val="6.6488339675244727E-3"/>
                  <c:y val="1.0061529194096759E-2"/>
                </c:manualLayout>
              </c:layout>
              <c:tx>
                <c:rich>
                  <a:bodyPr/>
                  <a:lstStyle/>
                  <a:p>
                    <a:r>
                      <a:rPr lang="en-US"/>
                      <a:t>3</a:t>
                    </a:r>
                    <a:r>
                      <a:rPr lang="ru-RU"/>
                      <a:t>,7*</a:t>
                    </a:r>
                    <a:endParaRPr lang="en-US"/>
                  </a:p>
                </c:rich>
              </c:tx>
              <c:dLblPos val="outEnd"/>
              <c:showVal val="1"/>
            </c:dLbl>
            <c:dLbl>
              <c:idx val="5"/>
              <c:layout>
                <c:manualLayout>
                  <c:x val="9.9087975596344191E-3"/>
                  <c:y val="1.9671290630322601E-2"/>
                </c:manualLayout>
              </c:layout>
              <c:tx>
                <c:rich>
                  <a:bodyPr/>
                  <a:lstStyle/>
                  <a:p>
                    <a:r>
                      <a:rPr lang="ru-RU"/>
                      <a:t>17,2*</a:t>
                    </a:r>
                    <a:endParaRPr lang="en-US"/>
                  </a:p>
                </c:rich>
              </c:tx>
              <c:dLblPos val="outEnd"/>
              <c:showVal val="1"/>
            </c:dLbl>
            <c:dLbl>
              <c:idx val="6"/>
              <c:layout>
                <c:manualLayout>
                  <c:x val="4.0251667106205027E-3"/>
                  <c:y val="1.0088636461425918E-2"/>
                </c:manualLayout>
              </c:layout>
              <c:tx>
                <c:rich>
                  <a:bodyPr/>
                  <a:lstStyle/>
                  <a:p>
                    <a:r>
                      <a:rPr lang="en-US" b="1"/>
                      <a:t>9,</a:t>
                    </a:r>
                    <a:r>
                      <a:rPr lang="ru-RU" b="1"/>
                      <a:t>6</a:t>
                    </a:r>
                    <a:endParaRPr lang="en-US" b="1"/>
                  </a:p>
                </c:rich>
              </c:tx>
              <c:dLblPos val="outEnd"/>
            </c:dLbl>
            <c:dLbl>
              <c:idx val="7"/>
              <c:layout>
                <c:manualLayout>
                  <c:xMode val="edge"/>
                  <c:yMode val="edge"/>
                  <c:x val="0.75274725274725274"/>
                  <c:y val="0.48214285714288191"/>
                </c:manualLayout>
              </c:layout>
              <c:dLblPos val="outEnd"/>
              <c:showVal val="1"/>
            </c:dLbl>
            <c:spPr>
              <a:noFill/>
              <a:ln w="23365">
                <a:noFill/>
              </a:ln>
            </c:spPr>
            <c:txPr>
              <a:bodyPr rot="0" vert="horz"/>
              <a:lstStyle/>
              <a:p>
                <a:pPr>
                  <a:defRPr b="1"/>
                </a:pPr>
                <a:endParaRPr lang="ru-RU"/>
              </a:p>
            </c:txPr>
            <c:showVal val="1"/>
          </c:dLbls>
          <c:cat>
            <c:strRef>
              <c:f>Sheet1!$B$1:$G$1</c:f>
              <c:strCache>
                <c:ptCount val="6"/>
                <c:pt idx="0">
                  <c:v>Топливно-энергетические товары</c:v>
                </c:pt>
                <c:pt idx="1">
                  <c:v>Металлы и изделия из них</c:v>
                </c:pt>
                <c:pt idx="2">
                  <c:v>Продовольственные товары и сырье</c:v>
                </c:pt>
                <c:pt idx="3">
                  <c:v>Машиностроительная продукция</c:v>
                </c:pt>
                <c:pt idx="4">
                  <c:v>Продукция легкой промышленности</c:v>
                </c:pt>
                <c:pt idx="5">
                  <c:v>Прочие товары</c:v>
                </c:pt>
              </c:strCache>
            </c:strRef>
          </c:cat>
          <c:val>
            <c:numRef>
              <c:f>Sheet1!$B$3:$G$3</c:f>
              <c:numCache>
                <c:formatCode>0.0</c:formatCode>
                <c:ptCount val="6"/>
                <c:pt idx="0">
                  <c:v>384</c:v>
                </c:pt>
                <c:pt idx="1">
                  <c:v>92.8</c:v>
                </c:pt>
                <c:pt idx="2">
                  <c:v>83.9</c:v>
                </c:pt>
                <c:pt idx="3">
                  <c:v>90.6</c:v>
                </c:pt>
                <c:pt idx="4" formatCode="General">
                  <c:v>30.5</c:v>
                </c:pt>
                <c:pt idx="5">
                  <c:v>142.80000000000001</c:v>
                </c:pt>
              </c:numCache>
            </c:numRef>
          </c:val>
        </c:ser>
        <c:gapWidth val="160"/>
        <c:axId val="153134208"/>
        <c:axId val="153135744"/>
      </c:barChart>
      <c:catAx>
        <c:axId val="153134208"/>
        <c:scaling>
          <c:orientation val="minMax"/>
        </c:scaling>
        <c:axPos val="b"/>
        <c:numFmt formatCode="General" sourceLinked="1"/>
        <c:tickLblPos val="low"/>
        <c:txPr>
          <a:bodyPr rot="-5400000" vert="horz"/>
          <a:lstStyle/>
          <a:p>
            <a:pPr>
              <a:defRPr b="1"/>
            </a:pPr>
            <a:endParaRPr lang="ru-RU"/>
          </a:p>
        </c:txPr>
        <c:crossAx val="153135744"/>
        <c:crosses val="autoZero"/>
        <c:lblAlgn val="ctr"/>
        <c:lblOffset val="160"/>
        <c:tickLblSkip val="1"/>
        <c:tickMarkSkip val="1"/>
      </c:catAx>
      <c:valAx>
        <c:axId val="153135744"/>
        <c:scaling>
          <c:orientation val="minMax"/>
        </c:scaling>
        <c:axPos val="l"/>
        <c:title>
          <c:tx>
            <c:rich>
              <a:bodyPr rot="0" vert="horz"/>
              <a:lstStyle/>
              <a:p>
                <a:pPr>
                  <a:defRPr/>
                </a:pPr>
                <a:r>
                  <a:rPr lang="ru-RU" sz="800"/>
                  <a:t>*-удельный</a:t>
                </a:r>
              </a:p>
              <a:p>
                <a:pPr>
                  <a:defRPr/>
                </a:pPr>
                <a:r>
                  <a:rPr lang="ru-RU" sz="800"/>
                  <a:t> вес в общем </a:t>
                </a:r>
              </a:p>
              <a:p>
                <a:pPr>
                  <a:defRPr/>
                </a:pPr>
                <a:r>
                  <a:rPr lang="ru-RU" sz="800"/>
                  <a:t>объеме импорта,%</a:t>
                </a:r>
              </a:p>
            </c:rich>
          </c:tx>
          <c:layout>
            <c:manualLayout>
              <c:xMode val="edge"/>
              <c:yMode val="edge"/>
              <c:x val="0.8083613321637686"/>
              <c:y val="0.10812973213299169"/>
            </c:manualLayout>
          </c:layout>
        </c:title>
        <c:numFmt formatCode="General" sourceLinked="1"/>
        <c:tickLblPos val="nextTo"/>
        <c:txPr>
          <a:bodyPr rot="0" vert="horz"/>
          <a:lstStyle/>
          <a:p>
            <a:pPr>
              <a:defRPr b="1"/>
            </a:pPr>
            <a:endParaRPr lang="ru-RU"/>
          </a:p>
        </c:txPr>
        <c:crossAx val="153134208"/>
        <c:crosses val="autoZero"/>
        <c:crossBetween val="between"/>
      </c:valAx>
    </c:plotArea>
    <c:legend>
      <c:legendPos val="r"/>
      <c:layout>
        <c:manualLayout>
          <c:xMode val="edge"/>
          <c:yMode val="edge"/>
          <c:x val="0"/>
          <c:y val="0.91627924714539599"/>
          <c:w val="0.87457380934179363"/>
          <c:h val="8.3720752854611225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02" b="1" i="0" u="none" strike="noStrike" baseline="0">
                <a:solidFill>
                  <a:srgbClr val="000000"/>
                </a:solidFill>
                <a:latin typeface="Times New Roman"/>
                <a:ea typeface="Times New Roman"/>
                <a:cs typeface="Times New Roman"/>
              </a:defRPr>
            </a:pPr>
            <a:r>
              <a:rPr lang="ru-RU"/>
              <a:t>Обьем производства в отрасли электроэнергетика, 
млн. руб.</a:t>
            </a:r>
          </a:p>
        </c:rich>
      </c:tx>
      <c:layout>
        <c:manualLayout>
          <c:xMode val="edge"/>
          <c:yMode val="edge"/>
          <c:x val="0.25710227272727282"/>
          <c:y val="0"/>
        </c:manualLayout>
      </c:layout>
      <c:spPr>
        <a:noFill/>
        <a:ln w="23141">
          <a:noFill/>
        </a:ln>
      </c:spPr>
    </c:title>
    <c:plotArea>
      <c:layout>
        <c:manualLayout>
          <c:layoutTarget val="inner"/>
          <c:xMode val="edge"/>
          <c:yMode val="edge"/>
          <c:x val="0.23011363636363635"/>
          <c:y val="0.11808118081180846"/>
          <c:w val="0.67897727272728026"/>
          <c:h val="0.74186601674790653"/>
        </c:manualLayout>
      </c:layout>
      <c:barChart>
        <c:barDir val="bar"/>
        <c:grouping val="clustered"/>
        <c:ser>
          <c:idx val="0"/>
          <c:order val="0"/>
          <c:tx>
            <c:strRef>
              <c:f>Лист1!$B$1</c:f>
              <c:strCache>
                <c:ptCount val="1"/>
                <c:pt idx="0">
                  <c:v>2013 год</c:v>
                </c:pt>
              </c:strCache>
            </c:strRef>
          </c:tx>
          <c:spPr>
            <a:gradFill>
              <a:gsLst>
                <a:gs pos="0">
                  <a:srgbClr val="DDEBCF"/>
                </a:gs>
                <a:gs pos="50000">
                  <a:srgbClr val="9CB86E"/>
                </a:gs>
                <a:gs pos="100000">
                  <a:srgbClr val="156B13"/>
                </a:gs>
              </a:gsLst>
              <a:lin ang="5400000" scaled="0"/>
            </a:gradFill>
            <a:ln w="23141">
              <a:noFill/>
            </a:ln>
          </c:spPr>
          <c:dLbls>
            <c:dLbl>
              <c:idx val="0"/>
              <c:layout>
                <c:manualLayout>
                  <c:x val="2.0736132711249595E-2"/>
                  <c:y val="5.5555555555555558E-3"/>
                </c:manualLayout>
              </c:layout>
              <c:tx>
                <c:rich>
                  <a:bodyPr/>
                  <a:lstStyle/>
                  <a:p>
                    <a:r>
                      <a:rPr lang="ru-RU"/>
                      <a:t>81,0%*</a:t>
                    </a:r>
                  </a:p>
                </c:rich>
              </c:tx>
            </c:dLbl>
            <c:dLbl>
              <c:idx val="1"/>
              <c:tx>
                <c:rich>
                  <a:bodyPr/>
                  <a:lstStyle/>
                  <a:p>
                    <a:r>
                      <a:rPr lang="ru-RU"/>
                      <a:t>63,2%*</a:t>
                    </a:r>
                  </a:p>
                </c:rich>
              </c:tx>
            </c:dLbl>
            <c:dLbl>
              <c:idx val="2"/>
              <c:tx>
                <c:rich>
                  <a:bodyPr/>
                  <a:lstStyle/>
                  <a:p>
                    <a:r>
                      <a:rPr lang="ru-RU"/>
                      <a:t>112,1%*</a:t>
                    </a:r>
                    <a:endParaRPr lang="en-US"/>
                  </a:p>
                </c:rich>
              </c:tx>
              <c:showVal val="1"/>
            </c:dLbl>
            <c:spPr>
              <a:noFill/>
              <a:ln w="23141">
                <a:noFill/>
              </a:ln>
            </c:spPr>
            <c:txPr>
              <a:bodyPr/>
              <a:lstStyle/>
              <a:p>
                <a:pPr>
                  <a:defRPr sz="911" b="0" i="0" u="none" strike="noStrike" baseline="0">
                    <a:solidFill>
                      <a:srgbClr val="000000"/>
                    </a:solidFill>
                    <a:latin typeface="Times New Roman"/>
                    <a:ea typeface="Times New Roman"/>
                    <a:cs typeface="Times New Roman"/>
                  </a:defRPr>
                </a:pPr>
                <a:endParaRPr lang="ru-RU"/>
              </a:p>
            </c:txPr>
            <c:showVal val="1"/>
          </c:dLbls>
          <c:cat>
            <c:strRef>
              <c:f>Лист1!$A$2:$A$4</c:f>
              <c:strCache>
                <c:ptCount val="3"/>
                <c:pt idx="0">
                  <c:v>обьем производства</c:v>
                </c:pt>
                <c:pt idx="1">
                  <c:v>объем производства ЗАО "Молдавская ГРЭС"</c:v>
                </c:pt>
                <c:pt idx="2">
                  <c:v>обьем производства без ЗАО "Молдавская ГРЭС"</c:v>
                </c:pt>
              </c:strCache>
            </c:strRef>
          </c:cat>
          <c:val>
            <c:numRef>
              <c:f>Лист1!$B$2:$B$4</c:f>
              <c:numCache>
                <c:formatCode>General</c:formatCode>
                <c:ptCount val="3"/>
                <c:pt idx="0">
                  <c:v>1408.9</c:v>
                </c:pt>
                <c:pt idx="1">
                  <c:v>693.5</c:v>
                </c:pt>
                <c:pt idx="2">
                  <c:v>715.3</c:v>
                </c:pt>
              </c:numCache>
            </c:numRef>
          </c:val>
        </c:ser>
        <c:ser>
          <c:idx val="1"/>
          <c:order val="1"/>
          <c:tx>
            <c:strRef>
              <c:f>Лист1!$C$1</c:f>
              <c:strCache>
                <c:ptCount val="1"/>
                <c:pt idx="0">
                  <c:v>2014 год</c:v>
                </c:pt>
              </c:strCache>
            </c:strRef>
          </c:tx>
          <c:spPr>
            <a:gradFill>
              <a:gsLst>
                <a:gs pos="0">
                  <a:srgbClr val="FFF200"/>
                </a:gs>
                <a:gs pos="45000">
                  <a:srgbClr val="FF7A00"/>
                </a:gs>
                <a:gs pos="70000">
                  <a:srgbClr val="FF0300"/>
                </a:gs>
                <a:gs pos="100000">
                  <a:srgbClr val="4D0808"/>
                </a:gs>
              </a:gsLst>
              <a:lin ang="5400000" scaled="0"/>
            </a:gradFill>
            <a:ln w="23141">
              <a:noFill/>
            </a:ln>
          </c:spPr>
          <c:dLbls>
            <c:dLbl>
              <c:idx val="0"/>
              <c:layout>
                <c:manualLayout>
                  <c:x val="-5.3641273067927065E-3"/>
                  <c:y val="3.3687664041994812E-3"/>
                </c:manualLayout>
              </c:layout>
              <c:tx>
                <c:rich>
                  <a:bodyPr/>
                  <a:lstStyle/>
                  <a:p>
                    <a:pPr>
                      <a:defRPr/>
                    </a:pPr>
                    <a:r>
                      <a:rPr lang="ru-RU"/>
                      <a:t>123,0%</a:t>
                    </a:r>
                    <a:r>
                      <a:rPr lang="ru-RU" baseline="0"/>
                      <a:t> *</a:t>
                    </a:r>
                    <a:endParaRPr lang="en-US"/>
                  </a:p>
                </c:rich>
              </c:tx>
              <c:spPr>
                <a:noFill/>
                <a:ln w="23141">
                  <a:noFill/>
                </a:ln>
              </c:spPr>
              <c:dLblPos val="outEnd"/>
            </c:dLbl>
            <c:dLbl>
              <c:idx val="1"/>
              <c:layout>
                <c:manualLayout>
                  <c:x val="-5.4028238694113983E-4"/>
                  <c:y val="-8.7860892388453241E-3"/>
                </c:manualLayout>
              </c:layout>
              <c:tx>
                <c:rich>
                  <a:bodyPr/>
                  <a:lstStyle/>
                  <a:p>
                    <a:pPr>
                      <a:defRPr sz="911" b="0" i="0" u="none" strike="noStrike" baseline="0">
                        <a:solidFill>
                          <a:srgbClr val="000000"/>
                        </a:solidFill>
                        <a:latin typeface="Times New Roman"/>
                        <a:ea typeface="Times New Roman"/>
                        <a:cs typeface="Times New Roman"/>
                      </a:defRPr>
                    </a:pPr>
                    <a:r>
                      <a:rPr lang="ru-RU"/>
                      <a:t>140,3% *</a:t>
                    </a:r>
                  </a:p>
                </c:rich>
              </c:tx>
              <c:spPr>
                <a:noFill/>
                <a:ln w="23141">
                  <a:noFill/>
                </a:ln>
              </c:spPr>
              <c:dLblPos val="outEnd"/>
            </c:dLbl>
            <c:dLbl>
              <c:idx val="2"/>
              <c:tx>
                <c:rich>
                  <a:bodyPr/>
                  <a:lstStyle/>
                  <a:p>
                    <a:r>
                      <a:rPr lang="ru-RU"/>
                      <a:t>106</a:t>
                    </a:r>
                    <a:r>
                      <a:rPr lang="en-US"/>
                      <a:t>,</a:t>
                    </a:r>
                    <a:r>
                      <a:rPr lang="ru-RU"/>
                      <a:t>3%*</a:t>
                    </a:r>
                    <a:endParaRPr lang="en-US"/>
                  </a:p>
                </c:rich>
              </c:tx>
              <c:showVal val="1"/>
            </c:dLbl>
            <c:spPr>
              <a:noFill/>
              <a:ln w="23141">
                <a:noFill/>
              </a:ln>
            </c:spPr>
            <c:showVal val="1"/>
          </c:dLbls>
          <c:cat>
            <c:strRef>
              <c:f>Лист1!$A$2:$A$4</c:f>
              <c:strCache>
                <c:ptCount val="3"/>
                <c:pt idx="0">
                  <c:v>обьем производства</c:v>
                </c:pt>
                <c:pt idx="1">
                  <c:v>объем производства ЗАО "Молдавская ГРЭС"</c:v>
                </c:pt>
                <c:pt idx="2">
                  <c:v>обьем производства без ЗАО "Молдавская ГРЭС"</c:v>
                </c:pt>
              </c:strCache>
            </c:strRef>
          </c:cat>
          <c:val>
            <c:numRef>
              <c:f>Лист1!$C$2:$C$4</c:f>
              <c:numCache>
                <c:formatCode>General</c:formatCode>
                <c:ptCount val="3"/>
                <c:pt idx="0">
                  <c:v>1733</c:v>
                </c:pt>
                <c:pt idx="1">
                  <c:v>972.9</c:v>
                </c:pt>
                <c:pt idx="2">
                  <c:v>760.1</c:v>
                </c:pt>
              </c:numCache>
            </c:numRef>
          </c:val>
        </c:ser>
        <c:dLbls>
          <c:showVal val="1"/>
        </c:dLbls>
        <c:axId val="153547904"/>
        <c:axId val="153549440"/>
      </c:barChart>
      <c:catAx>
        <c:axId val="153547904"/>
        <c:scaling>
          <c:orientation val="minMax"/>
        </c:scaling>
        <c:axPos val="l"/>
        <c:numFmt formatCode="General" sourceLinked="1"/>
        <c:tickLblPos val="nextTo"/>
        <c:crossAx val="153549440"/>
        <c:crosses val="autoZero"/>
        <c:auto val="1"/>
        <c:lblAlgn val="ctr"/>
        <c:lblOffset val="100"/>
      </c:catAx>
      <c:valAx>
        <c:axId val="153549440"/>
        <c:scaling>
          <c:orientation val="minMax"/>
        </c:scaling>
        <c:axPos val="b"/>
        <c:majorGridlines/>
        <c:title>
          <c:tx>
            <c:rich>
              <a:bodyPr/>
              <a:lstStyle/>
              <a:p>
                <a:pPr>
                  <a:defRPr sz="911" b="1" i="0" u="none" strike="noStrike" baseline="0">
                    <a:solidFill>
                      <a:srgbClr val="000000"/>
                    </a:solidFill>
                    <a:latin typeface="Times New Roman"/>
                    <a:ea typeface="Times New Roman"/>
                    <a:cs typeface="Times New Roman"/>
                  </a:defRPr>
                </a:pPr>
                <a:r>
                  <a:rPr lang="ru-RU"/>
                  <a:t>* - темп роста 
к предыдущему году</a:t>
                </a:r>
              </a:p>
            </c:rich>
          </c:tx>
          <c:layout>
            <c:manualLayout>
              <c:xMode val="edge"/>
              <c:yMode val="edge"/>
              <c:x val="0"/>
              <c:y val="0.78966789667896675"/>
            </c:manualLayout>
          </c:layout>
          <c:spPr>
            <a:noFill/>
            <a:ln w="23141">
              <a:noFill/>
            </a:ln>
          </c:spPr>
        </c:title>
        <c:numFmt formatCode="General" sourceLinked="1"/>
        <c:tickLblPos val="nextTo"/>
        <c:crossAx val="153547904"/>
        <c:crosses val="autoZero"/>
        <c:crossBetween val="between"/>
      </c:valAx>
    </c:plotArea>
    <c:legend>
      <c:legendPos val="r"/>
      <c:layout>
        <c:manualLayout>
          <c:xMode val="edge"/>
          <c:yMode val="edge"/>
          <c:x val="0.90340909090909094"/>
          <c:y val="0.28044280442804431"/>
          <c:w val="9.6590909090910226E-2"/>
          <c:h val="0.25875371828521426"/>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981" b="1" i="0" u="none" strike="noStrike" baseline="0">
                <a:solidFill>
                  <a:srgbClr val="000000"/>
                </a:solidFill>
                <a:latin typeface="Times New Roman"/>
                <a:ea typeface="Times New Roman"/>
                <a:cs typeface="Times New Roman"/>
              </a:defRPr>
            </a:pPr>
            <a:r>
              <a:rPr lang="ru-RU"/>
              <a:t>Обьем производства по отрасли промышленность строительных материалов, </a:t>
            </a:r>
          </a:p>
          <a:p>
            <a:pPr>
              <a:defRPr sz="981" b="1" i="0" u="none" strike="noStrike" baseline="0">
                <a:solidFill>
                  <a:srgbClr val="000000"/>
                </a:solidFill>
                <a:latin typeface="Times New Roman"/>
                <a:ea typeface="Times New Roman"/>
                <a:cs typeface="Times New Roman"/>
              </a:defRPr>
            </a:pPr>
            <a:r>
              <a:rPr lang="ru-RU"/>
              <a:t>млн. руб.</a:t>
            </a:r>
          </a:p>
        </c:rich>
      </c:tx>
      <c:layout>
        <c:manualLayout>
          <c:xMode val="edge"/>
          <c:yMode val="edge"/>
          <c:x val="0.12357954545454559"/>
          <c:y val="0"/>
        </c:manualLayout>
      </c:layout>
      <c:spPr>
        <a:noFill/>
        <a:ln w="22660">
          <a:noFill/>
        </a:ln>
      </c:spPr>
    </c:title>
    <c:plotArea>
      <c:layout>
        <c:manualLayout>
          <c:layoutTarget val="inner"/>
          <c:xMode val="edge"/>
          <c:yMode val="edge"/>
          <c:x val="0.21732954545454539"/>
          <c:y val="0.14644999162338906"/>
          <c:w val="0.70423417135066457"/>
          <c:h val="0.69586188393117565"/>
        </c:manualLayout>
      </c:layout>
      <c:barChart>
        <c:barDir val="bar"/>
        <c:grouping val="clustered"/>
        <c:ser>
          <c:idx val="0"/>
          <c:order val="0"/>
          <c:tx>
            <c:strRef>
              <c:f>Лист1!$B$1</c:f>
              <c:strCache>
                <c:ptCount val="1"/>
                <c:pt idx="0">
                  <c:v>2013 год</c:v>
                </c:pt>
              </c:strCache>
            </c:strRef>
          </c:tx>
          <c:spPr>
            <a:gradFill>
              <a:gsLst>
                <a:gs pos="0">
                  <a:srgbClr val="D6B19C"/>
                </a:gs>
                <a:gs pos="30000">
                  <a:srgbClr val="D49E6C"/>
                </a:gs>
                <a:gs pos="70000">
                  <a:srgbClr val="A65528"/>
                </a:gs>
                <a:gs pos="100000">
                  <a:srgbClr val="663012"/>
                </a:gs>
              </a:gsLst>
              <a:lin ang="5400000" scaled="0"/>
            </a:gradFill>
            <a:ln w="22660">
              <a:noFill/>
            </a:ln>
          </c:spPr>
          <c:dLbls>
            <c:dLbl>
              <c:idx val="0"/>
              <c:tx>
                <c:rich>
                  <a:bodyPr/>
                  <a:lstStyle/>
                  <a:p>
                    <a:r>
                      <a:rPr lang="ru-RU"/>
                      <a:t>76,2%*</a:t>
                    </a:r>
                  </a:p>
                </c:rich>
              </c:tx>
            </c:dLbl>
            <c:dLbl>
              <c:idx val="1"/>
              <c:tx>
                <c:rich>
                  <a:bodyPr/>
                  <a:lstStyle/>
                  <a:p>
                    <a:r>
                      <a:rPr lang="ru-RU"/>
                      <a:t>60,7%*</a:t>
                    </a:r>
                  </a:p>
                </c:rich>
              </c:tx>
            </c:dLbl>
            <c:dLbl>
              <c:idx val="2"/>
              <c:tx>
                <c:rich>
                  <a:bodyPr/>
                  <a:lstStyle/>
                  <a:p>
                    <a:r>
                      <a:rPr lang="ru-RU"/>
                      <a:t>151</a:t>
                    </a:r>
                    <a:r>
                      <a:rPr lang="en-US"/>
                      <a:t>,</a:t>
                    </a:r>
                    <a:r>
                      <a:rPr lang="ru-RU"/>
                      <a:t>4%*</a:t>
                    </a:r>
                    <a:endParaRPr lang="en-US"/>
                  </a:p>
                </c:rich>
              </c:tx>
              <c:showVal val="1"/>
            </c:dLbl>
            <c:spPr>
              <a:noFill/>
              <a:ln w="22660">
                <a:noFill/>
              </a:ln>
            </c:spPr>
            <c:txPr>
              <a:bodyPr/>
              <a:lstStyle/>
              <a:p>
                <a:pPr>
                  <a:defRPr sz="892" b="0" i="0" u="none" strike="noStrike" baseline="0">
                    <a:solidFill>
                      <a:srgbClr val="000000"/>
                    </a:solidFill>
                    <a:latin typeface="Times New Roman"/>
                    <a:ea typeface="Times New Roman"/>
                    <a:cs typeface="Times New Roman"/>
                  </a:defRPr>
                </a:pPr>
                <a:endParaRPr lang="ru-RU"/>
              </a:p>
            </c:txPr>
            <c:showVal val="1"/>
          </c:dLbls>
          <c:cat>
            <c:strRef>
              <c:f>Лист1!$A$2:$A$4</c:f>
              <c:strCache>
                <c:ptCount val="3"/>
                <c:pt idx="0">
                  <c:v>обьем производства</c:v>
                </c:pt>
                <c:pt idx="1">
                  <c:v>объем производства ЗАО "РЦК"</c:v>
                </c:pt>
                <c:pt idx="2">
                  <c:v>обьем производства без ЗАО "РЦК"</c:v>
                </c:pt>
              </c:strCache>
            </c:strRef>
          </c:cat>
          <c:val>
            <c:numRef>
              <c:f>Лист1!$B$2:$B$4</c:f>
              <c:numCache>
                <c:formatCode>General</c:formatCode>
                <c:ptCount val="3"/>
                <c:pt idx="0">
                  <c:v>160.5</c:v>
                </c:pt>
                <c:pt idx="1">
                  <c:v>101.3</c:v>
                </c:pt>
                <c:pt idx="2">
                  <c:v>59.2</c:v>
                </c:pt>
              </c:numCache>
            </c:numRef>
          </c:val>
        </c:ser>
        <c:ser>
          <c:idx val="1"/>
          <c:order val="1"/>
          <c:tx>
            <c:strRef>
              <c:f>Лист1!$C$1</c:f>
              <c:strCache>
                <c:ptCount val="1"/>
                <c:pt idx="0">
                  <c:v>2014 год</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22660">
              <a:noFill/>
            </a:ln>
          </c:spPr>
          <c:dLbls>
            <c:dLbl>
              <c:idx val="0"/>
              <c:layout>
                <c:manualLayout>
                  <c:x val="-3.2363061926746002E-3"/>
                  <c:y val="-1.3020606466744848E-2"/>
                </c:manualLayout>
              </c:layout>
              <c:tx>
                <c:rich>
                  <a:bodyPr/>
                  <a:lstStyle/>
                  <a:p>
                    <a:pPr>
                      <a:defRPr sz="892" b="0" i="0" u="none" strike="noStrike" baseline="0">
                        <a:solidFill>
                          <a:srgbClr val="000000"/>
                        </a:solidFill>
                        <a:latin typeface="Times New Roman"/>
                        <a:ea typeface="Times New Roman"/>
                        <a:cs typeface="Times New Roman"/>
                      </a:defRPr>
                    </a:pPr>
                    <a:r>
                      <a:rPr lang="ru-RU"/>
                      <a:t>171,2% *</a:t>
                    </a:r>
                  </a:p>
                </c:rich>
              </c:tx>
              <c:spPr>
                <a:noFill/>
                <a:ln w="22660">
                  <a:noFill/>
                </a:ln>
              </c:spPr>
              <c:dLblPos val="outEnd"/>
            </c:dLbl>
            <c:dLbl>
              <c:idx val="1"/>
              <c:layout>
                <c:manualLayout>
                  <c:x val="-2.8400337982635894E-3"/>
                  <c:y val="-1.7126710225051654E-2"/>
                </c:manualLayout>
              </c:layout>
              <c:tx>
                <c:rich>
                  <a:bodyPr/>
                  <a:lstStyle/>
                  <a:p>
                    <a:pPr>
                      <a:defRPr sz="892" b="0" i="0" u="none" strike="noStrike" baseline="0">
                        <a:solidFill>
                          <a:srgbClr val="000000"/>
                        </a:solidFill>
                        <a:latin typeface="Times New Roman"/>
                        <a:ea typeface="Times New Roman"/>
                        <a:cs typeface="Times New Roman"/>
                      </a:defRPr>
                    </a:pPr>
                    <a:r>
                      <a:rPr lang="ru-RU"/>
                      <a:t>199,9% *</a:t>
                    </a:r>
                  </a:p>
                </c:rich>
              </c:tx>
              <c:spPr>
                <a:noFill/>
                <a:ln w="22660">
                  <a:noFill/>
                </a:ln>
              </c:spPr>
              <c:dLblPos val="outEnd"/>
            </c:dLbl>
            <c:dLbl>
              <c:idx val="2"/>
              <c:tx>
                <c:rich>
                  <a:bodyPr/>
                  <a:lstStyle/>
                  <a:p>
                    <a:r>
                      <a:rPr lang="ru-RU"/>
                      <a:t>121</a:t>
                    </a:r>
                    <a:r>
                      <a:rPr lang="en-US"/>
                      <a:t>,</a:t>
                    </a:r>
                    <a:r>
                      <a:rPr lang="ru-RU"/>
                      <a:t>9%*</a:t>
                    </a:r>
                    <a:endParaRPr lang="en-US"/>
                  </a:p>
                </c:rich>
              </c:tx>
              <c:showVal val="1"/>
            </c:dLbl>
            <c:spPr>
              <a:noFill/>
              <a:ln w="22660">
                <a:noFill/>
              </a:ln>
            </c:spPr>
            <c:showVal val="1"/>
          </c:dLbls>
          <c:cat>
            <c:strRef>
              <c:f>Лист1!$A$2:$A$4</c:f>
              <c:strCache>
                <c:ptCount val="3"/>
                <c:pt idx="0">
                  <c:v>обьем производства</c:v>
                </c:pt>
                <c:pt idx="1">
                  <c:v>объем производства ЗАО "РЦК"</c:v>
                </c:pt>
                <c:pt idx="2">
                  <c:v>обьем производства без ЗАО "РЦК"</c:v>
                </c:pt>
              </c:strCache>
            </c:strRef>
          </c:cat>
          <c:val>
            <c:numRef>
              <c:f>Лист1!$C$2:$C$4</c:f>
              <c:numCache>
                <c:formatCode>General</c:formatCode>
                <c:ptCount val="3"/>
                <c:pt idx="0">
                  <c:v>274.7</c:v>
                </c:pt>
                <c:pt idx="1">
                  <c:v>202.5</c:v>
                </c:pt>
                <c:pt idx="2">
                  <c:v>72.2</c:v>
                </c:pt>
              </c:numCache>
            </c:numRef>
          </c:val>
        </c:ser>
        <c:dLbls>
          <c:showVal val="1"/>
        </c:dLbls>
        <c:axId val="162006144"/>
        <c:axId val="162007680"/>
      </c:barChart>
      <c:catAx>
        <c:axId val="162006144"/>
        <c:scaling>
          <c:orientation val="minMax"/>
        </c:scaling>
        <c:axPos val="l"/>
        <c:numFmt formatCode="General" sourceLinked="1"/>
        <c:tickLblPos val="nextTo"/>
        <c:txPr>
          <a:bodyPr/>
          <a:lstStyle/>
          <a:p>
            <a:pPr>
              <a:defRPr kern="0" baseline="0"/>
            </a:pPr>
            <a:endParaRPr lang="ru-RU"/>
          </a:p>
        </c:txPr>
        <c:crossAx val="162007680"/>
        <c:crosses val="autoZero"/>
        <c:auto val="1"/>
        <c:lblAlgn val="ctr"/>
        <c:lblOffset val="100"/>
      </c:catAx>
      <c:valAx>
        <c:axId val="162007680"/>
        <c:scaling>
          <c:orientation val="minMax"/>
        </c:scaling>
        <c:axPos val="b"/>
        <c:majorGridlines/>
        <c:title>
          <c:tx>
            <c:rich>
              <a:bodyPr/>
              <a:lstStyle/>
              <a:p>
                <a:pPr>
                  <a:defRPr sz="892" b="1" i="0" u="none" strike="noStrike" baseline="0">
                    <a:solidFill>
                      <a:srgbClr val="000000"/>
                    </a:solidFill>
                    <a:latin typeface="Times New Roman"/>
                    <a:ea typeface="Times New Roman"/>
                    <a:cs typeface="Times New Roman"/>
                  </a:defRPr>
                </a:pPr>
                <a:r>
                  <a:rPr lang="ru-RU"/>
                  <a:t>* - темп роста 
к предыдущему году</a:t>
                </a:r>
              </a:p>
            </c:rich>
          </c:tx>
          <c:layout>
            <c:manualLayout>
              <c:xMode val="edge"/>
              <c:yMode val="edge"/>
              <c:x val="0"/>
              <c:y val="0.78966789667896675"/>
            </c:manualLayout>
          </c:layout>
          <c:spPr>
            <a:noFill/>
            <a:ln w="22660">
              <a:noFill/>
            </a:ln>
          </c:spPr>
        </c:title>
        <c:numFmt formatCode="General" sourceLinked="1"/>
        <c:tickLblPos val="nextTo"/>
        <c:crossAx val="162006144"/>
        <c:crosses val="autoZero"/>
        <c:crossBetween val="between"/>
      </c:valAx>
    </c:plotArea>
    <c:legend>
      <c:legendPos val="r"/>
      <c:layout>
        <c:manualLayout>
          <c:xMode val="edge"/>
          <c:yMode val="edge"/>
          <c:x val="0.90340909090909094"/>
          <c:y val="0.28044280442804431"/>
          <c:w val="9.6590865488627553E-2"/>
          <c:h val="0.244332607360250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902" b="1" i="0" u="none" strike="noStrike" baseline="0">
                <a:solidFill>
                  <a:srgbClr val="000000"/>
                </a:solidFill>
                <a:latin typeface="Times New Roman"/>
                <a:ea typeface="Times New Roman"/>
                <a:cs typeface="Times New Roman"/>
              </a:defRPr>
            </a:pPr>
            <a:r>
              <a:rPr lang="ru-RU" sz="1000"/>
              <a:t>Обьем производства по отрасли легкая промышленность,
 млн. руб.</a:t>
            </a:r>
          </a:p>
        </c:rich>
      </c:tx>
      <c:layout>
        <c:manualLayout>
          <c:xMode val="edge"/>
          <c:yMode val="edge"/>
          <c:x val="0.23817979206720474"/>
          <c:y val="0"/>
        </c:manualLayout>
      </c:layout>
      <c:spPr>
        <a:noFill/>
        <a:ln w="20827">
          <a:noFill/>
        </a:ln>
      </c:spPr>
    </c:title>
    <c:plotArea>
      <c:layout>
        <c:manualLayout>
          <c:layoutTarget val="inner"/>
          <c:xMode val="edge"/>
          <c:yMode val="edge"/>
          <c:x val="0.2472783825816508"/>
          <c:y val="0.18870710605618912"/>
          <c:w val="0.65791993730178289"/>
          <c:h val="0.64172499270924765"/>
        </c:manualLayout>
      </c:layout>
      <c:barChart>
        <c:barDir val="bar"/>
        <c:grouping val="clustered"/>
        <c:ser>
          <c:idx val="0"/>
          <c:order val="0"/>
          <c:tx>
            <c:strRef>
              <c:f>Лист1!$B$1</c:f>
              <c:strCache>
                <c:ptCount val="1"/>
                <c:pt idx="0">
                  <c:v>2013год</c:v>
                </c:pt>
              </c:strCache>
            </c:strRef>
          </c:tx>
          <c:spPr>
            <a:gradFill>
              <a:gsLst>
                <a:gs pos="0">
                  <a:srgbClr val="8488C4"/>
                </a:gs>
                <a:gs pos="53000">
                  <a:srgbClr val="D4DEFF"/>
                </a:gs>
                <a:gs pos="83000">
                  <a:srgbClr val="D4DEFF"/>
                </a:gs>
                <a:gs pos="100000">
                  <a:srgbClr val="96AB94"/>
                </a:gs>
              </a:gsLst>
              <a:lin ang="5400000" scaled="0"/>
            </a:gradFill>
            <a:ln w="20827">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spPr>
          <c:dLbls>
            <c:dLbl>
              <c:idx val="0"/>
              <c:tx>
                <c:rich>
                  <a:bodyPr/>
                  <a:lstStyle/>
                  <a:p>
                    <a:r>
                      <a:rPr lang="ru-RU"/>
                      <a:t>114,4%*</a:t>
                    </a:r>
                  </a:p>
                </c:rich>
              </c:tx>
            </c:dLbl>
            <c:dLbl>
              <c:idx val="1"/>
              <c:tx>
                <c:rich>
                  <a:bodyPr/>
                  <a:lstStyle/>
                  <a:p>
                    <a:r>
                      <a:rPr lang="ru-RU"/>
                      <a:t>122,1%*</a:t>
                    </a:r>
                  </a:p>
                </c:rich>
              </c:tx>
            </c:dLbl>
            <c:dLbl>
              <c:idx val="2"/>
              <c:tx>
                <c:rich>
                  <a:bodyPr/>
                  <a:lstStyle/>
                  <a:p>
                    <a:r>
                      <a:rPr lang="en-US"/>
                      <a:t>1</a:t>
                    </a:r>
                    <a:r>
                      <a:rPr lang="ru-RU"/>
                      <a:t>06</a:t>
                    </a:r>
                    <a:r>
                      <a:rPr lang="en-US"/>
                      <a:t>,8</a:t>
                    </a:r>
                    <a:r>
                      <a:rPr lang="ru-RU"/>
                      <a:t>%*</a:t>
                    </a:r>
                    <a:endParaRPr lang="en-US"/>
                  </a:p>
                </c:rich>
              </c:tx>
              <c:showVal val="1"/>
            </c:dLbl>
            <c:spPr>
              <a:noFill/>
              <a:ln w="20827">
                <a:noFill/>
              </a:ln>
            </c:spPr>
            <c:txPr>
              <a:bodyPr/>
              <a:lstStyle/>
              <a:p>
                <a:pPr>
                  <a:defRPr sz="820" b="0" i="0" u="none" strike="noStrike" baseline="0">
                    <a:solidFill>
                      <a:srgbClr val="000000"/>
                    </a:solidFill>
                    <a:latin typeface="Times New Roman"/>
                    <a:ea typeface="Times New Roman"/>
                    <a:cs typeface="Times New Roman"/>
                  </a:defRPr>
                </a:pPr>
                <a:endParaRPr lang="ru-RU"/>
              </a:p>
            </c:txPr>
            <c:showVal val="1"/>
          </c:dLbls>
          <c:cat>
            <c:strRef>
              <c:f>Лист1!$A$2:$A$4</c:f>
              <c:strCache>
                <c:ptCount val="3"/>
                <c:pt idx="0">
                  <c:v>обьем производства</c:v>
                </c:pt>
                <c:pt idx="1">
                  <c:v>объем производства ЗАО "Тиротекс"</c:v>
                </c:pt>
                <c:pt idx="2">
                  <c:v>обьем производства без ЗАО "Тиротекс"</c:v>
                </c:pt>
              </c:strCache>
            </c:strRef>
          </c:cat>
          <c:val>
            <c:numRef>
              <c:f>Лист1!$B$2:$B$4</c:f>
              <c:numCache>
                <c:formatCode>General</c:formatCode>
                <c:ptCount val="3"/>
                <c:pt idx="0">
                  <c:v>707.7</c:v>
                </c:pt>
                <c:pt idx="1">
                  <c:v>507.9</c:v>
                </c:pt>
                <c:pt idx="2">
                  <c:v>199.8</c:v>
                </c:pt>
              </c:numCache>
            </c:numRef>
          </c:val>
        </c:ser>
        <c:ser>
          <c:idx val="1"/>
          <c:order val="1"/>
          <c:tx>
            <c:strRef>
              <c:f>Лист1!$C$1</c:f>
              <c:strCache>
                <c:ptCount val="1"/>
                <c:pt idx="0">
                  <c:v>2014 год</c:v>
                </c:pt>
              </c:strCache>
            </c:strRef>
          </c:tx>
          <c:spPr>
            <a:gradFill>
              <a:gsLst>
                <a:gs pos="0">
                  <a:srgbClr val="FFEFD1"/>
                </a:gs>
                <a:gs pos="64999">
                  <a:srgbClr val="F0EBD5"/>
                </a:gs>
                <a:gs pos="100000">
                  <a:srgbClr val="D1C39F"/>
                </a:gs>
              </a:gsLst>
              <a:lin ang="5400000" scaled="0"/>
            </a:gradFill>
            <a:ln w="20827">
              <a:noFill/>
            </a:ln>
          </c:spPr>
          <c:dLbls>
            <c:dLbl>
              <c:idx val="0"/>
              <c:layout>
                <c:manualLayout>
                  <c:x val="1.5001857271729141E-3"/>
                  <c:y val="-1.6084378341596359E-2"/>
                </c:manualLayout>
              </c:layout>
              <c:tx>
                <c:rich>
                  <a:bodyPr/>
                  <a:lstStyle/>
                  <a:p>
                    <a:pPr>
                      <a:defRPr sz="820" b="0" i="0" u="none" strike="noStrike" baseline="0">
                        <a:solidFill>
                          <a:srgbClr val="000000"/>
                        </a:solidFill>
                        <a:latin typeface="Times New Roman"/>
                        <a:ea typeface="Times New Roman"/>
                        <a:cs typeface="Times New Roman"/>
                      </a:defRPr>
                    </a:pPr>
                    <a:r>
                      <a:rPr lang="ru-RU"/>
                      <a:t>90,7% *</a:t>
                    </a:r>
                  </a:p>
                </c:rich>
              </c:tx>
              <c:spPr>
                <a:noFill/>
                <a:ln w="20827">
                  <a:noFill/>
                </a:ln>
              </c:spPr>
              <c:dLblPos val="outEnd"/>
            </c:dLbl>
            <c:dLbl>
              <c:idx val="1"/>
              <c:layout>
                <c:manualLayout>
                  <c:x val="6.1392014956217089E-5"/>
                  <c:y val="-1.5514727325750951E-2"/>
                </c:manualLayout>
              </c:layout>
              <c:tx>
                <c:rich>
                  <a:bodyPr/>
                  <a:lstStyle/>
                  <a:p>
                    <a:pPr>
                      <a:defRPr sz="820" b="0" i="0" u="none" strike="noStrike" baseline="0">
                        <a:solidFill>
                          <a:srgbClr val="000000"/>
                        </a:solidFill>
                        <a:latin typeface="Times New Roman"/>
                        <a:ea typeface="Times New Roman"/>
                        <a:cs typeface="Times New Roman"/>
                      </a:defRPr>
                    </a:pPr>
                    <a:r>
                      <a:rPr lang="ru-RU"/>
                      <a:t>87,0% *</a:t>
                    </a:r>
                  </a:p>
                </c:rich>
              </c:tx>
              <c:spPr>
                <a:noFill/>
                <a:ln w="20827">
                  <a:noFill/>
                </a:ln>
              </c:spPr>
              <c:dLblPos val="outEnd"/>
            </c:dLbl>
            <c:dLbl>
              <c:idx val="2"/>
              <c:tx>
                <c:rich>
                  <a:bodyPr/>
                  <a:lstStyle/>
                  <a:p>
                    <a:r>
                      <a:rPr lang="ru-RU"/>
                      <a:t>1</a:t>
                    </a:r>
                    <a:r>
                      <a:rPr lang="en-US"/>
                      <a:t>00,</a:t>
                    </a:r>
                    <a:r>
                      <a:rPr lang="ru-RU"/>
                      <a:t>4%*</a:t>
                    </a:r>
                    <a:endParaRPr lang="en-US"/>
                  </a:p>
                </c:rich>
              </c:tx>
              <c:showVal val="1"/>
            </c:dLbl>
            <c:spPr>
              <a:noFill/>
              <a:ln w="20827">
                <a:noFill/>
              </a:ln>
            </c:spPr>
            <c:showVal val="1"/>
          </c:dLbls>
          <c:cat>
            <c:strRef>
              <c:f>Лист1!$A$2:$A$4</c:f>
              <c:strCache>
                <c:ptCount val="3"/>
                <c:pt idx="0">
                  <c:v>обьем производства</c:v>
                </c:pt>
                <c:pt idx="1">
                  <c:v>объем производства ЗАО "Тиротекс"</c:v>
                </c:pt>
                <c:pt idx="2">
                  <c:v>обьем производства без ЗАО "Тиротекс"</c:v>
                </c:pt>
              </c:strCache>
            </c:strRef>
          </c:cat>
          <c:val>
            <c:numRef>
              <c:f>Лист1!$C$2:$C$4</c:f>
              <c:numCache>
                <c:formatCode>General</c:formatCode>
                <c:ptCount val="3"/>
                <c:pt idx="0">
                  <c:v>642.20000000000005</c:v>
                </c:pt>
                <c:pt idx="1">
                  <c:v>441.7</c:v>
                </c:pt>
                <c:pt idx="2">
                  <c:v>200.5</c:v>
                </c:pt>
              </c:numCache>
            </c:numRef>
          </c:val>
        </c:ser>
        <c:dLbls>
          <c:showVal val="1"/>
        </c:dLbls>
        <c:axId val="162149504"/>
        <c:axId val="162151040"/>
      </c:barChart>
      <c:catAx>
        <c:axId val="162149504"/>
        <c:scaling>
          <c:orientation val="minMax"/>
        </c:scaling>
        <c:axPos val="l"/>
        <c:numFmt formatCode="General" sourceLinked="1"/>
        <c:tickLblPos val="nextTo"/>
        <c:txPr>
          <a:bodyPr/>
          <a:lstStyle/>
          <a:p>
            <a:pPr>
              <a:defRPr kern="0" baseline="0"/>
            </a:pPr>
            <a:endParaRPr lang="ru-RU"/>
          </a:p>
        </c:txPr>
        <c:crossAx val="162151040"/>
        <c:crosses val="autoZero"/>
        <c:auto val="1"/>
        <c:lblAlgn val="ctr"/>
        <c:lblOffset val="100"/>
      </c:catAx>
      <c:valAx>
        <c:axId val="162151040"/>
        <c:scaling>
          <c:orientation val="minMax"/>
        </c:scaling>
        <c:axPos val="b"/>
        <c:majorGridlines/>
        <c:title>
          <c:tx>
            <c:rich>
              <a:bodyPr/>
              <a:lstStyle/>
              <a:p>
                <a:pPr>
                  <a:defRPr sz="820" b="1" i="0" u="none" strike="noStrike" baseline="0">
                    <a:solidFill>
                      <a:srgbClr val="000000"/>
                    </a:solidFill>
                    <a:latin typeface="Times New Roman"/>
                    <a:ea typeface="Times New Roman"/>
                    <a:cs typeface="Times New Roman"/>
                  </a:defRPr>
                </a:pPr>
                <a:r>
                  <a:rPr lang="ru-RU"/>
                  <a:t>* - темп роста 
к предыдущему году</a:t>
                </a:r>
              </a:p>
            </c:rich>
          </c:tx>
          <c:layout>
            <c:manualLayout>
              <c:xMode val="edge"/>
              <c:yMode val="edge"/>
              <c:x val="0"/>
              <c:y val="0.78966789667896675"/>
            </c:manualLayout>
          </c:layout>
          <c:spPr>
            <a:noFill/>
            <a:ln w="20827">
              <a:noFill/>
            </a:ln>
          </c:spPr>
        </c:title>
        <c:numFmt formatCode="General" sourceLinked="1"/>
        <c:tickLblPos val="nextTo"/>
        <c:crossAx val="162149504"/>
        <c:crosses val="autoZero"/>
        <c:crossBetween val="between"/>
      </c:valAx>
    </c:plotArea>
    <c:legend>
      <c:legendPos val="r"/>
      <c:layout>
        <c:manualLayout>
          <c:xMode val="edge"/>
          <c:yMode val="edge"/>
          <c:x val="0.90340913451137461"/>
          <c:y val="0.280442791873241"/>
          <c:w val="6.9633892964001839E-2"/>
          <c:h val="0.27850685331000524"/>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style val="32"/>
  <c:chart>
    <c:title>
      <c:tx>
        <c:rich>
          <a:bodyPr/>
          <a:lstStyle/>
          <a:p>
            <a:pPr>
              <a:defRPr/>
            </a:pPr>
            <a:r>
              <a:rPr lang="ru-RU" sz="1200">
                <a:latin typeface="Times New Roman" pitchFamily="18" charset="0"/>
                <a:cs typeface="Times New Roman" pitchFamily="18" charset="0"/>
              </a:rPr>
              <a:t>Валовая продукция сельского хозяйства в хозяйствах</a:t>
            </a:r>
          </a:p>
          <a:p>
            <a:pPr>
              <a:defRPr/>
            </a:pPr>
            <a:r>
              <a:rPr lang="ru-RU" sz="1200">
                <a:latin typeface="Times New Roman" pitchFamily="18" charset="0"/>
                <a:cs typeface="Times New Roman" pitchFamily="18" charset="0"/>
              </a:rPr>
              <a:t> всех категорий, млн. руб.</a:t>
            </a:r>
          </a:p>
        </c:rich>
      </c:tx>
    </c:title>
    <c:plotArea>
      <c:layout/>
      <c:barChart>
        <c:barDir val="col"/>
        <c:grouping val="clustered"/>
        <c:ser>
          <c:idx val="0"/>
          <c:order val="0"/>
          <c:tx>
            <c:strRef>
              <c:f>Лист1!$B$2</c:f>
              <c:strCache>
                <c:ptCount val="1"/>
                <c:pt idx="0">
                  <c:v>Валовая продукция сельского хозяйства</c:v>
                </c:pt>
              </c:strCache>
            </c:strRef>
          </c:tx>
          <c:spPr>
            <a:solidFill>
              <a:schemeClr val="accent6"/>
            </a:solidFill>
          </c:spPr>
          <c:dLbls>
            <c:dLbl>
              <c:idx val="0"/>
              <c:layout>
                <c:manualLayout>
                  <c:x val="-8.2687338501292677E-3"/>
                  <c:y val="1.8518518518518583E-2"/>
                </c:manualLayout>
              </c:layout>
              <c:tx>
                <c:rich>
                  <a:bodyPr/>
                  <a:lstStyle/>
                  <a:p>
                    <a:r>
                      <a:rPr lang="ru-RU" b="1">
                        <a:latin typeface="Times New Roman" pitchFamily="18" charset="0"/>
                        <a:cs typeface="Times New Roman" pitchFamily="18" charset="0"/>
                      </a:rPr>
                      <a:t>+2,8*</a:t>
                    </a:r>
                    <a:endParaRPr lang="en-US" b="1">
                      <a:latin typeface="Times New Roman" pitchFamily="18" charset="0"/>
                      <a:cs typeface="Times New Roman" pitchFamily="18" charset="0"/>
                    </a:endParaRPr>
                  </a:p>
                </c:rich>
              </c:tx>
              <c:dLblPos val="outEnd"/>
            </c:dLbl>
            <c:dLbl>
              <c:idx val="1"/>
              <c:layout>
                <c:manualLayout>
                  <c:x val="4.1343669250646338E-3"/>
                  <c:y val="2.7777777777778054E-2"/>
                </c:manualLayout>
              </c:layout>
              <c:tx>
                <c:rich>
                  <a:bodyPr/>
                  <a:lstStyle/>
                  <a:p>
                    <a:r>
                      <a:rPr lang="ru-RU" b="1">
                        <a:latin typeface="Times New Roman" pitchFamily="18" charset="0"/>
                        <a:cs typeface="Times New Roman" pitchFamily="18" charset="0"/>
                      </a:rPr>
                      <a:t>+6,6*</a:t>
                    </a:r>
                    <a:endParaRPr lang="en-US" b="1">
                      <a:latin typeface="Times New Roman" pitchFamily="18" charset="0"/>
                      <a:cs typeface="Times New Roman" pitchFamily="18" charset="0"/>
                    </a:endParaRPr>
                  </a:p>
                </c:rich>
              </c:tx>
              <c:dLblPos val="outEnd"/>
            </c:dLbl>
            <c:txPr>
              <a:bodyPr/>
              <a:lstStyle/>
              <a:p>
                <a:pPr>
                  <a:defRPr b="1">
                    <a:latin typeface="Times New Roman" pitchFamily="18" charset="0"/>
                    <a:cs typeface="Times New Roman" pitchFamily="18" charset="0"/>
                  </a:defRPr>
                </a:pPr>
                <a:endParaRPr lang="ru-RU"/>
              </a:p>
            </c:txPr>
            <c:dLblPos val="outEnd"/>
            <c:showVal val="1"/>
          </c:dLbls>
          <c:cat>
            <c:strRef>
              <c:f>Лист1!$C$1:$D$1</c:f>
              <c:strCache>
                <c:ptCount val="2"/>
                <c:pt idx="0">
                  <c:v>январь-июнь 2013 г.</c:v>
                </c:pt>
                <c:pt idx="1">
                  <c:v>январь-июнь 2014 г.</c:v>
                </c:pt>
              </c:strCache>
            </c:strRef>
          </c:cat>
          <c:val>
            <c:numRef>
              <c:f>Лист1!$C$2:$D$2</c:f>
              <c:numCache>
                <c:formatCode>#,##0.0</c:formatCode>
                <c:ptCount val="2"/>
                <c:pt idx="0">
                  <c:v>392.2</c:v>
                </c:pt>
                <c:pt idx="1">
                  <c:v>415.3</c:v>
                </c:pt>
              </c:numCache>
            </c:numRef>
          </c:val>
        </c:ser>
        <c:dLbls>
          <c:showVal val="1"/>
        </c:dLbls>
        <c:axId val="162094080"/>
        <c:axId val="153494272"/>
      </c:barChart>
      <c:catAx>
        <c:axId val="162094080"/>
        <c:scaling>
          <c:orientation val="minMax"/>
        </c:scaling>
        <c:axPos val="b"/>
        <c:numFmt formatCode="General" sourceLinked="1"/>
        <c:tickLblPos val="nextTo"/>
        <c:crossAx val="153494272"/>
        <c:crosses val="autoZero"/>
        <c:auto val="1"/>
        <c:lblAlgn val="ctr"/>
        <c:lblOffset val="100"/>
      </c:catAx>
      <c:valAx>
        <c:axId val="153494272"/>
        <c:scaling>
          <c:orientation val="minMax"/>
        </c:scaling>
        <c:axPos val="l"/>
        <c:numFmt formatCode="#,##0.0" sourceLinked="1"/>
        <c:tickLblPos val="nextTo"/>
        <c:txPr>
          <a:bodyPr/>
          <a:lstStyle/>
          <a:p>
            <a:pPr>
              <a:defRPr b="1">
                <a:latin typeface="Times New Roman" pitchFamily="18" charset="0"/>
                <a:cs typeface="Times New Roman" pitchFamily="18" charset="0"/>
              </a:defRPr>
            </a:pPr>
            <a:endParaRPr lang="ru-RU"/>
          </a:p>
        </c:txPr>
        <c:crossAx val="162094080"/>
        <c:crosses val="autoZero"/>
        <c:crossBetween val="between"/>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dispBlanksAs val="gap"/>
  </c:chart>
  <c:spPr>
    <a:ln>
      <a:noFill/>
    </a:ln>
  </c:spPr>
  <c:externalData r:id="rId1"/>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sz="1200">
                <a:latin typeface="Times New Roman" pitchFamily="18" charset="0"/>
                <a:cs typeface="Times New Roman" pitchFamily="18" charset="0"/>
              </a:rPr>
              <a:t>Валовой сбор зерновых и зернобобовых культур первой группы </a:t>
            </a:r>
          </a:p>
          <a:p>
            <a:pPr>
              <a:defRPr/>
            </a:pPr>
            <a:r>
              <a:rPr lang="ru-RU" sz="1200">
                <a:latin typeface="Times New Roman" pitchFamily="18" charset="0"/>
                <a:cs typeface="Times New Roman" pitchFamily="18" charset="0"/>
              </a:rPr>
              <a:t>по состоянию на 14 августа 2014 года, тыс. тонн</a:t>
            </a:r>
          </a:p>
        </c:rich>
      </c:tx>
      <c:layout>
        <c:manualLayout>
          <c:xMode val="edge"/>
          <c:yMode val="edge"/>
          <c:x val="0.21156600748263146"/>
          <c:y val="1.3757965943931201E-3"/>
        </c:manualLayout>
      </c:layout>
    </c:title>
    <c:plotArea>
      <c:layout>
        <c:manualLayout>
          <c:layoutTarget val="inner"/>
          <c:xMode val="edge"/>
          <c:yMode val="edge"/>
          <c:x val="0.1326937045750094"/>
          <c:y val="0.10611522472767178"/>
          <c:w val="0.86017464483606221"/>
          <c:h val="0.47685296480797179"/>
        </c:manualLayout>
      </c:layout>
      <c:barChart>
        <c:barDir val="col"/>
        <c:grouping val="clustered"/>
        <c:ser>
          <c:idx val="0"/>
          <c:order val="0"/>
          <c:tx>
            <c:strRef>
              <c:f>Лист1!$B$1</c:f>
              <c:strCache>
                <c:ptCount val="1"/>
                <c:pt idx="0">
                  <c:v>2013 год</c:v>
                </c:pt>
              </c:strCache>
            </c:strRef>
          </c:tx>
          <c:spPr>
            <a:solidFill>
              <a:srgbClr val="0070C0"/>
            </a:solidFill>
          </c:spPr>
          <c:dLbls>
            <c:delete val="1"/>
          </c:dLbls>
          <c:cat>
            <c:strRef>
              <c:f>Лист1!$A$2:$A$5</c:f>
              <c:strCache>
                <c:ptCount val="4"/>
                <c:pt idx="0">
                  <c:v>Зерновые и зернобобовые культуры первой группы</c:v>
                </c:pt>
                <c:pt idx="1">
                  <c:v>озимая пшеница</c:v>
                </c:pt>
                <c:pt idx="2">
                  <c:v>озимый ячмень</c:v>
                </c:pt>
                <c:pt idx="3">
                  <c:v>яровой ячмень</c:v>
                </c:pt>
              </c:strCache>
            </c:strRef>
          </c:cat>
          <c:val>
            <c:numRef>
              <c:f>Лист1!$B$2:$B$5</c:f>
              <c:numCache>
                <c:formatCode>0.0</c:formatCode>
                <c:ptCount val="4"/>
                <c:pt idx="0" formatCode="General">
                  <c:v>330.6</c:v>
                </c:pt>
                <c:pt idx="1">
                  <c:v>262.60000000000002</c:v>
                </c:pt>
                <c:pt idx="2" formatCode="General">
                  <c:v>37.700000000000003</c:v>
                </c:pt>
                <c:pt idx="3">
                  <c:v>20.5</c:v>
                </c:pt>
              </c:numCache>
            </c:numRef>
          </c:val>
        </c:ser>
        <c:ser>
          <c:idx val="1"/>
          <c:order val="1"/>
          <c:tx>
            <c:strRef>
              <c:f>Лист1!$C$1</c:f>
              <c:strCache>
                <c:ptCount val="1"/>
                <c:pt idx="0">
                  <c:v>2014 год</c:v>
                </c:pt>
              </c:strCache>
            </c:strRef>
          </c:tx>
          <c:spPr>
            <a:solidFill>
              <a:schemeClr val="accent5">
                <a:lumMod val="40000"/>
                <a:lumOff val="60000"/>
              </a:schemeClr>
            </a:solidFill>
          </c:spPr>
          <c:dLbls>
            <c:dLbl>
              <c:idx val="0"/>
              <c:layout>
                <c:manualLayout>
                  <c:x val="0"/>
                  <c:y val="-7.5397137857769692E-2"/>
                </c:manualLayout>
              </c:layout>
              <c:tx>
                <c:rich>
                  <a:bodyPr/>
                  <a:lstStyle/>
                  <a:p>
                    <a:r>
                      <a:rPr lang="ru-RU" b="1">
                        <a:latin typeface="Times New Roman" pitchFamily="18" charset="0"/>
                        <a:cs typeface="Times New Roman" pitchFamily="18" charset="0"/>
                      </a:rPr>
                      <a:t>+2,6*</a:t>
                    </a:r>
                    <a:endParaRPr lang="en-US" b="1">
                      <a:latin typeface="Times New Roman" pitchFamily="18" charset="0"/>
                      <a:cs typeface="Times New Roman" pitchFamily="18" charset="0"/>
                    </a:endParaRPr>
                  </a:p>
                </c:rich>
              </c:tx>
              <c:dLblPos val="inEnd"/>
              <c:showVal val="1"/>
            </c:dLbl>
            <c:dLbl>
              <c:idx val="1"/>
              <c:layout>
                <c:manualLayout>
                  <c:x val="6.1068021227438088E-3"/>
                  <c:y val="-8.1600659729168107E-2"/>
                </c:manualLayout>
              </c:layout>
              <c:tx>
                <c:rich>
                  <a:bodyPr/>
                  <a:lstStyle/>
                  <a:p>
                    <a:r>
                      <a:rPr lang="ru-RU" b="1">
                        <a:latin typeface="Times New Roman" pitchFamily="18" charset="0"/>
                        <a:cs typeface="Times New Roman" pitchFamily="18" charset="0"/>
                      </a:rPr>
                      <a:t>+0,7*</a:t>
                    </a:r>
                    <a:endParaRPr lang="en-US" b="1">
                      <a:latin typeface="Times New Roman" pitchFamily="18" charset="0"/>
                      <a:cs typeface="Times New Roman" pitchFamily="18" charset="0"/>
                    </a:endParaRPr>
                  </a:p>
                </c:rich>
              </c:tx>
              <c:dLblPos val="inEnd"/>
              <c:showVal val="1"/>
            </c:dLbl>
            <c:dLbl>
              <c:idx val="2"/>
              <c:layout>
                <c:manualLayout>
                  <c:x val="1.1043317607746919E-2"/>
                  <c:y val="-3.8434716837159801E-2"/>
                </c:manualLayout>
              </c:layout>
              <c:tx>
                <c:rich>
                  <a:bodyPr/>
                  <a:lstStyle/>
                  <a:p>
                    <a:r>
                      <a:rPr lang="ru-RU" b="1">
                        <a:latin typeface="Times New Roman" pitchFamily="18" charset="0"/>
                        <a:cs typeface="Times New Roman" pitchFamily="18" charset="0"/>
                      </a:rPr>
                      <a:t>+28,9*</a:t>
                    </a:r>
                    <a:endParaRPr lang="en-US" b="1">
                      <a:latin typeface="Times New Roman" pitchFamily="18" charset="0"/>
                      <a:cs typeface="Times New Roman" pitchFamily="18" charset="0"/>
                    </a:endParaRPr>
                  </a:p>
                </c:rich>
              </c:tx>
              <c:dLblPos val="inEnd"/>
              <c:showVal val="1"/>
            </c:dLbl>
            <c:dLbl>
              <c:idx val="3"/>
              <c:layout>
                <c:manualLayout>
                  <c:x val="2.3148175425158992E-3"/>
                  <c:y val="-1.0899485941229324E-2"/>
                </c:manualLayout>
              </c:layout>
              <c:tx>
                <c:rich>
                  <a:bodyPr/>
                  <a:lstStyle/>
                  <a:p>
                    <a:r>
                      <a:rPr lang="ru-RU" b="1">
                        <a:latin typeface="Times New Roman" pitchFamily="18" charset="0"/>
                        <a:cs typeface="Times New Roman" pitchFamily="18" charset="0"/>
                      </a:rPr>
                      <a:t>  +6,8*</a:t>
                    </a:r>
                    <a:endParaRPr lang="en-US" b="1">
                      <a:latin typeface="Times New Roman" pitchFamily="18" charset="0"/>
                      <a:cs typeface="Times New Roman" pitchFamily="18" charset="0"/>
                    </a:endParaRPr>
                  </a:p>
                </c:rich>
              </c:tx>
              <c:dLblPos val="inEnd"/>
              <c:showVal val="1"/>
            </c:dLbl>
            <c:dLbl>
              <c:idx val="4"/>
              <c:layout>
                <c:manualLayout>
                  <c:x val="2.3148148148148147E-3"/>
                  <c:y val="-7.9365079365080124E-3"/>
                </c:manualLayout>
              </c:layout>
              <c:tx>
                <c:rich>
                  <a:bodyPr/>
                  <a:lstStyle/>
                  <a:p>
                    <a:r>
                      <a:rPr lang="ru-RU" b="1">
                        <a:latin typeface="Times New Roman" pitchFamily="18" charset="0"/>
                        <a:cs typeface="Times New Roman" pitchFamily="18" charset="0"/>
                      </a:rPr>
                      <a:t>-52,6%*</a:t>
                    </a:r>
                    <a:endParaRPr lang="en-US" b="1">
                      <a:latin typeface="Times New Roman" pitchFamily="18" charset="0"/>
                      <a:cs typeface="Times New Roman" pitchFamily="18" charset="0"/>
                    </a:endParaRPr>
                  </a:p>
                </c:rich>
              </c:tx>
              <c:dLblPos val="inEnd"/>
              <c:showVal val="1"/>
            </c:dLbl>
            <c:dLbl>
              <c:idx val="5"/>
              <c:layout>
                <c:manualLayout>
                  <c:x val="1.3330448197792081E-2"/>
                  <c:y val="-1.9781303772073811E-2"/>
                </c:manualLayout>
              </c:layout>
              <c:tx>
                <c:rich>
                  <a:bodyPr/>
                  <a:lstStyle/>
                  <a:p>
                    <a:r>
                      <a:rPr lang="ru-RU" b="1">
                        <a:latin typeface="Times New Roman" pitchFamily="18" charset="0"/>
                        <a:cs typeface="Times New Roman" pitchFamily="18" charset="0"/>
                      </a:rPr>
                      <a:t>30,7%*</a:t>
                    </a:r>
                    <a:endParaRPr lang="en-US" b="1">
                      <a:latin typeface="Times New Roman" pitchFamily="18" charset="0"/>
                      <a:cs typeface="Times New Roman" pitchFamily="18" charset="0"/>
                    </a:endParaRPr>
                  </a:p>
                </c:rich>
              </c:tx>
              <c:dLblPos val="inEnd"/>
              <c:showVal val="1"/>
            </c:dLbl>
            <c:dLbl>
              <c:idx val="6"/>
              <c:layout>
                <c:manualLayout>
                  <c:x val="1.157404179439402E-2"/>
                  <c:y val="-3.7887258050448257E-3"/>
                </c:manualLayout>
              </c:layout>
              <c:tx>
                <c:rich>
                  <a:bodyPr/>
                  <a:lstStyle/>
                  <a:p>
                    <a:r>
                      <a:rPr lang="en-US" b="1">
                        <a:latin typeface="Times New Roman" pitchFamily="18" charset="0"/>
                        <a:cs typeface="Times New Roman" pitchFamily="18" charset="0"/>
                      </a:rPr>
                      <a:t>1</a:t>
                    </a:r>
                    <a:r>
                      <a:rPr lang="ru-RU" b="1">
                        <a:latin typeface="Times New Roman" pitchFamily="18" charset="0"/>
                        <a:cs typeface="Times New Roman" pitchFamily="18" charset="0"/>
                      </a:rPr>
                      <a:t>1,8%*</a:t>
                    </a:r>
                    <a:endParaRPr lang="en-US" b="1">
                      <a:latin typeface="Times New Roman" pitchFamily="18" charset="0"/>
                      <a:cs typeface="Times New Roman" pitchFamily="18" charset="0"/>
                    </a:endParaRPr>
                  </a:p>
                </c:rich>
              </c:tx>
              <c:dLblPos val="inEnd"/>
              <c:showVal val="1"/>
            </c:dLbl>
            <c:dLbl>
              <c:idx val="7"/>
              <c:layout>
                <c:manualLayout>
                  <c:x val="0"/>
                  <c:y val="-4.9438986289855914E-3"/>
                </c:manualLayout>
              </c:layout>
              <c:tx>
                <c:rich>
                  <a:bodyPr/>
                  <a:lstStyle/>
                  <a:p>
                    <a:r>
                      <a:rPr lang="ru-RU" b="1">
                        <a:latin typeface="Times New Roman" pitchFamily="18" charset="0"/>
                        <a:cs typeface="Times New Roman" pitchFamily="18" charset="0"/>
                      </a:rPr>
                      <a:t>84,1%*</a:t>
                    </a:r>
                    <a:endParaRPr lang="en-US" b="1">
                      <a:latin typeface="Times New Roman" pitchFamily="18" charset="0"/>
                      <a:cs typeface="Times New Roman" pitchFamily="18" charset="0"/>
                    </a:endParaRPr>
                  </a:p>
                </c:rich>
              </c:tx>
              <c:dLblPos val="inEnd"/>
              <c:showVal val="1"/>
            </c:dLbl>
            <c:txPr>
              <a:bodyPr/>
              <a:lstStyle/>
              <a:p>
                <a:pPr>
                  <a:defRPr b="1">
                    <a:latin typeface="Times New Roman" pitchFamily="18" charset="0"/>
                    <a:cs typeface="Times New Roman" pitchFamily="18" charset="0"/>
                  </a:defRPr>
                </a:pPr>
                <a:endParaRPr lang="ru-RU"/>
              </a:p>
            </c:txPr>
            <c:dLblPos val="inEnd"/>
            <c:showVal val="1"/>
          </c:dLbls>
          <c:cat>
            <c:strRef>
              <c:f>Лист1!$A$2:$A$5</c:f>
              <c:strCache>
                <c:ptCount val="4"/>
                <c:pt idx="0">
                  <c:v>Зерновые и зернобобовые культуры первой группы</c:v>
                </c:pt>
                <c:pt idx="1">
                  <c:v>озимая пшеница</c:v>
                </c:pt>
                <c:pt idx="2">
                  <c:v>озимый ячмень</c:v>
                </c:pt>
                <c:pt idx="3">
                  <c:v>яровой ячмень</c:v>
                </c:pt>
              </c:strCache>
            </c:strRef>
          </c:cat>
          <c:val>
            <c:numRef>
              <c:f>Лист1!$C$2:$C$5</c:f>
              <c:numCache>
                <c:formatCode>General</c:formatCode>
                <c:ptCount val="4"/>
                <c:pt idx="0">
                  <c:v>339.2</c:v>
                </c:pt>
                <c:pt idx="1">
                  <c:v>264.5</c:v>
                </c:pt>
                <c:pt idx="2">
                  <c:v>48.6</c:v>
                </c:pt>
                <c:pt idx="3">
                  <c:v>21.9</c:v>
                </c:pt>
              </c:numCache>
            </c:numRef>
          </c:val>
        </c:ser>
        <c:dLbls>
          <c:showVal val="1"/>
        </c:dLbls>
        <c:axId val="162196480"/>
        <c:axId val="162202368"/>
      </c:barChart>
      <c:catAx>
        <c:axId val="162196480"/>
        <c:scaling>
          <c:orientation val="minMax"/>
        </c:scaling>
        <c:axPos val="b"/>
        <c:tickLblPos val="nextTo"/>
        <c:crossAx val="162202368"/>
        <c:crosses val="autoZero"/>
        <c:auto val="1"/>
        <c:lblAlgn val="ctr"/>
        <c:lblOffset val="100"/>
      </c:catAx>
      <c:valAx>
        <c:axId val="162202368"/>
        <c:scaling>
          <c:orientation val="minMax"/>
        </c:scaling>
        <c:axPos val="l"/>
        <c:numFmt formatCode="General" sourceLinked="1"/>
        <c:tickLblPos val="nextTo"/>
        <c:txPr>
          <a:bodyPr/>
          <a:lstStyle/>
          <a:p>
            <a:pPr>
              <a:defRPr b="1">
                <a:latin typeface="Times New Roman" pitchFamily="18" charset="0"/>
                <a:cs typeface="Times New Roman" pitchFamily="18" charset="0"/>
              </a:defRPr>
            </a:pPr>
            <a:endParaRPr lang="ru-RU"/>
          </a:p>
        </c:txPr>
        <c:crossAx val="162196480"/>
        <c:crosses val="autoZero"/>
        <c:crossBetween val="between"/>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dispBlanksAs val="gap"/>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style val="32"/>
  <c:chart>
    <c:title>
      <c:tx>
        <c:rich>
          <a:bodyPr/>
          <a:lstStyle/>
          <a:p>
            <a:pPr>
              <a:defRPr sz="1100"/>
            </a:pPr>
            <a:r>
              <a:rPr lang="ru-RU" sz="1100"/>
              <a:t>Поголовье основных видов скота и птицы </a:t>
            </a:r>
          </a:p>
          <a:p>
            <a:pPr>
              <a:defRPr sz="1100"/>
            </a:pPr>
            <a:r>
              <a:rPr lang="ru-RU" sz="1100"/>
              <a:t>в  организациях,  осуществляющих сельскохозяйственное производство (на 1 июля), голов</a:t>
            </a:r>
          </a:p>
        </c:rich>
      </c:tx>
      <c:layout>
        <c:manualLayout>
          <c:xMode val="edge"/>
          <c:yMode val="edge"/>
          <c:x val="0.18018794914317304"/>
          <c:y val="0"/>
        </c:manualLayout>
      </c:layout>
    </c:title>
    <c:plotArea>
      <c:layout>
        <c:manualLayout>
          <c:layoutTarget val="inner"/>
          <c:xMode val="edge"/>
          <c:yMode val="edge"/>
          <c:x val="0.29674932424491712"/>
          <c:y val="0.16042473518171793"/>
          <c:w val="0.69136574074073021"/>
          <c:h val="0.405194969521318"/>
        </c:manualLayout>
      </c:layout>
      <c:barChart>
        <c:barDir val="col"/>
        <c:grouping val="clustered"/>
        <c:ser>
          <c:idx val="0"/>
          <c:order val="0"/>
          <c:tx>
            <c:strRef>
              <c:f>Лист1!$B$1</c:f>
              <c:strCache>
                <c:ptCount val="1"/>
                <c:pt idx="0">
                  <c:v>Крупный рогатый скот</c:v>
                </c:pt>
              </c:strCache>
            </c:strRef>
          </c:tx>
          <c:dLbls>
            <c:dLbl>
              <c:idx val="0"/>
              <c:layout>
                <c:manualLayout>
                  <c:x val="-4.6296296296295903E-3"/>
                  <c:y val="0"/>
                </c:manualLayout>
              </c:layout>
              <c:tx>
                <c:rich>
                  <a:bodyPr/>
                  <a:lstStyle/>
                  <a:p>
                    <a:r>
                      <a:rPr lang="ru-RU" sz="900" b="1">
                        <a:latin typeface="Times New Roman" pitchFamily="18" charset="0"/>
                        <a:cs typeface="Times New Roman" pitchFamily="18" charset="0"/>
                      </a:rPr>
                      <a:t>-8,5*</a:t>
                    </a:r>
                    <a:endParaRPr lang="en-US" sz="900" b="1">
                      <a:latin typeface="Times New Roman" pitchFamily="18" charset="0"/>
                      <a:cs typeface="Times New Roman" pitchFamily="18" charset="0"/>
                    </a:endParaRPr>
                  </a:p>
                </c:rich>
              </c:tx>
              <c:dLblPos val="inEnd"/>
              <c:showVal val="1"/>
            </c:dLbl>
            <c:dLbl>
              <c:idx val="1"/>
              <c:layout>
                <c:manualLayout>
                  <c:x val="-1.620367105853095E-2"/>
                  <c:y val="0"/>
                </c:manualLayout>
              </c:layout>
              <c:tx>
                <c:rich>
                  <a:bodyPr/>
                  <a:lstStyle/>
                  <a:p>
                    <a:r>
                      <a:rPr lang="ru-RU" b="1">
                        <a:latin typeface="Times New Roman" pitchFamily="18" charset="0"/>
                        <a:cs typeface="Times New Roman" pitchFamily="18" charset="0"/>
                      </a:rPr>
                      <a:t>-4,6*</a:t>
                    </a:r>
                    <a:endParaRPr lang="en-US" b="1">
                      <a:latin typeface="Times New Roman" pitchFamily="18" charset="0"/>
                      <a:cs typeface="Times New Roman" pitchFamily="18" charset="0"/>
                    </a:endParaRPr>
                  </a:p>
                </c:rich>
              </c:tx>
              <c:dLblPos val="inEnd"/>
              <c:showVal val="1"/>
            </c:dLbl>
            <c:dLblPos val="inEnd"/>
            <c:showVal val="1"/>
          </c:dLbls>
          <c:cat>
            <c:strRef>
              <c:f>Лист1!$A$2:$A$3</c:f>
              <c:strCache>
                <c:ptCount val="2"/>
                <c:pt idx="0">
                  <c:v>январь-июнь 2013 г.</c:v>
                </c:pt>
                <c:pt idx="1">
                  <c:v>январь-июнь 2014 г.</c:v>
                </c:pt>
              </c:strCache>
            </c:strRef>
          </c:cat>
          <c:val>
            <c:numRef>
              <c:f>Лист1!$B$2:$B$3</c:f>
              <c:numCache>
                <c:formatCode>#,##0</c:formatCode>
                <c:ptCount val="2"/>
                <c:pt idx="0">
                  <c:v>7056</c:v>
                </c:pt>
                <c:pt idx="1">
                  <c:v>6729</c:v>
                </c:pt>
              </c:numCache>
            </c:numRef>
          </c:val>
        </c:ser>
        <c:ser>
          <c:idx val="1"/>
          <c:order val="1"/>
          <c:tx>
            <c:strRef>
              <c:f>Лист1!$C$1</c:f>
              <c:strCache>
                <c:ptCount val="1"/>
                <c:pt idx="0">
                  <c:v>Свиньи</c:v>
                </c:pt>
              </c:strCache>
            </c:strRef>
          </c:tx>
          <c:dLbls>
            <c:dLbl>
              <c:idx val="0"/>
              <c:layout>
                <c:manualLayout>
                  <c:x val="-2.3148148148148147E-3"/>
                  <c:y val="3.9679415073116822E-3"/>
                </c:manualLayout>
              </c:layout>
              <c:tx>
                <c:rich>
                  <a:bodyPr/>
                  <a:lstStyle/>
                  <a:p>
                    <a:r>
                      <a:rPr lang="ru-RU" b="1"/>
                      <a:t> -20,2*</a:t>
                    </a:r>
                    <a:endParaRPr lang="en-US" b="1"/>
                  </a:p>
                </c:rich>
              </c:tx>
              <c:dLblPos val="inEnd"/>
              <c:showVal val="1"/>
            </c:dLbl>
            <c:dLbl>
              <c:idx val="1"/>
              <c:layout>
                <c:manualLayout>
                  <c:x val="-6.9444444444444857E-3"/>
                  <c:y val="0"/>
                </c:manualLayout>
              </c:layout>
              <c:tx>
                <c:rich>
                  <a:bodyPr/>
                  <a:lstStyle/>
                  <a:p>
                    <a:r>
                      <a:rPr lang="ru-RU" b="1"/>
                      <a:t>- 5,1*</a:t>
                    </a:r>
                    <a:endParaRPr lang="en-US" b="1"/>
                  </a:p>
                </c:rich>
              </c:tx>
              <c:dLblPos val="inEnd"/>
              <c:showVal val="1"/>
            </c:dLbl>
            <c:dLblPos val="inEnd"/>
            <c:showVal val="1"/>
          </c:dLbls>
          <c:cat>
            <c:strRef>
              <c:f>Лист1!$A$2:$A$3</c:f>
              <c:strCache>
                <c:ptCount val="2"/>
                <c:pt idx="0">
                  <c:v>январь-июнь 2013 г.</c:v>
                </c:pt>
                <c:pt idx="1">
                  <c:v>январь-июнь 2014 г.</c:v>
                </c:pt>
              </c:strCache>
            </c:strRef>
          </c:cat>
          <c:val>
            <c:numRef>
              <c:f>Лист1!$C$2:$C$3</c:f>
              <c:numCache>
                <c:formatCode>#,##0</c:formatCode>
                <c:ptCount val="2"/>
                <c:pt idx="0">
                  <c:v>11217</c:v>
                </c:pt>
                <c:pt idx="1">
                  <c:v>10647</c:v>
                </c:pt>
              </c:numCache>
            </c:numRef>
          </c:val>
        </c:ser>
        <c:ser>
          <c:idx val="2"/>
          <c:order val="2"/>
          <c:tx>
            <c:strRef>
              <c:f>Лист1!$D$1</c:f>
              <c:strCache>
                <c:ptCount val="1"/>
                <c:pt idx="0">
                  <c:v>Овцы и козы</c:v>
                </c:pt>
              </c:strCache>
            </c:strRef>
          </c:tx>
          <c:dLbls>
            <c:dLbl>
              <c:idx val="0"/>
              <c:layout>
                <c:manualLayout>
                  <c:x val="4.6296296296297014E-3"/>
                  <c:y val="7.9365079365079413E-3"/>
                </c:manualLayout>
              </c:layout>
              <c:tx>
                <c:rich>
                  <a:bodyPr/>
                  <a:lstStyle/>
                  <a:p>
                    <a:r>
                      <a:rPr lang="ru-RU" b="1"/>
                      <a:t>-22,7*</a:t>
                    </a:r>
                    <a:endParaRPr lang="en-US" b="1"/>
                  </a:p>
                </c:rich>
              </c:tx>
              <c:dLblPos val="inEnd"/>
              <c:showVal val="1"/>
            </c:dLbl>
            <c:dLbl>
              <c:idx val="1"/>
              <c:layout>
                <c:manualLayout>
                  <c:x val="2.3148148148148147E-3"/>
                  <c:y val="1.1904761904761843E-2"/>
                </c:manualLayout>
              </c:layout>
              <c:tx>
                <c:rich>
                  <a:bodyPr/>
                  <a:lstStyle/>
                  <a:p>
                    <a:r>
                      <a:rPr lang="ru-RU" b="1"/>
                      <a:t>-12,8*</a:t>
                    </a:r>
                    <a:endParaRPr lang="en-US" b="1"/>
                  </a:p>
                </c:rich>
              </c:tx>
              <c:dLblPos val="inEnd"/>
              <c:showVal val="1"/>
            </c:dLbl>
            <c:dLblPos val="inEnd"/>
            <c:showVal val="1"/>
          </c:dLbls>
          <c:cat>
            <c:strRef>
              <c:f>Лист1!$A$2:$A$3</c:f>
              <c:strCache>
                <c:ptCount val="2"/>
                <c:pt idx="0">
                  <c:v>январь-июнь 2013 г.</c:v>
                </c:pt>
                <c:pt idx="1">
                  <c:v>январь-июнь 2014 г.</c:v>
                </c:pt>
              </c:strCache>
            </c:strRef>
          </c:cat>
          <c:val>
            <c:numRef>
              <c:f>Лист1!$D$2:$D$3</c:f>
              <c:numCache>
                <c:formatCode>#,##0</c:formatCode>
                <c:ptCount val="2"/>
                <c:pt idx="0">
                  <c:v>2425</c:v>
                </c:pt>
                <c:pt idx="1">
                  <c:v>2115</c:v>
                </c:pt>
              </c:numCache>
            </c:numRef>
          </c:val>
        </c:ser>
        <c:ser>
          <c:idx val="3"/>
          <c:order val="3"/>
          <c:tx>
            <c:strRef>
              <c:f>Лист1!$E$1</c:f>
              <c:strCache>
                <c:ptCount val="1"/>
                <c:pt idx="0">
                  <c:v>Птица</c:v>
                </c:pt>
              </c:strCache>
            </c:strRef>
          </c:tx>
          <c:spPr>
            <a:solidFill>
              <a:schemeClr val="accent3">
                <a:lumMod val="60000"/>
                <a:lumOff val="40000"/>
              </a:schemeClr>
            </a:solidFill>
          </c:spPr>
          <c:dPt>
            <c:idx val="0"/>
            <c:spPr>
              <a:solidFill>
                <a:schemeClr val="tx2">
                  <a:lumMod val="40000"/>
                  <a:lumOff val="60000"/>
                </a:schemeClr>
              </a:solidFill>
            </c:spPr>
          </c:dPt>
          <c:dPt>
            <c:idx val="1"/>
            <c:spPr>
              <a:solidFill>
                <a:schemeClr val="tx2">
                  <a:lumMod val="40000"/>
                  <a:lumOff val="60000"/>
                </a:schemeClr>
              </a:solidFill>
            </c:spPr>
          </c:dPt>
          <c:dLbls>
            <c:dLbl>
              <c:idx val="0"/>
              <c:layout>
                <c:manualLayout>
                  <c:x val="2.3148148148148147E-3"/>
                  <c:y val="3.9682539682539802E-3"/>
                </c:manualLayout>
              </c:layout>
              <c:tx>
                <c:rich>
                  <a:bodyPr/>
                  <a:lstStyle/>
                  <a:p>
                    <a:r>
                      <a:rPr lang="ru-RU" b="1"/>
                      <a:t>+13,4*</a:t>
                    </a:r>
                    <a:endParaRPr lang="en-US" b="1"/>
                  </a:p>
                </c:rich>
              </c:tx>
              <c:dLblPos val="outEnd"/>
              <c:showVal val="1"/>
            </c:dLbl>
            <c:dLbl>
              <c:idx val="1"/>
              <c:layout>
                <c:manualLayout>
                  <c:x val="0"/>
                  <c:y val="1.1904761904761921E-2"/>
                </c:manualLayout>
              </c:layout>
              <c:tx>
                <c:rich>
                  <a:bodyPr/>
                  <a:lstStyle/>
                  <a:p>
                    <a:r>
                      <a:rPr lang="ru-RU" b="1"/>
                      <a:t>+11,3*</a:t>
                    </a:r>
                    <a:endParaRPr lang="en-US" b="1"/>
                  </a:p>
                </c:rich>
              </c:tx>
              <c:dLblPos val="outEnd"/>
              <c:showVal val="1"/>
            </c:dLbl>
            <c:dLblPos val="outEnd"/>
            <c:showVal val="1"/>
          </c:dLbls>
          <c:cat>
            <c:strRef>
              <c:f>Лист1!$A$2:$A$3</c:f>
              <c:strCache>
                <c:ptCount val="2"/>
                <c:pt idx="0">
                  <c:v>январь-июнь 2013 г.</c:v>
                </c:pt>
                <c:pt idx="1">
                  <c:v>январь-июнь 2014 г.</c:v>
                </c:pt>
              </c:strCache>
            </c:strRef>
          </c:cat>
          <c:val>
            <c:numRef>
              <c:f>Лист1!$E$2:$E$3</c:f>
              <c:numCache>
                <c:formatCode>#,##0</c:formatCode>
                <c:ptCount val="2"/>
                <c:pt idx="0">
                  <c:v>257936</c:v>
                </c:pt>
                <c:pt idx="1">
                  <c:v>287120</c:v>
                </c:pt>
              </c:numCache>
            </c:numRef>
          </c:val>
        </c:ser>
        <c:dLbls>
          <c:showVal val="1"/>
        </c:dLbls>
        <c:axId val="162343168"/>
        <c:axId val="162365440"/>
      </c:barChart>
      <c:catAx>
        <c:axId val="162343168"/>
        <c:scaling>
          <c:orientation val="minMax"/>
        </c:scaling>
        <c:axPos val="b"/>
        <c:tickLblPos val="nextTo"/>
        <c:crossAx val="162365440"/>
        <c:crosses val="autoZero"/>
        <c:auto val="1"/>
        <c:lblAlgn val="ctr"/>
        <c:lblOffset val="100"/>
      </c:catAx>
      <c:valAx>
        <c:axId val="162365440"/>
        <c:scaling>
          <c:orientation val="minMax"/>
        </c:scaling>
        <c:axPos val="l"/>
        <c:title>
          <c:tx>
            <c:rich>
              <a:bodyPr rot="0" vert="horz"/>
              <a:lstStyle/>
              <a:p>
                <a:pPr>
                  <a:defRPr/>
                </a:pPr>
                <a:r>
                  <a:rPr lang="ru-RU"/>
                  <a:t>*- темп роста  (спада) к соответствующей дате, %</a:t>
                </a:r>
              </a:p>
            </c:rich>
          </c:tx>
          <c:layout>
            <c:manualLayout>
              <c:xMode val="edge"/>
              <c:yMode val="edge"/>
              <c:x val="1.6204193381299981E-3"/>
              <c:y val="0.31773028371453582"/>
            </c:manualLayout>
          </c:layout>
        </c:title>
        <c:numFmt formatCode="#,##0" sourceLinked="1"/>
        <c:tickLblPos val="nextTo"/>
        <c:crossAx val="162343168"/>
        <c:crosses val="autoZero"/>
        <c:crossBetween val="between"/>
      </c:valAx>
      <c:dTable>
        <c:showHorzBorder val="1"/>
        <c:showVertBorder val="1"/>
        <c:showOutline val="1"/>
      </c:dTable>
    </c:plotArea>
    <c:legend>
      <c:legendPos val="b"/>
      <c:layout>
        <c:manualLayout>
          <c:xMode val="edge"/>
          <c:yMode val="edge"/>
          <c:x val="0.14051753481063711"/>
          <c:y val="0.93139400325888877"/>
          <c:w val="0.71896493037873099"/>
          <c:h val="6.8605996741113701E-2"/>
        </c:manualLayout>
      </c:layout>
    </c:legend>
    <c:plotVisOnly val="1"/>
    <c:dispBlanksAs val="gap"/>
  </c:chart>
  <c:spPr>
    <a:ln>
      <a:noFill/>
    </a:ln>
  </c:spPr>
  <c:txPr>
    <a:bodyPr/>
    <a:lstStyle/>
    <a:p>
      <a:pPr>
        <a:defRPr b="1">
          <a:latin typeface="Times New Roman" pitchFamily="18" charset="0"/>
          <a:cs typeface="Times New Roman" pitchFamily="18" charset="0"/>
        </a:defRPr>
      </a:pPr>
      <a:endParaRPr lang="ru-RU"/>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style val="31"/>
  <c:chart>
    <c:title>
      <c:tx>
        <c:rich>
          <a:bodyPr/>
          <a:lstStyle/>
          <a:p>
            <a:pPr>
              <a:defRPr sz="1200"/>
            </a:pPr>
            <a:r>
              <a:rPr lang="ru-RU" sz="1200"/>
              <a:t>Производство продукции животноводства </a:t>
            </a:r>
          </a:p>
          <a:p>
            <a:pPr>
              <a:defRPr sz="1200"/>
            </a:pPr>
            <a:r>
              <a:rPr lang="ru-RU" sz="1200"/>
              <a:t>в организациях, осуществляющих сельскохозяйственное производство                               </a:t>
            </a:r>
          </a:p>
        </c:rich>
      </c:tx>
      <c:layout>
        <c:manualLayout>
          <c:xMode val="edge"/>
          <c:yMode val="edge"/>
          <c:x val="0.23163317877382789"/>
          <c:y val="0"/>
        </c:manualLayout>
      </c:layout>
    </c:title>
    <c:plotArea>
      <c:layout>
        <c:manualLayout>
          <c:layoutTarget val="inner"/>
          <c:xMode val="edge"/>
          <c:yMode val="edge"/>
          <c:x val="0.13101851851851837"/>
          <c:y val="0.12090095121088602"/>
          <c:w val="0.83888888888889934"/>
          <c:h val="0.44478879164495427"/>
        </c:manualLayout>
      </c:layout>
      <c:barChart>
        <c:barDir val="col"/>
        <c:grouping val="clustered"/>
        <c:ser>
          <c:idx val="0"/>
          <c:order val="0"/>
          <c:tx>
            <c:strRef>
              <c:f>Лист1!$B$1</c:f>
              <c:strCache>
                <c:ptCount val="1"/>
                <c:pt idx="0">
                  <c:v>январь-июнь 2013 г.</c:v>
                </c:pt>
              </c:strCache>
            </c:strRef>
          </c:tx>
          <c:dLbls>
            <c:dLbl>
              <c:idx val="0"/>
              <c:layout>
                <c:manualLayout>
                  <c:x val="-2.3148148148148147E-3"/>
                  <c:y val="3.9682539682539802E-3"/>
                </c:manualLayout>
              </c:layout>
              <c:tx>
                <c:rich>
                  <a:bodyPr/>
                  <a:lstStyle/>
                  <a:p>
                    <a:r>
                      <a:rPr lang="ru-RU" sz="900" b="1">
                        <a:latin typeface="Times New Roman" pitchFamily="18" charset="0"/>
                        <a:cs typeface="Times New Roman" pitchFamily="18" charset="0"/>
                      </a:rPr>
                      <a:t>+0,1*</a:t>
                    </a:r>
                    <a:endParaRPr lang="en-US" sz="900" b="1">
                      <a:latin typeface="Times New Roman" pitchFamily="18" charset="0"/>
                      <a:cs typeface="Times New Roman" pitchFamily="18" charset="0"/>
                    </a:endParaRPr>
                  </a:p>
                </c:rich>
              </c:tx>
              <c:dLblPos val="outEnd"/>
              <c:showVal val="1"/>
            </c:dLbl>
            <c:dLbl>
              <c:idx val="1"/>
              <c:layout>
                <c:manualLayout>
                  <c:x val="-4.6296296296297014E-3"/>
                  <c:y val="1.0385013929996374E-2"/>
                </c:manualLayout>
              </c:layout>
              <c:tx>
                <c:rich>
                  <a:bodyPr/>
                  <a:lstStyle/>
                  <a:p>
                    <a:r>
                      <a:rPr lang="ru-RU" sz="900" b="1">
                        <a:latin typeface="Times New Roman" pitchFamily="18" charset="0"/>
                        <a:cs typeface="Times New Roman" pitchFamily="18" charset="0"/>
                      </a:rPr>
                      <a:t>-17,4*</a:t>
                    </a:r>
                    <a:endParaRPr lang="en-US" sz="900" b="1">
                      <a:latin typeface="Times New Roman" pitchFamily="18" charset="0"/>
                      <a:cs typeface="Times New Roman" pitchFamily="18" charset="0"/>
                    </a:endParaRPr>
                  </a:p>
                </c:rich>
              </c:tx>
              <c:dLblPos val="outEnd"/>
              <c:showVal val="1"/>
            </c:dLbl>
            <c:dLbl>
              <c:idx val="2"/>
              <c:layout>
                <c:manualLayout>
                  <c:x val="8.4875562720141492E-17"/>
                  <c:y val="1.1904761904761921E-2"/>
                </c:manualLayout>
              </c:layout>
              <c:tx>
                <c:rich>
                  <a:bodyPr/>
                  <a:lstStyle/>
                  <a:p>
                    <a:r>
                      <a:rPr lang="ru-RU" sz="900" b="1">
                        <a:latin typeface="Times New Roman" pitchFamily="18" charset="0"/>
                        <a:cs typeface="Times New Roman" pitchFamily="18" charset="0"/>
                      </a:rPr>
                      <a:t>+52,1*</a:t>
                    </a:r>
                    <a:endParaRPr lang="en-US" sz="900" b="1">
                      <a:latin typeface="Times New Roman" pitchFamily="18" charset="0"/>
                      <a:cs typeface="Times New Roman" pitchFamily="18" charset="0"/>
                    </a:endParaRPr>
                  </a:p>
                </c:rich>
              </c:tx>
              <c:dLblPos val="outEnd"/>
              <c:showVal val="1"/>
            </c:dLbl>
            <c:txPr>
              <a:bodyPr/>
              <a:lstStyle/>
              <a:p>
                <a:pPr>
                  <a:defRPr sz="900"/>
                </a:pPr>
                <a:endParaRPr lang="ru-RU"/>
              </a:p>
            </c:txPr>
            <c:dLblPos val="outEnd"/>
            <c:showVal val="1"/>
          </c:dLbls>
          <c:cat>
            <c:strRef>
              <c:f>Лист1!$A$2:$A$4</c:f>
              <c:strCache>
                <c:ptCount val="3"/>
                <c:pt idx="0">
                  <c:v>Реализация скота и птицы на убой (в живом весе), тонн</c:v>
                </c:pt>
                <c:pt idx="1">
                  <c:v>Производство молока коровьего, тонн</c:v>
                </c:pt>
                <c:pt idx="2">
                  <c:v>Производство яиц куриных,тыс.шт.</c:v>
                </c:pt>
              </c:strCache>
            </c:strRef>
          </c:cat>
          <c:val>
            <c:numRef>
              <c:f>Лист1!$B$2:$B$4</c:f>
              <c:numCache>
                <c:formatCode>#,##0.0</c:formatCode>
                <c:ptCount val="3"/>
                <c:pt idx="0">
                  <c:v>1682.8</c:v>
                </c:pt>
                <c:pt idx="1">
                  <c:v>3056.7</c:v>
                </c:pt>
                <c:pt idx="2">
                  <c:v>12245.9</c:v>
                </c:pt>
              </c:numCache>
            </c:numRef>
          </c:val>
        </c:ser>
        <c:ser>
          <c:idx val="1"/>
          <c:order val="1"/>
          <c:tx>
            <c:strRef>
              <c:f>Лист1!$C$1</c:f>
              <c:strCache>
                <c:ptCount val="1"/>
                <c:pt idx="0">
                  <c:v>январь-июнь 2014 г.</c:v>
                </c:pt>
              </c:strCache>
            </c:strRef>
          </c:tx>
          <c:spPr>
            <a:solidFill>
              <a:schemeClr val="accent5">
                <a:lumMod val="40000"/>
                <a:lumOff val="60000"/>
              </a:schemeClr>
            </a:solidFill>
          </c:spPr>
          <c:dLbls>
            <c:dLbl>
              <c:idx val="0"/>
              <c:layout>
                <c:manualLayout>
                  <c:x val="2.3148148148148147E-3"/>
                  <c:y val="1.4240489442366154E-2"/>
                </c:manualLayout>
              </c:layout>
              <c:tx>
                <c:rich>
                  <a:bodyPr/>
                  <a:lstStyle/>
                  <a:p>
                    <a:r>
                      <a:rPr lang="ru-RU" sz="900" b="1">
                        <a:latin typeface="Times New Roman" pitchFamily="18" charset="0"/>
                        <a:cs typeface="Times New Roman" pitchFamily="18" charset="0"/>
                      </a:rPr>
                      <a:t>-15,9*</a:t>
                    </a:r>
                    <a:endParaRPr lang="en-US" sz="900" b="1">
                      <a:latin typeface="Times New Roman" pitchFamily="18" charset="0"/>
                      <a:cs typeface="Times New Roman" pitchFamily="18" charset="0"/>
                    </a:endParaRPr>
                  </a:p>
                </c:rich>
              </c:tx>
              <c:dLblPos val="outEnd"/>
              <c:showVal val="1"/>
            </c:dLbl>
            <c:dLbl>
              <c:idx val="1"/>
              <c:layout>
                <c:manualLayout>
                  <c:x val="-2.3148148148148147E-3"/>
                  <c:y val="1.8114644066438323E-2"/>
                </c:manualLayout>
              </c:layout>
              <c:tx>
                <c:rich>
                  <a:bodyPr/>
                  <a:lstStyle/>
                  <a:p>
                    <a:r>
                      <a:rPr lang="ru-RU" sz="900" b="1">
                        <a:latin typeface="Times New Roman" pitchFamily="18" charset="0"/>
                        <a:cs typeface="Times New Roman" pitchFamily="18" charset="0"/>
                      </a:rPr>
                      <a:t>+15,0*</a:t>
                    </a:r>
                    <a:endParaRPr lang="en-US" sz="900" b="1">
                      <a:latin typeface="Times New Roman" pitchFamily="18" charset="0"/>
                      <a:cs typeface="Times New Roman" pitchFamily="18" charset="0"/>
                    </a:endParaRPr>
                  </a:p>
                </c:rich>
              </c:tx>
              <c:dLblPos val="outEnd"/>
              <c:showVal val="1"/>
            </c:dLbl>
            <c:dLbl>
              <c:idx val="2"/>
              <c:layout>
                <c:manualLayout>
                  <c:x val="2.3147415692049392E-3"/>
                  <c:y val="1.8473035698124043E-2"/>
                </c:manualLayout>
              </c:layout>
              <c:tx>
                <c:rich>
                  <a:bodyPr/>
                  <a:lstStyle/>
                  <a:p>
                    <a:r>
                      <a:rPr lang="ru-RU" sz="900" b="1">
                        <a:latin typeface="Times New Roman" pitchFamily="18" charset="0"/>
                        <a:cs typeface="Times New Roman" pitchFamily="18" charset="0"/>
                      </a:rPr>
                      <a:t>+39,8*</a:t>
                    </a:r>
                    <a:endParaRPr lang="en-US" sz="900" b="1">
                      <a:latin typeface="Times New Roman" pitchFamily="18" charset="0"/>
                      <a:cs typeface="Times New Roman" pitchFamily="18" charset="0"/>
                    </a:endParaRPr>
                  </a:p>
                </c:rich>
              </c:tx>
              <c:dLblPos val="outEnd"/>
              <c:showVal val="1"/>
            </c:dLbl>
            <c:txPr>
              <a:bodyPr/>
              <a:lstStyle/>
              <a:p>
                <a:pPr>
                  <a:defRPr sz="900"/>
                </a:pPr>
                <a:endParaRPr lang="ru-RU"/>
              </a:p>
            </c:txPr>
            <c:dLblPos val="outEnd"/>
            <c:showVal val="1"/>
          </c:dLbls>
          <c:cat>
            <c:strRef>
              <c:f>Лист1!$A$2:$A$4</c:f>
              <c:strCache>
                <c:ptCount val="3"/>
                <c:pt idx="0">
                  <c:v>Реализация скота и птицы на убой (в живом весе), тонн</c:v>
                </c:pt>
                <c:pt idx="1">
                  <c:v>Производство молока коровьего, тонн</c:v>
                </c:pt>
                <c:pt idx="2">
                  <c:v>Производство яиц куриных,тыс.шт.</c:v>
                </c:pt>
              </c:strCache>
            </c:strRef>
          </c:cat>
          <c:val>
            <c:numRef>
              <c:f>Лист1!$C$2:$C$4</c:f>
              <c:numCache>
                <c:formatCode>#,##0.0</c:formatCode>
                <c:ptCount val="3"/>
                <c:pt idx="0">
                  <c:v>1415.9</c:v>
                </c:pt>
                <c:pt idx="1">
                  <c:v>3513.8</c:v>
                </c:pt>
                <c:pt idx="2">
                  <c:v>17121.3</c:v>
                </c:pt>
              </c:numCache>
            </c:numRef>
          </c:val>
        </c:ser>
        <c:dLbls>
          <c:showVal val="1"/>
        </c:dLbls>
        <c:axId val="162417664"/>
        <c:axId val="162427648"/>
      </c:barChart>
      <c:catAx>
        <c:axId val="162417664"/>
        <c:scaling>
          <c:orientation val="minMax"/>
        </c:scaling>
        <c:axPos val="b"/>
        <c:tickLblPos val="nextTo"/>
        <c:crossAx val="162427648"/>
        <c:crosses val="autoZero"/>
        <c:auto val="1"/>
        <c:lblAlgn val="ctr"/>
        <c:lblOffset val="100"/>
      </c:catAx>
      <c:valAx>
        <c:axId val="162427648"/>
        <c:scaling>
          <c:orientation val="minMax"/>
        </c:scaling>
        <c:axPos val="l"/>
        <c:numFmt formatCode="#,##0.0" sourceLinked="1"/>
        <c:tickLblPos val="nextTo"/>
        <c:crossAx val="162417664"/>
        <c:crosses val="autoZero"/>
        <c:crossBetween val="between"/>
      </c:valAx>
      <c:dTable>
        <c:showHorzBorder val="1"/>
        <c:showVertBorder val="1"/>
        <c:showOutline val="1"/>
      </c:dTable>
    </c:plotArea>
    <c:legend>
      <c:legendPos val="b"/>
      <c:layout>
        <c:manualLayout>
          <c:xMode val="edge"/>
          <c:yMode val="edge"/>
          <c:x val="0.24724571716016353"/>
          <c:y val="0.95188846764524804"/>
          <c:w val="0.5055084034124796"/>
          <c:h val="4.6989728135834866E-2"/>
        </c:manualLayout>
      </c:layout>
    </c:legend>
    <c:plotVisOnly val="1"/>
    <c:dispBlanksAs val="gap"/>
  </c:chart>
  <c:spPr>
    <a:ln>
      <a:noFill/>
    </a:ln>
  </c:spPr>
  <c:txPr>
    <a:bodyPr/>
    <a:lstStyle/>
    <a:p>
      <a:pPr>
        <a:defRPr b="1">
          <a:latin typeface="Times New Roman" pitchFamily="18" charset="0"/>
          <a:cs typeface="Times New Roman" pitchFamily="18" charset="0"/>
        </a:defRPr>
      </a:pPr>
      <a:endParaRPr lang="ru-RU"/>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style val="27"/>
  <c:chart>
    <c:title>
      <c:tx>
        <c:rich>
          <a:bodyPr/>
          <a:lstStyle/>
          <a:p>
            <a:pPr>
              <a:defRPr/>
            </a:pPr>
            <a:r>
              <a:rPr lang="ru-RU" sz="1200">
                <a:latin typeface="Times New Roman" pitchFamily="18" charset="0"/>
                <a:cs typeface="Times New Roman" pitchFamily="18" charset="0"/>
              </a:rPr>
              <a:t>Продуктивность скота и птицы в организациях, осуществляющих сельскохозяйственное производство</a:t>
            </a:r>
          </a:p>
        </c:rich>
      </c:tx>
      <c:layout>
        <c:manualLayout>
          <c:xMode val="edge"/>
          <c:yMode val="edge"/>
          <c:x val="0.15343175853018493"/>
          <c:y val="0"/>
        </c:manualLayout>
      </c:layout>
    </c:title>
    <c:plotArea>
      <c:layout>
        <c:manualLayout>
          <c:layoutTarget val="inner"/>
          <c:xMode val="edge"/>
          <c:yMode val="edge"/>
          <c:x val="0.27362842665500148"/>
          <c:y val="0.20709552100211301"/>
          <c:w val="0.71930512923172751"/>
          <c:h val="0.37542624861423091"/>
        </c:manualLayout>
      </c:layout>
      <c:barChart>
        <c:barDir val="col"/>
        <c:grouping val="clustered"/>
        <c:ser>
          <c:idx val="0"/>
          <c:order val="0"/>
          <c:tx>
            <c:strRef>
              <c:f>Лист1!$B$1</c:f>
              <c:strCache>
                <c:ptCount val="1"/>
                <c:pt idx="0">
                  <c:v>январь-июнь 2013 г.</c:v>
                </c:pt>
              </c:strCache>
            </c:strRef>
          </c:tx>
          <c:spPr>
            <a:solidFill>
              <a:srgbClr val="00B0F0"/>
            </a:solidFill>
          </c:spPr>
          <c:dLbls>
            <c:dLbl>
              <c:idx val="0"/>
              <c:layout>
                <c:manualLayout>
                  <c:x val="-4.6296296296297014E-3"/>
                  <c:y val="1.1904761904761921E-2"/>
                </c:manualLayout>
              </c:layout>
              <c:tx>
                <c:rich>
                  <a:bodyPr/>
                  <a:lstStyle/>
                  <a:p>
                    <a:r>
                      <a:rPr lang="ru-RU" sz="900" b="1">
                        <a:latin typeface="Times New Roman" pitchFamily="18" charset="0"/>
                        <a:cs typeface="Times New Roman" pitchFamily="18" charset="0"/>
                      </a:rPr>
                      <a:t>-4,8*</a:t>
                    </a:r>
                    <a:endParaRPr lang="en-US" sz="900" b="1">
                      <a:latin typeface="Times New Roman" pitchFamily="18" charset="0"/>
                      <a:cs typeface="Times New Roman" pitchFamily="18" charset="0"/>
                    </a:endParaRPr>
                  </a:p>
                </c:rich>
              </c:tx>
              <c:dLblPos val="outEnd"/>
              <c:showVal val="1"/>
            </c:dLbl>
            <c:dLbl>
              <c:idx val="1"/>
              <c:layout>
                <c:manualLayout>
                  <c:x val="-2.3148148148148147E-3"/>
                  <c:y val="1.1904761904761921E-2"/>
                </c:manualLayout>
              </c:layout>
              <c:tx>
                <c:rich>
                  <a:bodyPr/>
                  <a:lstStyle/>
                  <a:p>
                    <a:r>
                      <a:rPr lang="ru-RU" sz="900" b="1">
                        <a:latin typeface="Times New Roman" pitchFamily="18" charset="0"/>
                        <a:cs typeface="Times New Roman" pitchFamily="18" charset="0"/>
                      </a:rPr>
                      <a:t>+39,5*</a:t>
                    </a:r>
                    <a:endParaRPr lang="en-US" sz="900" b="1">
                      <a:latin typeface="Times New Roman" pitchFamily="18" charset="0"/>
                      <a:cs typeface="Times New Roman" pitchFamily="18" charset="0"/>
                    </a:endParaRPr>
                  </a:p>
                </c:rich>
              </c:tx>
              <c:dLblPos val="outEnd"/>
              <c:showVal val="1"/>
            </c:dLbl>
            <c:txPr>
              <a:bodyPr/>
              <a:lstStyle/>
              <a:p>
                <a:pPr>
                  <a:defRPr sz="900">
                    <a:latin typeface="Times New Roman" pitchFamily="18" charset="0"/>
                    <a:cs typeface="Times New Roman" pitchFamily="18" charset="0"/>
                  </a:defRPr>
                </a:pPr>
                <a:endParaRPr lang="ru-RU"/>
              </a:p>
            </c:txPr>
            <c:dLblPos val="outEnd"/>
            <c:showVal val="1"/>
          </c:dLbls>
          <c:cat>
            <c:strRef>
              <c:f>Лист1!$A$2:$A$3</c:f>
              <c:strCache>
                <c:ptCount val="2"/>
                <c:pt idx="0">
                  <c:v>Среднегодовой надой молока в расчёте на оду корову, кг</c:v>
                </c:pt>
                <c:pt idx="1">
                  <c:v>Среднегодовая яйценокость кур-несушек, шт.</c:v>
                </c:pt>
              </c:strCache>
            </c:strRef>
          </c:cat>
          <c:val>
            <c:numRef>
              <c:f>Лист1!$B$2:$B$3</c:f>
              <c:numCache>
                <c:formatCode>General</c:formatCode>
                <c:ptCount val="2"/>
                <c:pt idx="0" formatCode="#,##0">
                  <c:v>1600</c:v>
                </c:pt>
                <c:pt idx="1">
                  <c:v>154</c:v>
                </c:pt>
              </c:numCache>
            </c:numRef>
          </c:val>
        </c:ser>
        <c:ser>
          <c:idx val="1"/>
          <c:order val="1"/>
          <c:tx>
            <c:strRef>
              <c:f>Лист1!$C$1</c:f>
              <c:strCache>
                <c:ptCount val="1"/>
                <c:pt idx="0">
                  <c:v>январь-июнь 2014 г.</c:v>
                </c:pt>
              </c:strCache>
            </c:strRef>
          </c:tx>
          <c:spPr>
            <a:solidFill>
              <a:schemeClr val="tx2">
                <a:lumMod val="40000"/>
                <a:lumOff val="60000"/>
              </a:schemeClr>
            </a:solidFill>
          </c:spPr>
          <c:dLbls>
            <c:dLbl>
              <c:idx val="0"/>
              <c:layout>
                <c:manualLayout>
                  <c:x val="-2.3148148148148147E-3"/>
                  <c:y val="2.4725418938017364E-2"/>
                </c:manualLayout>
              </c:layout>
              <c:tx>
                <c:rich>
                  <a:bodyPr/>
                  <a:lstStyle/>
                  <a:p>
                    <a:r>
                      <a:rPr lang="ru-RU" sz="900" b="1">
                        <a:latin typeface="Times New Roman" pitchFamily="18" charset="0"/>
                        <a:cs typeface="Times New Roman" pitchFamily="18" charset="0"/>
                      </a:rPr>
                      <a:t>+9,3*</a:t>
                    </a:r>
                    <a:endParaRPr lang="en-US" sz="900" b="1">
                      <a:latin typeface="Times New Roman" pitchFamily="18" charset="0"/>
                      <a:cs typeface="Times New Roman" pitchFamily="18" charset="0"/>
                    </a:endParaRPr>
                  </a:p>
                </c:rich>
              </c:tx>
              <c:dLblPos val="outEnd"/>
              <c:showVal val="1"/>
            </c:dLbl>
            <c:dLbl>
              <c:idx val="1"/>
              <c:layout>
                <c:manualLayout>
                  <c:x val="-4.6298118985126863E-3"/>
                  <c:y val="1.5873015873015879E-2"/>
                </c:manualLayout>
              </c:layout>
              <c:tx>
                <c:rich>
                  <a:bodyPr/>
                  <a:lstStyle/>
                  <a:p>
                    <a:r>
                      <a:rPr lang="ru-RU" sz="900" b="1">
                        <a:latin typeface="Times New Roman" pitchFamily="18" charset="0"/>
                        <a:cs typeface="Times New Roman" pitchFamily="18" charset="0"/>
                      </a:rPr>
                      <a:t>-20,0*</a:t>
                    </a:r>
                    <a:endParaRPr lang="en-US" sz="900" b="1">
                      <a:latin typeface="Times New Roman" pitchFamily="18" charset="0"/>
                      <a:cs typeface="Times New Roman" pitchFamily="18" charset="0"/>
                    </a:endParaRPr>
                  </a:p>
                </c:rich>
              </c:tx>
              <c:dLblPos val="outEnd"/>
              <c:showVal val="1"/>
            </c:dLbl>
            <c:txPr>
              <a:bodyPr/>
              <a:lstStyle/>
              <a:p>
                <a:pPr>
                  <a:defRPr sz="900">
                    <a:latin typeface="Times New Roman" pitchFamily="18" charset="0"/>
                    <a:cs typeface="Times New Roman" pitchFamily="18" charset="0"/>
                  </a:defRPr>
                </a:pPr>
                <a:endParaRPr lang="ru-RU"/>
              </a:p>
            </c:txPr>
            <c:dLblPos val="outEnd"/>
            <c:showVal val="1"/>
          </c:dLbls>
          <c:cat>
            <c:strRef>
              <c:f>Лист1!$A$2:$A$3</c:f>
              <c:strCache>
                <c:ptCount val="2"/>
                <c:pt idx="0">
                  <c:v>Среднегодовой надой молока в расчёте на оду корову, кг</c:v>
                </c:pt>
                <c:pt idx="1">
                  <c:v>Среднегодовая яйценокость кур-несушек, шт.</c:v>
                </c:pt>
              </c:strCache>
            </c:strRef>
          </c:cat>
          <c:val>
            <c:numRef>
              <c:f>Лист1!$C$2:$C$3</c:f>
              <c:numCache>
                <c:formatCode>General</c:formatCode>
                <c:ptCount val="2"/>
                <c:pt idx="0" formatCode="#,##0">
                  <c:v>1749</c:v>
                </c:pt>
                <c:pt idx="1">
                  <c:v>123</c:v>
                </c:pt>
              </c:numCache>
            </c:numRef>
          </c:val>
        </c:ser>
        <c:dLbls>
          <c:showVal val="1"/>
        </c:dLbls>
        <c:axId val="162459008"/>
        <c:axId val="162477184"/>
      </c:barChart>
      <c:catAx>
        <c:axId val="162459008"/>
        <c:scaling>
          <c:orientation val="minMax"/>
        </c:scaling>
        <c:axPos val="b"/>
        <c:tickLblPos val="nextTo"/>
        <c:crossAx val="162477184"/>
        <c:crosses val="autoZero"/>
        <c:auto val="1"/>
        <c:lblAlgn val="ctr"/>
        <c:lblOffset val="100"/>
      </c:catAx>
      <c:valAx>
        <c:axId val="162477184"/>
        <c:scaling>
          <c:orientation val="minMax"/>
        </c:scaling>
        <c:delete val="1"/>
        <c:axPos val="l"/>
        <c:title>
          <c:tx>
            <c:rich>
              <a:bodyPr rot="0" vert="horz"/>
              <a:lstStyle/>
              <a:p>
                <a:pPr>
                  <a:defRPr/>
                </a:pPr>
                <a:r>
                  <a:rPr lang="ru-RU" sz="1000" b="1" i="0" baseline="0">
                    <a:latin typeface="Times New Roman" pitchFamily="18" charset="0"/>
                    <a:cs typeface="Times New Roman" pitchFamily="18" charset="0"/>
                  </a:rPr>
                  <a:t>* - темп роста (спада) к предыдущему периоду, %</a:t>
                </a:r>
                <a:endParaRPr lang="ru-RU" sz="1000">
                  <a:latin typeface="Times New Roman" pitchFamily="18" charset="0"/>
                  <a:cs typeface="Times New Roman" pitchFamily="18" charset="0"/>
                </a:endParaRPr>
              </a:p>
            </c:rich>
          </c:tx>
          <c:layout>
            <c:manualLayout>
              <c:xMode val="edge"/>
              <c:yMode val="edge"/>
              <c:x val="4.1666666666666664E-2"/>
              <c:y val="0.26572814761791141"/>
            </c:manualLayout>
          </c:layout>
        </c:title>
        <c:numFmt formatCode="#,##0" sourceLinked="1"/>
        <c:tickLblPos val="nextTo"/>
        <c:crossAx val="162459008"/>
        <c:crosses val="autoZero"/>
        <c:crossBetween val="between"/>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8"/>
  <c:chart>
    <c:plotArea>
      <c:layout>
        <c:manualLayout>
          <c:layoutTarget val="inner"/>
          <c:xMode val="edge"/>
          <c:yMode val="edge"/>
          <c:x val="0.26341463414634148"/>
          <c:y val="9.6774193548394227E-2"/>
          <c:w val="0.72032520325203264"/>
          <c:h val="0.44239631336408758"/>
        </c:manualLayout>
      </c:layout>
      <c:barChart>
        <c:barDir val="col"/>
        <c:grouping val="clustered"/>
        <c:ser>
          <c:idx val="0"/>
          <c:order val="0"/>
          <c:tx>
            <c:strRef>
              <c:f>Sheet1!$B$1</c:f>
              <c:strCache>
                <c:ptCount val="1"/>
                <c:pt idx="0">
                  <c:v>январь-июнь 2013 год</c:v>
                </c:pt>
              </c:strCache>
            </c:strRef>
          </c:tx>
          <c:dLbls>
            <c:dLbl>
              <c:idx val="0"/>
              <c:layout>
                <c:manualLayout>
                  <c:x val="-4.1492931030681815E-2"/>
                  <c:y val="9.0660623141667531E-3"/>
                </c:manualLayout>
              </c:layout>
              <c:tx>
                <c:rich>
                  <a:bodyPr/>
                  <a:lstStyle/>
                  <a:p>
                    <a:r>
                      <a:rPr lang="ru-RU" sz="900" b="1">
                        <a:latin typeface="Times New Roman" pitchFamily="18" charset="0"/>
                        <a:cs typeface="Times New Roman" pitchFamily="18" charset="0"/>
                      </a:rPr>
                      <a:t>-17,4*</a:t>
                    </a:r>
                    <a:endParaRPr lang="en-US" sz="900" b="1">
                      <a:latin typeface="Times New Roman" pitchFamily="18" charset="0"/>
                      <a:cs typeface="Times New Roman" pitchFamily="18" charset="0"/>
                    </a:endParaRPr>
                  </a:p>
                </c:rich>
              </c:tx>
              <c:dLblPos val="outEnd"/>
            </c:dLbl>
            <c:dLbl>
              <c:idx val="1"/>
              <c:layout>
                <c:manualLayout>
                  <c:x val="-3.7261165883677332E-2"/>
                  <c:y val="-6.2101093451879434E-3"/>
                </c:manualLayout>
              </c:layout>
              <c:tx>
                <c:rich>
                  <a:bodyPr/>
                  <a:lstStyle/>
                  <a:p>
                    <a:r>
                      <a:rPr lang="ru-RU" sz="900" b="1">
                        <a:latin typeface="Times New Roman" pitchFamily="18" charset="0"/>
                        <a:cs typeface="Times New Roman" pitchFamily="18" charset="0"/>
                      </a:rPr>
                      <a:t>-30,9*</a:t>
                    </a:r>
                    <a:endParaRPr lang="en-US" sz="900" b="1">
                      <a:latin typeface="Times New Roman" pitchFamily="18" charset="0"/>
                      <a:cs typeface="Times New Roman" pitchFamily="18" charset="0"/>
                    </a:endParaRPr>
                  </a:p>
                </c:rich>
              </c:tx>
              <c:dLblPos val="outEnd"/>
            </c:dLbl>
            <c:dLbl>
              <c:idx val="2"/>
              <c:layout>
                <c:manualLayout>
                  <c:x val="-2.8047464940668787E-2"/>
                  <c:y val="0"/>
                </c:manualLayout>
              </c:layout>
              <c:tx>
                <c:rich>
                  <a:bodyPr/>
                  <a:lstStyle/>
                  <a:p>
                    <a:r>
                      <a:rPr lang="ru-RU" b="1">
                        <a:latin typeface="Times New Roman" pitchFamily="18" charset="0"/>
                        <a:cs typeface="Times New Roman" pitchFamily="18" charset="0"/>
                      </a:rPr>
                      <a:t>-12,6*</a:t>
                    </a:r>
                    <a:endParaRPr lang="en-US" b="1">
                      <a:latin typeface="Times New Roman" pitchFamily="18" charset="0"/>
                      <a:cs typeface="Times New Roman" pitchFamily="18" charset="0"/>
                    </a:endParaRPr>
                  </a:p>
                </c:rich>
              </c:tx>
              <c:dLblPos val="outEnd"/>
            </c:dLbl>
            <c:dLbl>
              <c:idx val="3"/>
              <c:delete val="1"/>
            </c:dLbl>
            <c:showVal val="1"/>
          </c:dLbls>
          <c:cat>
            <c:strRef>
              <c:f>Sheet1!$A$2:$A$5</c:f>
              <c:strCache>
                <c:ptCount val="4"/>
                <c:pt idx="0">
                  <c:v>ВТО</c:v>
                </c:pt>
                <c:pt idx="1">
                  <c:v>Экспорт</c:v>
                </c:pt>
                <c:pt idx="2">
                  <c:v>Импорт</c:v>
                </c:pt>
                <c:pt idx="3">
                  <c:v>Сальдо</c:v>
                </c:pt>
              </c:strCache>
            </c:strRef>
          </c:cat>
          <c:val>
            <c:numRef>
              <c:f>Sheet1!$B$2:$B$5</c:f>
              <c:numCache>
                <c:formatCode>#,##0.0</c:formatCode>
                <c:ptCount val="4"/>
                <c:pt idx="0">
                  <c:v>960.5</c:v>
                </c:pt>
                <c:pt idx="1">
                  <c:v>211.8</c:v>
                </c:pt>
                <c:pt idx="2">
                  <c:v>748.7</c:v>
                </c:pt>
                <c:pt idx="3">
                  <c:v>-537</c:v>
                </c:pt>
              </c:numCache>
            </c:numRef>
          </c:val>
        </c:ser>
        <c:ser>
          <c:idx val="1"/>
          <c:order val="1"/>
          <c:tx>
            <c:strRef>
              <c:f>Sheet1!$C$1</c:f>
              <c:strCache>
                <c:ptCount val="1"/>
                <c:pt idx="0">
                  <c:v>январь-июнь 2014 год</c:v>
                </c:pt>
              </c:strCache>
            </c:strRef>
          </c:tx>
          <c:dLbls>
            <c:dLbl>
              <c:idx val="0"/>
              <c:layout>
                <c:manualLayout>
                  <c:x val="7.8766624760147135E-4"/>
                  <c:y val="1.8647761280762884E-2"/>
                </c:manualLayout>
              </c:layout>
              <c:tx>
                <c:rich>
                  <a:bodyPr/>
                  <a:lstStyle/>
                  <a:p>
                    <a:r>
                      <a:rPr lang="ru-RU" sz="900" b="1">
                        <a:latin typeface="Times New Roman" pitchFamily="18" charset="0"/>
                        <a:cs typeface="Times New Roman" pitchFamily="18" charset="0"/>
                      </a:rPr>
                      <a:t>+23,6*</a:t>
                    </a:r>
                    <a:endParaRPr lang="en-US" sz="900" b="1">
                      <a:latin typeface="Times New Roman" pitchFamily="18" charset="0"/>
                      <a:cs typeface="Times New Roman" pitchFamily="18" charset="0"/>
                    </a:endParaRPr>
                  </a:p>
                </c:rich>
              </c:tx>
              <c:dLblPos val="outEnd"/>
            </c:dLbl>
            <c:dLbl>
              <c:idx val="1"/>
              <c:layout>
                <c:manualLayout>
                  <c:x val="7.3967224685159139E-4"/>
                  <c:y val="1.3470087456780145E-2"/>
                </c:manualLayout>
              </c:layout>
              <c:tx>
                <c:rich>
                  <a:bodyPr/>
                  <a:lstStyle/>
                  <a:p>
                    <a:r>
                      <a:rPr lang="ru-RU" sz="900" b="1">
                        <a:latin typeface="Times New Roman" pitchFamily="18" charset="0"/>
                        <a:cs typeface="Times New Roman" pitchFamily="18" charset="0"/>
                      </a:rPr>
                      <a:t>+71,4*</a:t>
                    </a:r>
                    <a:endParaRPr lang="en-US" sz="900" b="1">
                      <a:latin typeface="Times New Roman" pitchFamily="18" charset="0"/>
                      <a:cs typeface="Times New Roman" pitchFamily="18" charset="0"/>
                    </a:endParaRPr>
                  </a:p>
                </c:rich>
              </c:tx>
              <c:dLblPos val="outEnd"/>
            </c:dLbl>
            <c:dLbl>
              <c:idx val="2"/>
              <c:layout>
                <c:manualLayout>
                  <c:x val="5.1380048082225018E-3"/>
                  <c:y val="4.1460131136745598E-3"/>
                </c:manualLayout>
              </c:layout>
              <c:tx>
                <c:rich>
                  <a:bodyPr/>
                  <a:lstStyle/>
                  <a:p>
                    <a:r>
                      <a:rPr lang="ru-RU" b="1">
                        <a:latin typeface="Times New Roman" pitchFamily="18" charset="0"/>
                        <a:cs typeface="Times New Roman" pitchFamily="18" charset="0"/>
                      </a:rPr>
                      <a:t>+10,1*</a:t>
                    </a:r>
                    <a:endParaRPr lang="en-US" b="1">
                      <a:latin typeface="Times New Roman" pitchFamily="18" charset="0"/>
                      <a:cs typeface="Times New Roman" pitchFamily="18" charset="0"/>
                    </a:endParaRPr>
                  </a:p>
                </c:rich>
              </c:tx>
              <c:dLblPos val="outEnd"/>
            </c:dLbl>
            <c:dLbl>
              <c:idx val="3"/>
              <c:delete val="1"/>
            </c:dLbl>
            <c:showVal val="1"/>
          </c:dLbls>
          <c:cat>
            <c:strRef>
              <c:f>Sheet1!$A$2:$A$5</c:f>
              <c:strCache>
                <c:ptCount val="4"/>
                <c:pt idx="0">
                  <c:v>ВТО</c:v>
                </c:pt>
                <c:pt idx="1">
                  <c:v>Экспорт</c:v>
                </c:pt>
                <c:pt idx="2">
                  <c:v>Импорт</c:v>
                </c:pt>
                <c:pt idx="3">
                  <c:v>Сальдо</c:v>
                </c:pt>
              </c:strCache>
            </c:strRef>
          </c:cat>
          <c:val>
            <c:numRef>
              <c:f>Sheet1!$C$2:$C$5</c:f>
              <c:numCache>
                <c:formatCode>#,##0.0</c:formatCode>
                <c:ptCount val="4"/>
                <c:pt idx="0">
                  <c:v>1187.5999999999999</c:v>
                </c:pt>
                <c:pt idx="1">
                  <c:v>363</c:v>
                </c:pt>
                <c:pt idx="2">
                  <c:v>824.6</c:v>
                </c:pt>
                <c:pt idx="3">
                  <c:v>-461.7</c:v>
                </c:pt>
              </c:numCache>
            </c:numRef>
          </c:val>
        </c:ser>
        <c:gapWidth val="50"/>
        <c:overlap val="60"/>
        <c:axId val="75036160"/>
        <c:axId val="75037696"/>
      </c:barChart>
      <c:catAx>
        <c:axId val="75036160"/>
        <c:scaling>
          <c:orientation val="minMax"/>
        </c:scaling>
        <c:axPos val="b"/>
        <c:numFmt formatCode="General" sourceLinked="1"/>
        <c:majorTickMark val="cross"/>
        <c:tickLblPos val="nextTo"/>
        <c:txPr>
          <a:bodyPr rot="0" vert="horz"/>
          <a:lstStyle/>
          <a:p>
            <a:pPr>
              <a:defRPr/>
            </a:pPr>
            <a:endParaRPr lang="ru-RU"/>
          </a:p>
        </c:txPr>
        <c:crossAx val="75037696"/>
        <c:crosses val="autoZero"/>
        <c:lblAlgn val="ctr"/>
        <c:lblOffset val="20"/>
        <c:tickMarkSkip val="1"/>
      </c:catAx>
      <c:valAx>
        <c:axId val="75037696"/>
        <c:scaling>
          <c:orientation val="minMax"/>
        </c:scaling>
        <c:axPos val="l"/>
        <c:title>
          <c:tx>
            <c:rich>
              <a:bodyPr rot="0" vert="horz"/>
              <a:lstStyle/>
              <a:p>
                <a:pPr>
                  <a:defRPr>
                    <a:latin typeface="Times New Roman" pitchFamily="18" charset="0"/>
                    <a:cs typeface="Times New Roman" pitchFamily="18" charset="0"/>
                  </a:defRPr>
                </a:pPr>
                <a:endParaRPr lang="ru-RU">
                  <a:latin typeface="Times New Roman" pitchFamily="18" charset="0"/>
                  <a:cs typeface="Times New Roman" pitchFamily="18" charset="0"/>
                </a:endParaRPr>
              </a:p>
              <a:p>
                <a:pPr>
                  <a:defRPr>
                    <a:latin typeface="Times New Roman" pitchFamily="18" charset="0"/>
                    <a:cs typeface="Times New Roman" pitchFamily="18" charset="0"/>
                  </a:defRPr>
                </a:pPr>
                <a:endParaRPr lang="ru-RU">
                  <a:latin typeface="Times New Roman" pitchFamily="18" charset="0"/>
                  <a:cs typeface="Times New Roman" pitchFamily="18" charset="0"/>
                </a:endParaRPr>
              </a:p>
              <a:p>
                <a:pPr>
                  <a:defRPr>
                    <a:latin typeface="Times New Roman" pitchFamily="18" charset="0"/>
                    <a:cs typeface="Times New Roman" pitchFamily="18" charset="0"/>
                  </a:defRPr>
                </a:pPr>
                <a:endParaRPr lang="ru-RU">
                  <a:latin typeface="Times New Roman" pitchFamily="18" charset="0"/>
                  <a:cs typeface="Times New Roman" pitchFamily="18" charset="0"/>
                </a:endParaRPr>
              </a:p>
              <a:p>
                <a:pPr>
                  <a:defRPr>
                    <a:latin typeface="Times New Roman" pitchFamily="18" charset="0"/>
                    <a:cs typeface="Times New Roman" pitchFamily="18" charset="0"/>
                  </a:defRPr>
                </a:pPr>
                <a:r>
                  <a:rPr lang="ru-RU">
                    <a:latin typeface="Times New Roman" pitchFamily="18" charset="0"/>
                    <a:cs typeface="Times New Roman" pitchFamily="18" charset="0"/>
                  </a:rPr>
                  <a:t>* - темп прироста (спада) в % к </a:t>
                </a:r>
              </a:p>
              <a:p>
                <a:pPr>
                  <a:defRPr>
                    <a:latin typeface="Times New Roman" pitchFamily="18" charset="0"/>
                    <a:cs typeface="Times New Roman" pitchFamily="18" charset="0"/>
                  </a:defRPr>
                </a:pPr>
                <a:r>
                  <a:rPr lang="ru-RU">
                    <a:latin typeface="Times New Roman" pitchFamily="18" charset="0"/>
                    <a:cs typeface="Times New Roman" pitchFamily="18" charset="0"/>
                  </a:rPr>
                  <a:t>предыдущему </a:t>
                </a:r>
              </a:p>
              <a:p>
                <a:pPr>
                  <a:defRPr>
                    <a:latin typeface="Times New Roman" pitchFamily="18" charset="0"/>
                    <a:cs typeface="Times New Roman" pitchFamily="18" charset="0"/>
                  </a:defRPr>
                </a:pPr>
                <a:r>
                  <a:rPr lang="ru-RU">
                    <a:latin typeface="Times New Roman" pitchFamily="18" charset="0"/>
                    <a:cs typeface="Times New Roman" pitchFamily="18" charset="0"/>
                  </a:rPr>
                  <a:t>году</a:t>
                </a:r>
              </a:p>
            </c:rich>
          </c:tx>
          <c:layout>
            <c:manualLayout>
              <c:xMode val="edge"/>
              <c:yMode val="edge"/>
              <c:x val="1.6593810187036661E-3"/>
              <c:y val="2.5052040908679967E-3"/>
            </c:manualLayout>
          </c:layout>
        </c:title>
        <c:numFmt formatCode="#,##0.0" sourceLinked="1"/>
        <c:majorTickMark val="cross"/>
        <c:tickLblPos val="nextTo"/>
        <c:txPr>
          <a:bodyPr rot="0" vert="horz"/>
          <a:lstStyle/>
          <a:p>
            <a:pPr>
              <a:defRPr>
                <a:latin typeface="Times New Roman" pitchFamily="18" charset="0"/>
                <a:cs typeface="Times New Roman" pitchFamily="18" charset="0"/>
              </a:defRPr>
            </a:pPr>
            <a:endParaRPr lang="ru-RU"/>
          </a:p>
        </c:txPr>
        <c:crossAx val="75036160"/>
        <c:crosses val="autoZero"/>
        <c:crossBetween val="between"/>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dispBlanksAs val="gap"/>
  </c:chart>
  <c:spPr>
    <a:ln>
      <a:noFill/>
    </a:ln>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style val="27"/>
  <c:chart>
    <c:plotArea>
      <c:layout>
        <c:manualLayout>
          <c:layoutTarget val="inner"/>
          <c:xMode val="edge"/>
          <c:yMode val="edge"/>
          <c:x val="0.11265507436570428"/>
          <c:y val="0.11087087353517436"/>
          <c:w val="0.4984560367454095"/>
          <c:h val="0.5284811652064576"/>
        </c:manualLayout>
      </c:layout>
      <c:barChart>
        <c:barDir val="col"/>
        <c:grouping val="clustered"/>
        <c:ser>
          <c:idx val="0"/>
          <c:order val="0"/>
          <c:tx>
            <c:strRef>
              <c:f>'инв-ии по импорту ОС'!$C$7</c:f>
              <c:strCache>
                <c:ptCount val="1"/>
                <c:pt idx="0">
                  <c:v>строительно-монтажные работы</c:v>
                </c:pt>
              </c:strCache>
            </c:strRef>
          </c:tx>
          <c:dLbls>
            <c:dLbl>
              <c:idx val="0"/>
              <c:layout>
                <c:manualLayout>
                  <c:x val="8.3333333333333523E-3"/>
                  <c:y val="1.0228214822081198E-2"/>
                </c:manualLayout>
              </c:layout>
              <c:tx>
                <c:rich>
                  <a:bodyPr/>
                  <a:lstStyle/>
                  <a:p>
                    <a:r>
                      <a:rPr lang="ru-RU" sz="900" b="1">
                        <a:latin typeface="Times New Roman" pitchFamily="18" charset="0"/>
                        <a:cs typeface="Times New Roman" pitchFamily="18" charset="0"/>
                      </a:rPr>
                      <a:t>26,3%*</a:t>
                    </a:r>
                    <a:endParaRPr lang="en-US" sz="900" b="1">
                      <a:latin typeface="Times New Roman" pitchFamily="18" charset="0"/>
                      <a:cs typeface="Times New Roman" pitchFamily="18" charset="0"/>
                    </a:endParaRPr>
                  </a:p>
                </c:rich>
              </c:tx>
              <c:showVal val="1"/>
            </c:dLbl>
            <c:dLbl>
              <c:idx val="1"/>
              <c:layout>
                <c:manualLayout>
                  <c:x val="8.3333333333334026E-3"/>
                  <c:y val="9.6902589567074708E-4"/>
                </c:manualLayout>
              </c:layout>
              <c:tx>
                <c:rich>
                  <a:bodyPr/>
                  <a:lstStyle/>
                  <a:p>
                    <a:r>
                      <a:rPr lang="ru-RU" sz="900" b="1">
                        <a:latin typeface="Times New Roman" pitchFamily="18" charset="0"/>
                        <a:cs typeface="Times New Roman" pitchFamily="18" charset="0"/>
                      </a:rPr>
                      <a:t>38,1%*</a:t>
                    </a:r>
                    <a:endParaRPr lang="en-US" sz="900" b="1">
                      <a:latin typeface="Times New Roman" pitchFamily="18" charset="0"/>
                      <a:cs typeface="Times New Roman" pitchFamily="18" charset="0"/>
                    </a:endParaRPr>
                  </a:p>
                </c:rich>
              </c:tx>
              <c:showVal val="1"/>
            </c:dLbl>
            <c:txPr>
              <a:bodyPr/>
              <a:lstStyle/>
              <a:p>
                <a:pPr>
                  <a:defRPr sz="900" b="1">
                    <a:latin typeface="Times New Roman" pitchFamily="18" charset="0"/>
                    <a:cs typeface="Times New Roman" pitchFamily="18" charset="0"/>
                  </a:defRPr>
                </a:pPr>
                <a:endParaRPr lang="ru-RU"/>
              </a:p>
            </c:txPr>
            <c:showVal val="1"/>
          </c:dLbls>
          <c:cat>
            <c:strRef>
              <c:f>'инв-ии по импорту ОС'!$D$2:$G$2</c:f>
              <c:strCache>
                <c:ptCount val="2"/>
                <c:pt idx="0">
                  <c:v>январь-июнь 2013 г.</c:v>
                </c:pt>
                <c:pt idx="1">
                  <c:v>январь-июнь 2014 г.</c:v>
                </c:pt>
              </c:strCache>
            </c:strRef>
          </c:cat>
          <c:val>
            <c:numRef>
              <c:f>'инв-ии по импорту ОС'!$D$7:$F$7</c:f>
              <c:numCache>
                <c:formatCode>General</c:formatCode>
                <c:ptCount val="2"/>
                <c:pt idx="0">
                  <c:v>456.9</c:v>
                </c:pt>
                <c:pt idx="1">
                  <c:v>554.5</c:v>
                </c:pt>
              </c:numCache>
            </c:numRef>
          </c:val>
        </c:ser>
        <c:ser>
          <c:idx val="1"/>
          <c:order val="1"/>
          <c:tx>
            <c:strRef>
              <c:f>'инв-ии по импорту ОС'!$C$9</c:f>
              <c:strCache>
                <c:ptCount val="1"/>
                <c:pt idx="0">
                  <c:v>машины, оборудование, транспортные средства, инструмент,     инвентарь</c:v>
                </c:pt>
              </c:strCache>
            </c:strRef>
          </c:tx>
          <c:spPr>
            <a:solidFill>
              <a:srgbClr val="92D050"/>
            </a:solidFill>
          </c:spPr>
          <c:dLbls>
            <c:dLbl>
              <c:idx val="0"/>
              <c:layout>
                <c:manualLayout>
                  <c:x val="8.3333333333333523E-3"/>
                  <c:y val="1.0335914508693998E-2"/>
                </c:manualLayout>
              </c:layout>
              <c:tx>
                <c:rich>
                  <a:bodyPr/>
                  <a:lstStyle/>
                  <a:p>
                    <a:r>
                      <a:rPr lang="ru-RU" sz="900" b="1">
                        <a:latin typeface="Times New Roman" pitchFamily="18" charset="0"/>
                        <a:cs typeface="Times New Roman" pitchFamily="18" charset="0"/>
                      </a:rPr>
                      <a:t>65,9%*</a:t>
                    </a:r>
                    <a:endParaRPr lang="en-US" sz="900" b="1">
                      <a:latin typeface="Times New Roman" pitchFamily="18" charset="0"/>
                      <a:cs typeface="Times New Roman" pitchFamily="18" charset="0"/>
                    </a:endParaRPr>
                  </a:p>
                </c:rich>
              </c:tx>
              <c:showVal val="1"/>
            </c:dLbl>
            <c:dLbl>
              <c:idx val="1"/>
              <c:layout>
                <c:manualLayout>
                  <c:x val="1.1695906432748536E-2"/>
                  <c:y val="1.2944983818770241E-2"/>
                </c:manualLayout>
              </c:layout>
              <c:tx>
                <c:rich>
                  <a:bodyPr/>
                  <a:lstStyle/>
                  <a:p>
                    <a:r>
                      <a:rPr lang="ru-RU" sz="900" b="1">
                        <a:latin typeface="Times New Roman" pitchFamily="18" charset="0"/>
                        <a:cs typeface="Times New Roman" pitchFamily="18" charset="0"/>
                      </a:rPr>
                      <a:t>57,9%*</a:t>
                    </a:r>
                    <a:endParaRPr lang="en-US" sz="900" b="1">
                      <a:latin typeface="Times New Roman" pitchFamily="18" charset="0"/>
                      <a:cs typeface="Times New Roman" pitchFamily="18" charset="0"/>
                    </a:endParaRPr>
                  </a:p>
                </c:rich>
              </c:tx>
              <c:showVal val="1"/>
            </c:dLbl>
            <c:txPr>
              <a:bodyPr/>
              <a:lstStyle/>
              <a:p>
                <a:pPr>
                  <a:defRPr sz="900" b="1">
                    <a:latin typeface="Times New Roman" pitchFamily="18" charset="0"/>
                    <a:cs typeface="Times New Roman" pitchFamily="18" charset="0"/>
                  </a:defRPr>
                </a:pPr>
                <a:endParaRPr lang="ru-RU"/>
              </a:p>
            </c:txPr>
            <c:showVal val="1"/>
          </c:dLbls>
          <c:cat>
            <c:strRef>
              <c:f>'инв-ии по импорту ОС'!$D$2:$G$2</c:f>
              <c:strCache>
                <c:ptCount val="2"/>
                <c:pt idx="0">
                  <c:v>январь-июнь 2013 г.</c:v>
                </c:pt>
                <c:pt idx="1">
                  <c:v>январь-июнь 2014 г.</c:v>
                </c:pt>
              </c:strCache>
            </c:strRef>
          </c:cat>
          <c:val>
            <c:numRef>
              <c:f>'инв-ии по импорту ОС'!$D$9:$F$9</c:f>
              <c:numCache>
                <c:formatCode>General</c:formatCode>
                <c:ptCount val="2"/>
                <c:pt idx="0">
                  <c:v>782</c:v>
                </c:pt>
                <c:pt idx="1">
                  <c:v>988.7</c:v>
                </c:pt>
              </c:numCache>
            </c:numRef>
          </c:val>
        </c:ser>
        <c:axId val="162574336"/>
        <c:axId val="162575872"/>
      </c:barChart>
      <c:catAx>
        <c:axId val="162574336"/>
        <c:scaling>
          <c:orientation val="minMax"/>
        </c:scaling>
        <c:axPos val="b"/>
        <c:tickLblPos val="nextTo"/>
        <c:txPr>
          <a:bodyPr/>
          <a:lstStyle/>
          <a:p>
            <a:pPr>
              <a:defRPr b="0">
                <a:latin typeface="Times New Roman" pitchFamily="18" charset="0"/>
                <a:cs typeface="Times New Roman" pitchFamily="18" charset="0"/>
              </a:defRPr>
            </a:pPr>
            <a:endParaRPr lang="ru-RU"/>
          </a:p>
        </c:txPr>
        <c:crossAx val="162575872"/>
        <c:crosses val="autoZero"/>
        <c:auto val="1"/>
        <c:lblAlgn val="ctr"/>
        <c:lblOffset val="100"/>
      </c:catAx>
      <c:valAx>
        <c:axId val="162575872"/>
        <c:scaling>
          <c:orientation val="minMax"/>
          <c:max val="1000"/>
        </c:scaling>
        <c:axPos val="l"/>
        <c:numFmt formatCode="General" sourceLinked="1"/>
        <c:tickLblPos val="nextTo"/>
        <c:txPr>
          <a:bodyPr/>
          <a:lstStyle/>
          <a:p>
            <a:pPr>
              <a:defRPr sz="900" b="1">
                <a:latin typeface="Times New Roman" pitchFamily="18" charset="0"/>
                <a:cs typeface="Times New Roman" pitchFamily="18" charset="0"/>
              </a:defRPr>
            </a:pPr>
            <a:endParaRPr lang="ru-RU"/>
          </a:p>
        </c:txPr>
        <c:crossAx val="162574336"/>
        <c:crosses val="autoZero"/>
        <c:crossBetween val="between"/>
      </c:valAx>
    </c:plotArea>
    <c:legend>
      <c:legendPos val="r"/>
      <c:legendEntry>
        <c:idx val="0"/>
        <c:txPr>
          <a:bodyPr/>
          <a:lstStyle/>
          <a:p>
            <a:pPr>
              <a:defRPr sz="900" b="0">
                <a:latin typeface="Times New Roman" pitchFamily="18" charset="0"/>
                <a:cs typeface="Times New Roman" pitchFamily="18" charset="0"/>
              </a:defRPr>
            </a:pPr>
            <a:endParaRPr lang="ru-RU"/>
          </a:p>
        </c:txPr>
      </c:legendEntry>
      <c:legendEntry>
        <c:idx val="1"/>
        <c:txPr>
          <a:bodyPr/>
          <a:lstStyle/>
          <a:p>
            <a:pPr>
              <a:defRPr sz="900" b="0">
                <a:latin typeface="Times New Roman" pitchFamily="18" charset="0"/>
                <a:cs typeface="Times New Roman" pitchFamily="18" charset="0"/>
              </a:defRPr>
            </a:pPr>
            <a:endParaRPr lang="ru-RU"/>
          </a:p>
        </c:txPr>
      </c:legendEntry>
      <c:layout>
        <c:manualLayout>
          <c:xMode val="edge"/>
          <c:yMode val="edge"/>
          <c:x val="0.62745098039215652"/>
          <c:y val="0.16170758936823051"/>
          <c:w val="0.34640522875816993"/>
          <c:h val="0.61972511182581402"/>
        </c:manualLayout>
      </c:layout>
      <c:txPr>
        <a:bodyPr/>
        <a:lstStyle/>
        <a:p>
          <a:pPr>
            <a:defRPr sz="900">
              <a:latin typeface="Times New Roman" pitchFamily="18" charset="0"/>
              <a:cs typeface="Times New Roman" pitchFamily="18" charset="0"/>
            </a:defRPr>
          </a:pPr>
          <a:endParaRPr lang="ru-RU"/>
        </a:p>
      </c:txPr>
    </c:legend>
    <c:plotVisOnly val="1"/>
  </c:chart>
  <c:spPr>
    <a:ln>
      <a:noFill/>
    </a:ln>
  </c:spPr>
  <c:externalData r:id="rId1"/>
  <c:userShapes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0.2012155745489079"/>
          <c:y val="0.14522199539872341"/>
          <c:w val="0.6540918709947624"/>
          <c:h val="0.50076337636478863"/>
        </c:manualLayout>
      </c:layout>
      <c:bar3DChart>
        <c:barDir val="col"/>
        <c:grouping val="stacked"/>
        <c:ser>
          <c:idx val="0"/>
          <c:order val="0"/>
          <c:tx>
            <c:strRef>
              <c:f>'инв-ии произ и непроиз зн'!$D$13</c:f>
              <c:strCache>
                <c:ptCount val="1"/>
                <c:pt idx="0">
                  <c:v>производственного назначения </c:v>
                </c:pt>
              </c:strCache>
            </c:strRef>
          </c:tx>
          <c:spPr>
            <a:solidFill>
              <a:schemeClr val="tx2">
                <a:lumMod val="20000"/>
                <a:lumOff val="80000"/>
              </a:schemeClr>
            </a:solidFill>
          </c:spPr>
          <c:dLbls>
            <c:dLbl>
              <c:idx val="0"/>
              <c:layout>
                <c:manualLayout>
                  <c:x val="-6.267806267806264E-2"/>
                  <c:y val="1.4069644741470278E-2"/>
                </c:manualLayout>
              </c:layout>
              <c:tx>
                <c:rich>
                  <a:bodyPr/>
                  <a:lstStyle/>
                  <a:p>
                    <a:r>
                      <a:rPr lang="ru-RU" b="1"/>
                      <a:t>87,1%*</a:t>
                    </a:r>
                    <a:endParaRPr lang="en-US" b="1"/>
                  </a:p>
                </c:rich>
              </c:tx>
              <c:showVal val="1"/>
            </c:dLbl>
            <c:dLbl>
              <c:idx val="1"/>
              <c:layout>
                <c:manualLayout>
                  <c:x val="-6.267806267806264E-2"/>
                  <c:y val="-3.5174111853675865E-3"/>
                </c:manualLayout>
              </c:layout>
              <c:tx>
                <c:rich>
                  <a:bodyPr/>
                  <a:lstStyle/>
                  <a:p>
                    <a:r>
                      <a:rPr lang="ru-RU" b="1"/>
                      <a:t>87,4%*</a:t>
                    </a:r>
                    <a:endParaRPr lang="en-US" b="1"/>
                  </a:p>
                </c:rich>
              </c:tx>
              <c:showVal val="1"/>
            </c:dLbl>
            <c:txPr>
              <a:bodyPr/>
              <a:lstStyle/>
              <a:p>
                <a:pPr>
                  <a:defRPr b="1"/>
                </a:pPr>
                <a:endParaRPr lang="ru-RU"/>
              </a:p>
            </c:txPr>
            <c:showVal val="1"/>
          </c:dLbls>
          <c:cat>
            <c:strRef>
              <c:f>'инв-ии произ и непроиз зн'!$E$12:$F$12</c:f>
              <c:strCache>
                <c:ptCount val="2"/>
                <c:pt idx="0">
                  <c:v>январь-июнь 2013 г.</c:v>
                </c:pt>
                <c:pt idx="1">
                  <c:v>январь-июнь 2014 г.</c:v>
                </c:pt>
              </c:strCache>
            </c:strRef>
          </c:cat>
          <c:val>
            <c:numRef>
              <c:f>'инв-ии произ и непроиз зн'!$E$13:$F$13</c:f>
              <c:numCache>
                <c:formatCode>#,##0.0</c:formatCode>
                <c:ptCount val="2"/>
                <c:pt idx="0">
                  <c:v>492.2</c:v>
                </c:pt>
                <c:pt idx="1">
                  <c:v>550.5</c:v>
                </c:pt>
              </c:numCache>
            </c:numRef>
          </c:val>
        </c:ser>
        <c:ser>
          <c:idx val="1"/>
          <c:order val="1"/>
          <c:tx>
            <c:strRef>
              <c:f>'инв-ии произ и непроиз зн'!$D$14</c:f>
              <c:strCache>
                <c:ptCount val="1"/>
                <c:pt idx="0">
                  <c:v>непроизводственного назначения</c:v>
                </c:pt>
              </c:strCache>
            </c:strRef>
          </c:tx>
          <c:dLbls>
            <c:dLbl>
              <c:idx val="0"/>
              <c:layout>
                <c:manualLayout>
                  <c:x val="1.7754415833155991E-2"/>
                  <c:y val="-5.8387701537307914E-2"/>
                </c:manualLayout>
              </c:layout>
              <c:tx>
                <c:rich>
                  <a:bodyPr/>
                  <a:lstStyle/>
                  <a:p>
                    <a:r>
                      <a:rPr lang="ru-RU" b="1"/>
                      <a:t>12,9%*</a:t>
                    </a:r>
                    <a:endParaRPr lang="en-US" b="1"/>
                  </a:p>
                </c:rich>
              </c:tx>
              <c:showVal val="1"/>
            </c:dLbl>
            <c:dLbl>
              <c:idx val="1"/>
              <c:layout>
                <c:manualLayout>
                  <c:x val="2.0630488756473012E-2"/>
                  <c:y val="-5.7143232095988004E-2"/>
                </c:manualLayout>
              </c:layout>
              <c:tx>
                <c:rich>
                  <a:bodyPr/>
                  <a:lstStyle/>
                  <a:p>
                    <a:r>
                      <a:rPr lang="ru-RU" b="1"/>
                      <a:t>12,6%*</a:t>
                    </a:r>
                    <a:endParaRPr lang="en-US" b="1"/>
                  </a:p>
                </c:rich>
              </c:tx>
              <c:showVal val="1"/>
            </c:dLbl>
            <c:txPr>
              <a:bodyPr/>
              <a:lstStyle/>
              <a:p>
                <a:pPr>
                  <a:defRPr b="1"/>
                </a:pPr>
                <a:endParaRPr lang="ru-RU"/>
              </a:p>
            </c:txPr>
            <c:showVal val="1"/>
          </c:dLbls>
          <c:cat>
            <c:strRef>
              <c:f>'инв-ии произ и непроиз зн'!$E$12:$F$12</c:f>
              <c:strCache>
                <c:ptCount val="2"/>
                <c:pt idx="0">
                  <c:v>январь-июнь 2013 г.</c:v>
                </c:pt>
                <c:pt idx="1">
                  <c:v>январь-июнь 2014 г.</c:v>
                </c:pt>
              </c:strCache>
            </c:strRef>
          </c:cat>
          <c:val>
            <c:numRef>
              <c:f>'инв-ии произ и непроиз зн'!$E$14:$F$14</c:f>
              <c:numCache>
                <c:formatCode>General</c:formatCode>
                <c:ptCount val="2"/>
                <c:pt idx="0">
                  <c:v>73.099999999999994</c:v>
                </c:pt>
                <c:pt idx="1">
                  <c:v>79.2</c:v>
                </c:pt>
              </c:numCache>
            </c:numRef>
          </c:val>
        </c:ser>
        <c:shape val="cylinder"/>
        <c:axId val="162839936"/>
        <c:axId val="162841728"/>
        <c:axId val="0"/>
      </c:bar3DChart>
      <c:catAx>
        <c:axId val="162839936"/>
        <c:scaling>
          <c:orientation val="minMax"/>
        </c:scaling>
        <c:axPos val="b"/>
        <c:tickLblPos val="nextTo"/>
        <c:crossAx val="162841728"/>
        <c:crosses val="autoZero"/>
        <c:auto val="1"/>
        <c:lblAlgn val="ctr"/>
        <c:lblOffset val="100"/>
      </c:catAx>
      <c:valAx>
        <c:axId val="162841728"/>
        <c:scaling>
          <c:orientation val="minMax"/>
          <c:max val="1400"/>
        </c:scaling>
        <c:axPos val="l"/>
        <c:majorGridlines/>
        <c:numFmt formatCode="#,##0.0" sourceLinked="1"/>
        <c:tickLblPos val="nextTo"/>
        <c:txPr>
          <a:bodyPr/>
          <a:lstStyle/>
          <a:p>
            <a:pPr>
              <a:defRPr sz="900" b="1"/>
            </a:pPr>
            <a:endParaRPr lang="ru-RU"/>
          </a:p>
        </c:txPr>
        <c:crossAx val="162839936"/>
        <c:crosses val="autoZero"/>
        <c:crossBetween val="between"/>
      </c:valAx>
    </c:plotArea>
    <c:legend>
      <c:legendPos val="r"/>
      <c:legendEntry>
        <c:idx val="1"/>
        <c:txPr>
          <a:bodyPr/>
          <a:lstStyle/>
          <a:p>
            <a:pPr>
              <a:defRPr sz="900"/>
            </a:pPr>
            <a:endParaRPr lang="ru-RU"/>
          </a:p>
        </c:txPr>
      </c:legendEntry>
      <c:legendEntry>
        <c:idx val="0"/>
        <c:txPr>
          <a:bodyPr/>
          <a:lstStyle/>
          <a:p>
            <a:pPr>
              <a:defRPr sz="900"/>
            </a:pPr>
            <a:endParaRPr lang="ru-RU"/>
          </a:p>
        </c:txPr>
      </c:legendEntry>
      <c:layout>
        <c:manualLayout>
          <c:xMode val="edge"/>
          <c:yMode val="edge"/>
          <c:x val="0.69158345747322125"/>
          <c:y val="0.17357442819647625"/>
          <c:w val="0.28679492090515712"/>
          <c:h val="0.46265766779152606"/>
        </c:manualLayout>
      </c:layout>
    </c:legend>
    <c:plotVisOnly val="1"/>
  </c:chart>
  <c:spPr>
    <a:ln>
      <a:noFill/>
    </a:ln>
  </c:spPr>
  <c:txPr>
    <a:bodyPr/>
    <a:lstStyle/>
    <a:p>
      <a:pPr algn="just">
        <a:defRPr>
          <a:latin typeface="Times New Roman" pitchFamily="18" charset="0"/>
          <a:cs typeface="Times New Roman" pitchFamily="18" charset="0"/>
        </a:defRPr>
      </a:pPr>
      <a:endParaRPr lang="ru-RU"/>
    </a:p>
  </c:txPr>
  <c:externalData r:id="rId1"/>
  <c:userShapes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798" b="1" i="0" u="none" strike="noStrike" baseline="0">
                <a:solidFill>
                  <a:srgbClr val="000000"/>
                </a:solidFill>
                <a:latin typeface="Times New Roman" pitchFamily="18" charset="0"/>
                <a:ea typeface="Calibri"/>
                <a:cs typeface="Times New Roman" pitchFamily="18" charset="0"/>
              </a:defRPr>
            </a:pPr>
            <a:r>
              <a:rPr lang="ru-RU">
                <a:latin typeface="Times New Roman" pitchFamily="18" charset="0"/>
                <a:cs typeface="Times New Roman" pitchFamily="18" charset="0"/>
              </a:rPr>
              <a:t>январь-июнь 2013  г.</a:t>
            </a:r>
          </a:p>
        </c:rich>
      </c:tx>
      <c:layout>
        <c:manualLayout>
          <c:xMode val="edge"/>
          <c:yMode val="edge"/>
          <c:x val="0.36069031194109585"/>
          <c:y val="2.5725335057755486E-2"/>
        </c:manualLayout>
      </c:layout>
      <c:spPr>
        <a:noFill/>
        <a:ln w="25328">
          <a:noFill/>
        </a:ln>
      </c:spPr>
    </c:title>
    <c:view3D>
      <c:rotX val="30"/>
      <c:rotY val="80"/>
      <c:perspective val="0"/>
    </c:view3D>
    <c:plotArea>
      <c:layout>
        <c:manualLayout>
          <c:layoutTarget val="inner"/>
          <c:xMode val="edge"/>
          <c:yMode val="edge"/>
          <c:x val="0"/>
          <c:y val="9.5492411274677627E-2"/>
          <c:w val="0.9382206427736357"/>
          <c:h val="0.38917755699386392"/>
        </c:manualLayout>
      </c:layout>
      <c:pie3DChart>
        <c:varyColors val="1"/>
        <c:ser>
          <c:idx val="0"/>
          <c:order val="0"/>
          <c:tx>
            <c:strRef>
              <c:f>Sheet1!$A$2</c:f>
              <c:strCache>
                <c:ptCount val="1"/>
                <c:pt idx="0">
                  <c:v>Восток</c:v>
                </c:pt>
              </c:strCache>
            </c:strRef>
          </c:tx>
          <c:spPr>
            <a:solidFill>
              <a:srgbClr val="9999FF"/>
            </a:solidFill>
            <a:ln w="12664">
              <a:solidFill>
                <a:srgbClr val="000000"/>
              </a:solidFill>
              <a:prstDash val="solid"/>
            </a:ln>
          </c:spPr>
          <c:explosion val="25"/>
          <c:dPt>
            <c:idx val="0"/>
            <c:spPr>
              <a:solidFill>
                <a:srgbClr val="969696"/>
              </a:solidFill>
              <a:ln w="12664">
                <a:solidFill>
                  <a:srgbClr val="000000"/>
                </a:solidFill>
                <a:prstDash val="solid"/>
              </a:ln>
            </c:spPr>
          </c:dPt>
          <c:dPt>
            <c:idx val="1"/>
            <c:spPr>
              <a:blipFill dpi="0" rotWithShape="0">
                <a:blip xmlns:r="http://schemas.openxmlformats.org/officeDocument/2006/relationships" r:embed="rId1"/>
                <a:srcRect/>
                <a:tile tx="0" ty="0" sx="100000" sy="100000" flip="none" algn="tl"/>
              </a:blipFill>
              <a:ln w="12664">
                <a:solidFill>
                  <a:srgbClr val="000000"/>
                </a:solidFill>
                <a:prstDash val="solid"/>
              </a:ln>
            </c:spPr>
          </c:dPt>
          <c:dPt>
            <c:idx val="2"/>
            <c:spPr>
              <a:solidFill>
                <a:srgbClr val="660066"/>
              </a:solidFill>
              <a:ln w="12664">
                <a:solidFill>
                  <a:srgbClr val="000000"/>
                </a:solidFill>
                <a:prstDash val="solid"/>
              </a:ln>
            </c:spPr>
          </c:dPt>
          <c:dPt>
            <c:idx val="3"/>
            <c:spPr>
              <a:pattFill prst="lgCheck">
                <a:fgClr>
                  <a:srgbClr val="993366"/>
                </a:fgClr>
                <a:bgClr>
                  <a:srgbClr val="FFFFFF"/>
                </a:bgClr>
              </a:pattFill>
              <a:ln w="12664">
                <a:solidFill>
                  <a:srgbClr val="000000"/>
                </a:solidFill>
                <a:prstDash val="solid"/>
              </a:ln>
            </c:spPr>
          </c:dPt>
          <c:dLbls>
            <c:dLbl>
              <c:idx val="0"/>
              <c:layout>
                <c:manualLayout>
                  <c:x val="3.8162574810891983E-2"/>
                  <c:y val="0.14361038203557891"/>
                </c:manualLayout>
              </c:layout>
              <c:tx>
                <c:rich>
                  <a:bodyPr/>
                  <a:lstStyle/>
                  <a:p>
                    <a:r>
                      <a:rPr lang="ru-RU">
                        <a:latin typeface="Times New Roman" pitchFamily="18" charset="0"/>
                        <a:cs typeface="Times New Roman" pitchFamily="18" charset="0"/>
                      </a:rPr>
                      <a:t>2,6</a:t>
                    </a:r>
                    <a:r>
                      <a:rPr lang="en-US">
                        <a:latin typeface="Times New Roman" pitchFamily="18" charset="0"/>
                        <a:cs typeface="Times New Roman" pitchFamily="18" charset="0"/>
                      </a:rPr>
                      <a:t>%</a:t>
                    </a:r>
                  </a:p>
                </c:rich>
              </c:tx>
              <c:showVal val="1"/>
              <c:showPercent val="1"/>
            </c:dLbl>
            <c:dLbl>
              <c:idx val="1"/>
              <c:layout>
                <c:manualLayout>
                  <c:x val="-4.7557196943302522E-2"/>
                  <c:y val="4.6409271304854956E-2"/>
                </c:manualLayout>
              </c:layout>
              <c:tx>
                <c:rich>
                  <a:bodyPr/>
                  <a:lstStyle/>
                  <a:p>
                    <a:r>
                      <a:rPr lang="en-US">
                        <a:latin typeface="Times New Roman" pitchFamily="18" charset="0"/>
                        <a:cs typeface="Times New Roman" pitchFamily="18" charset="0"/>
                      </a:rPr>
                      <a:t>9</a:t>
                    </a:r>
                    <a:r>
                      <a:rPr lang="ru-RU">
                        <a:latin typeface="Times New Roman" pitchFamily="18" charset="0"/>
                        <a:cs typeface="Times New Roman" pitchFamily="18" charset="0"/>
                      </a:rPr>
                      <a:t>2,9</a:t>
                    </a:r>
                    <a:r>
                      <a:rPr lang="en-US">
                        <a:latin typeface="Times New Roman" pitchFamily="18" charset="0"/>
                        <a:cs typeface="Times New Roman" pitchFamily="18" charset="0"/>
                      </a:rPr>
                      <a:t>%</a:t>
                    </a:r>
                  </a:p>
                </c:rich>
              </c:tx>
              <c:showVal val="1"/>
              <c:showPercent val="1"/>
            </c:dLbl>
            <c:dLbl>
              <c:idx val="2"/>
              <c:layout>
                <c:manualLayout>
                  <c:x val="5.9839113031225133E-2"/>
                  <c:y val="-8.047624481722393E-2"/>
                </c:manualLayout>
              </c:layout>
              <c:tx>
                <c:rich>
                  <a:bodyPr/>
                  <a:lstStyle/>
                  <a:p>
                    <a:r>
                      <a:rPr lang="ru-RU">
                        <a:latin typeface="Times New Roman" pitchFamily="18" charset="0"/>
                        <a:cs typeface="Times New Roman" pitchFamily="18" charset="0"/>
                      </a:rPr>
                      <a:t>0,5</a:t>
                    </a:r>
                    <a:r>
                      <a:rPr lang="en-US">
                        <a:latin typeface="Times New Roman" pitchFamily="18" charset="0"/>
                        <a:cs typeface="Times New Roman" pitchFamily="18" charset="0"/>
                      </a:rPr>
                      <a:t>%</a:t>
                    </a:r>
                  </a:p>
                </c:rich>
              </c:tx>
              <c:showVal val="1"/>
              <c:showPercent val="1"/>
            </c:dLbl>
            <c:dLbl>
              <c:idx val="3"/>
              <c:layout>
                <c:manualLayout>
                  <c:x val="5.7019952151998933E-2"/>
                  <c:y val="2.5977912181267458E-2"/>
                </c:manualLayout>
              </c:layout>
              <c:tx>
                <c:rich>
                  <a:bodyPr/>
                  <a:lstStyle/>
                  <a:p>
                    <a:r>
                      <a:rPr lang="ru-RU">
                        <a:latin typeface="Times New Roman" pitchFamily="18" charset="0"/>
                        <a:cs typeface="Times New Roman" pitchFamily="18" charset="0"/>
                      </a:rPr>
                      <a:t>4,0</a:t>
                    </a:r>
                    <a:r>
                      <a:rPr lang="en-US">
                        <a:latin typeface="Times New Roman" pitchFamily="18" charset="0"/>
                        <a:cs typeface="Times New Roman" pitchFamily="18" charset="0"/>
                      </a:rPr>
                      <a:t>%</a:t>
                    </a:r>
                  </a:p>
                </c:rich>
              </c:tx>
              <c:showVal val="1"/>
              <c:showPercent val="1"/>
            </c:dLbl>
            <c:txPr>
              <a:bodyPr/>
              <a:lstStyle/>
              <a:p>
                <a:pPr>
                  <a:defRPr>
                    <a:latin typeface="Times New Roman" pitchFamily="18" charset="0"/>
                    <a:cs typeface="Times New Roman" pitchFamily="18" charset="0"/>
                  </a:defRPr>
                </a:pPr>
                <a:endParaRPr lang="ru-RU"/>
              </a:p>
            </c:txPr>
            <c:showVal val="1"/>
            <c:showPercent val="1"/>
            <c:showLeaderLines val="1"/>
          </c:dLbls>
          <c:cat>
            <c:strRef>
              <c:f>Sheet1!$B$1:$E$1</c:f>
              <c:strCache>
                <c:ptCount val="4"/>
                <c:pt idx="0">
                  <c:v>средства бюджетов</c:v>
                </c:pt>
                <c:pt idx="1">
                  <c:v>собственные средства организаций</c:v>
                </c:pt>
                <c:pt idx="2">
                  <c:v>кредиты (займы) банков</c:v>
                </c:pt>
                <c:pt idx="3">
                  <c:v>прочие источники</c:v>
                </c:pt>
              </c:strCache>
            </c:strRef>
          </c:cat>
          <c:val>
            <c:numRef>
              <c:f>Sheet1!$B$2:$E$2</c:f>
              <c:numCache>
                <c:formatCode>0.0%</c:formatCode>
                <c:ptCount val="4"/>
                <c:pt idx="0">
                  <c:v>2.5999999999999999E-2</c:v>
                </c:pt>
                <c:pt idx="1">
                  <c:v>0.92900000000000005</c:v>
                </c:pt>
                <c:pt idx="2">
                  <c:v>5.0000000000000114E-3</c:v>
                </c:pt>
                <c:pt idx="3">
                  <c:v>4.0000000000000022E-2</c:v>
                </c:pt>
              </c:numCache>
            </c:numRef>
          </c:val>
        </c:ser>
        <c:dLbls>
          <c:showVal val="1"/>
          <c:showPercent val="1"/>
        </c:dLbls>
      </c:pie3DChart>
    </c:plotArea>
    <c:legend>
      <c:legendPos val="b"/>
      <c:layout>
        <c:manualLayout>
          <c:xMode val="edge"/>
          <c:yMode val="edge"/>
          <c:x val="9.154974946313528E-2"/>
          <c:y val="0.53297931961404243"/>
          <c:w val="0.66326032254819633"/>
          <c:h val="0.36447690415510325"/>
        </c:manualLayout>
      </c:layout>
      <c:spPr>
        <a:solidFill>
          <a:srgbClr val="FFFFFF"/>
        </a:solidFill>
        <a:ln w="3166">
          <a:solidFill>
            <a:srgbClr val="000000"/>
          </a:solidFill>
          <a:prstDash val="solid"/>
        </a:ln>
      </c:spPr>
      <c:txPr>
        <a:bodyPr/>
        <a:lstStyle/>
        <a:p>
          <a:pPr>
            <a:defRPr sz="800"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797" b="1" i="0" u="none" strike="noStrike" baseline="0">
                <a:solidFill>
                  <a:srgbClr val="000000"/>
                </a:solidFill>
                <a:latin typeface="Times New Roman" pitchFamily="18" charset="0"/>
                <a:ea typeface="Calibri"/>
                <a:cs typeface="Times New Roman" pitchFamily="18" charset="0"/>
              </a:defRPr>
            </a:pPr>
            <a:r>
              <a:rPr lang="ru-RU">
                <a:latin typeface="Times New Roman" pitchFamily="18" charset="0"/>
                <a:cs typeface="Times New Roman" pitchFamily="18" charset="0"/>
              </a:rPr>
              <a:t>январь-июнь 2014 г.</a:t>
            </a:r>
          </a:p>
        </c:rich>
      </c:tx>
      <c:layout>
        <c:manualLayout>
          <c:xMode val="edge"/>
          <c:yMode val="edge"/>
          <c:x val="0.38729978009505683"/>
          <c:y val="3.2423700660605993E-2"/>
        </c:manualLayout>
      </c:layout>
      <c:spPr>
        <a:noFill/>
        <a:ln w="25319">
          <a:noFill/>
        </a:ln>
      </c:spPr>
    </c:title>
    <c:view3D>
      <c:rotX val="30"/>
      <c:rotY val="80"/>
      <c:perspective val="0"/>
    </c:view3D>
    <c:plotArea>
      <c:layout>
        <c:manualLayout>
          <c:layoutTarget val="inner"/>
          <c:xMode val="edge"/>
          <c:yMode val="edge"/>
          <c:x val="0"/>
          <c:y val="0.10649168853893311"/>
          <c:w val="1"/>
          <c:h val="0.36866773852221352"/>
        </c:manualLayout>
      </c:layout>
      <c:pie3DChart>
        <c:varyColors val="1"/>
        <c:ser>
          <c:idx val="0"/>
          <c:order val="0"/>
          <c:tx>
            <c:strRef>
              <c:f>Sheet1!$A$2</c:f>
              <c:strCache>
                <c:ptCount val="1"/>
                <c:pt idx="0">
                  <c:v>Восток</c:v>
                </c:pt>
              </c:strCache>
            </c:strRef>
          </c:tx>
          <c:spPr>
            <a:solidFill>
              <a:srgbClr val="9999FF"/>
            </a:solidFill>
            <a:ln w="12660">
              <a:solidFill>
                <a:srgbClr val="000000"/>
              </a:solidFill>
              <a:prstDash val="solid"/>
            </a:ln>
          </c:spPr>
          <c:explosion val="25"/>
          <c:dPt>
            <c:idx val="0"/>
            <c:spPr>
              <a:solidFill>
                <a:srgbClr val="969696"/>
              </a:solidFill>
              <a:ln w="12660">
                <a:solidFill>
                  <a:srgbClr val="000000"/>
                </a:solidFill>
                <a:prstDash val="solid"/>
              </a:ln>
            </c:spPr>
          </c:dPt>
          <c:dPt>
            <c:idx val="1"/>
            <c:spPr>
              <a:blipFill dpi="0" rotWithShape="0">
                <a:blip xmlns:r="http://schemas.openxmlformats.org/officeDocument/2006/relationships" r:embed="rId1"/>
                <a:srcRect/>
                <a:tile tx="0" ty="0" sx="100000" sy="100000" flip="none" algn="tl"/>
              </a:blipFill>
              <a:ln w="12660">
                <a:solidFill>
                  <a:srgbClr val="000000"/>
                </a:solidFill>
                <a:prstDash val="solid"/>
              </a:ln>
            </c:spPr>
          </c:dPt>
          <c:dPt>
            <c:idx val="2"/>
            <c:spPr>
              <a:solidFill>
                <a:srgbClr val="660066"/>
              </a:solidFill>
              <a:ln w="12660">
                <a:solidFill>
                  <a:srgbClr val="000000"/>
                </a:solidFill>
                <a:prstDash val="solid"/>
              </a:ln>
            </c:spPr>
          </c:dPt>
          <c:dPt>
            <c:idx val="3"/>
            <c:spPr>
              <a:pattFill prst="lgCheck">
                <a:fgClr>
                  <a:srgbClr val="993366"/>
                </a:fgClr>
                <a:bgClr>
                  <a:srgbClr val="FFFFFF"/>
                </a:bgClr>
              </a:pattFill>
              <a:ln w="12660">
                <a:solidFill>
                  <a:srgbClr val="000000"/>
                </a:solidFill>
                <a:prstDash val="solid"/>
              </a:ln>
            </c:spPr>
          </c:dPt>
          <c:dLbls>
            <c:dLbl>
              <c:idx val="0"/>
              <c:layout>
                <c:manualLayout>
                  <c:x val="3.7687308013944286E-2"/>
                  <c:y val="7.4465091863518934E-2"/>
                </c:manualLayout>
              </c:layout>
              <c:tx>
                <c:rich>
                  <a:bodyPr/>
                  <a:lstStyle/>
                  <a:p>
                    <a:pPr>
                      <a:defRPr sz="797" b="1" i="0" u="none" strike="noStrike" baseline="0">
                        <a:solidFill>
                          <a:srgbClr val="000000"/>
                        </a:solidFill>
                        <a:latin typeface="Times New Roman" pitchFamily="18" charset="0"/>
                        <a:ea typeface="Calibri"/>
                        <a:cs typeface="Times New Roman" pitchFamily="18" charset="0"/>
                      </a:defRPr>
                    </a:pPr>
                    <a:r>
                      <a:rPr lang="ru-RU">
                        <a:latin typeface="Times New Roman" pitchFamily="18" charset="0"/>
                        <a:cs typeface="Times New Roman" pitchFamily="18" charset="0"/>
                      </a:rPr>
                      <a:t>3,0</a:t>
                    </a:r>
                    <a:r>
                      <a:rPr lang="en-US">
                        <a:latin typeface="Times New Roman" pitchFamily="18" charset="0"/>
                        <a:cs typeface="Times New Roman" pitchFamily="18" charset="0"/>
                      </a:rPr>
                      <a:t>%</a:t>
                    </a:r>
                  </a:p>
                </c:rich>
              </c:tx>
              <c:spPr>
                <a:noFill/>
                <a:ln w="25319">
                  <a:noFill/>
                </a:ln>
              </c:spPr>
              <c:dLblPos val="bestFit"/>
              <c:showVal val="1"/>
              <c:showPercent val="1"/>
            </c:dLbl>
            <c:dLbl>
              <c:idx val="1"/>
              <c:layout>
                <c:manualLayout>
                  <c:x val="-2.128418490275466E-2"/>
                  <c:y val="7.4776052993375822E-2"/>
                </c:manualLayout>
              </c:layout>
              <c:tx>
                <c:rich>
                  <a:bodyPr/>
                  <a:lstStyle/>
                  <a:p>
                    <a:pPr>
                      <a:defRPr sz="797" b="1" i="0" u="none" strike="noStrike" baseline="0">
                        <a:solidFill>
                          <a:srgbClr val="000000"/>
                        </a:solidFill>
                        <a:latin typeface="Times New Roman" pitchFamily="18" charset="0"/>
                        <a:ea typeface="Calibri"/>
                        <a:cs typeface="Times New Roman" pitchFamily="18" charset="0"/>
                      </a:defRPr>
                    </a:pPr>
                    <a:r>
                      <a:rPr lang="en-US">
                        <a:latin typeface="Times New Roman" pitchFamily="18" charset="0"/>
                        <a:cs typeface="Times New Roman" pitchFamily="18" charset="0"/>
                      </a:rPr>
                      <a:t>8</a:t>
                    </a:r>
                    <a:r>
                      <a:rPr lang="ru-RU">
                        <a:latin typeface="Times New Roman" pitchFamily="18" charset="0"/>
                        <a:cs typeface="Times New Roman" pitchFamily="18" charset="0"/>
                      </a:rPr>
                      <a:t>0,1%</a:t>
                    </a:r>
                    <a:endParaRPr lang="en-US">
                      <a:latin typeface="Times New Roman" pitchFamily="18" charset="0"/>
                      <a:cs typeface="Times New Roman" pitchFamily="18" charset="0"/>
                    </a:endParaRPr>
                  </a:p>
                </c:rich>
              </c:tx>
              <c:spPr>
                <a:noFill/>
                <a:ln w="25319">
                  <a:noFill/>
                </a:ln>
              </c:spPr>
              <c:dLblPos val="bestFit"/>
              <c:showVal val="1"/>
              <c:showPercent val="1"/>
            </c:dLbl>
            <c:dLbl>
              <c:idx val="2"/>
              <c:layout>
                <c:manualLayout>
                  <c:x val="6.8544016457402282E-2"/>
                  <c:y val="-0.11207323722215889"/>
                </c:manualLayout>
              </c:layout>
              <c:tx>
                <c:rich>
                  <a:bodyPr/>
                  <a:lstStyle/>
                  <a:p>
                    <a:pPr>
                      <a:defRPr sz="797" b="1" i="0" u="none" strike="noStrike" baseline="0">
                        <a:solidFill>
                          <a:srgbClr val="000000"/>
                        </a:solidFill>
                        <a:latin typeface="Times New Roman" pitchFamily="18" charset="0"/>
                        <a:ea typeface="Calibri"/>
                        <a:cs typeface="Times New Roman" pitchFamily="18" charset="0"/>
                      </a:defRPr>
                    </a:pPr>
                    <a:r>
                      <a:rPr lang="ru-RU">
                        <a:latin typeface="Times New Roman" pitchFamily="18" charset="0"/>
                        <a:cs typeface="Times New Roman" pitchFamily="18" charset="0"/>
                      </a:rPr>
                      <a:t>2,3</a:t>
                    </a:r>
                    <a:r>
                      <a:rPr lang="en-US">
                        <a:latin typeface="Times New Roman" pitchFamily="18" charset="0"/>
                        <a:cs typeface="Times New Roman" pitchFamily="18" charset="0"/>
                      </a:rPr>
                      <a:t>%</a:t>
                    </a:r>
                  </a:p>
                </c:rich>
              </c:tx>
              <c:spPr>
                <a:noFill/>
                <a:ln w="25319">
                  <a:noFill/>
                </a:ln>
              </c:spPr>
              <c:dLblPos val="bestFit"/>
              <c:showVal val="1"/>
              <c:showPercent val="1"/>
            </c:dLbl>
            <c:dLbl>
              <c:idx val="3"/>
              <c:layout>
                <c:manualLayout>
                  <c:x val="4.5934241327942132E-2"/>
                  <c:y val="-4.5053571202150464E-2"/>
                </c:manualLayout>
              </c:layout>
              <c:tx>
                <c:rich>
                  <a:bodyPr/>
                  <a:lstStyle/>
                  <a:p>
                    <a:pPr>
                      <a:defRPr sz="797" b="1" i="0" u="none" strike="noStrike" baseline="0">
                        <a:solidFill>
                          <a:srgbClr val="000000"/>
                        </a:solidFill>
                        <a:latin typeface="Times New Roman" pitchFamily="18" charset="0"/>
                        <a:ea typeface="Calibri"/>
                        <a:cs typeface="Times New Roman" pitchFamily="18" charset="0"/>
                      </a:defRPr>
                    </a:pPr>
                    <a:r>
                      <a:rPr lang="ru-RU">
                        <a:latin typeface="Times New Roman" pitchFamily="18" charset="0"/>
                        <a:cs typeface="Times New Roman" pitchFamily="18" charset="0"/>
                      </a:rPr>
                      <a:t>14,6</a:t>
                    </a:r>
                    <a:r>
                      <a:rPr lang="en-US">
                        <a:latin typeface="Times New Roman" pitchFamily="18" charset="0"/>
                        <a:cs typeface="Times New Roman" pitchFamily="18" charset="0"/>
                      </a:rPr>
                      <a:t>%</a:t>
                    </a:r>
                  </a:p>
                </c:rich>
              </c:tx>
              <c:spPr>
                <a:noFill/>
                <a:ln w="25319">
                  <a:noFill/>
                </a:ln>
              </c:spPr>
              <c:dLblPos val="bestFit"/>
              <c:showVal val="1"/>
              <c:showPercent val="1"/>
            </c:dLbl>
            <c:dLbl>
              <c:idx val="4"/>
              <c:layout>
                <c:manualLayout>
                  <c:x val="-7.9423291546545802E-2"/>
                  <c:y val="1.1341417274298561E-3"/>
                </c:manualLayout>
              </c:layout>
              <c:spPr>
                <a:noFill/>
                <a:ln w="25319">
                  <a:noFill/>
                </a:ln>
              </c:spPr>
              <c:txPr>
                <a:bodyPr/>
                <a:lstStyle/>
                <a:p>
                  <a:pPr>
                    <a:defRPr sz="797" b="1" i="0" u="none" strike="noStrike" baseline="0">
                      <a:solidFill>
                        <a:srgbClr val="000000"/>
                      </a:solidFill>
                      <a:latin typeface="Times New Roman" pitchFamily="18" charset="0"/>
                      <a:ea typeface="Calibri"/>
                      <a:cs typeface="Times New Roman" pitchFamily="18" charset="0"/>
                    </a:defRPr>
                  </a:pPr>
                  <a:endParaRPr lang="ru-RU"/>
                </a:p>
              </c:txPr>
              <c:dLblPos val="bestFit"/>
              <c:showVal val="1"/>
              <c:showPercent val="1"/>
            </c:dLbl>
            <c:dLbl>
              <c:idx val="5"/>
              <c:layout>
                <c:manualLayout>
                  <c:x val="-0.12883613558915979"/>
                  <c:y val="-5.6232996118203933E-2"/>
                </c:manualLayout>
              </c:layout>
              <c:spPr>
                <a:noFill/>
                <a:ln w="25319">
                  <a:noFill/>
                </a:ln>
              </c:spPr>
              <c:txPr>
                <a:bodyPr/>
                <a:lstStyle/>
                <a:p>
                  <a:pPr>
                    <a:defRPr sz="797" b="1" i="0" u="none" strike="noStrike" baseline="0">
                      <a:solidFill>
                        <a:srgbClr val="000000"/>
                      </a:solidFill>
                      <a:latin typeface="Times New Roman" pitchFamily="18" charset="0"/>
                      <a:ea typeface="Calibri"/>
                      <a:cs typeface="Times New Roman" pitchFamily="18" charset="0"/>
                    </a:defRPr>
                  </a:pPr>
                  <a:endParaRPr lang="ru-RU"/>
                </a:p>
              </c:txPr>
              <c:dLblPos val="bestFit"/>
              <c:showVal val="1"/>
              <c:showPercent val="1"/>
            </c:dLbl>
            <c:dLbl>
              <c:idx val="6"/>
              <c:layout>
                <c:manualLayout>
                  <c:x val="-4.6739807796465846E-2"/>
                  <c:y val="-0.13727101005578182"/>
                </c:manualLayout>
              </c:layout>
              <c:spPr>
                <a:noFill/>
                <a:ln w="25319">
                  <a:noFill/>
                </a:ln>
              </c:spPr>
              <c:txPr>
                <a:bodyPr/>
                <a:lstStyle/>
                <a:p>
                  <a:pPr>
                    <a:defRPr sz="797" b="1" i="0" u="none" strike="noStrike" baseline="0">
                      <a:solidFill>
                        <a:srgbClr val="000000"/>
                      </a:solidFill>
                      <a:latin typeface="Times New Roman" pitchFamily="18" charset="0"/>
                      <a:ea typeface="Calibri"/>
                      <a:cs typeface="Times New Roman" pitchFamily="18" charset="0"/>
                    </a:defRPr>
                  </a:pPr>
                  <a:endParaRPr lang="ru-RU"/>
                </a:p>
              </c:txPr>
              <c:dLblPos val="bestFit"/>
              <c:showVal val="1"/>
              <c:showPercent val="1"/>
            </c:dLbl>
            <c:dLbl>
              <c:idx val="7"/>
              <c:layout>
                <c:manualLayout>
                  <c:x val="-0.12131749626794185"/>
                  <c:y val="-0.14979121978685017"/>
                </c:manualLayout>
              </c:layout>
              <c:spPr>
                <a:noFill/>
                <a:ln w="25319">
                  <a:noFill/>
                </a:ln>
              </c:spPr>
              <c:txPr>
                <a:bodyPr/>
                <a:lstStyle/>
                <a:p>
                  <a:pPr>
                    <a:defRPr sz="797" b="1" i="0" u="none" strike="noStrike" baseline="0">
                      <a:solidFill>
                        <a:srgbClr val="000000"/>
                      </a:solidFill>
                      <a:latin typeface="Times New Roman" pitchFamily="18" charset="0"/>
                      <a:ea typeface="Calibri"/>
                      <a:cs typeface="Times New Roman" pitchFamily="18" charset="0"/>
                    </a:defRPr>
                  </a:pPr>
                  <a:endParaRPr lang="ru-RU"/>
                </a:p>
              </c:txPr>
              <c:dLblPos val="bestFit"/>
              <c:showVal val="1"/>
              <c:showPercent val="1"/>
            </c:dLbl>
            <c:dLbl>
              <c:idx val="8"/>
              <c:layout>
                <c:manualLayout>
                  <c:x val="7.9664857278558709E-2"/>
                  <c:y val="-0.1359210952999807"/>
                </c:manualLayout>
              </c:layout>
              <c:spPr>
                <a:noFill/>
                <a:ln w="25319">
                  <a:noFill/>
                </a:ln>
              </c:spPr>
              <c:txPr>
                <a:bodyPr/>
                <a:lstStyle/>
                <a:p>
                  <a:pPr>
                    <a:defRPr sz="797" b="1" i="0" u="none" strike="noStrike" baseline="0">
                      <a:solidFill>
                        <a:srgbClr val="000000"/>
                      </a:solidFill>
                      <a:latin typeface="Times New Roman" pitchFamily="18" charset="0"/>
                      <a:ea typeface="Calibri"/>
                      <a:cs typeface="Times New Roman" pitchFamily="18" charset="0"/>
                    </a:defRPr>
                  </a:pPr>
                  <a:endParaRPr lang="ru-RU"/>
                </a:p>
              </c:txPr>
              <c:dLblPos val="bestFit"/>
              <c:showVal val="1"/>
              <c:showPercent val="1"/>
            </c:dLbl>
            <c:dLbl>
              <c:idx val="9"/>
              <c:layout>
                <c:manualLayout>
                  <c:x val="5.5932806936557874E-2"/>
                  <c:y val="-9.9738752073467746E-2"/>
                </c:manualLayout>
              </c:layout>
              <c:spPr>
                <a:noFill/>
                <a:ln w="25319">
                  <a:noFill/>
                </a:ln>
              </c:spPr>
              <c:txPr>
                <a:bodyPr/>
                <a:lstStyle/>
                <a:p>
                  <a:pPr>
                    <a:defRPr sz="797" b="1" i="0" u="none" strike="noStrike" baseline="0">
                      <a:solidFill>
                        <a:srgbClr val="000000"/>
                      </a:solidFill>
                      <a:latin typeface="Times New Roman" pitchFamily="18" charset="0"/>
                      <a:ea typeface="Calibri"/>
                      <a:cs typeface="Times New Roman" pitchFamily="18" charset="0"/>
                    </a:defRPr>
                  </a:pPr>
                  <a:endParaRPr lang="ru-RU"/>
                </a:p>
              </c:txPr>
              <c:dLblPos val="bestFit"/>
              <c:showVal val="1"/>
              <c:showPercent val="1"/>
            </c:dLbl>
            <c:dLbl>
              <c:idx val="10"/>
              <c:layout>
                <c:manualLayout>
                  <c:x val="8.9960564866300274E-2"/>
                  <c:y val="-6.6121948348689341E-2"/>
                </c:manualLayout>
              </c:layout>
              <c:spPr>
                <a:noFill/>
                <a:ln w="25319">
                  <a:noFill/>
                </a:ln>
              </c:spPr>
              <c:txPr>
                <a:bodyPr/>
                <a:lstStyle/>
                <a:p>
                  <a:pPr>
                    <a:defRPr sz="797" b="1" i="0" u="none" strike="noStrike" baseline="0">
                      <a:solidFill>
                        <a:srgbClr val="000000"/>
                      </a:solidFill>
                      <a:latin typeface="Times New Roman" pitchFamily="18" charset="0"/>
                      <a:ea typeface="Calibri"/>
                      <a:cs typeface="Times New Roman" pitchFamily="18" charset="0"/>
                    </a:defRPr>
                  </a:pPr>
                  <a:endParaRPr lang="ru-RU"/>
                </a:p>
              </c:txPr>
              <c:dLblPos val="bestFit"/>
              <c:showVal val="1"/>
              <c:showPercent val="1"/>
            </c:dLbl>
            <c:dLbl>
              <c:idx val="11"/>
              <c:layout>
                <c:manualLayout>
                  <c:x val="4.7145589451160895E-2"/>
                  <c:y val="-1.489385283150272E-2"/>
                </c:manualLayout>
              </c:layout>
              <c:spPr>
                <a:noFill/>
                <a:ln w="25319">
                  <a:noFill/>
                </a:ln>
              </c:spPr>
              <c:txPr>
                <a:bodyPr/>
                <a:lstStyle/>
                <a:p>
                  <a:pPr>
                    <a:defRPr sz="797" b="1" i="0" u="none" strike="noStrike" baseline="0">
                      <a:solidFill>
                        <a:srgbClr val="000000"/>
                      </a:solidFill>
                      <a:latin typeface="Times New Roman" pitchFamily="18" charset="0"/>
                      <a:ea typeface="Calibri"/>
                      <a:cs typeface="Times New Roman" pitchFamily="18" charset="0"/>
                    </a:defRPr>
                  </a:pPr>
                  <a:endParaRPr lang="ru-RU"/>
                </a:p>
              </c:txPr>
              <c:dLblPos val="bestFit"/>
              <c:showVal val="1"/>
              <c:showPercent val="1"/>
            </c:dLbl>
            <c:numFmt formatCode="0%" sourceLinked="0"/>
            <c:spPr>
              <a:noFill/>
              <a:ln w="25319">
                <a:noFill/>
              </a:ln>
            </c:spPr>
            <c:txPr>
              <a:bodyPr/>
              <a:lstStyle/>
              <a:p>
                <a:pPr>
                  <a:defRPr sz="797" b="1" i="0" u="none" strike="noStrike" baseline="0">
                    <a:solidFill>
                      <a:srgbClr val="000000"/>
                    </a:solidFill>
                    <a:latin typeface="Times New Roman" pitchFamily="18" charset="0"/>
                    <a:ea typeface="Calibri"/>
                    <a:cs typeface="Times New Roman" pitchFamily="18" charset="0"/>
                  </a:defRPr>
                </a:pPr>
                <a:endParaRPr lang="ru-RU"/>
              </a:p>
            </c:txPr>
            <c:showVal val="1"/>
            <c:showPercent val="1"/>
            <c:showLeaderLines val="1"/>
          </c:dLbls>
          <c:cat>
            <c:strRef>
              <c:f>Sheet1!$B$1:$E$1</c:f>
              <c:strCache>
                <c:ptCount val="4"/>
                <c:pt idx="0">
                  <c:v>средства бюджетов</c:v>
                </c:pt>
                <c:pt idx="1">
                  <c:v>собственные средства организаций</c:v>
                </c:pt>
                <c:pt idx="2">
                  <c:v>кредиты (займы) банков</c:v>
                </c:pt>
                <c:pt idx="3">
                  <c:v>прочие источники</c:v>
                </c:pt>
              </c:strCache>
            </c:strRef>
          </c:cat>
          <c:val>
            <c:numRef>
              <c:f>Sheet1!$B$2:$E$2</c:f>
              <c:numCache>
                <c:formatCode>General</c:formatCode>
                <c:ptCount val="4"/>
                <c:pt idx="0" formatCode="0.0">
                  <c:v>71</c:v>
                </c:pt>
                <c:pt idx="1">
                  <c:v>1451.4</c:v>
                </c:pt>
                <c:pt idx="2">
                  <c:v>24.6</c:v>
                </c:pt>
                <c:pt idx="3">
                  <c:v>85.3</c:v>
                </c:pt>
              </c:numCache>
            </c:numRef>
          </c:val>
        </c:ser>
        <c:dLbls>
          <c:showVal val="1"/>
          <c:showPercent val="1"/>
        </c:dLbls>
      </c:pie3DChart>
      <c:spPr>
        <a:solidFill>
          <a:srgbClr val="FFFFFF"/>
        </a:solidFill>
        <a:ln w="12660">
          <a:solidFill>
            <a:srgbClr val="FFFFFF"/>
          </a:solidFill>
          <a:prstDash val="solid"/>
        </a:ln>
      </c:spPr>
    </c:plotArea>
    <c:legend>
      <c:legendPos val="b"/>
      <c:layout>
        <c:manualLayout>
          <c:xMode val="edge"/>
          <c:yMode val="edge"/>
          <c:x val="7.7576789387813039E-2"/>
          <c:y val="0.54786057539908961"/>
          <c:w val="0.83994395970773927"/>
          <c:h val="0.36401942510809338"/>
        </c:manualLayout>
      </c:layout>
      <c:spPr>
        <a:ln>
          <a:solidFill>
            <a:schemeClr val="tx1"/>
          </a:solidFill>
        </a:ln>
      </c:spPr>
      <c:txPr>
        <a:bodyPr/>
        <a:lstStyle/>
        <a:p>
          <a:pPr>
            <a:defRPr>
              <a:latin typeface="Times New Roman" pitchFamily="18" charset="0"/>
              <a:cs typeface="Times New Roman" pitchFamily="18" charset="0"/>
            </a:defRPr>
          </a:pPr>
          <a:endParaRPr lang="ru-RU"/>
        </a:p>
      </c:txPr>
    </c:legend>
    <c:plotVisOnly val="1"/>
    <c:dispBlanksAs val="zero"/>
  </c:chart>
  <c:spPr>
    <a:noFill/>
    <a:ln>
      <a:noFill/>
    </a:ln>
  </c:spPr>
  <c:txPr>
    <a:bodyPr/>
    <a:lstStyle/>
    <a:p>
      <a:pPr>
        <a:defRPr sz="797" b="1" i="0" u="none" strike="noStrike" baseline="0">
          <a:solidFill>
            <a:srgbClr val="000000"/>
          </a:solidFill>
          <a:latin typeface="Calibri"/>
          <a:ea typeface="Calibri"/>
          <a:cs typeface="Calibri"/>
        </a:defRPr>
      </a:pPr>
      <a:endParaRPr lang="ru-RU"/>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798" b="1" i="0" u="none" strike="noStrike" baseline="0">
                <a:solidFill>
                  <a:srgbClr val="000000"/>
                </a:solidFill>
                <a:latin typeface="Times New Roman" pitchFamily="18" charset="0"/>
                <a:ea typeface="Calibri"/>
                <a:cs typeface="Times New Roman" pitchFamily="18" charset="0"/>
              </a:defRPr>
            </a:pPr>
            <a:r>
              <a:rPr lang="ru-RU">
                <a:latin typeface="Times New Roman" pitchFamily="18" charset="0"/>
                <a:cs typeface="Times New Roman" pitchFamily="18" charset="0"/>
              </a:rPr>
              <a:t>январь-июнь 2013 г.</a:t>
            </a:r>
          </a:p>
        </c:rich>
      </c:tx>
      <c:layout>
        <c:manualLayout>
          <c:xMode val="edge"/>
          <c:yMode val="edge"/>
          <c:x val="0.3338224919337342"/>
          <c:y val="9.7746402389357033E-5"/>
        </c:manualLayout>
      </c:layout>
      <c:spPr>
        <a:noFill/>
        <a:ln w="25328">
          <a:noFill/>
        </a:ln>
      </c:spPr>
    </c:title>
    <c:view3D>
      <c:rotX val="30"/>
      <c:rotY val="80"/>
      <c:perspective val="0"/>
    </c:view3D>
    <c:plotArea>
      <c:layout>
        <c:manualLayout>
          <c:layoutTarget val="inner"/>
          <c:xMode val="edge"/>
          <c:yMode val="edge"/>
          <c:x val="3.9777328718866627E-2"/>
          <c:y val="8.8833895763032869E-2"/>
          <c:w val="0.86349104592014492"/>
          <c:h val="0.35746481689789761"/>
        </c:manualLayout>
      </c:layout>
      <c:pie3DChart>
        <c:varyColors val="1"/>
        <c:ser>
          <c:idx val="0"/>
          <c:order val="0"/>
          <c:tx>
            <c:strRef>
              <c:f>Sheet1!$A$2</c:f>
              <c:strCache>
                <c:ptCount val="1"/>
                <c:pt idx="0">
                  <c:v>Восток</c:v>
                </c:pt>
              </c:strCache>
            </c:strRef>
          </c:tx>
          <c:spPr>
            <a:solidFill>
              <a:srgbClr val="9999FF"/>
            </a:solidFill>
            <a:ln w="12664">
              <a:solidFill>
                <a:srgbClr val="000000"/>
              </a:solidFill>
              <a:prstDash val="solid"/>
            </a:ln>
          </c:spPr>
          <c:dPt>
            <c:idx val="0"/>
            <c:spPr>
              <a:solidFill>
                <a:srgbClr val="969696"/>
              </a:solidFill>
              <a:ln w="12664">
                <a:solidFill>
                  <a:srgbClr val="000000"/>
                </a:solidFill>
                <a:prstDash val="solid"/>
              </a:ln>
            </c:spPr>
          </c:dPt>
          <c:dPt>
            <c:idx val="1"/>
            <c:spPr>
              <a:blipFill dpi="0" rotWithShape="0">
                <a:blip xmlns:r="http://schemas.openxmlformats.org/officeDocument/2006/relationships" r:embed="rId1"/>
                <a:srcRect/>
                <a:tile tx="0" ty="0" sx="100000" sy="100000" flip="none" algn="tl"/>
              </a:blipFill>
              <a:ln w="12664">
                <a:solidFill>
                  <a:srgbClr val="000000"/>
                </a:solidFill>
                <a:prstDash val="solid"/>
              </a:ln>
            </c:spPr>
          </c:dPt>
          <c:dPt>
            <c:idx val="2"/>
            <c:spPr>
              <a:solidFill>
                <a:srgbClr val="00B050"/>
              </a:solidFill>
              <a:ln w="12664">
                <a:solidFill>
                  <a:srgbClr val="000000"/>
                </a:solidFill>
                <a:prstDash val="solid"/>
              </a:ln>
            </c:spPr>
          </c:dPt>
          <c:dPt>
            <c:idx val="3"/>
            <c:spPr>
              <a:pattFill prst="lgCheck">
                <a:fgClr>
                  <a:srgbClr val="993366"/>
                </a:fgClr>
                <a:bgClr>
                  <a:srgbClr val="FFFFFF"/>
                </a:bgClr>
              </a:pattFill>
              <a:ln w="12664">
                <a:solidFill>
                  <a:srgbClr val="000000"/>
                </a:solidFill>
                <a:prstDash val="solid"/>
              </a:ln>
            </c:spPr>
          </c:dPt>
          <c:dLbls>
            <c:dLbl>
              <c:idx val="0"/>
              <c:layout>
                <c:manualLayout>
                  <c:x val="3.7271579990554492E-2"/>
                  <c:y val="3.7650293713286458E-3"/>
                </c:manualLayout>
              </c:layout>
              <c:tx>
                <c:rich>
                  <a:bodyPr/>
                  <a:lstStyle/>
                  <a:p>
                    <a:r>
                      <a:rPr lang="ru-RU">
                        <a:latin typeface="Times New Roman" pitchFamily="18" charset="0"/>
                        <a:cs typeface="Times New Roman" pitchFamily="18" charset="0"/>
                      </a:rPr>
                      <a:t>22,8</a:t>
                    </a:r>
                    <a:r>
                      <a:rPr lang="en-US">
                        <a:latin typeface="Times New Roman" pitchFamily="18" charset="0"/>
                        <a:cs typeface="Times New Roman" pitchFamily="18" charset="0"/>
                      </a:rPr>
                      <a:t>%</a:t>
                    </a:r>
                  </a:p>
                </c:rich>
              </c:tx>
              <c:showVal val="1"/>
              <c:showPercent val="1"/>
            </c:dLbl>
            <c:dLbl>
              <c:idx val="1"/>
              <c:layout>
                <c:manualLayout>
                  <c:x val="5.4633126611385974E-2"/>
                  <c:y val="8.6215223097112853E-2"/>
                </c:manualLayout>
              </c:layout>
              <c:tx>
                <c:rich>
                  <a:bodyPr/>
                  <a:lstStyle/>
                  <a:p>
                    <a:r>
                      <a:rPr lang="ru-RU">
                        <a:latin typeface="Times New Roman" pitchFamily="18" charset="0"/>
                        <a:cs typeface="Times New Roman" pitchFamily="18" charset="0"/>
                      </a:rPr>
                      <a:t>2,3%</a:t>
                    </a:r>
                    <a:endParaRPr lang="en-US">
                      <a:latin typeface="Times New Roman" pitchFamily="18" charset="0"/>
                      <a:cs typeface="Times New Roman" pitchFamily="18" charset="0"/>
                    </a:endParaRPr>
                  </a:p>
                </c:rich>
              </c:tx>
              <c:showVal val="1"/>
              <c:showPercent val="1"/>
            </c:dLbl>
            <c:dLbl>
              <c:idx val="2"/>
              <c:layout>
                <c:manualLayout>
                  <c:x val="-0.16652155741678787"/>
                  <c:y val="0.17181024785694987"/>
                </c:manualLayout>
              </c:layout>
              <c:tx>
                <c:rich>
                  <a:bodyPr/>
                  <a:lstStyle/>
                  <a:p>
                    <a:r>
                      <a:rPr lang="ru-RU">
                        <a:latin typeface="Times New Roman" pitchFamily="18" charset="0"/>
                        <a:cs typeface="Times New Roman" pitchFamily="18" charset="0"/>
                      </a:rPr>
                      <a:t>74,8</a:t>
                    </a:r>
                    <a:r>
                      <a:rPr lang="en-US">
                        <a:latin typeface="Times New Roman" pitchFamily="18" charset="0"/>
                        <a:cs typeface="Times New Roman" pitchFamily="18" charset="0"/>
                      </a:rPr>
                      <a:t>%</a:t>
                    </a:r>
                  </a:p>
                </c:rich>
              </c:tx>
              <c:showVal val="1"/>
              <c:showPercent val="1"/>
            </c:dLbl>
            <c:dLbl>
              <c:idx val="3"/>
              <c:layout>
                <c:manualLayout>
                  <c:x val="1.8768804341935598E-2"/>
                  <c:y val="-8.1311336082989627E-2"/>
                </c:manualLayout>
              </c:layout>
              <c:tx>
                <c:rich>
                  <a:bodyPr/>
                  <a:lstStyle/>
                  <a:p>
                    <a:r>
                      <a:rPr lang="ru-RU">
                        <a:latin typeface="Times New Roman" pitchFamily="18" charset="0"/>
                        <a:cs typeface="Times New Roman" pitchFamily="18" charset="0"/>
                      </a:rPr>
                      <a:t>0,1</a:t>
                    </a:r>
                    <a:r>
                      <a:rPr lang="en-US">
                        <a:latin typeface="Times New Roman" pitchFamily="18" charset="0"/>
                        <a:cs typeface="Times New Roman" pitchFamily="18" charset="0"/>
                      </a:rPr>
                      <a:t>%</a:t>
                    </a:r>
                  </a:p>
                </c:rich>
              </c:tx>
              <c:showVal val="1"/>
              <c:showPercent val="1"/>
            </c:dLbl>
            <c:txPr>
              <a:bodyPr/>
              <a:lstStyle/>
              <a:p>
                <a:pPr>
                  <a:defRPr>
                    <a:latin typeface="Times New Roman" pitchFamily="18" charset="0"/>
                    <a:cs typeface="Times New Roman" pitchFamily="18" charset="0"/>
                  </a:defRPr>
                </a:pPr>
                <a:endParaRPr lang="ru-RU"/>
              </a:p>
            </c:txPr>
            <c:showVal val="1"/>
            <c:showPercent val="1"/>
            <c:showLeaderLines val="1"/>
          </c:dLbls>
          <c:cat>
            <c:strRef>
              <c:f>Sheet1!$B$1:$E$1</c:f>
              <c:strCache>
                <c:ptCount val="4"/>
                <c:pt idx="0">
                  <c:v>государственная</c:v>
                </c:pt>
                <c:pt idx="1">
                  <c:v>муниципальная</c:v>
                </c:pt>
                <c:pt idx="2">
                  <c:v>частная</c:v>
                </c:pt>
                <c:pt idx="3">
                  <c:v>прочие</c:v>
                </c:pt>
              </c:strCache>
            </c:strRef>
          </c:cat>
          <c:val>
            <c:numRef>
              <c:f>Sheet1!$B$2:$E$2</c:f>
              <c:numCache>
                <c:formatCode>0.0%</c:formatCode>
                <c:ptCount val="4"/>
                <c:pt idx="0">
                  <c:v>0.22800000000000001</c:v>
                </c:pt>
                <c:pt idx="1">
                  <c:v>2.3E-2</c:v>
                </c:pt>
                <c:pt idx="2">
                  <c:v>0.74800000000000277</c:v>
                </c:pt>
                <c:pt idx="3">
                  <c:v>1.0000000000000041E-3</c:v>
                </c:pt>
              </c:numCache>
            </c:numRef>
          </c:val>
        </c:ser>
        <c:dLbls>
          <c:showVal val="1"/>
          <c:showPercent val="1"/>
        </c:dLbls>
      </c:pie3DChart>
      <c:spPr>
        <a:solidFill>
          <a:srgbClr val="FFFFFF"/>
        </a:solidFill>
        <a:ln w="12664">
          <a:solidFill>
            <a:srgbClr val="FFFFFF"/>
          </a:solidFill>
          <a:prstDash val="solid"/>
        </a:ln>
      </c:spPr>
    </c:plotArea>
    <c:legend>
      <c:legendPos val="b"/>
      <c:layout>
        <c:manualLayout>
          <c:xMode val="edge"/>
          <c:yMode val="edge"/>
          <c:x val="9.154974946313528E-2"/>
          <c:y val="0.60383302087239099"/>
          <c:w val="0.88027439047995049"/>
          <c:h val="0.27219363043536499"/>
        </c:manualLayout>
      </c:layout>
      <c:spPr>
        <a:solidFill>
          <a:srgbClr val="FFFFFF"/>
        </a:solidFill>
        <a:ln w="3166">
          <a:solidFill>
            <a:srgbClr val="000000"/>
          </a:solidFill>
          <a:prstDash val="solid"/>
        </a:ln>
      </c:spPr>
      <c:txPr>
        <a:bodyPr/>
        <a:lstStyle/>
        <a:p>
          <a:pPr>
            <a:defRPr sz="800"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798" b="1" i="0" u="none" strike="noStrike" baseline="0">
                <a:solidFill>
                  <a:srgbClr val="000000"/>
                </a:solidFill>
                <a:latin typeface="Times New Roman" pitchFamily="18" charset="0"/>
                <a:ea typeface="Calibri"/>
                <a:cs typeface="Times New Roman" pitchFamily="18" charset="0"/>
              </a:defRPr>
            </a:pPr>
            <a:r>
              <a:rPr lang="ru-RU">
                <a:latin typeface="Times New Roman" pitchFamily="18" charset="0"/>
                <a:cs typeface="Times New Roman" pitchFamily="18" charset="0"/>
              </a:rPr>
              <a:t>январь-июнь 2014 г.</a:t>
            </a:r>
          </a:p>
          <a:p>
            <a:pPr>
              <a:defRPr sz="798" b="1" i="0" u="none" strike="noStrike" baseline="0">
                <a:solidFill>
                  <a:srgbClr val="000000"/>
                </a:solidFill>
                <a:latin typeface="Times New Roman" pitchFamily="18" charset="0"/>
                <a:ea typeface="Calibri"/>
                <a:cs typeface="Times New Roman" pitchFamily="18" charset="0"/>
              </a:defRPr>
            </a:pPr>
            <a:endParaRPr lang="ru-RU">
              <a:latin typeface="Times New Roman" pitchFamily="18" charset="0"/>
              <a:cs typeface="Times New Roman" pitchFamily="18" charset="0"/>
            </a:endParaRPr>
          </a:p>
        </c:rich>
      </c:tx>
      <c:layout>
        <c:manualLayout>
          <c:xMode val="edge"/>
          <c:yMode val="edge"/>
          <c:x val="0.37368349187565686"/>
          <c:y val="5.9133987561899824E-3"/>
        </c:manualLayout>
      </c:layout>
      <c:spPr>
        <a:noFill/>
        <a:ln w="25328">
          <a:noFill/>
        </a:ln>
      </c:spPr>
    </c:title>
    <c:view3D>
      <c:rotX val="30"/>
      <c:rotY val="80"/>
      <c:perspective val="0"/>
    </c:view3D>
    <c:plotArea>
      <c:layout>
        <c:manualLayout>
          <c:layoutTarget val="inner"/>
          <c:xMode val="edge"/>
          <c:yMode val="edge"/>
          <c:x val="4.7484411269400832E-2"/>
          <c:y val="8.8833661417322837E-2"/>
          <c:w val="0.86349104592014492"/>
          <c:h val="0.35746481689789783"/>
        </c:manualLayout>
      </c:layout>
      <c:pie3DChart>
        <c:varyColors val="1"/>
        <c:ser>
          <c:idx val="1"/>
          <c:order val="1"/>
          <c:tx>
            <c:strRef>
              <c:f>Sheet1!$A$2</c:f>
              <c:strCache>
                <c:ptCount val="1"/>
                <c:pt idx="0">
                  <c:v>Восток</c:v>
                </c:pt>
              </c:strCache>
            </c:strRef>
          </c:tx>
          <c:spPr>
            <a:solidFill>
              <a:srgbClr val="9999FF"/>
            </a:solidFill>
            <a:ln w="12660">
              <a:solidFill>
                <a:srgbClr val="000000"/>
              </a:solidFill>
              <a:prstDash val="solid"/>
            </a:ln>
          </c:spPr>
          <c:dPt>
            <c:idx val="0"/>
            <c:spPr>
              <a:solidFill>
                <a:srgbClr val="969696"/>
              </a:solidFill>
              <a:ln w="12660">
                <a:solidFill>
                  <a:srgbClr val="000000"/>
                </a:solidFill>
                <a:prstDash val="solid"/>
              </a:ln>
            </c:spPr>
          </c:dPt>
          <c:dPt>
            <c:idx val="1"/>
            <c:spPr>
              <a:blipFill dpi="0" rotWithShape="0">
                <a:blip xmlns:r="http://schemas.openxmlformats.org/officeDocument/2006/relationships" r:embed="rId1"/>
                <a:srcRect/>
                <a:tile tx="0" ty="0" sx="100000" sy="100000" flip="none" algn="tl"/>
              </a:blipFill>
              <a:ln w="12660">
                <a:solidFill>
                  <a:srgbClr val="000000"/>
                </a:solidFill>
                <a:prstDash val="solid"/>
              </a:ln>
            </c:spPr>
          </c:dPt>
          <c:dPt>
            <c:idx val="2"/>
            <c:spPr>
              <a:solidFill>
                <a:srgbClr val="00B050"/>
              </a:solidFill>
              <a:ln w="12660">
                <a:solidFill>
                  <a:srgbClr val="000000"/>
                </a:solidFill>
                <a:prstDash val="solid"/>
              </a:ln>
            </c:spPr>
          </c:dPt>
          <c:dPt>
            <c:idx val="3"/>
            <c:spPr>
              <a:pattFill prst="lgCheck">
                <a:fgClr>
                  <a:srgbClr val="993366"/>
                </a:fgClr>
                <a:bgClr>
                  <a:srgbClr val="FFFFFF"/>
                </a:bgClr>
              </a:pattFill>
              <a:ln w="12660">
                <a:solidFill>
                  <a:srgbClr val="000000"/>
                </a:solidFill>
                <a:prstDash val="solid"/>
              </a:ln>
            </c:spPr>
          </c:dPt>
          <c:dLbls>
            <c:dLbl>
              <c:idx val="0"/>
              <c:layout>
                <c:manualLayout>
                  <c:x val="6.4025002655014943E-2"/>
                  <c:y val="4.6205086433161367E-2"/>
                </c:manualLayout>
              </c:layout>
              <c:tx>
                <c:rich>
                  <a:bodyPr/>
                  <a:lstStyle/>
                  <a:p>
                    <a:r>
                      <a:rPr lang="ru-RU">
                        <a:latin typeface="Times New Roman" pitchFamily="18" charset="0"/>
                        <a:cs typeface="Times New Roman" pitchFamily="18" charset="0"/>
                      </a:rPr>
                      <a:t>27,4</a:t>
                    </a:r>
                    <a:r>
                      <a:rPr lang="en-US">
                        <a:latin typeface="Times New Roman" pitchFamily="18" charset="0"/>
                        <a:cs typeface="Times New Roman" pitchFamily="18" charset="0"/>
                      </a:rPr>
                      <a:t>%</a:t>
                    </a:r>
                  </a:p>
                </c:rich>
              </c:tx>
              <c:showVal val="1"/>
              <c:showPercent val="1"/>
            </c:dLbl>
            <c:dLbl>
              <c:idx val="1"/>
              <c:layout>
                <c:manualLayout>
                  <c:x val="6.1543246400558305E-2"/>
                  <c:y val="8.561085036784262E-2"/>
                </c:manualLayout>
              </c:layout>
              <c:tx>
                <c:rich>
                  <a:bodyPr/>
                  <a:lstStyle/>
                  <a:p>
                    <a:r>
                      <a:rPr lang="ru-RU">
                        <a:latin typeface="Times New Roman" pitchFamily="18" charset="0"/>
                        <a:cs typeface="Times New Roman" pitchFamily="18" charset="0"/>
                      </a:rPr>
                      <a:t>3,7</a:t>
                    </a:r>
                    <a:r>
                      <a:rPr lang="en-US">
                        <a:latin typeface="Times New Roman" pitchFamily="18" charset="0"/>
                        <a:cs typeface="Times New Roman" pitchFamily="18" charset="0"/>
                      </a:rPr>
                      <a:t>%</a:t>
                    </a:r>
                  </a:p>
                </c:rich>
              </c:tx>
              <c:showVal val="1"/>
              <c:showPercent val="1"/>
            </c:dLbl>
            <c:dLbl>
              <c:idx val="2"/>
              <c:layout>
                <c:manualLayout>
                  <c:x val="-0.13841457679061792"/>
                  <c:y val="0.19323490813648367"/>
                </c:manualLayout>
              </c:layout>
              <c:tx>
                <c:rich>
                  <a:bodyPr/>
                  <a:lstStyle/>
                  <a:p>
                    <a:r>
                      <a:rPr lang="ru-RU">
                        <a:latin typeface="Times New Roman" pitchFamily="18" charset="0"/>
                        <a:cs typeface="Times New Roman" pitchFamily="18" charset="0"/>
                      </a:rPr>
                      <a:t>68,7%</a:t>
                    </a:r>
                    <a:endParaRPr lang="en-US">
                      <a:latin typeface="Times New Roman" pitchFamily="18" charset="0"/>
                      <a:cs typeface="Times New Roman" pitchFamily="18" charset="0"/>
                    </a:endParaRPr>
                  </a:p>
                </c:rich>
              </c:tx>
              <c:showVal val="1"/>
              <c:showPercent val="1"/>
            </c:dLbl>
            <c:dLbl>
              <c:idx val="3"/>
              <c:layout>
                <c:manualLayout>
                  <c:x val="4.8094912991367422E-2"/>
                  <c:y val="-9.7384076990376198E-2"/>
                </c:manualLayout>
              </c:layout>
              <c:tx>
                <c:rich>
                  <a:bodyPr/>
                  <a:lstStyle/>
                  <a:p>
                    <a:r>
                      <a:rPr lang="en-US">
                        <a:latin typeface="Times New Roman" pitchFamily="18" charset="0"/>
                        <a:cs typeface="Times New Roman" pitchFamily="18" charset="0"/>
                      </a:rPr>
                      <a:t> </a:t>
                    </a:r>
                    <a:r>
                      <a:rPr lang="ru-RU">
                        <a:latin typeface="Times New Roman" pitchFamily="18" charset="0"/>
                        <a:cs typeface="Times New Roman" pitchFamily="18" charset="0"/>
                      </a:rPr>
                      <a:t>0,2</a:t>
                    </a:r>
                    <a:r>
                      <a:rPr lang="en-US">
                        <a:latin typeface="Times New Roman" pitchFamily="18" charset="0"/>
                        <a:cs typeface="Times New Roman" pitchFamily="18" charset="0"/>
                      </a:rPr>
                      <a:t>%</a:t>
                    </a:r>
                  </a:p>
                </c:rich>
              </c:tx>
              <c:showVal val="1"/>
              <c:showPercent val="1"/>
            </c:dLbl>
            <c:txPr>
              <a:bodyPr/>
              <a:lstStyle/>
              <a:p>
                <a:pPr>
                  <a:defRPr>
                    <a:latin typeface="Times New Roman" pitchFamily="18" charset="0"/>
                    <a:cs typeface="Times New Roman" pitchFamily="18" charset="0"/>
                  </a:defRPr>
                </a:pPr>
                <a:endParaRPr lang="ru-RU"/>
              </a:p>
            </c:txPr>
            <c:showVal val="1"/>
            <c:showPercent val="1"/>
            <c:showLeaderLines val="1"/>
          </c:dLbls>
          <c:cat>
            <c:strRef>
              <c:f>Sheet1!$B$1:$E$1</c:f>
              <c:strCache>
                <c:ptCount val="4"/>
                <c:pt idx="0">
                  <c:v>государственная</c:v>
                </c:pt>
                <c:pt idx="1">
                  <c:v>муниципальная</c:v>
                </c:pt>
                <c:pt idx="2">
                  <c:v>частная</c:v>
                </c:pt>
                <c:pt idx="3">
                  <c:v>прочие</c:v>
                </c:pt>
              </c:strCache>
            </c:strRef>
          </c:cat>
          <c:val>
            <c:numRef>
              <c:f>Sheet1!$B$2:$E$2</c:f>
              <c:numCache>
                <c:formatCode>General</c:formatCode>
                <c:ptCount val="4"/>
                <c:pt idx="0" formatCode="0.0">
                  <c:v>332.9</c:v>
                </c:pt>
                <c:pt idx="1">
                  <c:v>76.900000000000006</c:v>
                </c:pt>
                <c:pt idx="2" formatCode="#,##0.0">
                  <c:v>1218.8</c:v>
                </c:pt>
                <c:pt idx="3">
                  <c:v>3.5</c:v>
                </c:pt>
              </c:numCache>
            </c:numRef>
          </c:val>
        </c:ser>
        <c:ser>
          <c:idx val="0"/>
          <c:order val="0"/>
          <c:tx>
            <c:strRef>
              <c:f>Sheet1!$A$2</c:f>
              <c:strCache>
                <c:ptCount val="1"/>
                <c:pt idx="0">
                  <c:v>Восток</c:v>
                </c:pt>
              </c:strCache>
            </c:strRef>
          </c:tx>
          <c:spPr>
            <a:solidFill>
              <a:srgbClr val="9999FF"/>
            </a:solidFill>
            <a:ln w="12664">
              <a:solidFill>
                <a:srgbClr val="000000"/>
              </a:solidFill>
              <a:prstDash val="solid"/>
            </a:ln>
          </c:spPr>
          <c:dPt>
            <c:idx val="0"/>
            <c:spPr>
              <a:solidFill>
                <a:srgbClr val="969696"/>
              </a:solidFill>
              <a:ln w="12664">
                <a:solidFill>
                  <a:srgbClr val="000000"/>
                </a:solidFill>
                <a:prstDash val="solid"/>
              </a:ln>
            </c:spPr>
          </c:dPt>
          <c:dPt>
            <c:idx val="1"/>
            <c:spPr>
              <a:blipFill dpi="0" rotWithShape="0">
                <a:blip xmlns:r="http://schemas.openxmlformats.org/officeDocument/2006/relationships" r:embed="rId1"/>
                <a:srcRect/>
                <a:tile tx="0" ty="0" sx="100000" sy="100000" flip="none" algn="tl"/>
              </a:blipFill>
              <a:ln w="12664">
                <a:solidFill>
                  <a:srgbClr val="000000"/>
                </a:solidFill>
                <a:prstDash val="solid"/>
              </a:ln>
            </c:spPr>
          </c:dPt>
          <c:dPt>
            <c:idx val="2"/>
            <c:spPr>
              <a:solidFill>
                <a:srgbClr val="660066"/>
              </a:solidFill>
              <a:ln w="12664">
                <a:solidFill>
                  <a:srgbClr val="000000"/>
                </a:solidFill>
                <a:prstDash val="solid"/>
              </a:ln>
            </c:spPr>
          </c:dPt>
          <c:dPt>
            <c:idx val="3"/>
            <c:spPr>
              <a:pattFill prst="lgCheck">
                <a:fgClr>
                  <a:srgbClr val="993366"/>
                </a:fgClr>
                <a:bgClr>
                  <a:srgbClr val="FFFFFF"/>
                </a:bgClr>
              </a:pattFill>
              <a:ln w="12664">
                <a:solidFill>
                  <a:srgbClr val="000000"/>
                </a:solidFill>
                <a:prstDash val="solid"/>
              </a:ln>
            </c:spPr>
          </c:dPt>
          <c:dLbls>
            <c:dLbl>
              <c:idx val="0"/>
              <c:layout>
                <c:manualLayout>
                  <c:x val="3.7271579990554492E-2"/>
                  <c:y val="3.7650293713286467E-3"/>
                </c:manualLayout>
              </c:layout>
              <c:tx>
                <c:rich>
                  <a:bodyPr/>
                  <a:lstStyle/>
                  <a:p>
                    <a:r>
                      <a:rPr lang="en-US"/>
                      <a:t>180,9; 13</a:t>
                    </a:r>
                    <a:r>
                      <a:rPr lang="ru-RU"/>
                      <a:t>,2</a:t>
                    </a:r>
                    <a:r>
                      <a:rPr lang="en-US"/>
                      <a:t>%</a:t>
                    </a:r>
                  </a:p>
                </c:rich>
              </c:tx>
              <c:showVal val="1"/>
              <c:showPercent val="1"/>
            </c:dLbl>
            <c:dLbl>
              <c:idx val="1"/>
              <c:layout>
                <c:manualLayout>
                  <c:x val="5.4633126611385974E-2"/>
                  <c:y val="8.6215223097112853E-2"/>
                </c:manualLayout>
              </c:layout>
              <c:tx>
                <c:rich>
                  <a:bodyPr/>
                  <a:lstStyle/>
                  <a:p>
                    <a:r>
                      <a:rPr lang="en-US"/>
                      <a:t>94,4; </a:t>
                    </a:r>
                    <a:r>
                      <a:rPr lang="ru-RU"/>
                      <a:t>6,9</a:t>
                    </a:r>
                    <a:r>
                      <a:rPr lang="en-US"/>
                      <a:t>%</a:t>
                    </a:r>
                  </a:p>
                </c:rich>
              </c:tx>
              <c:showVal val="1"/>
              <c:showPercent val="1"/>
            </c:dLbl>
            <c:dLbl>
              <c:idx val="2"/>
              <c:layout>
                <c:manualLayout>
                  <c:x val="-3.9133006604262992E-2"/>
                  <c:y val="5.8155230596175479E-2"/>
                </c:manualLayout>
              </c:layout>
              <c:tx>
                <c:rich>
                  <a:bodyPr/>
                  <a:lstStyle/>
                  <a:p>
                    <a:r>
                      <a:rPr lang="en-US"/>
                      <a:t>1 082,5; 79</a:t>
                    </a:r>
                    <a:r>
                      <a:rPr lang="ru-RU"/>
                      <a:t>,3</a:t>
                    </a:r>
                    <a:r>
                      <a:rPr lang="en-US"/>
                      <a:t>%</a:t>
                    </a:r>
                  </a:p>
                </c:rich>
              </c:tx>
              <c:showVal val="1"/>
              <c:showPercent val="1"/>
            </c:dLbl>
            <c:dLbl>
              <c:idx val="3"/>
              <c:layout>
                <c:manualLayout>
                  <c:x val="1.8768804341935608E-2"/>
                  <c:y val="-8.1311336082989627E-2"/>
                </c:manualLayout>
              </c:layout>
              <c:tx>
                <c:rich>
                  <a:bodyPr/>
                  <a:lstStyle/>
                  <a:p>
                    <a:r>
                      <a:rPr lang="en-US"/>
                      <a:t>7,</a:t>
                    </a:r>
                    <a:r>
                      <a:rPr lang="ru-RU"/>
                      <a:t>5</a:t>
                    </a:r>
                    <a:r>
                      <a:rPr lang="en-US"/>
                      <a:t>; </a:t>
                    </a:r>
                    <a:r>
                      <a:rPr lang="ru-RU"/>
                      <a:t>0,6</a:t>
                    </a:r>
                    <a:r>
                      <a:rPr lang="en-US"/>
                      <a:t>%</a:t>
                    </a:r>
                  </a:p>
                </c:rich>
              </c:tx>
              <c:showVal val="1"/>
              <c:showPercent val="1"/>
            </c:dLbl>
            <c:showVal val="1"/>
            <c:showPercent val="1"/>
            <c:showLeaderLines val="1"/>
          </c:dLbls>
          <c:cat>
            <c:strRef>
              <c:f>Sheet1!$B$1:$E$1</c:f>
              <c:strCache>
                <c:ptCount val="4"/>
                <c:pt idx="0">
                  <c:v>государственная</c:v>
                </c:pt>
                <c:pt idx="1">
                  <c:v>муниципальная</c:v>
                </c:pt>
                <c:pt idx="2">
                  <c:v>частная</c:v>
                </c:pt>
                <c:pt idx="3">
                  <c:v>прочие</c:v>
                </c:pt>
              </c:strCache>
            </c:strRef>
          </c:cat>
          <c:val>
            <c:numRef>
              <c:f>Sheet1!$B$2:$E$2</c:f>
              <c:numCache>
                <c:formatCode>General</c:formatCode>
                <c:ptCount val="4"/>
                <c:pt idx="0" formatCode="0.0">
                  <c:v>332.9</c:v>
                </c:pt>
                <c:pt idx="1">
                  <c:v>76.900000000000006</c:v>
                </c:pt>
                <c:pt idx="2" formatCode="#,##0.0">
                  <c:v>1218.8</c:v>
                </c:pt>
                <c:pt idx="3">
                  <c:v>3.5</c:v>
                </c:pt>
              </c:numCache>
            </c:numRef>
          </c:val>
        </c:ser>
        <c:dLbls>
          <c:showVal val="1"/>
          <c:showPercent val="1"/>
        </c:dLbls>
      </c:pie3DChart>
      <c:spPr>
        <a:solidFill>
          <a:srgbClr val="FFFFFF"/>
        </a:solidFill>
        <a:ln w="12664">
          <a:solidFill>
            <a:srgbClr val="FFFFFF"/>
          </a:solidFill>
          <a:prstDash val="solid"/>
        </a:ln>
      </c:spPr>
    </c:plotArea>
    <c:legend>
      <c:legendPos val="b"/>
      <c:layout>
        <c:manualLayout>
          <c:xMode val="edge"/>
          <c:yMode val="edge"/>
          <c:x val="9.154974946313528E-2"/>
          <c:y val="0.60383302087239099"/>
          <c:w val="0.88027439047995049"/>
          <c:h val="0.25844819397575985"/>
        </c:manualLayout>
      </c:layout>
      <c:spPr>
        <a:solidFill>
          <a:srgbClr val="FFFFFF"/>
        </a:solidFill>
        <a:ln w="3166">
          <a:solidFill>
            <a:srgbClr val="000000"/>
          </a:solidFill>
          <a:prstDash val="solid"/>
        </a:ln>
      </c:spPr>
      <c:txPr>
        <a:bodyPr/>
        <a:lstStyle/>
        <a:p>
          <a:pPr>
            <a:defRPr sz="800"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797" b="1" i="0" u="none" strike="noStrike" baseline="0">
                <a:solidFill>
                  <a:srgbClr val="000000"/>
                </a:solidFill>
                <a:latin typeface="Times New Roman" pitchFamily="18" charset="0"/>
                <a:ea typeface="Calibri"/>
                <a:cs typeface="Times New Roman" pitchFamily="18" charset="0"/>
              </a:defRPr>
            </a:pPr>
            <a:r>
              <a:rPr lang="ru-RU">
                <a:latin typeface="Times New Roman" pitchFamily="18" charset="0"/>
                <a:cs typeface="Times New Roman" pitchFamily="18" charset="0"/>
              </a:rPr>
              <a:t>январь-июнь 2013  г.</a:t>
            </a:r>
          </a:p>
        </c:rich>
      </c:tx>
      <c:layout>
        <c:manualLayout>
          <c:xMode val="edge"/>
          <c:yMode val="edge"/>
          <c:x val="0.35296446530042613"/>
          <c:y val="1.7473109978899701E-3"/>
        </c:manualLayout>
      </c:layout>
      <c:spPr>
        <a:noFill/>
        <a:ln w="25311">
          <a:noFill/>
        </a:ln>
      </c:spPr>
    </c:title>
    <c:view3D>
      <c:rotX val="30"/>
      <c:rotY val="80"/>
      <c:perspective val="0"/>
    </c:view3D>
    <c:plotArea>
      <c:layout>
        <c:manualLayout>
          <c:layoutTarget val="inner"/>
          <c:xMode val="edge"/>
          <c:yMode val="edge"/>
          <c:x val="4.0124075399665865E-2"/>
          <c:y val="0.26262117235345916"/>
          <c:w val="0.85662115467891065"/>
          <c:h val="0.43235501256293141"/>
        </c:manualLayout>
      </c:layout>
      <c:pie3DChart>
        <c:varyColors val="1"/>
        <c:ser>
          <c:idx val="0"/>
          <c:order val="0"/>
          <c:tx>
            <c:strRef>
              <c:f>Sheet1!$A$2</c:f>
              <c:strCache>
                <c:ptCount val="1"/>
                <c:pt idx="0">
                  <c:v>Восток</c:v>
                </c:pt>
              </c:strCache>
            </c:strRef>
          </c:tx>
          <c:spPr>
            <a:solidFill>
              <a:srgbClr val="9999FF"/>
            </a:solidFill>
            <a:ln w="12656">
              <a:solidFill>
                <a:srgbClr val="000000"/>
              </a:solidFill>
              <a:prstDash val="solid"/>
            </a:ln>
          </c:spPr>
          <c:explosion val="22"/>
          <c:dPt>
            <c:idx val="0"/>
            <c:spPr>
              <a:solidFill>
                <a:schemeClr val="accent2">
                  <a:lumMod val="40000"/>
                  <a:lumOff val="60000"/>
                </a:schemeClr>
              </a:solidFill>
              <a:ln w="12656">
                <a:solidFill>
                  <a:srgbClr val="000000"/>
                </a:solidFill>
                <a:prstDash val="solid"/>
              </a:ln>
            </c:spPr>
          </c:dPt>
          <c:dPt>
            <c:idx val="1"/>
            <c:spPr>
              <a:blipFill dpi="0" rotWithShape="0">
                <a:blip xmlns:r="http://schemas.openxmlformats.org/officeDocument/2006/relationships" r:embed="rId1"/>
                <a:srcRect/>
                <a:tile tx="0" ty="0" sx="100000" sy="100000" flip="none" algn="tl"/>
              </a:blipFill>
              <a:ln w="12656">
                <a:solidFill>
                  <a:srgbClr val="000000"/>
                </a:solidFill>
                <a:prstDash val="solid"/>
              </a:ln>
            </c:spPr>
          </c:dPt>
          <c:dPt>
            <c:idx val="2"/>
            <c:spPr>
              <a:solidFill>
                <a:schemeClr val="accent4">
                  <a:lumMod val="40000"/>
                  <a:lumOff val="60000"/>
                </a:schemeClr>
              </a:solidFill>
              <a:ln w="12656">
                <a:solidFill>
                  <a:srgbClr val="000000"/>
                </a:solidFill>
                <a:prstDash val="solid"/>
              </a:ln>
            </c:spPr>
          </c:dPt>
          <c:dPt>
            <c:idx val="3"/>
            <c:spPr>
              <a:pattFill prst="lgCheck">
                <a:fgClr>
                  <a:srgbClr val="993366"/>
                </a:fgClr>
                <a:bgClr>
                  <a:srgbClr val="FFFFFF"/>
                </a:bgClr>
              </a:pattFill>
              <a:ln w="12656">
                <a:solidFill>
                  <a:srgbClr val="000000"/>
                </a:solidFill>
                <a:prstDash val="solid"/>
              </a:ln>
            </c:spPr>
          </c:dPt>
          <c:dPt>
            <c:idx val="4"/>
            <c:spPr>
              <a:pattFill prst="wave">
                <a:fgClr>
                  <a:srgbClr val="FFFFFF"/>
                </a:fgClr>
                <a:bgClr>
                  <a:srgbClr val="333333"/>
                </a:bgClr>
              </a:pattFill>
              <a:ln w="12656">
                <a:solidFill>
                  <a:srgbClr val="000000"/>
                </a:solidFill>
                <a:prstDash val="solid"/>
              </a:ln>
            </c:spPr>
          </c:dPt>
          <c:dPt>
            <c:idx val="5"/>
            <c:spPr>
              <a:pattFill prst="shingle">
                <a:fgClr>
                  <a:srgbClr val="333333"/>
                </a:fgClr>
                <a:bgClr>
                  <a:srgbClr val="FFFFFF"/>
                </a:bgClr>
              </a:pattFill>
              <a:ln w="12656">
                <a:solidFill>
                  <a:srgbClr val="000000"/>
                </a:solidFill>
                <a:prstDash val="solid"/>
              </a:ln>
            </c:spPr>
          </c:dPt>
          <c:dPt>
            <c:idx val="6"/>
            <c:spPr>
              <a:pattFill prst="solidDmnd">
                <a:fgClr>
                  <a:srgbClr val="FFFFFF"/>
                </a:fgClr>
                <a:bgClr>
                  <a:srgbClr val="333333"/>
                </a:bgClr>
              </a:pattFill>
              <a:ln w="12656">
                <a:solidFill>
                  <a:srgbClr val="000000"/>
                </a:solidFill>
                <a:prstDash val="solid"/>
              </a:ln>
            </c:spPr>
          </c:dPt>
          <c:dPt>
            <c:idx val="7"/>
            <c:spPr>
              <a:pattFill prst="wdUpDiag">
                <a:fgClr>
                  <a:srgbClr val="333333"/>
                </a:fgClr>
                <a:bgClr>
                  <a:srgbClr val="FFFFFF"/>
                </a:bgClr>
              </a:pattFill>
              <a:ln w="12656">
                <a:solidFill>
                  <a:srgbClr val="000000"/>
                </a:solidFill>
                <a:prstDash val="solid"/>
              </a:ln>
            </c:spPr>
          </c:dPt>
          <c:dPt>
            <c:idx val="8"/>
            <c:spPr>
              <a:solidFill>
                <a:srgbClr val="CCFFFF"/>
              </a:solidFill>
              <a:ln w="12656">
                <a:solidFill>
                  <a:srgbClr val="000000"/>
                </a:solidFill>
                <a:prstDash val="solid"/>
              </a:ln>
            </c:spPr>
          </c:dPt>
          <c:dPt>
            <c:idx val="9"/>
            <c:spPr>
              <a:solidFill>
                <a:srgbClr val="FF00FF"/>
              </a:solidFill>
              <a:ln w="12656">
                <a:solidFill>
                  <a:srgbClr val="000000"/>
                </a:solidFill>
                <a:prstDash val="solid"/>
              </a:ln>
            </c:spPr>
          </c:dPt>
          <c:dPt>
            <c:idx val="10"/>
            <c:spPr>
              <a:solidFill>
                <a:srgbClr val="FFFF00"/>
              </a:solidFill>
              <a:ln w="12656">
                <a:solidFill>
                  <a:srgbClr val="000000"/>
                </a:solidFill>
                <a:prstDash val="solid"/>
              </a:ln>
            </c:spPr>
          </c:dPt>
          <c:dLbls>
            <c:dLbl>
              <c:idx val="0"/>
              <c:layout>
                <c:manualLayout>
                  <c:x val="0.13312795496522531"/>
                  <c:y val="-3.5505738253306572E-2"/>
                </c:manualLayout>
              </c:layout>
              <c:tx>
                <c:rich>
                  <a:bodyPr/>
                  <a:lstStyle/>
                  <a:p>
                    <a:pPr>
                      <a:defRPr sz="620" b="1" i="0" u="none" strike="noStrike" baseline="0">
                        <a:solidFill>
                          <a:srgbClr val="000000"/>
                        </a:solidFill>
                        <a:latin typeface="Times New Roman" pitchFamily="18" charset="0"/>
                        <a:ea typeface="Calibri"/>
                        <a:cs typeface="Times New Roman" pitchFamily="18" charset="0"/>
                      </a:defRPr>
                    </a:pPr>
                    <a:r>
                      <a:rPr lang="ru-RU" sz="620">
                        <a:latin typeface="Times New Roman" pitchFamily="18" charset="0"/>
                        <a:cs typeface="Times New Roman" pitchFamily="18" charset="0"/>
                      </a:rPr>
                      <a:t>Промышленность 273,8; 48,4%</a:t>
                    </a:r>
                  </a:p>
                </c:rich>
              </c:tx>
              <c:spPr>
                <a:noFill/>
                <a:ln w="25311">
                  <a:noFill/>
                </a:ln>
              </c:spPr>
              <c:dLblPos val="bestFit"/>
            </c:dLbl>
            <c:dLbl>
              <c:idx val="1"/>
              <c:layout>
                <c:manualLayout>
                  <c:x val="0"/>
                  <c:y val="9.1893983840255239E-2"/>
                </c:manualLayout>
              </c:layout>
              <c:tx>
                <c:rich>
                  <a:bodyPr/>
                  <a:lstStyle/>
                  <a:p>
                    <a:pPr>
                      <a:defRPr sz="620" b="1" i="0" u="none" strike="noStrike" baseline="0">
                        <a:solidFill>
                          <a:srgbClr val="000000"/>
                        </a:solidFill>
                        <a:latin typeface="Times New Roman" pitchFamily="18" charset="0"/>
                        <a:ea typeface="Calibri"/>
                        <a:cs typeface="Times New Roman" pitchFamily="18" charset="0"/>
                      </a:defRPr>
                    </a:pPr>
                    <a:r>
                      <a:rPr lang="ru-RU" sz="620">
                        <a:latin typeface="Times New Roman" pitchFamily="18" charset="0"/>
                        <a:cs typeface="Times New Roman" pitchFamily="18" charset="0"/>
                      </a:rPr>
                      <a:t>Сельское хозяйство  (83,4; 14,8%)</a:t>
                    </a:r>
                  </a:p>
                </c:rich>
              </c:tx>
              <c:spPr>
                <a:noFill/>
                <a:ln w="25311">
                  <a:noFill/>
                </a:ln>
              </c:spPr>
              <c:dLblPos val="bestFit"/>
            </c:dLbl>
            <c:dLbl>
              <c:idx val="2"/>
              <c:layout>
                <c:manualLayout>
                  <c:x val="-2.2968088584886484E-2"/>
                  <c:y val="5.3158766918841034E-2"/>
                </c:manualLayout>
              </c:layout>
              <c:tx>
                <c:rich>
                  <a:bodyPr/>
                  <a:lstStyle/>
                  <a:p>
                    <a:pPr>
                      <a:defRPr sz="620" b="1" i="0" u="none" strike="noStrike" baseline="0">
                        <a:solidFill>
                          <a:srgbClr val="000000"/>
                        </a:solidFill>
                        <a:latin typeface="Times New Roman" pitchFamily="18" charset="0"/>
                        <a:ea typeface="Calibri"/>
                        <a:cs typeface="Times New Roman" pitchFamily="18" charset="0"/>
                      </a:defRPr>
                    </a:pPr>
                    <a:r>
                      <a:rPr lang="ru-RU" sz="620">
                        <a:latin typeface="Times New Roman" pitchFamily="18" charset="0"/>
                        <a:cs typeface="Times New Roman" pitchFamily="18" charset="0"/>
                      </a:rPr>
                      <a:t>Транспорт (29,2; 5,2%)</a:t>
                    </a:r>
                  </a:p>
                </c:rich>
              </c:tx>
              <c:spPr>
                <a:noFill/>
                <a:ln w="25311">
                  <a:noFill/>
                </a:ln>
              </c:spPr>
              <c:dLblPos val="bestFit"/>
            </c:dLbl>
            <c:dLbl>
              <c:idx val="3"/>
              <c:layout>
                <c:manualLayout>
                  <c:x val="-0.10622657016358025"/>
                  <c:y val="3.6613246873553107E-2"/>
                </c:manualLayout>
              </c:layout>
              <c:tx>
                <c:rich>
                  <a:bodyPr/>
                  <a:lstStyle/>
                  <a:p>
                    <a:pPr>
                      <a:defRPr sz="620" b="1" i="0" u="none" strike="noStrike" baseline="0">
                        <a:solidFill>
                          <a:srgbClr val="000000"/>
                        </a:solidFill>
                        <a:latin typeface="Times New Roman" pitchFamily="18" charset="0"/>
                        <a:ea typeface="Calibri"/>
                        <a:cs typeface="Times New Roman" pitchFamily="18" charset="0"/>
                      </a:defRPr>
                    </a:pPr>
                    <a:r>
                      <a:rPr lang="ru-RU" sz="620">
                        <a:latin typeface="Times New Roman" pitchFamily="18" charset="0"/>
                        <a:cs typeface="Times New Roman" pitchFamily="18" charset="0"/>
                      </a:rPr>
                      <a:t>Связь (30,1; 5,3%)</a:t>
                    </a:r>
                  </a:p>
                </c:rich>
              </c:tx>
              <c:spPr>
                <a:noFill/>
                <a:ln w="25311">
                  <a:noFill/>
                </a:ln>
              </c:spPr>
              <c:dLblPos val="bestFit"/>
            </c:dLbl>
            <c:dLbl>
              <c:idx val="4"/>
              <c:layout>
                <c:manualLayout>
                  <c:x val="-0.13400461305973116"/>
                  <c:y val="-3.8863671452833211E-2"/>
                </c:manualLayout>
              </c:layout>
              <c:tx>
                <c:rich>
                  <a:bodyPr/>
                  <a:lstStyle/>
                  <a:p>
                    <a:pPr>
                      <a:defRPr sz="620" b="1" i="0" u="none" strike="noStrike" baseline="0">
                        <a:solidFill>
                          <a:srgbClr val="000000"/>
                        </a:solidFill>
                        <a:latin typeface="Times New Roman" pitchFamily="18" charset="0"/>
                        <a:ea typeface="Calibri"/>
                        <a:cs typeface="Times New Roman" pitchFamily="18" charset="0"/>
                      </a:defRPr>
                    </a:pPr>
                    <a:r>
                      <a:rPr lang="ru-RU" sz="620">
                        <a:latin typeface="Times New Roman" pitchFamily="18" charset="0"/>
                        <a:cs typeface="Times New Roman" pitchFamily="18" charset="0"/>
                      </a:rPr>
                      <a:t>Строительство (4,0; 0,7%)</a:t>
                    </a:r>
                  </a:p>
                </c:rich>
              </c:tx>
              <c:spPr>
                <a:noFill/>
                <a:ln w="25311">
                  <a:noFill/>
                </a:ln>
              </c:spPr>
              <c:dLblPos val="bestFit"/>
            </c:dLbl>
            <c:dLbl>
              <c:idx val="5"/>
              <c:layout>
                <c:manualLayout>
                  <c:x val="-0.26546020131322345"/>
                  <c:y val="-9.4118058772065263E-2"/>
                </c:manualLayout>
              </c:layout>
              <c:tx>
                <c:rich>
                  <a:bodyPr/>
                  <a:lstStyle/>
                  <a:p>
                    <a:pPr>
                      <a:defRPr sz="620" b="1" i="0" u="none" strike="noStrike" baseline="0">
                        <a:solidFill>
                          <a:srgbClr val="000000"/>
                        </a:solidFill>
                        <a:latin typeface="Times New Roman" pitchFamily="18" charset="0"/>
                        <a:ea typeface="Calibri"/>
                        <a:cs typeface="Times New Roman" pitchFamily="18" charset="0"/>
                      </a:defRPr>
                    </a:pPr>
                    <a:r>
                      <a:rPr lang="ru-RU" sz="620">
                        <a:latin typeface="Times New Roman" pitchFamily="18" charset="0"/>
                        <a:cs typeface="Times New Roman" pitchFamily="18" charset="0"/>
                      </a:rPr>
                      <a:t>Торговля и общ. питание (58,4; 10,3%)</a:t>
                    </a:r>
                  </a:p>
                </c:rich>
              </c:tx>
              <c:spPr>
                <a:noFill/>
                <a:ln w="25311">
                  <a:noFill/>
                </a:ln>
              </c:spPr>
              <c:dLblPos val="bestFit"/>
            </c:dLbl>
            <c:dLbl>
              <c:idx val="6"/>
              <c:layout>
                <c:manualLayout>
                  <c:x val="0.1444329559815124"/>
                  <c:y val="-0.11139807524059493"/>
                </c:manualLayout>
              </c:layout>
              <c:tx>
                <c:rich>
                  <a:bodyPr/>
                  <a:lstStyle/>
                  <a:p>
                    <a:pPr>
                      <a:defRPr sz="620" b="1" i="0" u="none" strike="noStrike" baseline="0">
                        <a:solidFill>
                          <a:srgbClr val="000000"/>
                        </a:solidFill>
                        <a:latin typeface="Times New Roman" pitchFamily="18" charset="0"/>
                        <a:ea typeface="Calibri"/>
                        <a:cs typeface="Times New Roman" pitchFamily="18" charset="0"/>
                      </a:defRPr>
                    </a:pPr>
                    <a:r>
                      <a:rPr lang="ru-RU" sz="620">
                        <a:latin typeface="Times New Roman" pitchFamily="18" charset="0"/>
                        <a:cs typeface="Times New Roman" pitchFamily="18" charset="0"/>
                      </a:rPr>
                      <a:t>Жилищное строительство (11,8;2,1% )
</a:t>
                    </a:r>
                  </a:p>
                </c:rich>
              </c:tx>
              <c:spPr>
                <a:noFill/>
                <a:ln w="25311">
                  <a:noFill/>
                </a:ln>
              </c:spPr>
              <c:dLblPos val="bestFit"/>
            </c:dLbl>
            <c:dLbl>
              <c:idx val="7"/>
              <c:layout>
                <c:manualLayout>
                  <c:x val="0.14368532216301239"/>
                  <c:y val="-5.6291081261901084E-2"/>
                </c:manualLayout>
              </c:layout>
              <c:tx>
                <c:rich>
                  <a:bodyPr/>
                  <a:lstStyle/>
                  <a:p>
                    <a:pPr>
                      <a:defRPr sz="620" b="1" i="0" u="none" strike="noStrike" baseline="0">
                        <a:solidFill>
                          <a:srgbClr val="000000"/>
                        </a:solidFill>
                        <a:latin typeface="Times New Roman" pitchFamily="18" charset="0"/>
                        <a:ea typeface="Calibri"/>
                        <a:cs typeface="Times New Roman" pitchFamily="18" charset="0"/>
                      </a:defRPr>
                    </a:pPr>
                    <a:r>
                      <a:rPr lang="ru-RU" sz="620">
                        <a:latin typeface="Times New Roman" pitchFamily="18" charset="0"/>
                        <a:cs typeface="Times New Roman" pitchFamily="18" charset="0"/>
                      </a:rPr>
                      <a:t>Коммунальное хозяйство (5,1; 0,9%)</a:t>
                    </a:r>
                  </a:p>
                </c:rich>
              </c:tx>
              <c:spPr>
                <a:noFill/>
                <a:ln w="25311">
                  <a:noFill/>
                </a:ln>
              </c:spPr>
              <c:dLblPos val="bestFit"/>
            </c:dLbl>
            <c:dLbl>
              <c:idx val="8"/>
              <c:layout>
                <c:manualLayout>
                  <c:x val="0.13299327483054521"/>
                  <c:y val="0.10650609850239308"/>
                </c:manualLayout>
              </c:layout>
              <c:tx>
                <c:rich>
                  <a:bodyPr/>
                  <a:lstStyle/>
                  <a:p>
                    <a:pPr>
                      <a:defRPr sz="620" b="1" i="0" u="none" strike="noStrike" baseline="0">
                        <a:solidFill>
                          <a:srgbClr val="000000"/>
                        </a:solidFill>
                        <a:latin typeface="Times New Roman" pitchFamily="18" charset="0"/>
                        <a:ea typeface="Calibri"/>
                        <a:cs typeface="Times New Roman" pitchFamily="18" charset="0"/>
                      </a:defRPr>
                    </a:pPr>
                    <a:r>
                      <a:rPr lang="ru-RU" sz="620">
                        <a:latin typeface="Times New Roman" pitchFamily="18" charset="0"/>
                        <a:cs typeface="Times New Roman" pitchFamily="18" charset="0"/>
                      </a:rPr>
                      <a:t>Здравооохранение и соц. обеспеч. (4,2;0,7%)</a:t>
                    </a:r>
                  </a:p>
                  <a:p>
                    <a:pPr>
                      <a:defRPr sz="620" b="1" i="0" u="none" strike="noStrike" baseline="0">
                        <a:solidFill>
                          <a:srgbClr val="000000"/>
                        </a:solidFill>
                        <a:latin typeface="Times New Roman" pitchFamily="18" charset="0"/>
                        <a:ea typeface="Calibri"/>
                        <a:cs typeface="Times New Roman" pitchFamily="18" charset="0"/>
                      </a:defRPr>
                    </a:pPr>
                    <a:endParaRPr lang="ru-RU" sz="620">
                      <a:latin typeface="Times New Roman" pitchFamily="18" charset="0"/>
                      <a:cs typeface="Times New Roman" pitchFamily="18" charset="0"/>
                    </a:endParaRPr>
                  </a:p>
                </c:rich>
              </c:tx>
              <c:spPr>
                <a:noFill/>
                <a:ln w="25311">
                  <a:noFill/>
                </a:ln>
              </c:spPr>
              <c:dLblPos val="bestFit"/>
            </c:dLbl>
            <c:dLbl>
              <c:idx val="9"/>
              <c:layout>
                <c:manualLayout>
                  <c:x val="9.8765432098767494E-2"/>
                  <c:y val="0.16501096186506298"/>
                </c:manualLayout>
              </c:layout>
              <c:tx>
                <c:rich>
                  <a:bodyPr/>
                  <a:lstStyle/>
                  <a:p>
                    <a:pPr>
                      <a:defRPr sz="620" b="1" i="0" u="none" strike="noStrike" baseline="0">
                        <a:solidFill>
                          <a:srgbClr val="000000"/>
                        </a:solidFill>
                        <a:latin typeface="Times New Roman" pitchFamily="18" charset="0"/>
                        <a:ea typeface="Calibri"/>
                        <a:cs typeface="Times New Roman" pitchFamily="18" charset="0"/>
                      </a:defRPr>
                    </a:pPr>
                    <a:r>
                      <a:rPr lang="ru-RU" sz="620">
                        <a:latin typeface="Times New Roman" pitchFamily="18" charset="0"/>
                        <a:cs typeface="Times New Roman" pitchFamily="18" charset="0"/>
                      </a:rPr>
                      <a:t>Образование (5,9; 1,1%)</a:t>
                    </a:r>
                  </a:p>
                </c:rich>
              </c:tx>
              <c:spPr>
                <a:noFill/>
                <a:ln w="25311">
                  <a:noFill/>
                </a:ln>
              </c:spPr>
              <c:dLblPos val="bestFit"/>
            </c:dLbl>
            <c:dLbl>
              <c:idx val="10"/>
              <c:layout>
                <c:manualLayout>
                  <c:x val="3.5914702581369799E-2"/>
                  <c:y val="0.19380206885903969"/>
                </c:manualLayout>
              </c:layout>
              <c:tx>
                <c:rich>
                  <a:bodyPr/>
                  <a:lstStyle/>
                  <a:p>
                    <a:pPr>
                      <a:defRPr sz="620" b="1" i="0" u="none" strike="noStrike" baseline="0">
                        <a:solidFill>
                          <a:srgbClr val="000000"/>
                        </a:solidFill>
                        <a:latin typeface="Times New Roman" pitchFamily="18" charset="0"/>
                        <a:ea typeface="Calibri"/>
                        <a:cs typeface="Times New Roman" pitchFamily="18" charset="0"/>
                      </a:defRPr>
                    </a:pPr>
                    <a:r>
                      <a:rPr lang="ru-RU" sz="620">
                        <a:latin typeface="Times New Roman" pitchFamily="18" charset="0"/>
                        <a:cs typeface="Times New Roman" pitchFamily="18" charset="0"/>
                      </a:rPr>
                      <a:t>Прочие (59,4; 10,5%)</a:t>
                    </a:r>
                  </a:p>
                </c:rich>
              </c:tx>
              <c:spPr>
                <a:noFill/>
                <a:ln w="25311">
                  <a:noFill/>
                </a:ln>
              </c:spPr>
              <c:dLblPos val="bestFit"/>
            </c:dLbl>
            <c:numFmt formatCode="0%" sourceLinked="0"/>
            <c:spPr>
              <a:noFill/>
              <a:ln w="25311">
                <a:noFill/>
              </a:ln>
            </c:spPr>
            <c:txPr>
              <a:bodyPr/>
              <a:lstStyle/>
              <a:p>
                <a:pPr>
                  <a:defRPr sz="620" b="1" i="0" u="none" strike="noStrike" baseline="0">
                    <a:solidFill>
                      <a:srgbClr val="000000"/>
                    </a:solidFill>
                    <a:latin typeface="Times New Roman" pitchFamily="18" charset="0"/>
                    <a:ea typeface="Calibri"/>
                    <a:cs typeface="Times New Roman" pitchFamily="18" charset="0"/>
                  </a:defRPr>
                </a:pPr>
                <a:endParaRPr lang="ru-RU"/>
              </a:p>
            </c:txPr>
            <c:showVal val="1"/>
            <c:showPercent val="1"/>
            <c:showLeaderLines val="1"/>
          </c:dLbls>
          <c:cat>
            <c:strRef>
              <c:f>Sheet1!$B$1:$L$1</c:f>
              <c:strCache>
                <c:ptCount val="11"/>
                <c:pt idx="0">
                  <c:v>Промышленность</c:v>
                </c:pt>
                <c:pt idx="1">
                  <c:v>Сельское хозяйство</c:v>
                </c:pt>
                <c:pt idx="2">
                  <c:v>Транспорт</c:v>
                </c:pt>
                <c:pt idx="3">
                  <c:v>Связь</c:v>
                </c:pt>
                <c:pt idx="4">
                  <c:v>Строительство</c:v>
                </c:pt>
                <c:pt idx="5">
                  <c:v>Торговля и общественное питание</c:v>
                </c:pt>
                <c:pt idx="6">
                  <c:v>Жилищное стротельство</c:v>
                </c:pt>
                <c:pt idx="7">
                  <c:v>Коммунальное хозяйство</c:v>
                </c:pt>
                <c:pt idx="8">
                  <c:v>Здравоохранение и соц. обеспечение</c:v>
                </c:pt>
                <c:pt idx="9">
                  <c:v>Образование</c:v>
                </c:pt>
                <c:pt idx="10">
                  <c:v>Прочее</c:v>
                </c:pt>
              </c:strCache>
            </c:strRef>
          </c:cat>
          <c:val>
            <c:numRef>
              <c:f>Sheet1!$B$2:$L$2</c:f>
              <c:numCache>
                <c:formatCode>General</c:formatCode>
                <c:ptCount val="11"/>
                <c:pt idx="0">
                  <c:v>632.5</c:v>
                </c:pt>
                <c:pt idx="1">
                  <c:v>167.2</c:v>
                </c:pt>
                <c:pt idx="2">
                  <c:v>83.8</c:v>
                </c:pt>
                <c:pt idx="3">
                  <c:v>92.4</c:v>
                </c:pt>
                <c:pt idx="4">
                  <c:v>6.6</c:v>
                </c:pt>
                <c:pt idx="5">
                  <c:v>143</c:v>
                </c:pt>
                <c:pt idx="6">
                  <c:v>42.5</c:v>
                </c:pt>
                <c:pt idx="7">
                  <c:v>37.6</c:v>
                </c:pt>
                <c:pt idx="8">
                  <c:v>22.4</c:v>
                </c:pt>
                <c:pt idx="9">
                  <c:v>16.5</c:v>
                </c:pt>
                <c:pt idx="10">
                  <c:v>120.7</c:v>
                </c:pt>
              </c:numCache>
            </c:numRef>
          </c:val>
        </c:ser>
        <c:dLbls>
          <c:showVal val="1"/>
          <c:showPercent val="1"/>
        </c:dLbls>
      </c:pie3DChart>
      <c:spPr>
        <a:solidFill>
          <a:srgbClr val="FFFFFF"/>
        </a:solidFill>
        <a:ln w="12656">
          <a:solidFill>
            <a:srgbClr val="FFFFFF"/>
          </a:solidFill>
          <a:prstDash val="solid"/>
        </a:ln>
      </c:spPr>
    </c:plotArea>
    <c:plotVisOnly val="1"/>
    <c:dispBlanksAs val="zero"/>
  </c:chart>
  <c:spPr>
    <a:noFill/>
    <a:ln>
      <a:noFill/>
    </a:ln>
  </c:spPr>
  <c:txPr>
    <a:bodyPr/>
    <a:lstStyle/>
    <a:p>
      <a:pPr>
        <a:defRPr sz="797" b="1" i="0" u="none" strike="noStrike" baseline="0">
          <a:solidFill>
            <a:srgbClr val="000000"/>
          </a:solidFill>
          <a:latin typeface="Calibri"/>
          <a:ea typeface="Calibri"/>
          <a:cs typeface="Calibri"/>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798" b="1" i="0" u="none" strike="noStrike" baseline="0">
                <a:solidFill>
                  <a:srgbClr val="000000"/>
                </a:solidFill>
                <a:latin typeface="Times New Roman" pitchFamily="18" charset="0"/>
                <a:ea typeface="Calibri"/>
                <a:cs typeface="Times New Roman" pitchFamily="18" charset="0"/>
              </a:defRPr>
            </a:pPr>
            <a:r>
              <a:rPr lang="ru-RU">
                <a:latin typeface="Times New Roman" pitchFamily="18" charset="0"/>
                <a:cs typeface="Times New Roman" pitchFamily="18" charset="0"/>
              </a:rPr>
              <a:t>январь-июнь 2014  г.</a:t>
            </a:r>
          </a:p>
        </c:rich>
      </c:tx>
      <c:layout>
        <c:manualLayout>
          <c:xMode val="edge"/>
          <c:yMode val="edge"/>
          <c:x val="0.36738571229998379"/>
          <c:y val="1.0364288121572352E-2"/>
        </c:manualLayout>
      </c:layout>
      <c:spPr>
        <a:noFill/>
        <a:ln w="25322">
          <a:noFill/>
        </a:ln>
      </c:spPr>
    </c:title>
    <c:view3D>
      <c:rotX val="30"/>
      <c:rotY val="80"/>
      <c:depthPercent val="100"/>
      <c:perspective val="0"/>
    </c:view3D>
    <c:plotArea>
      <c:layout>
        <c:manualLayout>
          <c:layoutTarget val="inner"/>
          <c:xMode val="edge"/>
          <c:yMode val="edge"/>
          <c:x val="0"/>
          <c:y val="0.28606268574405608"/>
          <c:w val="1"/>
          <c:h val="0.42537264237319505"/>
        </c:manualLayout>
      </c:layout>
      <c:pie3DChart>
        <c:varyColors val="1"/>
        <c:ser>
          <c:idx val="0"/>
          <c:order val="0"/>
          <c:tx>
            <c:strRef>
              <c:f>Sheet1!$A$2</c:f>
              <c:strCache>
                <c:ptCount val="1"/>
                <c:pt idx="0">
                  <c:v>Восток</c:v>
                </c:pt>
              </c:strCache>
            </c:strRef>
          </c:tx>
          <c:spPr>
            <a:solidFill>
              <a:srgbClr val="9999FF"/>
            </a:solidFill>
            <a:ln w="12661">
              <a:solidFill>
                <a:srgbClr val="000000"/>
              </a:solidFill>
              <a:prstDash val="solid"/>
            </a:ln>
          </c:spPr>
          <c:explosion val="25"/>
          <c:dPt>
            <c:idx val="0"/>
            <c:spPr>
              <a:solidFill>
                <a:schemeClr val="accent2">
                  <a:lumMod val="40000"/>
                  <a:lumOff val="60000"/>
                </a:schemeClr>
              </a:solidFill>
              <a:ln w="12661">
                <a:solidFill>
                  <a:srgbClr val="000000"/>
                </a:solidFill>
                <a:prstDash val="solid"/>
              </a:ln>
            </c:spPr>
          </c:dPt>
          <c:dPt>
            <c:idx val="1"/>
            <c:spPr>
              <a:blipFill dpi="0" rotWithShape="0">
                <a:blip xmlns:r="http://schemas.openxmlformats.org/officeDocument/2006/relationships" r:embed="rId1"/>
                <a:srcRect/>
                <a:tile tx="0" ty="0" sx="100000" sy="100000" flip="none" algn="tl"/>
              </a:blipFill>
              <a:ln w="12661">
                <a:solidFill>
                  <a:srgbClr val="000000"/>
                </a:solidFill>
                <a:prstDash val="solid"/>
              </a:ln>
            </c:spPr>
          </c:dPt>
          <c:dPt>
            <c:idx val="2"/>
            <c:spPr>
              <a:solidFill>
                <a:schemeClr val="accent4">
                  <a:lumMod val="40000"/>
                  <a:lumOff val="60000"/>
                </a:schemeClr>
              </a:solidFill>
              <a:ln w="12661">
                <a:solidFill>
                  <a:srgbClr val="000000"/>
                </a:solidFill>
                <a:prstDash val="solid"/>
              </a:ln>
            </c:spPr>
          </c:dPt>
          <c:dPt>
            <c:idx val="3"/>
            <c:spPr>
              <a:pattFill prst="lgCheck">
                <a:fgClr>
                  <a:srgbClr val="993366"/>
                </a:fgClr>
                <a:bgClr>
                  <a:srgbClr val="FFFFFF"/>
                </a:bgClr>
              </a:pattFill>
              <a:ln w="12661">
                <a:solidFill>
                  <a:srgbClr val="000000"/>
                </a:solidFill>
                <a:prstDash val="solid"/>
              </a:ln>
            </c:spPr>
          </c:dPt>
          <c:dPt>
            <c:idx val="4"/>
            <c:spPr>
              <a:pattFill prst="wave">
                <a:fgClr>
                  <a:srgbClr val="FFFFFF"/>
                </a:fgClr>
                <a:bgClr>
                  <a:srgbClr val="333333"/>
                </a:bgClr>
              </a:pattFill>
              <a:ln w="12661">
                <a:solidFill>
                  <a:srgbClr val="000000"/>
                </a:solidFill>
                <a:prstDash val="solid"/>
              </a:ln>
            </c:spPr>
          </c:dPt>
          <c:dPt>
            <c:idx val="5"/>
            <c:spPr>
              <a:pattFill prst="shingle">
                <a:fgClr>
                  <a:srgbClr val="333333"/>
                </a:fgClr>
                <a:bgClr>
                  <a:srgbClr val="FFFFFF"/>
                </a:bgClr>
              </a:pattFill>
              <a:ln w="12661">
                <a:solidFill>
                  <a:srgbClr val="000000"/>
                </a:solidFill>
                <a:prstDash val="solid"/>
              </a:ln>
            </c:spPr>
          </c:dPt>
          <c:dPt>
            <c:idx val="6"/>
            <c:spPr>
              <a:pattFill prst="solidDmnd">
                <a:fgClr>
                  <a:srgbClr val="FFFFFF"/>
                </a:fgClr>
                <a:bgClr>
                  <a:srgbClr val="333333"/>
                </a:bgClr>
              </a:pattFill>
              <a:ln w="12661">
                <a:solidFill>
                  <a:srgbClr val="000000"/>
                </a:solidFill>
                <a:prstDash val="solid"/>
              </a:ln>
            </c:spPr>
          </c:dPt>
          <c:dPt>
            <c:idx val="7"/>
            <c:spPr>
              <a:pattFill prst="wdUpDiag">
                <a:fgClr>
                  <a:srgbClr val="333333"/>
                </a:fgClr>
                <a:bgClr>
                  <a:srgbClr val="FFFFFF"/>
                </a:bgClr>
              </a:pattFill>
              <a:ln w="12661">
                <a:solidFill>
                  <a:srgbClr val="000000"/>
                </a:solidFill>
                <a:prstDash val="solid"/>
              </a:ln>
            </c:spPr>
          </c:dPt>
          <c:dPt>
            <c:idx val="8"/>
            <c:spPr>
              <a:solidFill>
                <a:srgbClr val="CCFFFF"/>
              </a:solidFill>
              <a:ln w="12661">
                <a:solidFill>
                  <a:srgbClr val="000000"/>
                </a:solidFill>
                <a:prstDash val="solid"/>
              </a:ln>
            </c:spPr>
          </c:dPt>
          <c:dPt>
            <c:idx val="9"/>
            <c:spPr>
              <a:solidFill>
                <a:srgbClr val="FF00FF"/>
              </a:solidFill>
              <a:ln w="12661">
                <a:solidFill>
                  <a:srgbClr val="000000"/>
                </a:solidFill>
                <a:prstDash val="solid"/>
              </a:ln>
            </c:spPr>
          </c:dPt>
          <c:dPt>
            <c:idx val="10"/>
            <c:spPr>
              <a:solidFill>
                <a:srgbClr val="FFFF00"/>
              </a:solidFill>
              <a:ln w="12661">
                <a:solidFill>
                  <a:srgbClr val="000000"/>
                </a:solidFill>
                <a:prstDash val="solid"/>
              </a:ln>
            </c:spPr>
          </c:dPt>
          <c:dLbls>
            <c:dLbl>
              <c:idx val="0"/>
              <c:layout>
                <c:manualLayout>
                  <c:x val="0.1852040457559638"/>
                  <c:y val="-4.2460859707711684E-2"/>
                </c:manualLayout>
              </c:layout>
              <c:tx>
                <c:rich>
                  <a:bodyPr/>
                  <a:lstStyle/>
                  <a:p>
                    <a:pPr>
                      <a:defRPr sz="620" b="1" i="0" u="none" strike="noStrike" baseline="0">
                        <a:solidFill>
                          <a:srgbClr val="000000"/>
                        </a:solidFill>
                        <a:latin typeface="Times New Roman" pitchFamily="18" charset="0"/>
                        <a:ea typeface="Calibri"/>
                        <a:cs typeface="Times New Roman" pitchFamily="18" charset="0"/>
                      </a:defRPr>
                    </a:pPr>
                    <a:r>
                      <a:rPr lang="ru-RU" sz="620">
                        <a:latin typeface="Times New Roman" pitchFamily="18" charset="0"/>
                        <a:cs typeface="Times New Roman" pitchFamily="18" charset="0"/>
                      </a:rPr>
                      <a:t>Промышленность ( 258,3; 41,0%)</a:t>
                    </a:r>
                  </a:p>
                </c:rich>
              </c:tx>
              <c:spPr>
                <a:noFill/>
                <a:ln w="25322">
                  <a:noFill/>
                </a:ln>
              </c:spPr>
              <c:dLblPos val="bestFit"/>
            </c:dLbl>
            <c:dLbl>
              <c:idx val="1"/>
              <c:layout>
                <c:manualLayout>
                  <c:x val="1.8371068102468664E-3"/>
                  <c:y val="0.14093814148718162"/>
                </c:manualLayout>
              </c:layout>
              <c:tx>
                <c:rich>
                  <a:bodyPr/>
                  <a:lstStyle/>
                  <a:p>
                    <a:pPr>
                      <a:defRPr sz="620" b="1" i="0" u="none" strike="noStrike" baseline="0">
                        <a:solidFill>
                          <a:srgbClr val="000000"/>
                        </a:solidFill>
                        <a:latin typeface="Times New Roman" pitchFamily="18" charset="0"/>
                        <a:ea typeface="Calibri"/>
                        <a:cs typeface="Times New Roman" pitchFamily="18" charset="0"/>
                      </a:defRPr>
                    </a:pPr>
                    <a:r>
                      <a:rPr lang="ru-RU" sz="620">
                        <a:latin typeface="Times New Roman" pitchFamily="18" charset="0"/>
                        <a:cs typeface="Times New Roman" pitchFamily="18" charset="0"/>
                      </a:rPr>
                      <a:t>Сельское хозяйство (115,9; 18,4%)</a:t>
                    </a:r>
                  </a:p>
                </c:rich>
              </c:tx>
              <c:spPr>
                <a:noFill/>
                <a:ln w="25322">
                  <a:noFill/>
                </a:ln>
              </c:spPr>
              <c:dLblPos val="bestFit"/>
            </c:dLbl>
            <c:dLbl>
              <c:idx val="2"/>
              <c:layout>
                <c:manualLayout>
                  <c:x val="-8.8197479987900715E-2"/>
                  <c:y val="6.6048183665757265E-2"/>
                </c:manualLayout>
              </c:layout>
              <c:tx>
                <c:rich>
                  <a:bodyPr/>
                  <a:lstStyle/>
                  <a:p>
                    <a:pPr>
                      <a:defRPr sz="620" b="1" i="0" u="none" strike="noStrike" baseline="0">
                        <a:solidFill>
                          <a:srgbClr val="000000"/>
                        </a:solidFill>
                        <a:latin typeface="Times New Roman" pitchFamily="18" charset="0"/>
                        <a:ea typeface="Calibri"/>
                        <a:cs typeface="Times New Roman" pitchFamily="18" charset="0"/>
                      </a:defRPr>
                    </a:pPr>
                    <a:r>
                      <a:rPr lang="ru-RU" sz="620">
                        <a:latin typeface="Times New Roman" pitchFamily="18" charset="0"/>
                        <a:cs typeface="Times New Roman" pitchFamily="18" charset="0"/>
                      </a:rPr>
                      <a:t>Транспорт (77,2; 12,3%)</a:t>
                    </a:r>
                  </a:p>
                </c:rich>
              </c:tx>
              <c:spPr>
                <a:noFill/>
                <a:ln w="25322">
                  <a:noFill/>
                </a:ln>
              </c:spPr>
              <c:dLblPos val="bestFit"/>
            </c:dLbl>
            <c:dLbl>
              <c:idx val="3"/>
              <c:layout>
                <c:manualLayout>
                  <c:x val="-0.12876951128772454"/>
                  <c:y val="1.6696998478303051E-2"/>
                </c:manualLayout>
              </c:layout>
              <c:tx>
                <c:rich>
                  <a:bodyPr/>
                  <a:lstStyle/>
                  <a:p>
                    <a:pPr>
                      <a:defRPr sz="620" b="1" i="0" u="none" strike="noStrike" baseline="0">
                        <a:solidFill>
                          <a:srgbClr val="000000"/>
                        </a:solidFill>
                        <a:latin typeface="Times New Roman" pitchFamily="18" charset="0"/>
                        <a:ea typeface="Calibri"/>
                        <a:cs typeface="Times New Roman" pitchFamily="18" charset="0"/>
                      </a:defRPr>
                    </a:pPr>
                    <a:r>
                      <a:rPr lang="ru-RU" sz="620">
                        <a:latin typeface="Times New Roman" pitchFamily="18" charset="0"/>
                        <a:cs typeface="Times New Roman" pitchFamily="18" charset="0"/>
                      </a:rPr>
                      <a:t>Связь (26,4; 4,2%)</a:t>
                    </a:r>
                  </a:p>
                </c:rich>
              </c:tx>
              <c:spPr>
                <a:noFill/>
                <a:ln w="25322">
                  <a:noFill/>
                </a:ln>
              </c:spPr>
              <c:dLblPos val="bestFit"/>
            </c:dLbl>
            <c:dLbl>
              <c:idx val="4"/>
              <c:layout>
                <c:manualLayout>
                  <c:x val="-0.16182206196188087"/>
                  <c:y val="-4.9587303532583733E-2"/>
                </c:manualLayout>
              </c:layout>
              <c:tx>
                <c:rich>
                  <a:bodyPr/>
                  <a:lstStyle/>
                  <a:p>
                    <a:pPr>
                      <a:defRPr sz="620" b="1" i="0" u="none" strike="noStrike" baseline="0">
                        <a:solidFill>
                          <a:srgbClr val="000000"/>
                        </a:solidFill>
                        <a:latin typeface="Times New Roman" pitchFamily="18" charset="0"/>
                        <a:ea typeface="Calibri"/>
                        <a:cs typeface="Times New Roman" pitchFamily="18" charset="0"/>
                      </a:defRPr>
                    </a:pPr>
                    <a:r>
                      <a:rPr lang="ru-RU" sz="620">
                        <a:latin typeface="Times New Roman" pitchFamily="18" charset="0"/>
                        <a:cs typeface="Times New Roman" pitchFamily="18" charset="0"/>
                      </a:rPr>
                      <a:t>Строительство (4,5; 0,7%)</a:t>
                    </a:r>
                  </a:p>
                </c:rich>
              </c:tx>
              <c:spPr>
                <a:noFill/>
                <a:ln w="25322">
                  <a:noFill/>
                </a:ln>
              </c:spPr>
              <c:dLblPos val="bestFit"/>
            </c:dLbl>
            <c:dLbl>
              <c:idx val="5"/>
              <c:layout>
                <c:manualLayout>
                  <c:x val="-0.20325688260930044"/>
                  <c:y val="-0.16083458439290421"/>
                </c:manualLayout>
              </c:layout>
              <c:tx>
                <c:rich>
                  <a:bodyPr/>
                  <a:lstStyle/>
                  <a:p>
                    <a:pPr>
                      <a:defRPr sz="620" b="1" i="0" u="none" strike="noStrike" baseline="0">
                        <a:solidFill>
                          <a:srgbClr val="000000"/>
                        </a:solidFill>
                        <a:latin typeface="Times New Roman" pitchFamily="18" charset="0"/>
                        <a:ea typeface="Calibri"/>
                        <a:cs typeface="Times New Roman" pitchFamily="18" charset="0"/>
                      </a:defRPr>
                    </a:pPr>
                    <a:r>
                      <a:rPr lang="ru-RU" sz="620">
                        <a:latin typeface="Times New Roman" pitchFamily="18" charset="0"/>
                        <a:cs typeface="Times New Roman" pitchFamily="18" charset="0"/>
                      </a:rPr>
                      <a:t>Торговля и общ.питание (53,9; 8,6%)</a:t>
                    </a:r>
                  </a:p>
                </c:rich>
              </c:tx>
              <c:spPr>
                <a:noFill/>
                <a:ln w="25322">
                  <a:noFill/>
                </a:ln>
              </c:spPr>
              <c:dLblPos val="bestFit"/>
            </c:dLbl>
            <c:dLbl>
              <c:idx val="6"/>
              <c:layout>
                <c:manualLayout>
                  <c:x val="0.16793027039844324"/>
                  <c:y val="-0.16344577550374298"/>
                </c:manualLayout>
              </c:layout>
              <c:tx>
                <c:rich>
                  <a:bodyPr/>
                  <a:lstStyle/>
                  <a:p>
                    <a:pPr>
                      <a:defRPr sz="620" b="1" i="0" u="none" strike="noStrike" baseline="0">
                        <a:solidFill>
                          <a:srgbClr val="000000"/>
                        </a:solidFill>
                        <a:latin typeface="Times New Roman" pitchFamily="18" charset="0"/>
                        <a:ea typeface="Calibri"/>
                        <a:cs typeface="Times New Roman" pitchFamily="18" charset="0"/>
                      </a:defRPr>
                    </a:pPr>
                    <a:r>
                      <a:rPr lang="ru-RU" sz="620">
                        <a:latin typeface="Times New Roman" pitchFamily="18" charset="0"/>
                        <a:cs typeface="Times New Roman" pitchFamily="18" charset="0"/>
                      </a:rPr>
                      <a:t>Жилищное строительство 5,2; 0,8%)</a:t>
                    </a:r>
                  </a:p>
                </c:rich>
              </c:tx>
              <c:spPr>
                <a:noFill/>
                <a:ln w="25322">
                  <a:noFill/>
                </a:ln>
              </c:spPr>
              <c:dLblPos val="bestFit"/>
            </c:dLbl>
            <c:dLbl>
              <c:idx val="7"/>
              <c:layout>
                <c:manualLayout>
                  <c:x val="0.18271346922756382"/>
                  <c:y val="-5.1146991840028827E-2"/>
                </c:manualLayout>
              </c:layout>
              <c:tx>
                <c:rich>
                  <a:bodyPr/>
                  <a:lstStyle/>
                  <a:p>
                    <a:pPr>
                      <a:defRPr sz="620" b="1" i="0" u="none" strike="noStrike" baseline="0">
                        <a:solidFill>
                          <a:srgbClr val="000000"/>
                        </a:solidFill>
                        <a:latin typeface="Times New Roman" pitchFamily="18" charset="0"/>
                        <a:ea typeface="Calibri"/>
                        <a:cs typeface="Times New Roman" pitchFamily="18" charset="0"/>
                      </a:defRPr>
                    </a:pPr>
                    <a:r>
                      <a:rPr lang="ru-RU" sz="620">
                        <a:latin typeface="Times New Roman" pitchFamily="18" charset="0"/>
                        <a:cs typeface="Times New Roman" pitchFamily="18" charset="0"/>
                      </a:rPr>
                      <a:t>Коммунальное хозяйство (13,5; 2,1%)</a:t>
                    </a:r>
                  </a:p>
                </c:rich>
              </c:tx>
              <c:spPr>
                <a:noFill/>
                <a:ln w="25322">
                  <a:noFill/>
                </a:ln>
              </c:spPr>
              <c:dLblPos val="bestFit"/>
            </c:dLbl>
            <c:dLbl>
              <c:idx val="8"/>
              <c:layout>
                <c:manualLayout>
                  <c:x val="0.13771203833165721"/>
                  <c:y val="7.9634384223372864E-2"/>
                </c:manualLayout>
              </c:layout>
              <c:tx>
                <c:rich>
                  <a:bodyPr/>
                  <a:lstStyle/>
                  <a:p>
                    <a:pPr>
                      <a:defRPr sz="620" b="1" i="0" u="none" strike="noStrike" baseline="0">
                        <a:solidFill>
                          <a:srgbClr val="000000"/>
                        </a:solidFill>
                        <a:latin typeface="Times New Roman" pitchFamily="18" charset="0"/>
                        <a:ea typeface="Calibri"/>
                        <a:cs typeface="Times New Roman" pitchFamily="18" charset="0"/>
                      </a:defRPr>
                    </a:pPr>
                    <a:r>
                      <a:rPr lang="ru-RU" sz="620">
                        <a:latin typeface="Times New Roman" pitchFamily="18" charset="0"/>
                        <a:cs typeface="Times New Roman" pitchFamily="18" charset="0"/>
                      </a:rPr>
                      <a:t>Здравоохранение и соц. обеспеч. (26,4; 4,2%)</a:t>
                    </a:r>
                  </a:p>
                </c:rich>
              </c:tx>
              <c:spPr>
                <a:noFill/>
                <a:ln w="25322">
                  <a:noFill/>
                </a:ln>
              </c:spPr>
              <c:dLblPos val="bestFit"/>
            </c:dLbl>
            <c:dLbl>
              <c:idx val="9"/>
              <c:layout>
                <c:manualLayout>
                  <c:x val="0.10840532783869312"/>
                  <c:y val="0.13506622956177194"/>
                </c:manualLayout>
              </c:layout>
              <c:tx>
                <c:rich>
                  <a:bodyPr/>
                  <a:lstStyle/>
                  <a:p>
                    <a:pPr>
                      <a:defRPr sz="620" b="1" i="0" u="none" strike="noStrike" baseline="0">
                        <a:solidFill>
                          <a:srgbClr val="000000"/>
                        </a:solidFill>
                        <a:latin typeface="Times New Roman" pitchFamily="18" charset="0"/>
                        <a:ea typeface="Calibri"/>
                        <a:cs typeface="Times New Roman" pitchFamily="18" charset="0"/>
                      </a:defRPr>
                    </a:pPr>
                    <a:r>
                      <a:rPr lang="ru-RU" sz="620">
                        <a:latin typeface="Times New Roman" pitchFamily="18" charset="0"/>
                        <a:cs typeface="Times New Roman" pitchFamily="18" charset="0"/>
                      </a:rPr>
                      <a:t>Образование (5,4;0,9%)</a:t>
                    </a:r>
                  </a:p>
                </c:rich>
              </c:tx>
              <c:spPr>
                <a:noFill/>
                <a:ln w="25322">
                  <a:noFill/>
                </a:ln>
              </c:spPr>
              <c:dLblPos val="bestFit"/>
            </c:dLbl>
            <c:dLbl>
              <c:idx val="10"/>
              <c:layout>
                <c:manualLayout>
                  <c:x val="3.6720223056230121E-2"/>
                  <c:y val="0.16682006188915102"/>
                </c:manualLayout>
              </c:layout>
              <c:tx>
                <c:rich>
                  <a:bodyPr/>
                  <a:lstStyle/>
                  <a:p>
                    <a:pPr>
                      <a:defRPr sz="620" b="1" i="0" u="none" strike="noStrike" baseline="0">
                        <a:solidFill>
                          <a:srgbClr val="000000"/>
                        </a:solidFill>
                        <a:latin typeface="Times New Roman" pitchFamily="18" charset="0"/>
                        <a:ea typeface="Calibri"/>
                        <a:cs typeface="Times New Roman" pitchFamily="18" charset="0"/>
                      </a:defRPr>
                    </a:pPr>
                    <a:r>
                      <a:rPr lang="ru-RU" sz="620">
                        <a:latin typeface="Times New Roman" pitchFamily="18" charset="0"/>
                        <a:cs typeface="Times New Roman" pitchFamily="18" charset="0"/>
                      </a:rPr>
                      <a:t>Прочие (43,0; 6,8%)</a:t>
                    </a:r>
                  </a:p>
                </c:rich>
              </c:tx>
              <c:spPr>
                <a:noFill/>
                <a:ln w="25322">
                  <a:noFill/>
                </a:ln>
              </c:spPr>
              <c:dLblPos val="bestFit"/>
            </c:dLbl>
            <c:numFmt formatCode="0%" sourceLinked="0"/>
            <c:spPr>
              <a:noFill/>
              <a:ln w="25322">
                <a:noFill/>
              </a:ln>
            </c:spPr>
            <c:txPr>
              <a:bodyPr/>
              <a:lstStyle/>
              <a:p>
                <a:pPr>
                  <a:defRPr sz="620" b="1" i="0" u="none" strike="noStrike" baseline="0">
                    <a:solidFill>
                      <a:srgbClr val="000000"/>
                    </a:solidFill>
                    <a:latin typeface="Times New Roman" pitchFamily="18" charset="0"/>
                    <a:ea typeface="Calibri"/>
                    <a:cs typeface="Times New Roman" pitchFamily="18" charset="0"/>
                  </a:defRPr>
                </a:pPr>
                <a:endParaRPr lang="ru-RU"/>
              </a:p>
            </c:txPr>
            <c:showVal val="1"/>
            <c:showPercent val="1"/>
            <c:showLeaderLines val="1"/>
          </c:dLbls>
          <c:cat>
            <c:strRef>
              <c:f>Sheet1!$B$1:$L$1</c:f>
              <c:strCache>
                <c:ptCount val="11"/>
                <c:pt idx="0">
                  <c:v>Промышленность</c:v>
                </c:pt>
                <c:pt idx="1">
                  <c:v>Сельское хозяйство</c:v>
                </c:pt>
                <c:pt idx="2">
                  <c:v>Транспорт</c:v>
                </c:pt>
                <c:pt idx="3">
                  <c:v>Связь</c:v>
                </c:pt>
                <c:pt idx="4">
                  <c:v>Строительство</c:v>
                </c:pt>
                <c:pt idx="5">
                  <c:v>Торговля и общественное питание</c:v>
                </c:pt>
                <c:pt idx="6">
                  <c:v>Жилищное стротельство</c:v>
                </c:pt>
                <c:pt idx="7">
                  <c:v>Коммунальное хозяйство</c:v>
                </c:pt>
                <c:pt idx="8">
                  <c:v>Здравоохранение и соц. обеспечение</c:v>
                </c:pt>
                <c:pt idx="9">
                  <c:v>Образование</c:v>
                </c:pt>
                <c:pt idx="10">
                  <c:v>Прочее</c:v>
                </c:pt>
              </c:strCache>
            </c:strRef>
          </c:cat>
          <c:val>
            <c:numRef>
              <c:f>Sheet1!$B$2:$L$2</c:f>
              <c:numCache>
                <c:formatCode>General</c:formatCode>
                <c:ptCount val="11"/>
                <c:pt idx="0">
                  <c:v>762.6</c:v>
                </c:pt>
                <c:pt idx="1">
                  <c:v>204.5</c:v>
                </c:pt>
                <c:pt idx="2">
                  <c:v>77.5</c:v>
                </c:pt>
                <c:pt idx="3">
                  <c:v>83</c:v>
                </c:pt>
                <c:pt idx="4">
                  <c:v>10</c:v>
                </c:pt>
                <c:pt idx="5">
                  <c:v>195.9</c:v>
                </c:pt>
                <c:pt idx="6">
                  <c:v>32.700000000000003</c:v>
                </c:pt>
                <c:pt idx="7">
                  <c:v>18.8</c:v>
                </c:pt>
                <c:pt idx="8">
                  <c:v>70.099999999999994</c:v>
                </c:pt>
                <c:pt idx="9">
                  <c:v>44.3</c:v>
                </c:pt>
                <c:pt idx="10">
                  <c:v>132.69999999999999</c:v>
                </c:pt>
              </c:numCache>
            </c:numRef>
          </c:val>
        </c:ser>
        <c:dLbls>
          <c:showVal val="1"/>
          <c:showPercent val="1"/>
        </c:dLbls>
      </c:pie3DChart>
      <c:spPr>
        <a:solidFill>
          <a:srgbClr val="FFFFFF"/>
        </a:solidFill>
        <a:ln w="12661">
          <a:solidFill>
            <a:srgbClr val="FFFFFF"/>
          </a:solidFill>
          <a:prstDash val="solid"/>
        </a:ln>
      </c:spPr>
    </c:plotArea>
    <c:plotVisOnly val="1"/>
    <c:dispBlanksAs val="zero"/>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a:pPr>
            <a:r>
              <a:rPr lang="ru-RU" sz="900"/>
              <a:t>Структура доходов от услуг элестросвязи за </a:t>
            </a:r>
            <a:r>
              <a:rPr lang="en-US" sz="900"/>
              <a:t>I </a:t>
            </a:r>
            <a:r>
              <a:rPr lang="ru-RU" sz="900"/>
              <a:t>полугодие 2013 года</a:t>
            </a:r>
          </a:p>
        </c:rich>
      </c:tx>
      <c:layout>
        <c:manualLayout>
          <c:xMode val="edge"/>
          <c:yMode val="edge"/>
          <c:x val="0.11693935454329894"/>
          <c:y val="0"/>
        </c:manualLayout>
      </c:layout>
    </c:title>
    <c:view3D>
      <c:rotX val="75"/>
      <c:perspective val="30"/>
    </c:view3D>
    <c:plotArea>
      <c:layout>
        <c:manualLayout>
          <c:layoutTarget val="inner"/>
          <c:xMode val="edge"/>
          <c:yMode val="edge"/>
          <c:x val="0.10538472164663674"/>
          <c:y val="0.22236220472440948"/>
          <c:w val="0.78923055670672748"/>
          <c:h val="0.64367929480513475"/>
        </c:manualLayout>
      </c:layout>
      <c:pie3DChart>
        <c:varyColors val="1"/>
        <c:ser>
          <c:idx val="0"/>
          <c:order val="0"/>
          <c:tx>
            <c:strRef>
              <c:f>Лист1!$B$1</c:f>
              <c:strCache>
                <c:ptCount val="1"/>
                <c:pt idx="0">
                  <c:v>Структура доходов от услуг элестросвязи за I полугодие 2014 года</c:v>
                </c:pt>
              </c:strCache>
            </c:strRef>
          </c:tx>
          <c:explosion val="21"/>
          <c:dLbls>
            <c:dLbl>
              <c:idx val="0"/>
              <c:layout>
                <c:manualLayout>
                  <c:x val="2.2926691455234766E-2"/>
                  <c:y val="-1.7817772778402702E-2"/>
                </c:manualLayout>
              </c:layout>
              <c:tx>
                <c:rich>
                  <a:bodyPr/>
                  <a:lstStyle/>
                  <a:p>
                    <a:r>
                      <a:rPr lang="ru-RU" sz="800"/>
                      <a:t>Мобильная связь</a:t>
                    </a:r>
                    <a:r>
                      <a:rPr lang="ru-RU" sz="800" baseline="0"/>
                      <a:t> </a:t>
                    </a:r>
                    <a:r>
                      <a:rPr lang="en-US" sz="800"/>
                      <a:t>36,2</a:t>
                    </a:r>
                    <a:r>
                      <a:rPr lang="ru-RU" sz="800"/>
                      <a:t>%</a:t>
                    </a:r>
                    <a:endParaRPr lang="en-US" sz="800"/>
                  </a:p>
                </c:rich>
              </c:tx>
              <c:showVal val="1"/>
            </c:dLbl>
            <c:dLbl>
              <c:idx val="1"/>
              <c:layout>
                <c:manualLayout>
                  <c:x val="0.18337615692775242"/>
                  <c:y val="0"/>
                </c:manualLayout>
              </c:layout>
              <c:tx>
                <c:rich>
                  <a:bodyPr/>
                  <a:lstStyle/>
                  <a:p>
                    <a:r>
                      <a:rPr lang="ru-RU" sz="800"/>
                      <a:t>Фиксированная связь </a:t>
                    </a:r>
                    <a:r>
                      <a:rPr lang="en-US" sz="800"/>
                      <a:t>30</a:t>
                    </a:r>
                    <a:r>
                      <a:rPr lang="ru-RU" sz="800"/>
                      <a:t>,</a:t>
                    </a:r>
                    <a:r>
                      <a:rPr lang="en-US" sz="800"/>
                      <a:t>4</a:t>
                    </a:r>
                    <a:r>
                      <a:rPr lang="ru-RU" sz="800"/>
                      <a:t>%</a:t>
                    </a:r>
                    <a:endParaRPr lang="en-US" sz="800"/>
                  </a:p>
                </c:rich>
              </c:tx>
              <c:showVal val="1"/>
            </c:dLbl>
            <c:dLbl>
              <c:idx val="2"/>
              <c:layout>
                <c:manualLayout>
                  <c:x val="-6.0642814385043979E-2"/>
                  <c:y val="2.8440350616550411E-2"/>
                </c:manualLayout>
              </c:layout>
              <c:tx>
                <c:rich>
                  <a:bodyPr/>
                  <a:lstStyle/>
                  <a:p>
                    <a:r>
                      <a:rPr lang="ru-RU"/>
                      <a:t>Радиовещание </a:t>
                    </a:r>
                  </a:p>
                  <a:p>
                    <a:r>
                      <a:rPr lang="en-US"/>
                      <a:t>4,</a:t>
                    </a:r>
                    <a:r>
                      <a:rPr lang="ru-RU"/>
                      <a:t>9%</a:t>
                    </a:r>
                    <a:endParaRPr lang="en-US"/>
                  </a:p>
                </c:rich>
              </c:tx>
              <c:showVal val="1"/>
            </c:dLbl>
            <c:dLbl>
              <c:idx val="3"/>
              <c:layout>
                <c:manualLayout>
                  <c:x val="-2.6464439340915708E-2"/>
                  <c:y val="-3.9535683039620052E-2"/>
                </c:manualLayout>
              </c:layout>
              <c:tx>
                <c:rich>
                  <a:bodyPr/>
                  <a:lstStyle/>
                  <a:p>
                    <a:r>
                      <a:rPr lang="ru-RU"/>
                      <a:t>Телевизионное вещание</a:t>
                    </a:r>
                  </a:p>
                  <a:p>
                    <a:r>
                      <a:rPr lang="ru-RU"/>
                      <a:t>6,8%</a:t>
                    </a:r>
                    <a:endParaRPr lang="en-US"/>
                  </a:p>
                </c:rich>
              </c:tx>
              <c:showVal val="1"/>
            </c:dLbl>
            <c:dLbl>
              <c:idx val="4"/>
              <c:layout>
                <c:manualLayout>
                  <c:x val="1.9471784776902976E-3"/>
                  <c:y val="-2.474690663667045E-4"/>
                </c:manualLayout>
              </c:layout>
              <c:tx>
                <c:rich>
                  <a:bodyPr/>
                  <a:lstStyle/>
                  <a:p>
                    <a:r>
                      <a:rPr lang="ru-RU" sz="800"/>
                      <a:t>Услуги по передаче данных</a:t>
                    </a:r>
                  </a:p>
                  <a:p>
                    <a:r>
                      <a:rPr lang="en-US" sz="800"/>
                      <a:t>2</a:t>
                    </a:r>
                    <a:r>
                      <a:rPr lang="ru-RU" sz="800"/>
                      <a:t>1,5%</a:t>
                    </a:r>
                    <a:endParaRPr lang="en-US" sz="800"/>
                  </a:p>
                </c:rich>
              </c:tx>
              <c:showVal val="1"/>
            </c:dLbl>
            <c:dLbl>
              <c:idx val="5"/>
              <c:layout>
                <c:manualLayout>
                  <c:x val="0.10390201224846894"/>
                  <c:y val="2.7929859831350868E-2"/>
                </c:manualLayout>
              </c:layout>
              <c:tx>
                <c:rich>
                  <a:bodyPr/>
                  <a:lstStyle/>
                  <a:p>
                    <a:r>
                      <a:rPr lang="ru-RU" sz="800"/>
                      <a:t>Прочие услуги</a:t>
                    </a:r>
                  </a:p>
                  <a:p>
                    <a:r>
                      <a:rPr lang="ru-RU" sz="800" baseline="0"/>
                      <a:t> </a:t>
                    </a:r>
                    <a:r>
                      <a:rPr lang="en-US" sz="800"/>
                      <a:t>0,2%</a:t>
                    </a:r>
                  </a:p>
                </c:rich>
              </c:tx>
              <c:showVal val="1"/>
            </c:dLbl>
            <c:txPr>
              <a:bodyPr/>
              <a:lstStyle/>
              <a:p>
                <a:pPr>
                  <a:defRPr sz="800"/>
                </a:pPr>
                <a:endParaRPr lang="ru-RU"/>
              </a:p>
            </c:txPr>
            <c:showVal val="1"/>
            <c:showLeaderLines val="1"/>
          </c:dLbls>
          <c:cat>
            <c:strRef>
              <c:f>Лист1!$A$2:$A$7</c:f>
              <c:strCache>
                <c:ptCount val="6"/>
                <c:pt idx="0">
                  <c:v>мобильная связь</c:v>
                </c:pt>
                <c:pt idx="1">
                  <c:v>фиксированная связь</c:v>
                </c:pt>
                <c:pt idx="2">
                  <c:v>радиовещание</c:v>
                </c:pt>
                <c:pt idx="3">
                  <c:v>телефизионное вещание</c:v>
                </c:pt>
                <c:pt idx="4">
                  <c:v>услуги по передаче данных</c:v>
                </c:pt>
                <c:pt idx="5">
                  <c:v>прочие услуги</c:v>
                </c:pt>
              </c:strCache>
            </c:strRef>
          </c:cat>
          <c:val>
            <c:numRef>
              <c:f>Лист1!$B$2:$B$7</c:f>
              <c:numCache>
                <c:formatCode>General</c:formatCode>
                <c:ptCount val="6"/>
                <c:pt idx="0">
                  <c:v>36.200000000000003</c:v>
                </c:pt>
                <c:pt idx="1">
                  <c:v>26.8</c:v>
                </c:pt>
                <c:pt idx="2">
                  <c:v>4.5999999999999996</c:v>
                </c:pt>
                <c:pt idx="3">
                  <c:v>8.1</c:v>
                </c:pt>
                <c:pt idx="4">
                  <c:v>24.1</c:v>
                </c:pt>
                <c:pt idx="5">
                  <c:v>0.2</c:v>
                </c:pt>
              </c:numCache>
            </c:numRef>
          </c:val>
        </c:ser>
      </c:pie3DChart>
    </c:plotArea>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1667836257309942"/>
          <c:y val="0"/>
        </c:manualLayout>
      </c:layout>
      <c:txPr>
        <a:bodyPr/>
        <a:lstStyle/>
        <a:p>
          <a:pPr>
            <a:defRPr sz="900"/>
          </a:pPr>
          <a:endParaRPr lang="ru-RU"/>
        </a:p>
      </c:txPr>
    </c:title>
    <c:view3D>
      <c:rotX val="75"/>
      <c:perspective val="30"/>
    </c:view3D>
    <c:plotArea>
      <c:layout>
        <c:manualLayout>
          <c:layoutTarget val="inner"/>
          <c:xMode val="edge"/>
          <c:yMode val="edge"/>
          <c:x val="0.10538472164663677"/>
          <c:y val="0.22236220472440946"/>
          <c:w val="0.78923055670672748"/>
          <c:h val="0.64367929480513508"/>
        </c:manualLayout>
      </c:layout>
      <c:pie3DChart>
        <c:varyColors val="1"/>
        <c:ser>
          <c:idx val="0"/>
          <c:order val="0"/>
          <c:tx>
            <c:strRef>
              <c:f>Лист1!$B$1</c:f>
              <c:strCache>
                <c:ptCount val="1"/>
                <c:pt idx="0">
                  <c:v>Структура доходов от услуг элестросвязи за I полугодие 2014 года</c:v>
                </c:pt>
              </c:strCache>
            </c:strRef>
          </c:tx>
          <c:explosion val="21"/>
          <c:dLbls>
            <c:dLbl>
              <c:idx val="0"/>
              <c:layout>
                <c:manualLayout>
                  <c:x val="2.2926691455234762E-2"/>
                  <c:y val="-1.7817772778402699E-2"/>
                </c:manualLayout>
              </c:layout>
              <c:tx>
                <c:rich>
                  <a:bodyPr/>
                  <a:lstStyle/>
                  <a:p>
                    <a:r>
                      <a:rPr lang="ru-RU" sz="800"/>
                      <a:t>Мобильная связь</a:t>
                    </a:r>
                    <a:r>
                      <a:rPr lang="ru-RU" sz="800" baseline="0"/>
                      <a:t> </a:t>
                    </a:r>
                    <a:r>
                      <a:rPr lang="en-US" sz="800"/>
                      <a:t>36,2</a:t>
                    </a:r>
                    <a:r>
                      <a:rPr lang="ru-RU" sz="800"/>
                      <a:t>%</a:t>
                    </a:r>
                    <a:endParaRPr lang="en-US" sz="800"/>
                  </a:p>
                </c:rich>
              </c:tx>
              <c:showVal val="1"/>
            </c:dLbl>
            <c:dLbl>
              <c:idx val="1"/>
              <c:layout>
                <c:manualLayout>
                  <c:x val="0.18337615692775242"/>
                  <c:y val="0"/>
                </c:manualLayout>
              </c:layout>
              <c:tx>
                <c:rich>
                  <a:bodyPr/>
                  <a:lstStyle/>
                  <a:p>
                    <a:r>
                      <a:rPr lang="ru-RU" sz="800"/>
                      <a:t>Фиксированная связь </a:t>
                    </a:r>
                    <a:r>
                      <a:rPr lang="en-US" sz="800"/>
                      <a:t>26,8</a:t>
                    </a:r>
                    <a:r>
                      <a:rPr lang="ru-RU" sz="800"/>
                      <a:t>%</a:t>
                    </a:r>
                    <a:endParaRPr lang="en-US" sz="800"/>
                  </a:p>
                </c:rich>
              </c:tx>
              <c:showVal val="1"/>
            </c:dLbl>
            <c:dLbl>
              <c:idx val="2"/>
              <c:layout>
                <c:manualLayout>
                  <c:x val="-6.0642814385043972E-2"/>
                  <c:y val="2.8440350616550411E-2"/>
                </c:manualLayout>
              </c:layout>
              <c:tx>
                <c:rich>
                  <a:bodyPr/>
                  <a:lstStyle/>
                  <a:p>
                    <a:r>
                      <a:rPr lang="ru-RU"/>
                      <a:t>Радиовещание </a:t>
                    </a:r>
                  </a:p>
                  <a:p>
                    <a:r>
                      <a:rPr lang="en-US"/>
                      <a:t>4,6</a:t>
                    </a:r>
                    <a:r>
                      <a:rPr lang="ru-RU"/>
                      <a:t>%</a:t>
                    </a:r>
                    <a:endParaRPr lang="en-US"/>
                  </a:p>
                </c:rich>
              </c:tx>
              <c:showVal val="1"/>
            </c:dLbl>
            <c:dLbl>
              <c:idx val="3"/>
              <c:layout>
                <c:manualLayout>
                  <c:x val="-2.6464439340915708E-2"/>
                  <c:y val="-3.9535683039620045E-2"/>
                </c:manualLayout>
              </c:layout>
              <c:tx>
                <c:rich>
                  <a:bodyPr/>
                  <a:lstStyle/>
                  <a:p>
                    <a:r>
                      <a:rPr lang="ru-RU"/>
                      <a:t>Телевизионное вещание</a:t>
                    </a:r>
                  </a:p>
                  <a:p>
                    <a:r>
                      <a:rPr lang="en-US"/>
                      <a:t>8,1</a:t>
                    </a:r>
                    <a:r>
                      <a:rPr lang="ru-RU"/>
                      <a:t>%</a:t>
                    </a:r>
                    <a:endParaRPr lang="en-US"/>
                  </a:p>
                </c:rich>
              </c:tx>
              <c:showVal val="1"/>
            </c:dLbl>
            <c:dLbl>
              <c:idx val="4"/>
              <c:layout>
                <c:manualLayout>
                  <c:x val="1.9471784776902989E-3"/>
                  <c:y val="-2.474690663667045E-4"/>
                </c:manualLayout>
              </c:layout>
              <c:tx>
                <c:rich>
                  <a:bodyPr/>
                  <a:lstStyle/>
                  <a:p>
                    <a:r>
                      <a:rPr lang="ru-RU" sz="800"/>
                      <a:t>Услуги по передаче данных</a:t>
                    </a:r>
                  </a:p>
                  <a:p>
                    <a:r>
                      <a:rPr lang="en-US" sz="800"/>
                      <a:t>24,1</a:t>
                    </a:r>
                    <a:r>
                      <a:rPr lang="ru-RU" sz="800"/>
                      <a:t>%</a:t>
                    </a:r>
                    <a:endParaRPr lang="en-US" sz="800"/>
                  </a:p>
                </c:rich>
              </c:tx>
              <c:showVal val="1"/>
            </c:dLbl>
            <c:dLbl>
              <c:idx val="5"/>
              <c:layout>
                <c:manualLayout>
                  <c:x val="0.10390201224846894"/>
                  <c:y val="2.7929859831350868E-2"/>
                </c:manualLayout>
              </c:layout>
              <c:tx>
                <c:rich>
                  <a:bodyPr/>
                  <a:lstStyle/>
                  <a:p>
                    <a:r>
                      <a:rPr lang="ru-RU" sz="800"/>
                      <a:t>Прочие услуги</a:t>
                    </a:r>
                  </a:p>
                  <a:p>
                    <a:r>
                      <a:rPr lang="ru-RU" sz="800" baseline="0"/>
                      <a:t> </a:t>
                    </a:r>
                    <a:r>
                      <a:rPr lang="en-US" sz="800"/>
                      <a:t>0,2</a:t>
                    </a:r>
                    <a:r>
                      <a:rPr lang="ru-RU" sz="800"/>
                      <a:t>%</a:t>
                    </a:r>
                    <a:endParaRPr lang="en-US" sz="800"/>
                  </a:p>
                </c:rich>
              </c:tx>
              <c:showVal val="1"/>
            </c:dLbl>
            <c:txPr>
              <a:bodyPr/>
              <a:lstStyle/>
              <a:p>
                <a:pPr>
                  <a:defRPr sz="800"/>
                </a:pPr>
                <a:endParaRPr lang="ru-RU"/>
              </a:p>
            </c:txPr>
            <c:showVal val="1"/>
            <c:showLeaderLines val="1"/>
          </c:dLbls>
          <c:cat>
            <c:strRef>
              <c:f>Лист1!$A$2:$A$7</c:f>
              <c:strCache>
                <c:ptCount val="6"/>
                <c:pt idx="0">
                  <c:v>мобильная связь</c:v>
                </c:pt>
                <c:pt idx="1">
                  <c:v>фиксированная связь</c:v>
                </c:pt>
                <c:pt idx="2">
                  <c:v>радиовещание</c:v>
                </c:pt>
                <c:pt idx="3">
                  <c:v>телефизионное вещание</c:v>
                </c:pt>
                <c:pt idx="4">
                  <c:v>услуги по передаче данных</c:v>
                </c:pt>
                <c:pt idx="5">
                  <c:v>прочие услуги</c:v>
                </c:pt>
              </c:strCache>
            </c:strRef>
          </c:cat>
          <c:val>
            <c:numRef>
              <c:f>Лист1!$B$2:$B$7</c:f>
              <c:numCache>
                <c:formatCode>General</c:formatCode>
                <c:ptCount val="6"/>
                <c:pt idx="0">
                  <c:v>36.200000000000003</c:v>
                </c:pt>
                <c:pt idx="1">
                  <c:v>26.8</c:v>
                </c:pt>
                <c:pt idx="2">
                  <c:v>4.5999999999999996</c:v>
                </c:pt>
                <c:pt idx="3">
                  <c:v>8.1</c:v>
                </c:pt>
                <c:pt idx="4">
                  <c:v>24.1</c:v>
                </c:pt>
                <c:pt idx="5">
                  <c:v>0.2</c:v>
                </c:pt>
              </c:numCache>
            </c:numRef>
          </c:val>
        </c:ser>
      </c:pie3DChart>
    </c:plotArea>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8.0192616372391654E-2"/>
          <c:y val="3.2904148783977252E-2"/>
          <c:w val="0.92836811128945951"/>
          <c:h val="0.41307019026055325"/>
        </c:manualLayout>
      </c:layout>
      <c:barChart>
        <c:barDir val="col"/>
        <c:grouping val="clustered"/>
        <c:ser>
          <c:idx val="0"/>
          <c:order val="0"/>
          <c:tx>
            <c:strRef>
              <c:f>Sheet1!$A$2</c:f>
              <c:strCache>
                <c:ptCount val="1"/>
                <c:pt idx="0">
                  <c:v>январь-июнь 2013 года</c:v>
                </c:pt>
              </c:strCache>
            </c:strRef>
          </c:tx>
          <c:dLbls>
            <c:dLbl>
              <c:idx val="0"/>
              <c:tx>
                <c:rich>
                  <a:bodyPr/>
                  <a:lstStyle/>
                  <a:p>
                    <a:r>
                      <a:rPr lang="ru-RU"/>
                      <a:t>4,3*</a:t>
                    </a:r>
                    <a:endParaRPr lang="en-US"/>
                  </a:p>
                </c:rich>
              </c:tx>
              <c:dLblPos val="outEnd"/>
              <c:showVal val="1"/>
            </c:dLbl>
            <c:dLbl>
              <c:idx val="1"/>
              <c:layout>
                <c:manualLayout>
                  <c:x val="-4.2803638309256518E-3"/>
                  <c:y val="2.0202020202020211E-2"/>
                </c:manualLayout>
              </c:layout>
              <c:tx>
                <c:rich>
                  <a:bodyPr/>
                  <a:lstStyle/>
                  <a:p>
                    <a:r>
                      <a:rPr lang="ru-RU"/>
                      <a:t>34,5*</a:t>
                    </a:r>
                    <a:endParaRPr lang="en-US"/>
                  </a:p>
                </c:rich>
              </c:tx>
              <c:dLblPos val="outEnd"/>
              <c:showVal val="1"/>
            </c:dLbl>
            <c:dLbl>
              <c:idx val="2"/>
              <c:layout>
                <c:manualLayout>
                  <c:x val="-8.5607276618512567E-3"/>
                  <c:y val="2.5252525252525249E-2"/>
                </c:manualLayout>
              </c:layout>
              <c:tx>
                <c:rich>
                  <a:bodyPr/>
                  <a:lstStyle/>
                  <a:p>
                    <a:r>
                      <a:rPr lang="ru-RU"/>
                      <a:t>30,7*</a:t>
                    </a:r>
                    <a:endParaRPr lang="en-US"/>
                  </a:p>
                </c:rich>
              </c:tx>
              <c:dLblPos val="outEnd"/>
              <c:showVal val="1"/>
            </c:dLbl>
            <c:dLbl>
              <c:idx val="3"/>
              <c:tx>
                <c:rich>
                  <a:bodyPr/>
                  <a:lstStyle/>
                  <a:p>
                    <a:r>
                      <a:rPr lang="ru-RU"/>
                      <a:t>14,8*</a:t>
                    </a:r>
                    <a:endParaRPr lang="en-US"/>
                  </a:p>
                </c:rich>
              </c:tx>
              <c:dLblPos val="outEnd"/>
              <c:showVal val="1"/>
            </c:dLbl>
            <c:dLbl>
              <c:idx val="4"/>
              <c:layout>
                <c:manualLayout>
                  <c:x val="2.1401819154628272E-3"/>
                  <c:y val="5.0505050505050475E-3"/>
                </c:manualLayout>
              </c:layout>
              <c:tx>
                <c:rich>
                  <a:bodyPr/>
                  <a:lstStyle/>
                  <a:p>
                    <a:r>
                      <a:rPr lang="ru-RU"/>
                      <a:t>7,0*</a:t>
                    </a:r>
                    <a:endParaRPr lang="en-US"/>
                  </a:p>
                </c:rich>
              </c:tx>
              <c:dLblPos val="outEnd"/>
              <c:showVal val="1"/>
            </c:dLbl>
            <c:dLbl>
              <c:idx val="5"/>
              <c:tx>
                <c:rich>
                  <a:bodyPr/>
                  <a:lstStyle/>
                  <a:p>
                    <a:r>
                      <a:rPr lang="ru-RU"/>
                      <a:t>3,9*</a:t>
                    </a:r>
                    <a:endParaRPr lang="en-US"/>
                  </a:p>
                </c:rich>
              </c:tx>
              <c:dLblPos val="outEnd"/>
              <c:showVal val="1"/>
            </c:dLbl>
            <c:dLbl>
              <c:idx val="6"/>
              <c:layout>
                <c:manualLayout>
                  <c:x val="8.5607276618512567E-3"/>
                  <c:y val="0"/>
                </c:manualLayout>
              </c:layout>
              <c:tx>
                <c:rich>
                  <a:bodyPr/>
                  <a:lstStyle/>
                  <a:p>
                    <a:r>
                      <a:rPr lang="ru-RU"/>
                      <a:t>4,8*</a:t>
                    </a:r>
                    <a:endParaRPr lang="en-US"/>
                  </a:p>
                </c:rich>
              </c:tx>
              <c:dLblPos val="outEnd"/>
              <c:showVal val="1"/>
            </c:dLbl>
            <c:spPr>
              <a:noFill/>
              <a:ln w="25363">
                <a:noFill/>
              </a:ln>
            </c:spPr>
            <c:txPr>
              <a:bodyPr rot="0" vert="horz"/>
              <a:lstStyle/>
              <a:p>
                <a:pPr>
                  <a:defRPr sz="899" b="1">
                    <a:latin typeface="Times New Roman" pitchFamily="18" charset="0"/>
                    <a:cs typeface="Times New Roman" pitchFamily="18" charset="0"/>
                  </a:defRPr>
                </a:pPr>
                <a:endParaRPr lang="ru-RU"/>
              </a:p>
            </c:txPr>
            <c:dLblPos val="outEnd"/>
            <c:showVal val="1"/>
          </c:dLbls>
          <c:cat>
            <c:strRef>
              <c:f>Sheet1!$B$1:$H$1</c:f>
              <c:strCache>
                <c:ptCount val="7"/>
                <c:pt idx="0">
                  <c:v>Металлы и изделия из них</c:v>
                </c:pt>
                <c:pt idx="1">
                  <c:v>Топливно-энергетические товары</c:v>
                </c:pt>
                <c:pt idx="2">
                  <c:v>Продукция легкой промышленности</c:v>
                </c:pt>
                <c:pt idx="3">
                  <c:v>Продовольственные товары и сырье</c:v>
                </c:pt>
                <c:pt idx="4">
                  <c:v>Машиностроительная продукция</c:v>
                </c:pt>
                <c:pt idx="5">
                  <c:v>Минеральные продукты</c:v>
                </c:pt>
                <c:pt idx="6">
                  <c:v>Прочие товары</c:v>
                </c:pt>
              </c:strCache>
            </c:strRef>
          </c:cat>
          <c:val>
            <c:numRef>
              <c:f>Sheet1!$B$2:$H$2</c:f>
              <c:numCache>
                <c:formatCode>0.0</c:formatCode>
                <c:ptCount val="7"/>
                <c:pt idx="0">
                  <c:v>9</c:v>
                </c:pt>
                <c:pt idx="1">
                  <c:v>73</c:v>
                </c:pt>
                <c:pt idx="2">
                  <c:v>65.099999999999994</c:v>
                </c:pt>
                <c:pt idx="3" formatCode="General">
                  <c:v>31.3</c:v>
                </c:pt>
                <c:pt idx="4">
                  <c:v>14.8</c:v>
                </c:pt>
                <c:pt idx="5">
                  <c:v>8.4</c:v>
                </c:pt>
                <c:pt idx="6">
                  <c:v>10.200000000000001</c:v>
                </c:pt>
              </c:numCache>
            </c:numRef>
          </c:val>
        </c:ser>
        <c:ser>
          <c:idx val="1"/>
          <c:order val="1"/>
          <c:tx>
            <c:strRef>
              <c:f>Sheet1!$A$3</c:f>
              <c:strCache>
                <c:ptCount val="1"/>
                <c:pt idx="0">
                  <c:v>январь-июнь 2014 года</c:v>
                </c:pt>
              </c:strCache>
            </c:strRef>
          </c:tx>
          <c:spPr>
            <a:scene3d>
              <a:camera prst="orthographicFront"/>
              <a:lightRig rig="threePt" dir="t">
                <a:rot lat="0" lon="0" rev="1800000"/>
              </a:lightRig>
            </a:scene3d>
            <a:sp3d>
              <a:bevelT w="63500" h="25400"/>
            </a:sp3d>
          </c:spPr>
          <c:dLbls>
            <c:dLbl>
              <c:idx val="0"/>
              <c:layout>
                <c:manualLayout>
                  <c:x val="2.1401819154628272E-3"/>
                  <c:y val="2.5252525252525259E-2"/>
                </c:manualLayout>
              </c:layout>
              <c:tx>
                <c:rich>
                  <a:bodyPr/>
                  <a:lstStyle/>
                  <a:p>
                    <a:r>
                      <a:rPr lang="ru-RU"/>
                      <a:t>34,4*</a:t>
                    </a:r>
                    <a:endParaRPr lang="en-US"/>
                  </a:p>
                </c:rich>
              </c:tx>
              <c:dLblPos val="outEnd"/>
              <c:showVal val="1"/>
            </c:dLbl>
            <c:dLbl>
              <c:idx val="1"/>
              <c:layout>
                <c:manualLayout>
                  <c:x val="6.4205457463884395E-3"/>
                  <c:y val="5.0505050505050475E-3"/>
                </c:manualLayout>
              </c:layout>
              <c:tx>
                <c:rich>
                  <a:bodyPr/>
                  <a:lstStyle/>
                  <a:p>
                    <a:r>
                      <a:rPr lang="ru-RU"/>
                      <a:t>22,4*</a:t>
                    </a:r>
                    <a:endParaRPr lang="en-US"/>
                  </a:p>
                </c:rich>
              </c:tx>
              <c:dLblPos val="outEnd"/>
              <c:showVal val="1"/>
            </c:dLbl>
            <c:dLbl>
              <c:idx val="2"/>
              <c:layout>
                <c:manualLayout>
                  <c:x val="8.5607276618512567E-3"/>
                  <c:y val="6.0606060606060629E-2"/>
                </c:manualLayout>
              </c:layout>
              <c:tx>
                <c:rich>
                  <a:bodyPr/>
                  <a:lstStyle/>
                  <a:p>
                    <a:r>
                      <a:rPr lang="ru-RU"/>
                      <a:t>18,9*</a:t>
                    </a:r>
                  </a:p>
                  <a:p>
                    <a:endParaRPr lang="en-US"/>
                  </a:p>
                </c:rich>
              </c:tx>
              <c:dLblPos val="outEnd"/>
              <c:showVal val="1"/>
            </c:dLbl>
            <c:dLbl>
              <c:idx val="3"/>
              <c:layout>
                <c:manualLayout>
                  <c:x val="8.5607276618512567E-3"/>
                  <c:y val="1.0101010101010105E-2"/>
                </c:manualLayout>
              </c:layout>
              <c:tx>
                <c:rich>
                  <a:bodyPr/>
                  <a:lstStyle/>
                  <a:p>
                    <a:r>
                      <a:rPr lang="ru-RU"/>
                      <a:t>12,8*</a:t>
                    </a:r>
                    <a:endParaRPr lang="en-US"/>
                  </a:p>
                </c:rich>
              </c:tx>
              <c:dLblPos val="outEnd"/>
              <c:showVal val="1"/>
            </c:dLbl>
            <c:dLbl>
              <c:idx val="4"/>
              <c:tx>
                <c:rich>
                  <a:bodyPr/>
                  <a:lstStyle/>
                  <a:p>
                    <a:r>
                      <a:rPr lang="ru-RU"/>
                      <a:t>3,8*</a:t>
                    </a:r>
                    <a:endParaRPr lang="en-US"/>
                  </a:p>
                </c:rich>
              </c:tx>
              <c:dLblPos val="outEnd"/>
              <c:showVal val="1"/>
            </c:dLbl>
            <c:dLbl>
              <c:idx val="5"/>
              <c:layout>
                <c:manualLayout>
                  <c:x val="1.0700909577314071E-2"/>
                  <c:y val="0"/>
                </c:manualLayout>
              </c:layout>
              <c:tx>
                <c:rich>
                  <a:bodyPr/>
                  <a:lstStyle/>
                  <a:p>
                    <a:r>
                      <a:rPr lang="ru-RU"/>
                      <a:t>5,6*</a:t>
                    </a:r>
                    <a:endParaRPr lang="en-US"/>
                  </a:p>
                </c:rich>
              </c:tx>
              <c:dLblPos val="outEnd"/>
              <c:showVal val="1"/>
            </c:dLbl>
            <c:dLbl>
              <c:idx val="6"/>
              <c:layout>
                <c:manualLayout>
                  <c:x val="1.0700909577314071E-2"/>
                  <c:y val="-4.6295761483709609E-17"/>
                </c:manualLayout>
              </c:layout>
              <c:tx>
                <c:rich>
                  <a:bodyPr/>
                  <a:lstStyle/>
                  <a:p>
                    <a:r>
                      <a:rPr lang="en-US"/>
                      <a:t>2</a:t>
                    </a:r>
                    <a:r>
                      <a:rPr lang="ru-RU"/>
                      <a:t>,1*</a:t>
                    </a:r>
                    <a:endParaRPr lang="en-US"/>
                  </a:p>
                </c:rich>
              </c:tx>
              <c:dLblPos val="outEnd"/>
              <c:showVal val="1"/>
            </c:dLbl>
            <c:spPr>
              <a:noFill/>
              <a:ln w="25363">
                <a:noFill/>
              </a:ln>
            </c:spPr>
            <c:txPr>
              <a:bodyPr rot="0" vert="horz"/>
              <a:lstStyle/>
              <a:p>
                <a:pPr>
                  <a:defRPr sz="899" b="1">
                    <a:latin typeface="Times New Roman" pitchFamily="18" charset="0"/>
                    <a:cs typeface="Times New Roman" pitchFamily="18" charset="0"/>
                  </a:defRPr>
                </a:pPr>
                <a:endParaRPr lang="ru-RU"/>
              </a:p>
            </c:txPr>
            <c:dLblPos val="outEnd"/>
            <c:showVal val="1"/>
          </c:dLbls>
          <c:cat>
            <c:strRef>
              <c:f>Sheet1!$B$1:$H$1</c:f>
              <c:strCache>
                <c:ptCount val="7"/>
                <c:pt idx="0">
                  <c:v>Металлы и изделия из них</c:v>
                </c:pt>
                <c:pt idx="1">
                  <c:v>Топливно-энергетические товары</c:v>
                </c:pt>
                <c:pt idx="2">
                  <c:v>Продукция легкой промышленности</c:v>
                </c:pt>
                <c:pt idx="3">
                  <c:v>Продовольственные товары и сырье</c:v>
                </c:pt>
                <c:pt idx="4">
                  <c:v>Машиностроительная продукция</c:v>
                </c:pt>
                <c:pt idx="5">
                  <c:v>Минеральные продукты</c:v>
                </c:pt>
                <c:pt idx="6">
                  <c:v>Прочие товары</c:v>
                </c:pt>
              </c:strCache>
            </c:strRef>
          </c:cat>
          <c:val>
            <c:numRef>
              <c:f>Sheet1!$B$3:$H$3</c:f>
              <c:numCache>
                <c:formatCode>0.0</c:formatCode>
                <c:ptCount val="7"/>
                <c:pt idx="0">
                  <c:v>124.8</c:v>
                </c:pt>
                <c:pt idx="1">
                  <c:v>81.099999999999994</c:v>
                </c:pt>
                <c:pt idx="2">
                  <c:v>68.599999999999994</c:v>
                </c:pt>
                <c:pt idx="3">
                  <c:v>46.3</c:v>
                </c:pt>
                <c:pt idx="4">
                  <c:v>13.6</c:v>
                </c:pt>
                <c:pt idx="5">
                  <c:v>20.399999999999999</c:v>
                </c:pt>
                <c:pt idx="6">
                  <c:v>8.2000000000000011</c:v>
                </c:pt>
              </c:numCache>
            </c:numRef>
          </c:val>
        </c:ser>
        <c:dLbls>
          <c:showVal val="1"/>
        </c:dLbls>
        <c:gapWidth val="160"/>
        <c:axId val="144557568"/>
        <c:axId val="144559104"/>
      </c:barChart>
      <c:catAx>
        <c:axId val="144557568"/>
        <c:scaling>
          <c:orientation val="minMax"/>
        </c:scaling>
        <c:axPos val="b"/>
        <c:numFmt formatCode="General" sourceLinked="1"/>
        <c:tickLblPos val="low"/>
        <c:txPr>
          <a:bodyPr rot="-5400000" vert="horz"/>
          <a:lstStyle/>
          <a:p>
            <a:pPr>
              <a:defRPr b="1">
                <a:latin typeface="Times New Roman" pitchFamily="18" charset="0"/>
                <a:cs typeface="Times New Roman" pitchFamily="18" charset="0"/>
              </a:defRPr>
            </a:pPr>
            <a:endParaRPr lang="ru-RU"/>
          </a:p>
        </c:txPr>
        <c:crossAx val="144559104"/>
        <c:crosses val="autoZero"/>
        <c:lblAlgn val="ctr"/>
        <c:lblOffset val="160"/>
        <c:tickLblSkip val="1"/>
        <c:tickMarkSkip val="1"/>
      </c:catAx>
      <c:valAx>
        <c:axId val="144559104"/>
        <c:scaling>
          <c:orientation val="minMax"/>
        </c:scaling>
        <c:axPos val="l"/>
        <c:title>
          <c:tx>
            <c:rich>
              <a:bodyPr rot="0" vert="horz"/>
              <a:lstStyle/>
              <a:p>
                <a:pPr>
                  <a:defRPr/>
                </a:pPr>
                <a:r>
                  <a:rPr lang="ru-RU" sz="800">
                    <a:latin typeface="Times New Roman" pitchFamily="18" charset="0"/>
                    <a:cs typeface="Times New Roman" pitchFamily="18" charset="0"/>
                  </a:rPr>
                  <a:t>*- удельный вес в общем объеме экспорта,%</a:t>
                </a:r>
              </a:p>
            </c:rich>
          </c:tx>
          <c:layout>
            <c:manualLayout>
              <c:xMode val="edge"/>
              <c:yMode val="edge"/>
              <c:x val="0.78116639914392438"/>
              <c:y val="4.7138312256422531E-2"/>
            </c:manualLayout>
          </c:layout>
        </c:title>
        <c:numFmt formatCode="0.0" sourceLinked="1"/>
        <c:tickLblPos val="nextTo"/>
        <c:txPr>
          <a:bodyPr rot="0" vert="horz"/>
          <a:lstStyle/>
          <a:p>
            <a:pPr>
              <a:defRPr b="1">
                <a:latin typeface="Times New Roman" pitchFamily="18" charset="0"/>
                <a:cs typeface="Times New Roman" pitchFamily="18" charset="0"/>
              </a:defRPr>
            </a:pPr>
            <a:endParaRPr lang="ru-RU"/>
          </a:p>
        </c:txPr>
        <c:crossAx val="144557568"/>
        <c:crosses val="autoZero"/>
        <c:crossBetween val="between"/>
      </c:valAx>
    </c:plotArea>
    <c:legend>
      <c:legendPos val="r"/>
      <c:legendEntry>
        <c:idx val="1"/>
        <c:txPr>
          <a:bodyPr/>
          <a:lstStyle/>
          <a:p>
            <a:pPr>
              <a:defRPr>
                <a:latin typeface="Times New Roman" pitchFamily="18" charset="0"/>
                <a:cs typeface="Times New Roman" pitchFamily="18" charset="0"/>
              </a:defRPr>
            </a:pPr>
            <a:endParaRPr lang="ru-RU"/>
          </a:p>
        </c:txPr>
      </c:legendEntry>
      <c:layout>
        <c:manualLayout>
          <c:xMode val="edge"/>
          <c:yMode val="edge"/>
          <c:x val="0.13141034369072818"/>
          <c:y val="0.90813390973187158"/>
          <c:w val="0.73615633282381365"/>
          <c:h val="6.9151870722042097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Структура потребительского рынка,%</a:t>
            </a:r>
          </a:p>
        </c:rich>
      </c:tx>
      <c:layout>
        <c:manualLayout>
          <c:xMode val="edge"/>
          <c:yMode val="edge"/>
          <c:x val="0.2666272965879265"/>
          <c:y val="7.9473084732333791E-4"/>
        </c:manualLayout>
      </c:layout>
      <c:spPr>
        <a:noFill/>
        <a:ln w="25399">
          <a:noFill/>
        </a:ln>
      </c:spPr>
    </c:title>
    <c:view3D>
      <c:depthPercent val="100"/>
      <c:rAngAx val="1"/>
    </c:view3D>
    <c:plotArea>
      <c:layout>
        <c:manualLayout>
          <c:layoutTarget val="inner"/>
          <c:xMode val="edge"/>
          <c:yMode val="edge"/>
          <c:x val="0.33554609929078366"/>
          <c:y val="0.10229201686867852"/>
          <c:w val="0.89239391951006153"/>
          <c:h val="0.47363156892454883"/>
        </c:manualLayout>
      </c:layout>
      <c:bar3DChart>
        <c:barDir val="col"/>
        <c:grouping val="stacked"/>
        <c:ser>
          <c:idx val="0"/>
          <c:order val="0"/>
          <c:tx>
            <c:strRef>
              <c:f>Лист1!$B$1</c:f>
              <c:strCache>
                <c:ptCount val="1"/>
                <c:pt idx="0">
                  <c:v>Розничный товарооборот, включая общественное питание</c:v>
                </c:pt>
              </c:strCache>
            </c:strRef>
          </c:tx>
          <c:spPr>
            <a:solidFill>
              <a:srgbClr val="FFFF00"/>
            </a:solidFill>
          </c:spPr>
          <c:dLbls>
            <c:dLbl>
              <c:idx val="0"/>
              <c:tx>
                <c:rich>
                  <a:bodyPr/>
                  <a:lstStyle/>
                  <a:p>
                    <a:r>
                      <a:rPr lang="ru-RU"/>
                      <a:t>+4,1*</a:t>
                    </a:r>
                    <a:endParaRPr lang="en-US"/>
                  </a:p>
                </c:rich>
              </c:tx>
            </c:dLbl>
            <c:dLbl>
              <c:idx val="1"/>
              <c:tx>
                <c:rich>
                  <a:bodyPr/>
                  <a:lstStyle/>
                  <a:p>
                    <a:r>
                      <a:rPr lang="ru-RU"/>
                      <a:t>-1,2*</a:t>
                    </a:r>
                    <a:endParaRPr lang="en-US"/>
                  </a:p>
                </c:rich>
              </c:tx>
            </c:dLbl>
            <c:spPr>
              <a:noFill/>
              <a:ln w="25399">
                <a:noFill/>
              </a:ln>
            </c:spPr>
            <c:txPr>
              <a:bodyPr/>
              <a:lstStyle/>
              <a:p>
                <a:pPr>
                  <a:defRPr b="1">
                    <a:latin typeface="Times New Roman" pitchFamily="18" charset="0"/>
                    <a:cs typeface="Times New Roman" pitchFamily="18" charset="0"/>
                  </a:defRPr>
                </a:pPr>
                <a:endParaRPr lang="ru-RU"/>
              </a:p>
            </c:txPr>
            <c:showVal val="1"/>
          </c:dLbls>
          <c:cat>
            <c:strRef>
              <c:f>Лист1!$A$2:$A$3</c:f>
              <c:strCache>
                <c:ptCount val="2"/>
                <c:pt idx="0">
                  <c:v>январь-июнь 2013 года</c:v>
                </c:pt>
                <c:pt idx="1">
                  <c:v>январь-июнь 2014 года</c:v>
                </c:pt>
              </c:strCache>
            </c:strRef>
          </c:cat>
          <c:val>
            <c:numRef>
              <c:f>Лист1!$B$2:$B$3</c:f>
              <c:numCache>
                <c:formatCode>0.0</c:formatCode>
                <c:ptCount val="2"/>
                <c:pt idx="0" formatCode="General">
                  <c:v>77.2</c:v>
                </c:pt>
                <c:pt idx="1">
                  <c:v>76.5</c:v>
                </c:pt>
              </c:numCache>
            </c:numRef>
          </c:val>
        </c:ser>
        <c:ser>
          <c:idx val="1"/>
          <c:order val="1"/>
          <c:tx>
            <c:strRef>
              <c:f>Лист1!$C$1</c:f>
              <c:strCache>
                <c:ptCount val="1"/>
                <c:pt idx="0">
                  <c:v>Платние услуги населению</c:v>
                </c:pt>
              </c:strCache>
            </c:strRef>
          </c:tx>
          <c:spPr>
            <a:solidFill>
              <a:srgbClr val="FF0000"/>
            </a:solidFill>
          </c:spPr>
          <c:dLbls>
            <c:dLbl>
              <c:idx val="0"/>
              <c:tx>
                <c:rich>
                  <a:bodyPr/>
                  <a:lstStyle/>
                  <a:p>
                    <a:r>
                      <a:rPr lang="ru-RU"/>
                      <a:t>+3,1*</a:t>
                    </a:r>
                    <a:endParaRPr lang="en-US"/>
                  </a:p>
                </c:rich>
              </c:tx>
            </c:dLbl>
            <c:dLbl>
              <c:idx val="1"/>
              <c:tx>
                <c:rich>
                  <a:bodyPr/>
                  <a:lstStyle/>
                  <a:p>
                    <a:r>
                      <a:rPr lang="ru-RU"/>
                      <a:t>+4</a:t>
                    </a:r>
                    <a:r>
                      <a:rPr lang="en-US"/>
                      <a:t>,</a:t>
                    </a:r>
                    <a:r>
                      <a:rPr lang="ru-RU"/>
                      <a:t>5*</a:t>
                    </a:r>
                    <a:endParaRPr lang="en-US"/>
                  </a:p>
                </c:rich>
              </c:tx>
            </c:dLbl>
            <c:spPr>
              <a:noFill/>
              <a:ln w="25399">
                <a:noFill/>
              </a:ln>
            </c:spPr>
            <c:txPr>
              <a:bodyPr/>
              <a:lstStyle/>
              <a:p>
                <a:pPr>
                  <a:defRPr b="1">
                    <a:latin typeface="Times New Roman" pitchFamily="18" charset="0"/>
                    <a:cs typeface="Times New Roman" pitchFamily="18" charset="0"/>
                  </a:defRPr>
                </a:pPr>
                <a:endParaRPr lang="ru-RU"/>
              </a:p>
            </c:txPr>
            <c:showVal val="1"/>
          </c:dLbls>
          <c:cat>
            <c:strRef>
              <c:f>Лист1!$A$2:$A$3</c:f>
              <c:strCache>
                <c:ptCount val="2"/>
                <c:pt idx="0">
                  <c:v>январь-июнь 2013 года</c:v>
                </c:pt>
                <c:pt idx="1">
                  <c:v>январь-июнь 2014 года</c:v>
                </c:pt>
              </c:strCache>
            </c:strRef>
          </c:cat>
          <c:val>
            <c:numRef>
              <c:f>Лист1!$C$2:$C$3</c:f>
              <c:numCache>
                <c:formatCode>0.0</c:formatCode>
                <c:ptCount val="2"/>
                <c:pt idx="0" formatCode="General">
                  <c:v>22.8</c:v>
                </c:pt>
                <c:pt idx="1">
                  <c:v>23.5</c:v>
                </c:pt>
              </c:numCache>
            </c:numRef>
          </c:val>
        </c:ser>
        <c:dLbls>
          <c:showVal val="1"/>
        </c:dLbls>
        <c:shape val="cylinder"/>
        <c:axId val="164909824"/>
        <c:axId val="164911360"/>
        <c:axId val="0"/>
      </c:bar3DChart>
      <c:catAx>
        <c:axId val="164909824"/>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ru-RU"/>
          </a:p>
        </c:txPr>
        <c:crossAx val="164911360"/>
        <c:crosses val="autoZero"/>
        <c:auto val="1"/>
        <c:lblAlgn val="ctr"/>
        <c:lblOffset val="100"/>
      </c:catAx>
      <c:valAx>
        <c:axId val="164911360"/>
        <c:scaling>
          <c:orientation val="minMax"/>
        </c:scaling>
        <c:axPos val="l"/>
        <c:title>
          <c:tx>
            <c:rich>
              <a:bodyPr rot="0" vert="horz"/>
              <a:lstStyle/>
              <a:p>
                <a:pPr algn="ctr">
                  <a:defRPr sz="1000" b="0" i="0" u="none" strike="noStrike" baseline="0">
                    <a:solidFill>
                      <a:srgbClr val="000000"/>
                    </a:solidFill>
                    <a:latin typeface="Times New Roman"/>
                    <a:ea typeface="Times New Roman"/>
                    <a:cs typeface="Times New Roman"/>
                  </a:defRPr>
                </a:pPr>
                <a:r>
                  <a:rPr lang="ru-RU"/>
                  <a:t>*- темп прироста в сопоставимых ценах, в %</a:t>
                </a:r>
              </a:p>
            </c:rich>
          </c:tx>
          <c:spPr>
            <a:noFill/>
            <a:ln w="25399">
              <a:noFill/>
            </a:ln>
          </c:spPr>
        </c:title>
        <c:numFmt formatCode="General" sourceLinked="1"/>
        <c:tickLblPos val="nextTo"/>
        <c:txPr>
          <a:bodyPr/>
          <a:lstStyle/>
          <a:p>
            <a:pPr>
              <a:defRPr b="0">
                <a:latin typeface="Times New Roman" pitchFamily="18" charset="0"/>
                <a:cs typeface="Times New Roman" pitchFamily="18" charset="0"/>
              </a:defRPr>
            </a:pPr>
            <a:endParaRPr lang="ru-RU"/>
          </a:p>
        </c:txPr>
        <c:crossAx val="164909824"/>
        <c:crosses val="autoZero"/>
        <c:crossBetween val="between"/>
      </c:valAx>
      <c:dTable>
        <c:showHorzBorder val="1"/>
        <c:showVertBorder val="1"/>
        <c:showOutline val="1"/>
        <c:txPr>
          <a:bodyPr/>
          <a:lstStyle/>
          <a:p>
            <a:pPr rtl="0">
              <a:defRPr b="1">
                <a:latin typeface="Times New Roman" pitchFamily="18" charset="0"/>
                <a:cs typeface="Times New Roman" pitchFamily="18" charset="0"/>
              </a:defRPr>
            </a:pPr>
            <a:endParaRPr lang="ru-RU"/>
          </a:p>
        </c:txPr>
      </c:dTable>
      <c:spPr>
        <a:noFill/>
        <a:ln w="25399">
          <a:noFill/>
        </a:ln>
      </c:spPr>
    </c:plotArea>
    <c:legend>
      <c:legendPos val="r"/>
      <c:layout>
        <c:manualLayout>
          <c:xMode val="edge"/>
          <c:yMode val="edge"/>
          <c:x val="4.9586776859504793E-2"/>
          <c:y val="0.92050209205020916"/>
          <c:w val="0.89917355371900853"/>
          <c:h val="8.3682008368201638E-2"/>
        </c:manualLayout>
      </c:layout>
      <c:txPr>
        <a:bodyPr/>
        <a:lstStyle/>
        <a:p>
          <a:pPr>
            <a:defRPr b="1">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perspective val="30"/>
    </c:view3D>
    <c:plotArea>
      <c:layout/>
      <c:bar3DChart>
        <c:barDir val="col"/>
        <c:grouping val="clustered"/>
        <c:ser>
          <c:idx val="0"/>
          <c:order val="0"/>
          <c:tx>
            <c:strRef>
              <c:f>Лист1!$B$1</c:f>
              <c:strCache>
                <c:ptCount val="1"/>
                <c:pt idx="0">
                  <c:v>январь-июнь 2013 года</c:v>
                </c:pt>
              </c:strCache>
            </c:strRef>
          </c:tx>
          <c:spPr>
            <a:solidFill>
              <a:schemeClr val="accent2">
                <a:lumMod val="75000"/>
              </a:schemeClr>
            </a:solidFill>
          </c:spPr>
          <c:dLbls>
            <c:dLbl>
              <c:idx val="1"/>
              <c:layout>
                <c:manualLayout>
                  <c:x val="9.2592592592593576E-3"/>
                  <c:y val="-1.1904761904761921E-2"/>
                </c:manualLayout>
              </c:layout>
              <c:showVal val="1"/>
            </c:dLbl>
            <c:txPr>
              <a:bodyPr/>
              <a:lstStyle/>
              <a:p>
                <a:pPr>
                  <a:defRPr b="1"/>
                </a:pPr>
                <a:endParaRPr lang="ru-RU"/>
              </a:p>
            </c:txPr>
            <c:showVal val="1"/>
          </c:dLbls>
          <c:cat>
            <c:strRef>
              <c:f>Лист1!$A$2:$A$3</c:f>
              <c:strCache>
                <c:ptCount val="2"/>
                <c:pt idx="0">
                  <c:v>в текущих ценах</c:v>
                </c:pt>
                <c:pt idx="1">
                  <c:v>в сопоставимых ценах</c:v>
                </c:pt>
              </c:strCache>
            </c:strRef>
          </c:cat>
          <c:val>
            <c:numRef>
              <c:f>Лист1!$B$2:$B$3</c:f>
              <c:numCache>
                <c:formatCode>General</c:formatCode>
                <c:ptCount val="2"/>
                <c:pt idx="0">
                  <c:v>110.4</c:v>
                </c:pt>
                <c:pt idx="1">
                  <c:v>104.1</c:v>
                </c:pt>
              </c:numCache>
            </c:numRef>
          </c:val>
        </c:ser>
        <c:ser>
          <c:idx val="1"/>
          <c:order val="1"/>
          <c:tx>
            <c:strRef>
              <c:f>Лист1!$C$1</c:f>
              <c:strCache>
                <c:ptCount val="1"/>
                <c:pt idx="0">
                  <c:v>январь-июнь 2014 года</c:v>
                </c:pt>
              </c:strCache>
            </c:strRef>
          </c:tx>
          <c:spPr>
            <a:solidFill>
              <a:schemeClr val="accent2">
                <a:lumMod val="40000"/>
                <a:lumOff val="60000"/>
              </a:schemeClr>
            </a:solidFill>
          </c:spPr>
          <c:dLbls>
            <c:dLbl>
              <c:idx val="0"/>
              <c:layout>
                <c:manualLayout>
                  <c:x val="3.2407407407407877E-2"/>
                  <c:y val="-1.1904761904761921E-2"/>
                </c:manualLayout>
              </c:layout>
              <c:showVal val="1"/>
            </c:dLbl>
            <c:dLbl>
              <c:idx val="1"/>
              <c:layout>
                <c:manualLayout>
                  <c:x val="1.3888888888889079E-2"/>
                  <c:y val="-1.9841269841270062E-2"/>
                </c:manualLayout>
              </c:layout>
              <c:showVal val="1"/>
            </c:dLbl>
            <c:txPr>
              <a:bodyPr/>
              <a:lstStyle/>
              <a:p>
                <a:pPr>
                  <a:defRPr b="1"/>
                </a:pPr>
                <a:endParaRPr lang="ru-RU"/>
              </a:p>
            </c:txPr>
            <c:showVal val="1"/>
          </c:dLbls>
          <c:cat>
            <c:strRef>
              <c:f>Лист1!$A$2:$A$3</c:f>
              <c:strCache>
                <c:ptCount val="2"/>
                <c:pt idx="0">
                  <c:v>в текущих ценах</c:v>
                </c:pt>
                <c:pt idx="1">
                  <c:v>в сопоставимых ценах</c:v>
                </c:pt>
              </c:strCache>
            </c:strRef>
          </c:cat>
          <c:val>
            <c:numRef>
              <c:f>Лист1!$C$2:$C$3</c:f>
              <c:numCache>
                <c:formatCode>General</c:formatCode>
                <c:ptCount val="2"/>
                <c:pt idx="0" formatCode="0.0">
                  <c:v>99.7</c:v>
                </c:pt>
                <c:pt idx="1">
                  <c:v>98.8</c:v>
                </c:pt>
              </c:numCache>
            </c:numRef>
          </c:val>
        </c:ser>
        <c:dLbls>
          <c:showVal val="1"/>
        </c:dLbls>
        <c:shape val="cylinder"/>
        <c:axId val="163104640"/>
        <c:axId val="163106176"/>
        <c:axId val="0"/>
      </c:bar3DChart>
      <c:catAx>
        <c:axId val="163104640"/>
        <c:scaling>
          <c:orientation val="minMax"/>
        </c:scaling>
        <c:axPos val="b"/>
        <c:tickLblPos val="nextTo"/>
        <c:txPr>
          <a:bodyPr/>
          <a:lstStyle/>
          <a:p>
            <a:pPr>
              <a:defRPr sz="1000" b="1"/>
            </a:pPr>
            <a:endParaRPr lang="ru-RU"/>
          </a:p>
        </c:txPr>
        <c:crossAx val="163106176"/>
        <c:crosses val="autoZero"/>
        <c:auto val="1"/>
        <c:lblAlgn val="ctr"/>
        <c:lblOffset val="100"/>
      </c:catAx>
      <c:valAx>
        <c:axId val="163106176"/>
        <c:scaling>
          <c:orientation val="minMax"/>
          <c:max val="120"/>
        </c:scaling>
        <c:axPos val="l"/>
        <c:numFmt formatCode="General" sourceLinked="1"/>
        <c:tickLblPos val="nextTo"/>
        <c:crossAx val="163104640"/>
        <c:crosses val="autoZero"/>
        <c:crossBetween val="between"/>
      </c:valAx>
    </c:plotArea>
    <c:legend>
      <c:legendPos val="b"/>
      <c:txPr>
        <a:bodyPr/>
        <a:lstStyle/>
        <a:p>
          <a:pPr>
            <a:defRPr b="1"/>
          </a:pPr>
          <a:endParaRPr lang="ru-RU"/>
        </a:p>
      </c:txPr>
    </c:legend>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style val="32"/>
  <c:chart>
    <c:title>
      <c:tx>
        <c:rich>
          <a:bodyPr/>
          <a:lstStyle/>
          <a:p>
            <a:pPr>
              <a:defRPr sz="1200"/>
            </a:pPr>
            <a:r>
              <a:rPr lang="ru-RU" sz="1200"/>
              <a:t>Товарная структура розничного товарооборота, %</a:t>
            </a:r>
          </a:p>
        </c:rich>
      </c:tx>
    </c:title>
    <c:plotArea>
      <c:layout/>
      <c:barChart>
        <c:barDir val="col"/>
        <c:grouping val="clustered"/>
        <c:ser>
          <c:idx val="0"/>
          <c:order val="0"/>
          <c:tx>
            <c:strRef>
              <c:f>Лист1!$B$1</c:f>
              <c:strCache>
                <c:ptCount val="1"/>
                <c:pt idx="0">
                  <c:v>Продовольственные товары</c:v>
                </c:pt>
              </c:strCache>
            </c:strRef>
          </c:tx>
          <c:dLbls>
            <c:txPr>
              <a:bodyPr/>
              <a:lstStyle/>
              <a:p>
                <a:pPr>
                  <a:defRPr b="1"/>
                </a:pPr>
                <a:endParaRPr lang="ru-RU"/>
              </a:p>
            </c:txPr>
            <c:showVal val="1"/>
          </c:dLbls>
          <c:cat>
            <c:strRef>
              <c:f>Лист1!$A$2:$A$3</c:f>
              <c:strCache>
                <c:ptCount val="2"/>
                <c:pt idx="0">
                  <c:v>январь-июнь 2013 года</c:v>
                </c:pt>
                <c:pt idx="1">
                  <c:v>январь-июнь 2014 года</c:v>
                </c:pt>
              </c:strCache>
            </c:strRef>
          </c:cat>
          <c:val>
            <c:numRef>
              <c:f>Лист1!$B$2:$B$3</c:f>
              <c:numCache>
                <c:formatCode>General</c:formatCode>
                <c:ptCount val="2"/>
                <c:pt idx="0" formatCode="0.0">
                  <c:v>44</c:v>
                </c:pt>
                <c:pt idx="1">
                  <c:v>43.8</c:v>
                </c:pt>
              </c:numCache>
            </c:numRef>
          </c:val>
        </c:ser>
        <c:ser>
          <c:idx val="1"/>
          <c:order val="1"/>
          <c:tx>
            <c:strRef>
              <c:f>Лист1!$C$1</c:f>
              <c:strCache>
                <c:ptCount val="1"/>
                <c:pt idx="0">
                  <c:v>Непродовольственные товары</c:v>
                </c:pt>
              </c:strCache>
            </c:strRef>
          </c:tx>
          <c:spPr>
            <a:solidFill>
              <a:schemeClr val="accent6">
                <a:lumMod val="40000"/>
                <a:lumOff val="60000"/>
              </a:schemeClr>
            </a:solidFill>
          </c:spPr>
          <c:dLbls>
            <c:txPr>
              <a:bodyPr/>
              <a:lstStyle/>
              <a:p>
                <a:pPr>
                  <a:defRPr b="1"/>
                </a:pPr>
                <a:endParaRPr lang="ru-RU"/>
              </a:p>
            </c:txPr>
            <c:showVal val="1"/>
          </c:dLbls>
          <c:cat>
            <c:strRef>
              <c:f>Лист1!$A$2:$A$3</c:f>
              <c:strCache>
                <c:ptCount val="2"/>
                <c:pt idx="0">
                  <c:v>январь-июнь 2013 года</c:v>
                </c:pt>
                <c:pt idx="1">
                  <c:v>январь-июнь 2014 года</c:v>
                </c:pt>
              </c:strCache>
            </c:strRef>
          </c:cat>
          <c:val>
            <c:numRef>
              <c:f>Лист1!$C$2:$C$3</c:f>
              <c:numCache>
                <c:formatCode>General</c:formatCode>
                <c:ptCount val="2"/>
                <c:pt idx="0" formatCode="0.0">
                  <c:v>56</c:v>
                </c:pt>
                <c:pt idx="1">
                  <c:v>56.2</c:v>
                </c:pt>
              </c:numCache>
            </c:numRef>
          </c:val>
        </c:ser>
        <c:axId val="165187968"/>
        <c:axId val="165189504"/>
      </c:barChart>
      <c:catAx>
        <c:axId val="165187968"/>
        <c:scaling>
          <c:orientation val="minMax"/>
        </c:scaling>
        <c:axPos val="b"/>
        <c:tickLblPos val="nextTo"/>
        <c:txPr>
          <a:bodyPr/>
          <a:lstStyle/>
          <a:p>
            <a:pPr>
              <a:defRPr b="1"/>
            </a:pPr>
            <a:endParaRPr lang="ru-RU"/>
          </a:p>
        </c:txPr>
        <c:crossAx val="165189504"/>
        <c:crosses val="autoZero"/>
        <c:auto val="1"/>
        <c:lblAlgn val="ctr"/>
        <c:lblOffset val="100"/>
      </c:catAx>
      <c:valAx>
        <c:axId val="165189504"/>
        <c:scaling>
          <c:orientation val="minMax"/>
          <c:max val="60"/>
        </c:scaling>
        <c:axPos val="l"/>
        <c:numFmt formatCode="0.0" sourceLinked="1"/>
        <c:tickLblPos val="nextTo"/>
        <c:txPr>
          <a:bodyPr/>
          <a:lstStyle/>
          <a:p>
            <a:pPr>
              <a:defRPr b="1"/>
            </a:pPr>
            <a:endParaRPr lang="ru-RU"/>
          </a:p>
        </c:txPr>
        <c:crossAx val="165187968"/>
        <c:crosses val="autoZero"/>
        <c:crossBetween val="between"/>
      </c:valAx>
    </c:plotArea>
    <c:legend>
      <c:legendPos val="b"/>
      <c:txPr>
        <a:bodyPr/>
        <a:lstStyle/>
        <a:p>
          <a:pPr>
            <a:defRPr b="1"/>
          </a:pPr>
          <a:endParaRPr lang="ru-RU"/>
        </a:p>
      </c:txPr>
    </c:legend>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2152815053047947"/>
          <c:y val="0"/>
        </c:manualLayout>
      </c:layout>
      <c:txPr>
        <a:bodyPr/>
        <a:lstStyle/>
        <a:p>
          <a:pPr>
            <a:defRPr sz="1100"/>
          </a:pPr>
          <a:endParaRPr lang="ru-RU"/>
        </a:p>
      </c:txPr>
    </c:title>
    <c:view3D>
      <c:rotX val="30"/>
      <c:perspective val="30"/>
    </c:view3D>
    <c:plotArea>
      <c:layout>
        <c:manualLayout>
          <c:layoutTarget val="inner"/>
          <c:xMode val="edge"/>
          <c:yMode val="edge"/>
          <c:x val="0.21107204909245544"/>
          <c:y val="0.15801598663803498"/>
          <c:w val="0.684109275073016"/>
          <c:h val="0.58597168311707515"/>
        </c:manualLayout>
      </c:layout>
      <c:pie3DChart>
        <c:varyColors val="1"/>
        <c:ser>
          <c:idx val="0"/>
          <c:order val="0"/>
          <c:tx>
            <c:strRef>
              <c:f>Лист1!$B$1</c:f>
              <c:strCache>
                <c:ptCount val="1"/>
                <c:pt idx="0">
                  <c:v>январь-июнь 2013 года</c:v>
                </c:pt>
              </c:strCache>
            </c:strRef>
          </c:tx>
          <c:spPr>
            <a:solidFill>
              <a:srgbClr val="7030A0"/>
            </a:solidFill>
          </c:spPr>
          <c:dPt>
            <c:idx val="1"/>
            <c:explosion val="32"/>
            <c:spPr>
              <a:blipFill>
                <a:blip xmlns:r="http://schemas.openxmlformats.org/officeDocument/2006/relationships" r:embed="rId1"/>
                <a:tile tx="0" ty="0" sx="100000" sy="100000" flip="none" algn="tl"/>
              </a:blipFill>
            </c:spPr>
          </c:dPt>
          <c:dLbls>
            <c:dLbl>
              <c:idx val="0"/>
              <c:layout>
                <c:manualLayout>
                  <c:x val="0.19243946619348734"/>
                  <c:y val="5.0288117394416604E-2"/>
                </c:manualLayout>
              </c:layout>
              <c:spPr/>
              <c:txPr>
                <a:bodyPr/>
                <a:lstStyle/>
                <a:p>
                  <a:pPr>
                    <a:defRPr b="1"/>
                  </a:pPr>
                  <a:endParaRPr lang="ru-RU"/>
                </a:p>
              </c:txPr>
              <c:showVal val="1"/>
            </c:dLbl>
            <c:dLbl>
              <c:idx val="1"/>
              <c:layout>
                <c:manualLayout>
                  <c:x val="-0.27423533325939875"/>
                  <c:y val="-8.3524398159910113E-2"/>
                </c:manualLayout>
              </c:layout>
              <c:spPr/>
              <c:txPr>
                <a:bodyPr/>
                <a:lstStyle/>
                <a:p>
                  <a:pPr>
                    <a:defRPr b="1"/>
                  </a:pPr>
                  <a:endParaRPr lang="ru-RU"/>
                </a:p>
              </c:txPr>
              <c:showVal val="1"/>
            </c:dLbl>
            <c:showVal val="1"/>
            <c:showLeaderLines val="1"/>
          </c:dLbls>
          <c:cat>
            <c:strRef>
              <c:f>Лист1!$A$2:$A$3</c:f>
              <c:strCache>
                <c:ptCount val="2"/>
                <c:pt idx="0">
                  <c:v>Государственные организации</c:v>
                </c:pt>
                <c:pt idx="1">
                  <c:v>Негосударственные организации</c:v>
                </c:pt>
              </c:strCache>
            </c:strRef>
          </c:cat>
          <c:val>
            <c:numRef>
              <c:f>Лист1!$B$2:$B$3</c:f>
              <c:numCache>
                <c:formatCode>General</c:formatCode>
                <c:ptCount val="2"/>
                <c:pt idx="0">
                  <c:v>1.6</c:v>
                </c:pt>
                <c:pt idx="1">
                  <c:v>98.4</c:v>
                </c:pt>
              </c:numCache>
            </c:numRef>
          </c:val>
        </c:ser>
      </c:pie3DChart>
    </c:plotArea>
    <c:legend>
      <c:legendPos val="b"/>
      <c:layout>
        <c:manualLayout>
          <c:xMode val="edge"/>
          <c:yMode val="edge"/>
          <c:x val="0.15561605855606325"/>
          <c:y val="0.76369422572179069"/>
          <c:w val="0.84438394144393858"/>
          <c:h val="0.18327547124791221"/>
        </c:manualLayout>
      </c:layout>
    </c:legend>
    <c:plotVisOnly val="1"/>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1604872646733112"/>
          <c:y val="0"/>
        </c:manualLayout>
      </c:layout>
      <c:txPr>
        <a:bodyPr/>
        <a:lstStyle/>
        <a:p>
          <a:pPr>
            <a:defRPr sz="1100"/>
          </a:pPr>
          <a:endParaRPr lang="ru-RU"/>
        </a:p>
      </c:txPr>
    </c:title>
    <c:view3D>
      <c:rotX val="30"/>
      <c:perspective val="30"/>
    </c:view3D>
    <c:plotArea>
      <c:layout>
        <c:manualLayout>
          <c:layoutTarget val="inner"/>
          <c:xMode val="edge"/>
          <c:yMode val="edge"/>
          <c:x val="0.1841508183570077"/>
          <c:y val="0.14666083406240998"/>
          <c:w val="0.63856471429443462"/>
          <c:h val="0.54215321676340344"/>
        </c:manualLayout>
      </c:layout>
      <c:pie3DChart>
        <c:varyColors val="1"/>
        <c:ser>
          <c:idx val="0"/>
          <c:order val="0"/>
          <c:tx>
            <c:strRef>
              <c:f>Лист1!$B$1</c:f>
              <c:strCache>
                <c:ptCount val="1"/>
                <c:pt idx="0">
                  <c:v>январь-июнь 2014 года</c:v>
                </c:pt>
              </c:strCache>
            </c:strRef>
          </c:tx>
          <c:spPr>
            <a:solidFill>
              <a:srgbClr val="7030A0"/>
            </a:solidFill>
          </c:spPr>
          <c:explosion val="9"/>
          <c:dPt>
            <c:idx val="1"/>
            <c:explosion val="12"/>
            <c:spPr>
              <a:blipFill>
                <a:blip xmlns:r="http://schemas.openxmlformats.org/officeDocument/2006/relationships" r:embed="rId1"/>
                <a:tile tx="0" ty="0" sx="100000" sy="100000" flip="none" algn="tl"/>
              </a:blipFill>
            </c:spPr>
          </c:dPt>
          <c:dLbls>
            <c:dLbl>
              <c:idx val="0"/>
              <c:layout>
                <c:manualLayout>
                  <c:x val="0.22761154855643145"/>
                  <c:y val="4.6276465441819771E-2"/>
                </c:manualLayout>
              </c:layout>
              <c:spPr/>
              <c:txPr>
                <a:bodyPr/>
                <a:lstStyle/>
                <a:p>
                  <a:pPr>
                    <a:defRPr b="1"/>
                  </a:pPr>
                  <a:endParaRPr lang="ru-RU"/>
                </a:p>
              </c:txPr>
              <c:showVal val="1"/>
            </c:dLbl>
            <c:dLbl>
              <c:idx val="1"/>
              <c:layout>
                <c:manualLayout>
                  <c:x val="-0.28672892632607233"/>
                  <c:y val="-7.2054826480023329E-2"/>
                </c:manualLayout>
              </c:layout>
              <c:spPr/>
              <c:txPr>
                <a:bodyPr/>
                <a:lstStyle/>
                <a:p>
                  <a:pPr>
                    <a:defRPr b="1"/>
                  </a:pPr>
                  <a:endParaRPr lang="ru-RU"/>
                </a:p>
              </c:txPr>
              <c:showVal val="1"/>
            </c:dLbl>
            <c:showVal val="1"/>
            <c:showLeaderLines val="1"/>
          </c:dLbls>
          <c:cat>
            <c:strRef>
              <c:f>Лист1!$A$2:$A$3</c:f>
              <c:strCache>
                <c:ptCount val="2"/>
                <c:pt idx="0">
                  <c:v>Государственные организации</c:v>
                </c:pt>
                <c:pt idx="1">
                  <c:v>Негосударственные организации</c:v>
                </c:pt>
              </c:strCache>
            </c:strRef>
          </c:cat>
          <c:val>
            <c:numRef>
              <c:f>Лист1!$B$2:$B$3</c:f>
              <c:numCache>
                <c:formatCode>General</c:formatCode>
                <c:ptCount val="2"/>
                <c:pt idx="0">
                  <c:v>1.7</c:v>
                </c:pt>
                <c:pt idx="1">
                  <c:v>98.3</c:v>
                </c:pt>
              </c:numCache>
            </c:numRef>
          </c:val>
        </c:ser>
      </c:pie3DChart>
    </c:plotArea>
    <c:legend>
      <c:legendPos val="b"/>
      <c:layout>
        <c:manualLayout>
          <c:xMode val="edge"/>
          <c:yMode val="edge"/>
          <c:x val="9.9719395540675312E-2"/>
          <c:y val="0.76787984835229706"/>
          <c:w val="0.82491774795756156"/>
          <c:h val="0.19556410410530883"/>
        </c:manualLayout>
      </c:layout>
    </c:legend>
    <c:plotVisOnly val="1"/>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style val="30"/>
  <c:chart>
    <c:view3D>
      <c:rotX val="0"/>
      <c:rotY val="0"/>
      <c:perspective val="30"/>
    </c:view3D>
    <c:plotArea>
      <c:layout/>
      <c:bar3DChart>
        <c:barDir val="col"/>
        <c:grouping val="clustered"/>
        <c:ser>
          <c:idx val="0"/>
          <c:order val="0"/>
          <c:tx>
            <c:strRef>
              <c:f>Лист1!$B$1</c:f>
              <c:strCache>
                <c:ptCount val="1"/>
                <c:pt idx="0">
                  <c:v>в текущих ценах</c:v>
                </c:pt>
              </c:strCache>
            </c:strRef>
          </c:tx>
          <c:spPr>
            <a:blipFill>
              <a:blip xmlns:r="http://schemas.openxmlformats.org/officeDocument/2006/relationships" r:embed="rId1"/>
              <a:tile tx="0" ty="0" sx="100000" sy="100000" flip="none" algn="tl"/>
            </a:blipFill>
          </c:spPr>
          <c:dLbls>
            <c:dLbl>
              <c:idx val="1"/>
              <c:layout>
                <c:manualLayout>
                  <c:x val="9.2592592592593663E-3"/>
                  <c:y val="-1.19047619047619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январь-июнь 2013 года</c:v>
                </c:pt>
                <c:pt idx="1">
                  <c:v>январь-июнь 2014 года</c:v>
                </c:pt>
              </c:strCache>
            </c:strRef>
          </c:cat>
          <c:val>
            <c:numRef>
              <c:f>Лист1!$B$2:$B$3</c:f>
              <c:numCache>
                <c:formatCode>0.0</c:formatCode>
                <c:ptCount val="2"/>
                <c:pt idx="0">
                  <c:v>109.7</c:v>
                </c:pt>
                <c:pt idx="1">
                  <c:v>105.7</c:v>
                </c:pt>
              </c:numCache>
            </c:numRef>
          </c:val>
        </c:ser>
        <c:ser>
          <c:idx val="1"/>
          <c:order val="1"/>
          <c:tx>
            <c:strRef>
              <c:f>Лист1!$C$1</c:f>
              <c:strCache>
                <c:ptCount val="1"/>
                <c:pt idx="0">
                  <c:v>в сопоставимых ценах</c:v>
                </c:pt>
              </c:strCache>
            </c:strRef>
          </c:tx>
          <c:spPr>
            <a:blipFill>
              <a:blip xmlns:r="http://schemas.openxmlformats.org/officeDocument/2006/relationships" r:embed="rId2"/>
              <a:tile tx="0" ty="0" sx="100000" sy="100000" flip="none" algn="tl"/>
            </a:blipFill>
          </c:spPr>
          <c:dLbls>
            <c:dLbl>
              <c:idx val="0"/>
              <c:layout>
                <c:manualLayout>
                  <c:x val="3.2407407407407898E-2"/>
                  <c:y val="-1.1904761904761921E-2"/>
                </c:manualLayout>
              </c:layout>
              <c:showVal val="1"/>
            </c:dLbl>
            <c:dLbl>
              <c:idx val="1"/>
              <c:layout>
                <c:manualLayout>
                  <c:x val="1.3888888888889086E-2"/>
                  <c:y val="-1.984126984127006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январь-июнь 2013 года</c:v>
                </c:pt>
                <c:pt idx="1">
                  <c:v>январь-июнь 2014 года</c:v>
                </c:pt>
              </c:strCache>
            </c:strRef>
          </c:cat>
          <c:val>
            <c:numRef>
              <c:f>Лист1!$C$2:$C$3</c:f>
              <c:numCache>
                <c:formatCode>0.0</c:formatCode>
                <c:ptCount val="2"/>
                <c:pt idx="0">
                  <c:v>103.1</c:v>
                </c:pt>
                <c:pt idx="1">
                  <c:v>104.5</c:v>
                </c:pt>
              </c:numCache>
            </c:numRef>
          </c:val>
        </c:ser>
        <c:dLbls>
          <c:showVal val="1"/>
        </c:dLbls>
        <c:shape val="cylinder"/>
        <c:axId val="165186176"/>
        <c:axId val="165241216"/>
        <c:axId val="0"/>
      </c:bar3DChart>
      <c:catAx>
        <c:axId val="165186176"/>
        <c:scaling>
          <c:orientation val="minMax"/>
        </c:scaling>
        <c:axPos val="b"/>
        <c:tickLblPos val="nextTo"/>
        <c:txPr>
          <a:bodyPr/>
          <a:lstStyle/>
          <a:p>
            <a:pPr>
              <a:defRPr b="1">
                <a:latin typeface="Times New Roman" pitchFamily="18" charset="0"/>
                <a:cs typeface="Times New Roman" pitchFamily="18" charset="0"/>
              </a:defRPr>
            </a:pPr>
            <a:endParaRPr lang="ru-RU"/>
          </a:p>
        </c:txPr>
        <c:crossAx val="165241216"/>
        <c:crosses val="autoZero"/>
        <c:auto val="1"/>
        <c:lblAlgn val="ctr"/>
        <c:lblOffset val="100"/>
      </c:catAx>
      <c:valAx>
        <c:axId val="165241216"/>
        <c:scaling>
          <c:orientation val="minMax"/>
          <c:max val="115"/>
        </c:scaling>
        <c:axPos val="l"/>
        <c:numFmt formatCode="0.0" sourceLinked="1"/>
        <c:tickLblPos val="nextTo"/>
        <c:txPr>
          <a:bodyPr/>
          <a:lstStyle/>
          <a:p>
            <a:pPr>
              <a:defRPr b="1">
                <a:latin typeface="Times New Roman" pitchFamily="18" charset="0"/>
                <a:cs typeface="Times New Roman" pitchFamily="18" charset="0"/>
              </a:defRPr>
            </a:pPr>
            <a:endParaRPr lang="ru-RU"/>
          </a:p>
        </c:txPr>
        <c:crossAx val="165186176"/>
        <c:crosses val="autoZero"/>
        <c:crossBetween val="between"/>
      </c:valAx>
    </c:plotArea>
    <c:legend>
      <c:legendPos val="b"/>
      <c:txPr>
        <a:bodyPr/>
        <a:lstStyle/>
        <a:p>
          <a:pPr>
            <a:defRPr b="1">
              <a:latin typeface="Times New Roman" pitchFamily="18" charset="0"/>
              <a:cs typeface="Times New Roman" pitchFamily="18" charset="0"/>
            </a:defRPr>
          </a:pPr>
          <a:endParaRPr lang="ru-RU"/>
        </a:p>
      </c:txPr>
    </c:legend>
    <c:plotVisOnly val="1"/>
  </c:chart>
  <c:spPr>
    <a:ln>
      <a:noFill/>
    </a:ln>
  </c:spPr>
  <c:externalData r:id="rId3"/>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100"/>
          </a:pPr>
          <a:endParaRPr lang="ru-RU"/>
        </a:p>
      </c:txPr>
    </c:title>
    <c:view3D>
      <c:rotX val="30"/>
      <c:perspective val="30"/>
    </c:view3D>
    <c:plotArea>
      <c:layout>
        <c:manualLayout>
          <c:layoutTarget val="inner"/>
          <c:xMode val="edge"/>
          <c:yMode val="edge"/>
          <c:x val="0.17377405949256344"/>
          <c:y val="0.16427433527330823"/>
          <c:w val="0.7072575823855356"/>
          <c:h val="0.60336277530525406"/>
        </c:manualLayout>
      </c:layout>
      <c:pie3DChart>
        <c:varyColors val="1"/>
        <c:ser>
          <c:idx val="0"/>
          <c:order val="0"/>
          <c:tx>
            <c:strRef>
              <c:f>Лист1!$B$1</c:f>
              <c:strCache>
                <c:ptCount val="1"/>
                <c:pt idx="0">
                  <c:v>январь-июнь 2013 года</c:v>
                </c:pt>
              </c:strCache>
            </c:strRef>
          </c:tx>
          <c:spPr>
            <a:solidFill>
              <a:srgbClr val="7030A0"/>
            </a:solidFill>
          </c:spPr>
          <c:explosion val="47"/>
          <c:dPt>
            <c:idx val="0"/>
            <c:explosion val="0"/>
          </c:dPt>
          <c:dPt>
            <c:idx val="1"/>
            <c:explosion val="10"/>
            <c:spPr>
              <a:solidFill>
                <a:schemeClr val="accent2">
                  <a:lumMod val="60000"/>
                  <a:lumOff val="40000"/>
                </a:schemeClr>
              </a:solidFill>
            </c:spPr>
          </c:dPt>
          <c:dLbls>
            <c:dLbl>
              <c:idx val="0"/>
              <c:layout>
                <c:manualLayout>
                  <c:x val="7.8389836687080786E-2"/>
                  <c:y val="0.12623465545067736"/>
                </c:manualLayout>
              </c:layout>
              <c:showVal val="1"/>
            </c:dLbl>
            <c:dLbl>
              <c:idx val="1"/>
              <c:layout>
                <c:manualLayout>
                  <c:x val="-6.0918999708369802E-2"/>
                  <c:y val="-0.12395298413785233"/>
                </c:manualLayout>
              </c:layout>
              <c:showVal val="1"/>
            </c:dLbl>
            <c:txPr>
              <a:bodyPr/>
              <a:lstStyle/>
              <a:p>
                <a:pPr>
                  <a:defRPr b="1"/>
                </a:pPr>
                <a:endParaRPr lang="ru-RU"/>
              </a:p>
            </c:txPr>
            <c:showVal val="1"/>
            <c:showLeaderLines val="1"/>
          </c:dLbls>
          <c:cat>
            <c:strRef>
              <c:f>Лист1!$A$2:$A$3</c:f>
              <c:strCache>
                <c:ptCount val="2"/>
                <c:pt idx="0">
                  <c:v>Государственные организации</c:v>
                </c:pt>
                <c:pt idx="1">
                  <c:v>Негосударственные организации</c:v>
                </c:pt>
              </c:strCache>
            </c:strRef>
          </c:cat>
          <c:val>
            <c:numRef>
              <c:f>Лист1!$B$2:$B$3</c:f>
              <c:numCache>
                <c:formatCode>0.0</c:formatCode>
                <c:ptCount val="2"/>
                <c:pt idx="0">
                  <c:v>51.5</c:v>
                </c:pt>
                <c:pt idx="1">
                  <c:v>48.5</c:v>
                </c:pt>
              </c:numCache>
            </c:numRef>
          </c:val>
        </c:ser>
      </c:pie3DChart>
    </c:plotArea>
    <c:legend>
      <c:legendPos val="b"/>
      <c:layout>
        <c:manualLayout>
          <c:xMode val="edge"/>
          <c:yMode val="edge"/>
          <c:x val="9.9719418875457544E-2"/>
          <c:y val="0.77528721123600064"/>
          <c:w val="0.70754685593878264"/>
          <c:h val="0.20299434401685867"/>
        </c:manualLayout>
      </c:layout>
    </c:legend>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100"/>
          </a:pPr>
          <a:endParaRPr lang="ru-RU"/>
        </a:p>
      </c:txPr>
    </c:title>
    <c:view3D>
      <c:rotX val="30"/>
      <c:perspective val="30"/>
    </c:view3D>
    <c:plotArea>
      <c:layout>
        <c:manualLayout>
          <c:layoutTarget val="inner"/>
          <c:xMode val="edge"/>
          <c:yMode val="edge"/>
          <c:x val="0.26402272500747914"/>
          <c:y val="0.20414624228309491"/>
          <c:w val="0.50267483969567883"/>
          <c:h val="0.42947716042536938"/>
        </c:manualLayout>
      </c:layout>
      <c:pie3DChart>
        <c:varyColors val="1"/>
        <c:ser>
          <c:idx val="0"/>
          <c:order val="0"/>
          <c:tx>
            <c:strRef>
              <c:f>Лист1!$B$1</c:f>
              <c:strCache>
                <c:ptCount val="1"/>
                <c:pt idx="0">
                  <c:v>январь-июнь 2014 года</c:v>
                </c:pt>
              </c:strCache>
            </c:strRef>
          </c:tx>
          <c:spPr>
            <a:solidFill>
              <a:srgbClr val="7030A0"/>
            </a:solidFill>
          </c:spPr>
          <c:dPt>
            <c:idx val="0"/>
            <c:explosion val="10"/>
          </c:dPt>
          <c:dPt>
            <c:idx val="1"/>
            <c:spPr>
              <a:solidFill>
                <a:schemeClr val="accent2">
                  <a:lumMod val="60000"/>
                  <a:lumOff val="40000"/>
                </a:schemeClr>
              </a:solidFill>
            </c:spPr>
          </c:dPt>
          <c:dLbls>
            <c:dLbl>
              <c:idx val="0"/>
              <c:layout>
                <c:manualLayout>
                  <c:x val="7.1443237316854383E-2"/>
                  <c:y val="0.11795308195171272"/>
                </c:manualLayout>
              </c:layout>
              <c:showVal val="1"/>
            </c:dLbl>
            <c:dLbl>
              <c:idx val="1"/>
              <c:layout>
                <c:manualLayout>
                  <c:x val="-0.1053815741386757"/>
                  <c:y val="-0.12395363623025422"/>
                </c:manualLayout>
              </c:layout>
              <c:showVal val="1"/>
            </c:dLbl>
            <c:txPr>
              <a:bodyPr/>
              <a:lstStyle/>
              <a:p>
                <a:pPr>
                  <a:defRPr sz="900" b="1"/>
                </a:pPr>
                <a:endParaRPr lang="ru-RU"/>
              </a:p>
            </c:txPr>
            <c:showVal val="1"/>
            <c:showLeaderLines val="1"/>
          </c:dLbls>
          <c:cat>
            <c:strRef>
              <c:f>Лист1!$A$2:$A$3</c:f>
              <c:strCache>
                <c:ptCount val="2"/>
                <c:pt idx="0">
                  <c:v>Государственные организации</c:v>
                </c:pt>
                <c:pt idx="1">
                  <c:v>Негосударственные организации</c:v>
                </c:pt>
              </c:strCache>
            </c:strRef>
          </c:cat>
          <c:val>
            <c:numRef>
              <c:f>Лист1!$B$2:$B$3</c:f>
              <c:numCache>
                <c:formatCode>0.0</c:formatCode>
                <c:ptCount val="2"/>
                <c:pt idx="0">
                  <c:v>52.5</c:v>
                </c:pt>
                <c:pt idx="1">
                  <c:v>47.5</c:v>
                </c:pt>
              </c:numCache>
            </c:numRef>
          </c:val>
        </c:ser>
      </c:pie3DChart>
    </c:plotArea>
    <c:legend>
      <c:legendPos val="b"/>
      <c:layout>
        <c:manualLayout>
          <c:xMode val="edge"/>
          <c:yMode val="edge"/>
          <c:x val="9.9719418875457544E-2"/>
          <c:y val="0.77528721123600064"/>
          <c:w val="0.70754685593878264"/>
          <c:h val="0.20299434401685867"/>
        </c:manualLayout>
      </c:layout>
    </c:legend>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style val="30"/>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основных составляющих инфляции,%</a:t>
            </a:r>
          </a:p>
        </c:rich>
      </c:tx>
    </c:title>
    <c:plotArea>
      <c:layout/>
      <c:barChart>
        <c:barDir val="col"/>
        <c:grouping val="clustered"/>
        <c:ser>
          <c:idx val="0"/>
          <c:order val="0"/>
          <c:tx>
            <c:strRef>
              <c:f>Лист1!$B$1</c:f>
              <c:strCache>
                <c:ptCount val="1"/>
                <c:pt idx="0">
                  <c:v>январь-июнь 2013 года</c:v>
                </c:pt>
              </c:strCache>
            </c:strRef>
          </c:tx>
          <c:spPr>
            <a:solidFill>
              <a:schemeClr val="accent6">
                <a:lumMod val="75000"/>
              </a:schemeClr>
            </a:solidFill>
          </c:spPr>
          <c:cat>
            <c:strRef>
              <c:f>Лист1!$A$2:$A$5</c:f>
              <c:strCache>
                <c:ptCount val="4"/>
                <c:pt idx="0">
                  <c:v>Сводный индекс потребительских цен</c:v>
                </c:pt>
                <c:pt idx="1">
                  <c:v>Индекс цен на продовольственные товары</c:v>
                </c:pt>
                <c:pt idx="2">
                  <c:v>Индекс цен на непродовольственные товары</c:v>
                </c:pt>
                <c:pt idx="3">
                  <c:v>Индекс  тарифов на услуги</c:v>
                </c:pt>
              </c:strCache>
            </c:strRef>
          </c:cat>
          <c:val>
            <c:numRef>
              <c:f>Лист1!$B$2:$B$5</c:f>
              <c:numCache>
                <c:formatCode>General</c:formatCode>
                <c:ptCount val="4"/>
                <c:pt idx="0">
                  <c:v>103.42</c:v>
                </c:pt>
                <c:pt idx="1">
                  <c:v>104.47</c:v>
                </c:pt>
                <c:pt idx="2">
                  <c:v>100.53</c:v>
                </c:pt>
                <c:pt idx="3">
                  <c:v>105.91000000000012</c:v>
                </c:pt>
              </c:numCache>
            </c:numRef>
          </c:val>
        </c:ser>
        <c:ser>
          <c:idx val="1"/>
          <c:order val="1"/>
          <c:tx>
            <c:strRef>
              <c:f>Лист1!$C$1</c:f>
              <c:strCache>
                <c:ptCount val="1"/>
                <c:pt idx="0">
                  <c:v>январь-июнь 2014 года</c:v>
                </c:pt>
              </c:strCache>
            </c:strRef>
          </c:tx>
          <c:spPr>
            <a:solidFill>
              <a:schemeClr val="accent6">
                <a:lumMod val="60000"/>
                <a:lumOff val="40000"/>
              </a:schemeClr>
            </a:solidFill>
          </c:spPr>
          <c:cat>
            <c:strRef>
              <c:f>Лист1!$A$2:$A$5</c:f>
              <c:strCache>
                <c:ptCount val="4"/>
                <c:pt idx="0">
                  <c:v>Сводный индекс потребительских цен</c:v>
                </c:pt>
                <c:pt idx="1">
                  <c:v>Индекс цен на продовольственные товары</c:v>
                </c:pt>
                <c:pt idx="2">
                  <c:v>Индекс цен на непродовольственные товары</c:v>
                </c:pt>
                <c:pt idx="3">
                  <c:v>Индекс  тарифов на услуги</c:v>
                </c:pt>
              </c:strCache>
            </c:strRef>
          </c:cat>
          <c:val>
            <c:numRef>
              <c:f>Лист1!$C$2:$C$5</c:f>
              <c:numCache>
                <c:formatCode>General</c:formatCode>
                <c:ptCount val="4"/>
                <c:pt idx="0" formatCode="0.00">
                  <c:v>101.96000000000002</c:v>
                </c:pt>
                <c:pt idx="1">
                  <c:v>102.94000000000032</c:v>
                </c:pt>
                <c:pt idx="2">
                  <c:v>98.01</c:v>
                </c:pt>
                <c:pt idx="3">
                  <c:v>107.17999999999998</c:v>
                </c:pt>
              </c:numCache>
            </c:numRef>
          </c:val>
        </c:ser>
        <c:axId val="165386112"/>
        <c:axId val="165387648"/>
      </c:barChart>
      <c:catAx>
        <c:axId val="165386112"/>
        <c:scaling>
          <c:orientation val="minMax"/>
        </c:scaling>
        <c:axPos val="b"/>
        <c:tickLblPos val="nextTo"/>
        <c:crossAx val="165387648"/>
        <c:crosses val="autoZero"/>
        <c:auto val="1"/>
        <c:lblAlgn val="ctr"/>
        <c:lblOffset val="100"/>
      </c:catAx>
      <c:valAx>
        <c:axId val="165387648"/>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65386112"/>
        <c:crosses val="autoZero"/>
        <c:crossBetween val="between"/>
        <c:minorUnit val="4"/>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chart>
  <c:spPr>
    <a:ln>
      <a:noFill/>
    </a:ln>
  </c:sp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b="1"/>
            </a:pPr>
            <a:r>
              <a:rPr lang="ru-RU" sz="1122" b="1" i="0" u="none" strike="noStrike" baseline="0"/>
              <a:t>январь – июнь </a:t>
            </a:r>
            <a:r>
              <a:rPr lang="ru-RU" b="1"/>
              <a:t>2013 год</a:t>
            </a:r>
          </a:p>
        </c:rich>
      </c:tx>
      <c:layout>
        <c:manualLayout>
          <c:xMode val="edge"/>
          <c:yMode val="edge"/>
          <c:x val="0.4492904272722863"/>
          <c:y val="0"/>
        </c:manualLayout>
      </c:layout>
    </c:title>
    <c:view3D>
      <c:rotY val="270"/>
      <c:perspective val="0"/>
    </c:view3D>
    <c:plotArea>
      <c:layout>
        <c:manualLayout>
          <c:layoutTarget val="inner"/>
          <c:xMode val="edge"/>
          <c:yMode val="edge"/>
          <c:x val="0.26978369083174947"/>
          <c:y val="0.18421052631578938"/>
          <c:w val="0.46342862314625127"/>
          <c:h val="0.29868987895500992"/>
        </c:manualLayout>
      </c:layout>
      <c:pie3DChart>
        <c:varyColors val="1"/>
        <c:ser>
          <c:idx val="0"/>
          <c:order val="0"/>
          <c:tx>
            <c:strRef>
              <c:f>Sheet1!$A$2</c:f>
              <c:strCache>
                <c:ptCount val="1"/>
                <c:pt idx="0">
                  <c:v>Восток</c:v>
                </c:pt>
              </c:strCache>
            </c:strRef>
          </c:tx>
          <c:spPr>
            <a:solidFill>
              <a:srgbClr val="9999FF"/>
            </a:solidFill>
            <a:ln w="16924">
              <a:solidFill>
                <a:srgbClr val="000000"/>
              </a:solidFill>
              <a:prstDash val="solid"/>
            </a:ln>
          </c:spPr>
          <c:explosion val="25"/>
          <c:dPt>
            <c:idx val="0"/>
            <c:spPr>
              <a:pattFill prst="pct10">
                <a:fgClr>
                  <a:srgbClr val="000000"/>
                </a:fgClr>
                <a:bgClr>
                  <a:srgbClr val="FFFFFF"/>
                </a:bgClr>
              </a:pattFill>
              <a:ln w="16924">
                <a:solidFill>
                  <a:srgbClr val="000000"/>
                </a:solidFill>
                <a:prstDash val="solid"/>
              </a:ln>
            </c:spPr>
          </c:dPt>
          <c:dPt>
            <c:idx val="1"/>
            <c:spPr>
              <a:pattFill prst="lgGrid">
                <a:fgClr>
                  <a:srgbClr val="000000"/>
                </a:fgClr>
                <a:bgClr>
                  <a:srgbClr val="FFFFFF"/>
                </a:bgClr>
              </a:pattFill>
              <a:ln w="16924">
                <a:solidFill>
                  <a:srgbClr val="000000"/>
                </a:solidFill>
                <a:prstDash val="solid"/>
              </a:ln>
            </c:spPr>
          </c:dPt>
          <c:dPt>
            <c:idx val="2"/>
            <c:spPr>
              <a:pattFill prst="dkVert">
                <a:fgClr>
                  <a:srgbClr val="000000"/>
                </a:fgClr>
                <a:bgClr>
                  <a:srgbClr val="FFFFFF"/>
                </a:bgClr>
              </a:pattFill>
              <a:ln w="16924">
                <a:solidFill>
                  <a:srgbClr val="000000"/>
                </a:solidFill>
                <a:prstDash val="solid"/>
              </a:ln>
            </c:spPr>
          </c:dPt>
          <c:dPt>
            <c:idx val="3"/>
            <c:spPr>
              <a:pattFill prst="dashVert">
                <a:fgClr>
                  <a:srgbClr val="000000"/>
                </a:fgClr>
                <a:bgClr>
                  <a:srgbClr val="FFFFFF"/>
                </a:bgClr>
              </a:pattFill>
              <a:ln w="16924">
                <a:solidFill>
                  <a:srgbClr val="000000"/>
                </a:solidFill>
                <a:prstDash val="solid"/>
              </a:ln>
            </c:spPr>
          </c:dPt>
          <c:dPt>
            <c:idx val="4"/>
            <c:spPr>
              <a:pattFill prst="lgConfetti">
                <a:fgClr>
                  <a:srgbClr val="000000"/>
                </a:fgClr>
                <a:bgClr>
                  <a:srgbClr val="FFFFFF"/>
                </a:bgClr>
              </a:pattFill>
              <a:ln w="16924">
                <a:solidFill>
                  <a:srgbClr val="000000"/>
                </a:solidFill>
                <a:prstDash val="solid"/>
              </a:ln>
            </c:spPr>
          </c:dPt>
          <c:dPt>
            <c:idx val="5"/>
            <c:spPr>
              <a:pattFill prst="zigZag">
                <a:fgClr>
                  <a:srgbClr val="000000"/>
                </a:fgClr>
                <a:bgClr>
                  <a:srgbClr val="FFFFFF"/>
                </a:bgClr>
              </a:pattFill>
              <a:ln w="16924">
                <a:solidFill>
                  <a:srgbClr val="000000"/>
                </a:solidFill>
                <a:prstDash val="solid"/>
              </a:ln>
            </c:spPr>
          </c:dPt>
          <c:dPt>
            <c:idx val="6"/>
            <c:spPr>
              <a:pattFill prst="sphere">
                <a:fgClr>
                  <a:srgbClr val="000000"/>
                </a:fgClr>
                <a:bgClr>
                  <a:srgbClr val="FFFFFF"/>
                </a:bgClr>
              </a:pattFill>
              <a:ln w="16924">
                <a:solidFill>
                  <a:srgbClr val="000000"/>
                </a:solidFill>
                <a:prstDash val="solid"/>
              </a:ln>
            </c:spPr>
          </c:dPt>
          <c:dPt>
            <c:idx val="7"/>
            <c:spPr>
              <a:pattFill prst="weave">
                <a:fgClr>
                  <a:srgbClr val="000000"/>
                </a:fgClr>
                <a:bgClr>
                  <a:srgbClr val="FFFFFF"/>
                </a:bgClr>
              </a:pattFill>
              <a:ln w="16924">
                <a:solidFill>
                  <a:srgbClr val="000000"/>
                </a:solidFill>
                <a:prstDash val="solid"/>
              </a:ln>
            </c:spPr>
          </c:dPt>
          <c:dPt>
            <c:idx val="8"/>
            <c:spPr>
              <a:pattFill prst="pct90">
                <a:fgClr>
                  <a:srgbClr val="000000"/>
                </a:fgClr>
                <a:bgClr>
                  <a:srgbClr val="FFFFFF"/>
                </a:bgClr>
              </a:pattFill>
              <a:ln w="16924">
                <a:solidFill>
                  <a:srgbClr val="000000"/>
                </a:solidFill>
                <a:prstDash val="solid"/>
              </a:ln>
            </c:spPr>
          </c:dPt>
          <c:dLbls>
            <c:dLbl>
              <c:idx val="0"/>
              <c:layout>
                <c:manualLayout>
                  <c:x val="-0.23156293155663424"/>
                  <c:y val="0"/>
                </c:manualLayout>
              </c:layout>
              <c:tx>
                <c:rich>
                  <a:bodyPr/>
                  <a:lstStyle/>
                  <a:p>
                    <a:r>
                      <a:rPr lang="ru-RU" sz="900"/>
                      <a:t>Торговля и общепит; 1960; 48,5%</a:t>
                    </a:r>
                  </a:p>
                </c:rich>
              </c:tx>
              <c:dLblPos val="bestFit"/>
              <c:showVal val="1"/>
              <c:showCatName val="1"/>
              <c:showPercent val="1"/>
              <c:separator>; </c:separator>
            </c:dLbl>
            <c:dLbl>
              <c:idx val="1"/>
              <c:layout>
                <c:manualLayout>
                  <c:x val="4.5584009691096314E-2"/>
                  <c:y val="-0.1141615631379411"/>
                </c:manualLayout>
              </c:layout>
              <c:tx>
                <c:rich>
                  <a:bodyPr/>
                  <a:lstStyle/>
                  <a:p>
                    <a:r>
                      <a:rPr lang="ru-RU" sz="900"/>
                      <a:t>Промышленность; 491; 12,2%</a:t>
                    </a:r>
                  </a:p>
                </c:rich>
              </c:tx>
              <c:dLblPos val="bestFit"/>
              <c:showVal val="1"/>
              <c:showCatName val="1"/>
              <c:showPercent val="1"/>
              <c:separator>; </c:separator>
            </c:dLbl>
            <c:dLbl>
              <c:idx val="2"/>
              <c:layout>
                <c:manualLayout>
                  <c:x val="0.19804247388223814"/>
                  <c:y val="6.8539737088720132E-2"/>
                </c:manualLayout>
              </c:layout>
              <c:tx>
                <c:rich>
                  <a:bodyPr/>
                  <a:lstStyle/>
                  <a:p>
                    <a:r>
                      <a:rPr lang="ru-RU" sz="900"/>
                      <a:t>Сельское хозяйство; 313; 7,7%</a:t>
                    </a:r>
                  </a:p>
                </c:rich>
              </c:tx>
              <c:dLblPos val="bestFit"/>
              <c:showVal val="1"/>
              <c:showCatName val="1"/>
              <c:showPercent val="1"/>
              <c:separator>; </c:separator>
            </c:dLbl>
            <c:dLbl>
              <c:idx val="3"/>
              <c:layout>
                <c:manualLayout>
                  <c:x val="0.15568940036341641"/>
                  <c:y val="0.30317710286214455"/>
                </c:manualLayout>
              </c:layout>
              <c:tx>
                <c:rich>
                  <a:bodyPr/>
                  <a:lstStyle/>
                  <a:p>
                    <a:r>
                      <a:rPr lang="ru-RU" sz="900"/>
                      <a:t>Строительство; </a:t>
                    </a:r>
                  </a:p>
                  <a:p>
                    <a:r>
                      <a:rPr lang="ru-RU" sz="900"/>
                      <a:t>300; 7,4%</a:t>
                    </a:r>
                  </a:p>
                </c:rich>
              </c:tx>
              <c:dLblPos val="bestFit"/>
              <c:showVal val="1"/>
              <c:showCatName val="1"/>
              <c:showPercent val="1"/>
              <c:separator>; </c:separator>
            </c:dLbl>
            <c:dLbl>
              <c:idx val="4"/>
              <c:layout>
                <c:manualLayout>
                  <c:x val="0.14147450030284675"/>
                  <c:y val="0.24686414198225395"/>
                </c:manualLayout>
              </c:layout>
              <c:tx>
                <c:rich>
                  <a:bodyPr/>
                  <a:lstStyle/>
                  <a:p>
                    <a:r>
                      <a:rPr lang="ru-RU" sz="900"/>
                      <a:t>Операции с недвижим. имущест.; 197; 4,9%</a:t>
                    </a:r>
                  </a:p>
                </c:rich>
              </c:tx>
              <c:dLblPos val="bestFit"/>
              <c:showVal val="1"/>
              <c:showCatName val="1"/>
              <c:showPercent val="1"/>
              <c:separator>; </c:separator>
            </c:dLbl>
            <c:dLbl>
              <c:idx val="5"/>
              <c:layout>
                <c:manualLayout>
                  <c:x val="-9.9007470220069862E-3"/>
                  <c:y val="0.26861392325959282"/>
                </c:manualLayout>
              </c:layout>
              <c:tx>
                <c:rich>
                  <a:bodyPr/>
                  <a:lstStyle/>
                  <a:p>
                    <a:r>
                      <a:rPr lang="ru-RU" sz="900"/>
                      <a:t>Непроизв. виды бытового обслуж.; 122; 3,0%</a:t>
                    </a:r>
                  </a:p>
                </c:rich>
              </c:tx>
              <c:dLblPos val="bestFit"/>
              <c:showVal val="1"/>
              <c:showCatName val="1"/>
              <c:showPercent val="1"/>
              <c:separator>; </c:separator>
            </c:dLbl>
            <c:dLbl>
              <c:idx val="6"/>
              <c:layout>
                <c:manualLayout>
                  <c:x val="-0.17723238441348863"/>
                  <c:y val="0.18136566262550516"/>
                </c:manualLayout>
              </c:layout>
              <c:tx>
                <c:rich>
                  <a:bodyPr/>
                  <a:lstStyle/>
                  <a:p>
                    <a:r>
                      <a:rPr lang="ru-RU" sz="900"/>
                      <a:t>Общая коммер. деятельность; 122; 3,0%</a:t>
                    </a:r>
                  </a:p>
                </c:rich>
              </c:tx>
              <c:dLblPos val="bestFit"/>
              <c:showVal val="1"/>
              <c:showCatName val="1"/>
              <c:showPercent val="1"/>
              <c:separator>; </c:separator>
            </c:dLbl>
            <c:dLbl>
              <c:idx val="7"/>
              <c:layout>
                <c:manualLayout>
                  <c:x val="-0.16626600292191129"/>
                  <c:y val="6.4914446542946279E-3"/>
                </c:manualLayout>
              </c:layout>
              <c:tx>
                <c:rich>
                  <a:bodyPr/>
                  <a:lstStyle/>
                  <a:p>
                    <a:r>
                      <a:rPr lang="ru-RU" sz="900"/>
                      <a:t>ЖКХ; 80; 2,0%</a:t>
                    </a:r>
                  </a:p>
                </c:rich>
              </c:tx>
              <c:dLblPos val="bestFit"/>
              <c:showVal val="1"/>
              <c:showCatName val="1"/>
              <c:showPercent val="1"/>
              <c:separator>; </c:separator>
            </c:dLbl>
            <c:dLbl>
              <c:idx val="8"/>
              <c:layout>
                <c:manualLayout>
                  <c:x val="-8.7091944276196265E-2"/>
                  <c:y val="-0.11386493354997292"/>
                </c:manualLayout>
              </c:layout>
              <c:tx>
                <c:rich>
                  <a:bodyPr/>
                  <a:lstStyle/>
                  <a:p>
                    <a:r>
                      <a:rPr lang="ru-RU" sz="900"/>
                      <a:t>Прочие; 454; 11,2%</a:t>
                    </a:r>
                  </a:p>
                </c:rich>
              </c:tx>
              <c:dLblPos val="bestFit"/>
              <c:showVal val="1"/>
              <c:showCatName val="1"/>
              <c:showPercent val="1"/>
              <c:separator>; </c:separator>
            </c:dLbl>
            <c:numFmt formatCode="0.0%" sourceLinked="0"/>
            <c:spPr>
              <a:solidFill>
                <a:srgbClr val="FFFFFF"/>
              </a:solidFill>
              <a:ln w="33915">
                <a:noFill/>
              </a:ln>
            </c:spPr>
            <c:txPr>
              <a:bodyPr/>
              <a:lstStyle/>
              <a:p>
                <a:pPr>
                  <a:defRPr sz="900" b="0" i="0" u="none" strike="noStrike" baseline="0">
                    <a:solidFill>
                      <a:srgbClr val="000000"/>
                    </a:solidFill>
                    <a:latin typeface="Times New Roman"/>
                    <a:ea typeface="Times New Roman"/>
                    <a:cs typeface="Times New Roman"/>
                  </a:defRPr>
                </a:pPr>
                <a:endParaRPr lang="ru-RU"/>
              </a:p>
            </c:txPr>
            <c:showVal val="1"/>
            <c:showCatName val="1"/>
            <c:showPercent val="1"/>
            <c:separator>; </c:separator>
            <c:showLeaderLines val="1"/>
          </c:dLbls>
          <c:cat>
            <c:strRef>
              <c:f>Sheet1!$B$1:$J$1</c:f>
              <c:strCache>
                <c:ptCount val="9"/>
                <c:pt idx="0">
                  <c:v>Торговля и общепит</c:v>
                </c:pt>
                <c:pt idx="1">
                  <c:v>Промышленность</c:v>
                </c:pt>
                <c:pt idx="2">
                  <c:v>Сельское хозяйство</c:v>
                </c:pt>
                <c:pt idx="3">
                  <c:v>Строительство</c:v>
                </c:pt>
                <c:pt idx="4">
                  <c:v>Операции с недвижим. имущест.</c:v>
                </c:pt>
                <c:pt idx="5">
                  <c:v>Непроизвод. виды бытового обслуж.</c:v>
                </c:pt>
                <c:pt idx="6">
                  <c:v>Общая коммер. деятельность</c:v>
                </c:pt>
                <c:pt idx="7">
                  <c:v>ЖКХ</c:v>
                </c:pt>
                <c:pt idx="8">
                  <c:v>Прочие</c:v>
                </c:pt>
              </c:strCache>
            </c:strRef>
          </c:cat>
          <c:val>
            <c:numRef>
              <c:f>Sheet1!$B$2:$J$2</c:f>
              <c:numCache>
                <c:formatCode>General</c:formatCode>
                <c:ptCount val="9"/>
                <c:pt idx="0">
                  <c:v>1960</c:v>
                </c:pt>
                <c:pt idx="1">
                  <c:v>491</c:v>
                </c:pt>
                <c:pt idx="2">
                  <c:v>313</c:v>
                </c:pt>
                <c:pt idx="3">
                  <c:v>300</c:v>
                </c:pt>
                <c:pt idx="4">
                  <c:v>197</c:v>
                </c:pt>
                <c:pt idx="5">
                  <c:v>122</c:v>
                </c:pt>
                <c:pt idx="6">
                  <c:v>122</c:v>
                </c:pt>
                <c:pt idx="7">
                  <c:v>80</c:v>
                </c:pt>
                <c:pt idx="8">
                  <c:v>454</c:v>
                </c:pt>
              </c:numCache>
            </c:numRef>
          </c:val>
        </c:ser>
        <c:dLbls>
          <c:showVal val="1"/>
          <c:showCatName val="1"/>
          <c:showPercent val="1"/>
          <c:separator>; </c:separator>
        </c:dLbls>
      </c:pie3DChart>
      <c:spPr>
        <a:solidFill>
          <a:srgbClr val="FFFFFF"/>
        </a:solidFill>
        <a:ln w="33849">
          <a:noFill/>
        </a:ln>
      </c:spPr>
    </c:plotArea>
    <c:plotVisOnly val="1"/>
    <c:dispBlanksAs val="zero"/>
  </c:chart>
  <c:spPr>
    <a:noFill/>
    <a:ln>
      <a:noFill/>
    </a:ln>
  </c:spPr>
  <c:txPr>
    <a:bodyPr/>
    <a:lstStyle/>
    <a:p>
      <a:pPr>
        <a:defRPr sz="935" b="0" i="0" u="none" strike="noStrike" baseline="0">
          <a:solidFill>
            <a:srgbClr val="000000"/>
          </a:solidFill>
          <a:latin typeface="Times New Roman"/>
          <a:ea typeface="Times New Roman"/>
          <a:cs typeface="Times New Roman"/>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title>
      <c:tx>
        <c:rich>
          <a:bodyPr/>
          <a:lstStyle/>
          <a:p>
            <a:pPr>
              <a:defRPr sz="1128"/>
            </a:pPr>
            <a:r>
              <a:rPr lang="ru-RU" sz="1128"/>
              <a:t>Товарная структура импорта ПМР, млн. долл. США</a:t>
            </a:r>
          </a:p>
        </c:rich>
      </c:tx>
      <c:layout>
        <c:manualLayout>
          <c:xMode val="edge"/>
          <c:yMode val="edge"/>
          <c:x val="0.27361567668119124"/>
          <c:y val="1.860511025865378E-2"/>
        </c:manualLayout>
      </c:layout>
      <c:spPr>
        <a:noFill/>
        <a:ln w="23365">
          <a:noFill/>
        </a:ln>
      </c:spPr>
    </c:title>
    <c:plotArea>
      <c:layout>
        <c:manualLayout>
          <c:layoutTarget val="inner"/>
          <c:xMode val="edge"/>
          <c:yMode val="edge"/>
          <c:x val="6.0265147076985395E-2"/>
          <c:y val="5.6734295500823512E-2"/>
          <c:w val="0.96291208791208749"/>
          <c:h val="0.38683743370253032"/>
        </c:manualLayout>
      </c:layout>
      <c:barChart>
        <c:barDir val="col"/>
        <c:grouping val="clustered"/>
        <c:ser>
          <c:idx val="0"/>
          <c:order val="0"/>
          <c:tx>
            <c:strRef>
              <c:f>Sheet1!$A$2</c:f>
              <c:strCache>
                <c:ptCount val="1"/>
                <c:pt idx="0">
                  <c:v>январь-июнь 2013 г.</c:v>
                </c:pt>
              </c:strCache>
            </c:strRef>
          </c:tx>
          <c:dLbls>
            <c:dLbl>
              <c:idx val="0"/>
              <c:layout>
                <c:manualLayout>
                  <c:x val="-8.7119092782380247E-4"/>
                  <c:y val="-1.8596403364773761E-2"/>
                </c:manualLayout>
              </c:layout>
              <c:tx>
                <c:rich>
                  <a:bodyPr/>
                  <a:lstStyle/>
                  <a:p>
                    <a:r>
                      <a:rPr lang="ru-RU"/>
                      <a:t>50,3*</a:t>
                    </a:r>
                    <a:endParaRPr lang="en-US"/>
                  </a:p>
                </c:rich>
              </c:tx>
              <c:dLblPos val="outEnd"/>
              <c:showVal val="1"/>
            </c:dLbl>
            <c:dLbl>
              <c:idx val="1"/>
              <c:layout>
                <c:manualLayout>
                  <c:x val="-1.5731287177619545E-3"/>
                  <c:y val="2.0290865281184192E-2"/>
                </c:manualLayout>
              </c:layout>
              <c:tx>
                <c:rich>
                  <a:bodyPr/>
                  <a:lstStyle/>
                  <a:p>
                    <a:r>
                      <a:rPr lang="ru-RU"/>
                      <a:t>3,6*</a:t>
                    </a:r>
                    <a:endParaRPr lang="en-US"/>
                  </a:p>
                </c:rich>
              </c:tx>
              <c:dLblPos val="outEnd"/>
              <c:showVal val="1"/>
            </c:dLbl>
            <c:dLbl>
              <c:idx val="2"/>
              <c:layout>
                <c:manualLayout>
                  <c:x val="-1.3042149635601888E-3"/>
                  <c:y val="2.9048663998967338E-2"/>
                </c:manualLayout>
              </c:layout>
              <c:tx>
                <c:rich>
                  <a:bodyPr/>
                  <a:lstStyle/>
                  <a:p>
                    <a:r>
                      <a:rPr lang="ru-RU"/>
                      <a:t>12,3*</a:t>
                    </a:r>
                    <a:endParaRPr lang="en-US"/>
                  </a:p>
                </c:rich>
              </c:tx>
              <c:dLblPos val="outEnd"/>
              <c:showVal val="1"/>
            </c:dLbl>
            <c:dLbl>
              <c:idx val="3"/>
              <c:layout>
                <c:manualLayout>
                  <c:x val="-4.1447211443067233E-3"/>
                  <c:y val="2.8191988296544887E-2"/>
                </c:manualLayout>
              </c:layout>
              <c:tx>
                <c:rich>
                  <a:bodyPr/>
                  <a:lstStyle/>
                  <a:p>
                    <a:r>
                      <a:rPr lang="ru-RU"/>
                      <a:t>12,2*</a:t>
                    </a:r>
                    <a:endParaRPr lang="en-US"/>
                  </a:p>
                </c:rich>
              </c:tx>
              <c:dLblPos val="outEnd"/>
              <c:showVal val="1"/>
            </c:dLbl>
            <c:dLbl>
              <c:idx val="4"/>
              <c:layout>
                <c:manualLayout>
                  <c:x val="1.2039404165388417E-3"/>
                  <c:y val="3.9873514104252416E-3"/>
                </c:manualLayout>
              </c:layout>
              <c:tx>
                <c:rich>
                  <a:bodyPr/>
                  <a:lstStyle/>
                  <a:p>
                    <a:r>
                      <a:rPr lang="ru-RU"/>
                      <a:t>5,0*</a:t>
                    </a:r>
                    <a:endParaRPr lang="en-US"/>
                  </a:p>
                </c:rich>
              </c:tx>
              <c:dLblPos val="outEnd"/>
              <c:showVal val="1"/>
            </c:dLbl>
            <c:dLbl>
              <c:idx val="5"/>
              <c:layout>
                <c:manualLayout>
                  <c:x val="-1.5629215179271418E-3"/>
                  <c:y val="-1.1404513002427561E-2"/>
                </c:manualLayout>
              </c:layout>
              <c:tx>
                <c:rich>
                  <a:bodyPr/>
                  <a:lstStyle/>
                  <a:p>
                    <a:r>
                      <a:rPr lang="ru-RU" b="1"/>
                      <a:t>16,6*</a:t>
                    </a:r>
                    <a:endParaRPr lang="en-US" b="1"/>
                  </a:p>
                </c:rich>
              </c:tx>
              <c:dLblPos val="outEnd"/>
            </c:dLbl>
            <c:dLbl>
              <c:idx val="6"/>
              <c:layout>
                <c:manualLayout>
                  <c:x val="-7.5617342090612003E-4"/>
                  <c:y val="1.6455402091132061E-2"/>
                </c:manualLayout>
              </c:layout>
              <c:tx>
                <c:rich>
                  <a:bodyPr/>
                  <a:lstStyle/>
                  <a:p>
                    <a:r>
                      <a:rPr lang="ru-RU" b="1"/>
                      <a:t>8</a:t>
                    </a:r>
                    <a:r>
                      <a:rPr lang="en-US" b="1"/>
                      <a:t>,2</a:t>
                    </a:r>
                  </a:p>
                </c:rich>
              </c:tx>
              <c:dLblPos val="outEnd"/>
            </c:dLbl>
            <c:dLbl>
              <c:idx val="7"/>
              <c:layout>
                <c:manualLayout>
                  <c:xMode val="edge"/>
                  <c:yMode val="edge"/>
                  <c:x val="0.72802197802197965"/>
                  <c:y val="0.43750000000000488"/>
                </c:manualLayout>
              </c:layout>
              <c:dLblPos val="outEnd"/>
              <c:showVal val="1"/>
            </c:dLbl>
            <c:spPr>
              <a:noFill/>
              <a:ln w="23365">
                <a:noFill/>
              </a:ln>
            </c:spPr>
            <c:txPr>
              <a:bodyPr rot="0" vert="horz" anchor="ctr" anchorCtr="0"/>
              <a:lstStyle/>
              <a:p>
                <a:pPr>
                  <a:defRPr b="1"/>
                </a:pPr>
                <a:endParaRPr lang="ru-RU"/>
              </a:p>
            </c:txPr>
            <c:showVal val="1"/>
          </c:dLbls>
          <c:cat>
            <c:strRef>
              <c:f>Sheet1!$B$1:$G$1</c:f>
              <c:strCache>
                <c:ptCount val="6"/>
                <c:pt idx="0">
                  <c:v>Топливно-энергетические товары</c:v>
                </c:pt>
                <c:pt idx="1">
                  <c:v>Металлы и изделия из них</c:v>
                </c:pt>
                <c:pt idx="2">
                  <c:v>Продовольственные товары и сырье</c:v>
                </c:pt>
                <c:pt idx="3">
                  <c:v>Машиностроительная продукция</c:v>
                </c:pt>
                <c:pt idx="4">
                  <c:v>Продукция легкой промышленности</c:v>
                </c:pt>
                <c:pt idx="5">
                  <c:v>Прочие товары</c:v>
                </c:pt>
              </c:strCache>
            </c:strRef>
          </c:cat>
          <c:val>
            <c:numRef>
              <c:f>Sheet1!$B$2:$G$2</c:f>
              <c:numCache>
                <c:formatCode>0.0</c:formatCode>
                <c:ptCount val="6"/>
                <c:pt idx="0" formatCode="General">
                  <c:v>376.4</c:v>
                </c:pt>
                <c:pt idx="1">
                  <c:v>27.1</c:v>
                </c:pt>
                <c:pt idx="2">
                  <c:v>92</c:v>
                </c:pt>
                <c:pt idx="3" formatCode="General">
                  <c:v>90.9</c:v>
                </c:pt>
                <c:pt idx="4">
                  <c:v>49.5</c:v>
                </c:pt>
                <c:pt idx="5" formatCode="General">
                  <c:v>112.8</c:v>
                </c:pt>
              </c:numCache>
            </c:numRef>
          </c:val>
        </c:ser>
        <c:ser>
          <c:idx val="1"/>
          <c:order val="1"/>
          <c:tx>
            <c:strRef>
              <c:f>Sheet1!$A$3</c:f>
              <c:strCache>
                <c:ptCount val="1"/>
                <c:pt idx="0">
                  <c:v>январь-июнь 2014 г.</c:v>
                </c:pt>
              </c:strCache>
            </c:strRef>
          </c:tx>
          <c:dLbls>
            <c:dLbl>
              <c:idx val="0"/>
              <c:layout>
                <c:manualLayout>
                  <c:x val="-1.1578696203644206E-3"/>
                  <c:y val="2.1640635084548859E-2"/>
                </c:manualLayout>
              </c:layout>
              <c:tx>
                <c:rich>
                  <a:bodyPr/>
                  <a:lstStyle/>
                  <a:p>
                    <a:r>
                      <a:rPr lang="ru-RU"/>
                      <a:t>46,6*</a:t>
                    </a:r>
                    <a:endParaRPr lang="en-US"/>
                  </a:p>
                </c:rich>
              </c:tx>
              <c:dLblPos val="outEnd"/>
              <c:showVal val="1"/>
            </c:dLbl>
            <c:dLbl>
              <c:idx val="1"/>
              <c:layout>
                <c:manualLayout>
                  <c:x val="9.1876075299201164E-4"/>
                  <c:y val="1.6703670237941701E-2"/>
                </c:manualLayout>
              </c:layout>
              <c:tx>
                <c:rich>
                  <a:bodyPr/>
                  <a:lstStyle/>
                  <a:p>
                    <a:r>
                      <a:rPr lang="ru-RU"/>
                      <a:t>11,3*</a:t>
                    </a:r>
                    <a:endParaRPr lang="en-US"/>
                  </a:p>
                </c:rich>
              </c:tx>
              <c:dLblPos val="outEnd"/>
              <c:showVal val="1"/>
            </c:dLbl>
            <c:dLbl>
              <c:idx val="2"/>
              <c:layout>
                <c:manualLayout>
                  <c:x val="3.609572726854146E-3"/>
                  <c:y val="2.26070306785425E-2"/>
                </c:manualLayout>
              </c:layout>
              <c:tx>
                <c:rich>
                  <a:bodyPr/>
                  <a:lstStyle/>
                  <a:p>
                    <a:r>
                      <a:rPr lang="en-US" b="1"/>
                      <a:t>10,</a:t>
                    </a:r>
                    <a:r>
                      <a:rPr lang="ru-RU" b="1"/>
                      <a:t>2*</a:t>
                    </a:r>
                    <a:endParaRPr lang="en-US" b="1"/>
                  </a:p>
                </c:rich>
              </c:tx>
              <c:dLblPos val="outEnd"/>
            </c:dLbl>
            <c:dLbl>
              <c:idx val="3"/>
              <c:layout>
                <c:manualLayout>
                  <c:x val="7.6797816540875134E-3"/>
                  <c:y val="1.7186868034938303E-2"/>
                </c:manualLayout>
              </c:layout>
              <c:tx>
                <c:rich>
                  <a:bodyPr/>
                  <a:lstStyle/>
                  <a:p>
                    <a:r>
                      <a:rPr lang="ru-RU"/>
                      <a:t>11,0*</a:t>
                    </a:r>
                    <a:endParaRPr lang="en-US"/>
                  </a:p>
                </c:rich>
              </c:tx>
              <c:dLblPos val="outEnd"/>
              <c:showVal val="1"/>
            </c:dLbl>
            <c:dLbl>
              <c:idx val="4"/>
              <c:layout>
                <c:manualLayout>
                  <c:x val="6.6488339675244727E-3"/>
                  <c:y val="1.0061529194096747E-2"/>
                </c:manualLayout>
              </c:layout>
              <c:tx>
                <c:rich>
                  <a:bodyPr/>
                  <a:lstStyle/>
                  <a:p>
                    <a:r>
                      <a:rPr lang="en-US"/>
                      <a:t>3</a:t>
                    </a:r>
                    <a:r>
                      <a:rPr lang="ru-RU"/>
                      <a:t>,7*</a:t>
                    </a:r>
                    <a:endParaRPr lang="en-US"/>
                  </a:p>
                </c:rich>
              </c:tx>
              <c:dLblPos val="outEnd"/>
              <c:showVal val="1"/>
            </c:dLbl>
            <c:dLbl>
              <c:idx val="5"/>
              <c:layout>
                <c:manualLayout>
                  <c:x val="9.9087975596344018E-3"/>
                  <c:y val="1.9671290630322601E-2"/>
                </c:manualLayout>
              </c:layout>
              <c:tx>
                <c:rich>
                  <a:bodyPr/>
                  <a:lstStyle/>
                  <a:p>
                    <a:r>
                      <a:rPr lang="ru-RU"/>
                      <a:t>17,2*</a:t>
                    </a:r>
                    <a:endParaRPr lang="en-US"/>
                  </a:p>
                </c:rich>
              </c:tx>
              <c:dLblPos val="outEnd"/>
              <c:showVal val="1"/>
            </c:dLbl>
            <c:dLbl>
              <c:idx val="6"/>
              <c:layout>
                <c:manualLayout>
                  <c:x val="4.0251667106205027E-3"/>
                  <c:y val="1.0088636461425918E-2"/>
                </c:manualLayout>
              </c:layout>
              <c:tx>
                <c:rich>
                  <a:bodyPr/>
                  <a:lstStyle/>
                  <a:p>
                    <a:r>
                      <a:rPr lang="en-US" b="1"/>
                      <a:t>9,</a:t>
                    </a:r>
                    <a:r>
                      <a:rPr lang="ru-RU" b="1"/>
                      <a:t>6</a:t>
                    </a:r>
                    <a:endParaRPr lang="en-US" b="1"/>
                  </a:p>
                </c:rich>
              </c:tx>
              <c:dLblPos val="outEnd"/>
            </c:dLbl>
            <c:dLbl>
              <c:idx val="7"/>
              <c:layout>
                <c:manualLayout>
                  <c:xMode val="edge"/>
                  <c:yMode val="edge"/>
                  <c:x val="0.75274725274725274"/>
                  <c:y val="0.48214285714288152"/>
                </c:manualLayout>
              </c:layout>
              <c:dLblPos val="outEnd"/>
              <c:showVal val="1"/>
            </c:dLbl>
            <c:spPr>
              <a:noFill/>
              <a:ln w="23365">
                <a:noFill/>
              </a:ln>
            </c:spPr>
            <c:txPr>
              <a:bodyPr rot="0" vert="horz"/>
              <a:lstStyle/>
              <a:p>
                <a:pPr>
                  <a:defRPr b="1"/>
                </a:pPr>
                <a:endParaRPr lang="ru-RU"/>
              </a:p>
            </c:txPr>
            <c:showVal val="1"/>
          </c:dLbls>
          <c:cat>
            <c:strRef>
              <c:f>Sheet1!$B$1:$G$1</c:f>
              <c:strCache>
                <c:ptCount val="6"/>
                <c:pt idx="0">
                  <c:v>Топливно-энергетические товары</c:v>
                </c:pt>
                <c:pt idx="1">
                  <c:v>Металлы и изделия из них</c:v>
                </c:pt>
                <c:pt idx="2">
                  <c:v>Продовольственные товары и сырье</c:v>
                </c:pt>
                <c:pt idx="3">
                  <c:v>Машиностроительная продукция</c:v>
                </c:pt>
                <c:pt idx="4">
                  <c:v>Продукция легкой промышленности</c:v>
                </c:pt>
                <c:pt idx="5">
                  <c:v>Прочие товары</c:v>
                </c:pt>
              </c:strCache>
            </c:strRef>
          </c:cat>
          <c:val>
            <c:numRef>
              <c:f>Sheet1!$B$3:$G$3</c:f>
              <c:numCache>
                <c:formatCode>0.0</c:formatCode>
                <c:ptCount val="6"/>
                <c:pt idx="0">
                  <c:v>384</c:v>
                </c:pt>
                <c:pt idx="1">
                  <c:v>92.8</c:v>
                </c:pt>
                <c:pt idx="2">
                  <c:v>83.9</c:v>
                </c:pt>
                <c:pt idx="3">
                  <c:v>90.6</c:v>
                </c:pt>
                <c:pt idx="4" formatCode="General">
                  <c:v>30.5</c:v>
                </c:pt>
                <c:pt idx="5">
                  <c:v>142.80000000000001</c:v>
                </c:pt>
              </c:numCache>
            </c:numRef>
          </c:val>
        </c:ser>
        <c:gapWidth val="160"/>
        <c:axId val="144794368"/>
        <c:axId val="144795904"/>
      </c:barChart>
      <c:catAx>
        <c:axId val="144794368"/>
        <c:scaling>
          <c:orientation val="minMax"/>
        </c:scaling>
        <c:axPos val="b"/>
        <c:numFmt formatCode="General" sourceLinked="1"/>
        <c:tickLblPos val="low"/>
        <c:txPr>
          <a:bodyPr rot="-5400000" vert="horz"/>
          <a:lstStyle/>
          <a:p>
            <a:pPr>
              <a:defRPr b="1"/>
            </a:pPr>
            <a:endParaRPr lang="ru-RU"/>
          </a:p>
        </c:txPr>
        <c:crossAx val="144795904"/>
        <c:crosses val="autoZero"/>
        <c:lblAlgn val="ctr"/>
        <c:lblOffset val="160"/>
        <c:tickLblSkip val="1"/>
        <c:tickMarkSkip val="1"/>
      </c:catAx>
      <c:valAx>
        <c:axId val="144795904"/>
        <c:scaling>
          <c:orientation val="minMax"/>
        </c:scaling>
        <c:axPos val="l"/>
        <c:title>
          <c:tx>
            <c:rich>
              <a:bodyPr rot="0" vert="horz"/>
              <a:lstStyle/>
              <a:p>
                <a:pPr>
                  <a:defRPr/>
                </a:pPr>
                <a:r>
                  <a:rPr lang="ru-RU" sz="800"/>
                  <a:t>*-удельный</a:t>
                </a:r>
              </a:p>
              <a:p>
                <a:pPr>
                  <a:defRPr/>
                </a:pPr>
                <a:r>
                  <a:rPr lang="ru-RU" sz="800"/>
                  <a:t> вес в общем </a:t>
                </a:r>
              </a:p>
              <a:p>
                <a:pPr>
                  <a:defRPr/>
                </a:pPr>
                <a:r>
                  <a:rPr lang="ru-RU" sz="800"/>
                  <a:t>объеме импорта,%</a:t>
                </a:r>
              </a:p>
            </c:rich>
          </c:tx>
          <c:layout>
            <c:manualLayout>
              <c:xMode val="edge"/>
              <c:yMode val="edge"/>
              <c:x val="0.8083613321637686"/>
              <c:y val="0.10812973213299169"/>
            </c:manualLayout>
          </c:layout>
        </c:title>
        <c:numFmt formatCode="General" sourceLinked="1"/>
        <c:tickLblPos val="nextTo"/>
        <c:txPr>
          <a:bodyPr rot="0" vert="horz"/>
          <a:lstStyle/>
          <a:p>
            <a:pPr>
              <a:defRPr b="1"/>
            </a:pPr>
            <a:endParaRPr lang="ru-RU"/>
          </a:p>
        </c:txPr>
        <c:crossAx val="144794368"/>
        <c:crosses val="autoZero"/>
        <c:crossBetween val="between"/>
      </c:valAx>
    </c:plotArea>
    <c:legend>
      <c:legendPos val="r"/>
      <c:layout>
        <c:manualLayout>
          <c:xMode val="edge"/>
          <c:yMode val="edge"/>
          <c:x val="0"/>
          <c:y val="0.91627924714539544"/>
          <c:w val="0.87457380934179363"/>
          <c:h val="8.3720752854611225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b="1"/>
            </a:pPr>
            <a:r>
              <a:rPr lang="ru-RU" sz="1122" b="1" i="0" u="none" strike="noStrike" baseline="0"/>
              <a:t>январь – июнь </a:t>
            </a:r>
            <a:r>
              <a:rPr lang="ru-RU" b="1"/>
              <a:t>2014 год</a:t>
            </a:r>
          </a:p>
        </c:rich>
      </c:tx>
      <c:layout>
        <c:manualLayout>
          <c:xMode val="edge"/>
          <c:yMode val="edge"/>
          <c:x val="0.41432312786515096"/>
          <c:y val="0"/>
        </c:manualLayout>
      </c:layout>
    </c:title>
    <c:view3D>
      <c:rotY val="270"/>
      <c:perspective val="0"/>
    </c:view3D>
    <c:plotArea>
      <c:layout>
        <c:manualLayout>
          <c:layoutTarget val="inner"/>
          <c:xMode val="edge"/>
          <c:yMode val="edge"/>
          <c:x val="0.26978369083174947"/>
          <c:y val="0.18421052631578938"/>
          <c:w val="0.46342862314625105"/>
          <c:h val="0.29868987895500976"/>
        </c:manualLayout>
      </c:layout>
      <c:pie3DChart>
        <c:varyColors val="1"/>
        <c:ser>
          <c:idx val="0"/>
          <c:order val="0"/>
          <c:tx>
            <c:strRef>
              <c:f>Sheet1!$A$2</c:f>
              <c:strCache>
                <c:ptCount val="1"/>
                <c:pt idx="0">
                  <c:v>Восток</c:v>
                </c:pt>
              </c:strCache>
            </c:strRef>
          </c:tx>
          <c:spPr>
            <a:solidFill>
              <a:srgbClr val="9999FF"/>
            </a:solidFill>
            <a:ln w="16924">
              <a:solidFill>
                <a:srgbClr val="000000"/>
              </a:solidFill>
              <a:prstDash val="solid"/>
            </a:ln>
          </c:spPr>
          <c:explosion val="25"/>
          <c:dPt>
            <c:idx val="0"/>
            <c:spPr>
              <a:pattFill prst="pct10">
                <a:fgClr>
                  <a:srgbClr val="000000"/>
                </a:fgClr>
                <a:bgClr>
                  <a:srgbClr val="FFFFFF"/>
                </a:bgClr>
              </a:pattFill>
              <a:ln w="16924">
                <a:solidFill>
                  <a:srgbClr val="000000"/>
                </a:solidFill>
                <a:prstDash val="solid"/>
              </a:ln>
            </c:spPr>
          </c:dPt>
          <c:dPt>
            <c:idx val="1"/>
            <c:spPr>
              <a:pattFill prst="lgGrid">
                <a:fgClr>
                  <a:srgbClr val="000000"/>
                </a:fgClr>
                <a:bgClr>
                  <a:srgbClr val="FFFFFF"/>
                </a:bgClr>
              </a:pattFill>
              <a:ln w="16924">
                <a:solidFill>
                  <a:srgbClr val="000000"/>
                </a:solidFill>
                <a:prstDash val="solid"/>
              </a:ln>
            </c:spPr>
          </c:dPt>
          <c:dPt>
            <c:idx val="2"/>
            <c:spPr>
              <a:pattFill prst="dkVert">
                <a:fgClr>
                  <a:srgbClr val="000000"/>
                </a:fgClr>
                <a:bgClr>
                  <a:srgbClr val="FFFFFF"/>
                </a:bgClr>
              </a:pattFill>
              <a:ln w="16924">
                <a:solidFill>
                  <a:srgbClr val="000000"/>
                </a:solidFill>
                <a:prstDash val="solid"/>
              </a:ln>
            </c:spPr>
          </c:dPt>
          <c:dPt>
            <c:idx val="3"/>
            <c:spPr>
              <a:pattFill prst="dashVert">
                <a:fgClr>
                  <a:srgbClr val="000000"/>
                </a:fgClr>
                <a:bgClr>
                  <a:srgbClr val="FFFFFF"/>
                </a:bgClr>
              </a:pattFill>
              <a:ln w="16924">
                <a:solidFill>
                  <a:srgbClr val="000000"/>
                </a:solidFill>
                <a:prstDash val="solid"/>
              </a:ln>
            </c:spPr>
          </c:dPt>
          <c:dPt>
            <c:idx val="4"/>
            <c:spPr>
              <a:pattFill prst="lgConfetti">
                <a:fgClr>
                  <a:srgbClr val="000000"/>
                </a:fgClr>
                <a:bgClr>
                  <a:srgbClr val="FFFFFF"/>
                </a:bgClr>
              </a:pattFill>
              <a:ln w="16924">
                <a:solidFill>
                  <a:srgbClr val="000000"/>
                </a:solidFill>
                <a:prstDash val="solid"/>
              </a:ln>
            </c:spPr>
          </c:dPt>
          <c:dPt>
            <c:idx val="5"/>
            <c:spPr>
              <a:pattFill prst="zigZag">
                <a:fgClr>
                  <a:srgbClr val="000000"/>
                </a:fgClr>
                <a:bgClr>
                  <a:srgbClr val="FFFFFF"/>
                </a:bgClr>
              </a:pattFill>
              <a:ln w="16924">
                <a:solidFill>
                  <a:srgbClr val="000000"/>
                </a:solidFill>
                <a:prstDash val="solid"/>
              </a:ln>
            </c:spPr>
          </c:dPt>
          <c:dPt>
            <c:idx val="6"/>
            <c:spPr>
              <a:pattFill prst="sphere">
                <a:fgClr>
                  <a:srgbClr val="000000"/>
                </a:fgClr>
                <a:bgClr>
                  <a:srgbClr val="FFFFFF"/>
                </a:bgClr>
              </a:pattFill>
              <a:ln w="16924">
                <a:solidFill>
                  <a:srgbClr val="000000"/>
                </a:solidFill>
                <a:prstDash val="solid"/>
              </a:ln>
            </c:spPr>
          </c:dPt>
          <c:dPt>
            <c:idx val="7"/>
            <c:spPr>
              <a:pattFill prst="weave">
                <a:fgClr>
                  <a:srgbClr val="000000"/>
                </a:fgClr>
                <a:bgClr>
                  <a:srgbClr val="FFFFFF"/>
                </a:bgClr>
              </a:pattFill>
              <a:ln w="16924">
                <a:solidFill>
                  <a:srgbClr val="000000"/>
                </a:solidFill>
                <a:prstDash val="solid"/>
              </a:ln>
            </c:spPr>
          </c:dPt>
          <c:dPt>
            <c:idx val="8"/>
            <c:spPr>
              <a:pattFill prst="pct90">
                <a:fgClr>
                  <a:srgbClr val="000000"/>
                </a:fgClr>
                <a:bgClr>
                  <a:srgbClr val="FFFFFF"/>
                </a:bgClr>
              </a:pattFill>
              <a:ln w="16924">
                <a:solidFill>
                  <a:srgbClr val="000000"/>
                </a:solidFill>
                <a:prstDash val="solid"/>
              </a:ln>
            </c:spPr>
          </c:dPt>
          <c:dLbls>
            <c:dLbl>
              <c:idx val="0"/>
              <c:layout>
                <c:manualLayout>
                  <c:x val="0.10641228758791862"/>
                  <c:y val="-5.1679586563307236E-3"/>
                </c:manualLayout>
              </c:layout>
              <c:tx>
                <c:rich>
                  <a:bodyPr/>
                  <a:lstStyle/>
                  <a:p>
                    <a:r>
                      <a:rPr lang="ru-RU" sz="900"/>
                      <a:t>Торговля и общепит; 1959; 47,9%</a:t>
                    </a:r>
                  </a:p>
                </c:rich>
              </c:tx>
              <c:dLblPos val="bestFit"/>
              <c:showVal val="1"/>
              <c:showCatName val="1"/>
              <c:showPercent val="1"/>
              <c:separator>; </c:separator>
            </c:dLbl>
            <c:dLbl>
              <c:idx val="1"/>
              <c:layout>
                <c:manualLayout>
                  <c:x val="0.17844026294296436"/>
                  <c:y val="-5.9528779832753592E-2"/>
                </c:manualLayout>
              </c:layout>
              <c:tx>
                <c:rich>
                  <a:bodyPr/>
                  <a:lstStyle/>
                  <a:p>
                    <a:r>
                      <a:rPr lang="ru-RU" sz="900"/>
                      <a:t>Промышленность; 493; 12,1%</a:t>
                    </a:r>
                  </a:p>
                </c:rich>
              </c:tx>
              <c:dLblPos val="bestFit"/>
              <c:showVal val="1"/>
              <c:showCatName val="1"/>
              <c:showPercent val="1"/>
              <c:separator>; </c:separator>
            </c:dLbl>
            <c:dLbl>
              <c:idx val="2"/>
              <c:layout>
                <c:manualLayout>
                  <c:x val="0.25040892547041932"/>
                  <c:y val="2.7196077234531747E-2"/>
                </c:manualLayout>
              </c:layout>
              <c:tx>
                <c:rich>
                  <a:bodyPr/>
                  <a:lstStyle/>
                  <a:p>
                    <a:r>
                      <a:rPr lang="ru-RU" sz="900"/>
                      <a:t>Сельское хозяйство; 321; 7,8%</a:t>
                    </a:r>
                  </a:p>
                </c:rich>
              </c:tx>
              <c:dLblPos val="bestFit"/>
              <c:showVal val="1"/>
              <c:showCatName val="1"/>
              <c:showPercent val="1"/>
              <c:separator>; </c:separator>
            </c:dLbl>
            <c:dLbl>
              <c:idx val="3"/>
              <c:layout>
                <c:manualLayout>
                  <c:x val="0.40551196961407265"/>
                  <c:y val="0.30293149402836272"/>
                </c:manualLayout>
              </c:layout>
              <c:tx>
                <c:rich>
                  <a:bodyPr/>
                  <a:lstStyle/>
                  <a:p>
                    <a:r>
                      <a:rPr lang="ru-RU" sz="900"/>
                      <a:t>Строительство; 291; 7,4%</a:t>
                    </a:r>
                  </a:p>
                </c:rich>
              </c:tx>
              <c:dLblPos val="bestFit"/>
              <c:showVal val="1"/>
              <c:showCatName val="1"/>
              <c:showPercent val="1"/>
              <c:separator>; </c:separator>
            </c:dLbl>
            <c:dLbl>
              <c:idx val="4"/>
              <c:layout>
                <c:manualLayout>
                  <c:x val="0.1851153349033795"/>
                  <c:y val="0.31404748825001538"/>
                </c:manualLayout>
              </c:layout>
              <c:tx>
                <c:rich>
                  <a:bodyPr/>
                  <a:lstStyle/>
                  <a:p>
                    <a:r>
                      <a:rPr lang="ru-RU" sz="900"/>
                      <a:t>Операции с недвижим. имущест.; 225; 5,5%</a:t>
                    </a:r>
                  </a:p>
                </c:rich>
              </c:tx>
              <c:dLblPos val="bestFit"/>
              <c:showVal val="1"/>
              <c:showCatName val="1"/>
              <c:showPercent val="1"/>
              <c:separator>; </c:separator>
            </c:dLbl>
            <c:dLbl>
              <c:idx val="5"/>
              <c:layout>
                <c:manualLayout>
                  <c:x val="3.3368064641466633E-2"/>
                  <c:y val="0.33456713259679749"/>
                </c:manualLayout>
              </c:layout>
              <c:tx>
                <c:rich>
                  <a:bodyPr/>
                  <a:lstStyle/>
                  <a:p>
                    <a:r>
                      <a:rPr lang="ru-RU" sz="900"/>
                      <a:t>Непроизв. виды бытового обслуж.; 116; 2,8%</a:t>
                    </a:r>
                  </a:p>
                </c:rich>
              </c:tx>
              <c:dLblPos val="bestFit"/>
              <c:showVal val="1"/>
              <c:showCatName val="1"/>
              <c:showPercent val="1"/>
              <c:separator>; </c:separator>
            </c:dLbl>
            <c:dLbl>
              <c:idx val="6"/>
              <c:layout>
                <c:manualLayout>
                  <c:x val="-0.11077035310163273"/>
                  <c:y val="0.16563714419418524"/>
                </c:manualLayout>
              </c:layout>
              <c:tx>
                <c:rich>
                  <a:bodyPr/>
                  <a:lstStyle/>
                  <a:p>
                    <a:r>
                      <a:rPr lang="ru-RU" sz="900"/>
                      <a:t>Общая коммер. деятельность; 139; 3,4%</a:t>
                    </a:r>
                  </a:p>
                </c:rich>
              </c:tx>
              <c:dLblPos val="bestFit"/>
              <c:showVal val="1"/>
              <c:showCatName val="1"/>
              <c:showPercent val="1"/>
              <c:separator>; </c:separator>
            </c:dLbl>
            <c:dLbl>
              <c:idx val="7"/>
              <c:layout>
                <c:manualLayout>
                  <c:x val="-0.12273917421953724"/>
                  <c:y val="-1.4180959938147285E-2"/>
                </c:manualLayout>
              </c:layout>
              <c:tx>
                <c:rich>
                  <a:bodyPr/>
                  <a:lstStyle/>
                  <a:p>
                    <a:r>
                      <a:rPr lang="ru-RU" sz="900"/>
                      <a:t>ЖКХ; 72; 1,8%</a:t>
                    </a:r>
                  </a:p>
                </c:rich>
              </c:tx>
              <c:dLblPos val="bestFit"/>
              <c:showVal val="1"/>
              <c:showCatName val="1"/>
              <c:showPercent val="1"/>
              <c:separator>; </c:separator>
            </c:dLbl>
            <c:dLbl>
              <c:idx val="8"/>
              <c:layout>
                <c:manualLayout>
                  <c:x val="-7.9251135904084502E-2"/>
                  <c:y val="-0.10968076664835502"/>
                </c:manualLayout>
              </c:layout>
              <c:tx>
                <c:rich>
                  <a:bodyPr/>
                  <a:lstStyle/>
                  <a:p>
                    <a:r>
                      <a:rPr lang="ru-RU" sz="900"/>
                      <a:t>Прочие; 464; 11,3%</a:t>
                    </a:r>
                  </a:p>
                </c:rich>
              </c:tx>
              <c:dLblPos val="bestFit"/>
              <c:showVal val="1"/>
              <c:showCatName val="1"/>
              <c:showPercent val="1"/>
              <c:separator>; </c:separator>
            </c:dLbl>
            <c:numFmt formatCode="0.0%" sourceLinked="0"/>
            <c:spPr>
              <a:solidFill>
                <a:srgbClr val="FFFFFF"/>
              </a:solidFill>
              <a:ln w="33915">
                <a:noFill/>
              </a:ln>
            </c:spPr>
            <c:txPr>
              <a:bodyPr/>
              <a:lstStyle/>
              <a:p>
                <a:pPr>
                  <a:defRPr sz="900" b="0" i="0" u="none" strike="noStrike" baseline="0">
                    <a:solidFill>
                      <a:srgbClr val="000000"/>
                    </a:solidFill>
                    <a:latin typeface="Times New Roman"/>
                    <a:ea typeface="Times New Roman"/>
                    <a:cs typeface="Times New Roman"/>
                  </a:defRPr>
                </a:pPr>
                <a:endParaRPr lang="ru-RU"/>
              </a:p>
            </c:txPr>
            <c:showVal val="1"/>
            <c:showCatName val="1"/>
            <c:showPercent val="1"/>
            <c:separator>; </c:separator>
            <c:showLeaderLines val="1"/>
          </c:dLbls>
          <c:cat>
            <c:strRef>
              <c:f>Sheet1!$B$1:$J$1</c:f>
              <c:strCache>
                <c:ptCount val="9"/>
                <c:pt idx="0">
                  <c:v>Торговля и общепит</c:v>
                </c:pt>
                <c:pt idx="1">
                  <c:v>Промышленность</c:v>
                </c:pt>
                <c:pt idx="2">
                  <c:v>Сельское хозяйство</c:v>
                </c:pt>
                <c:pt idx="3">
                  <c:v>Строительство</c:v>
                </c:pt>
                <c:pt idx="4">
                  <c:v>Операции с недвижим. имущест.</c:v>
                </c:pt>
                <c:pt idx="5">
                  <c:v>Непроизвод. виды бытового обслуж.</c:v>
                </c:pt>
                <c:pt idx="6">
                  <c:v>Общая коммер. деятельность</c:v>
                </c:pt>
                <c:pt idx="7">
                  <c:v>ЖКХ</c:v>
                </c:pt>
                <c:pt idx="8">
                  <c:v>Прочие</c:v>
                </c:pt>
              </c:strCache>
            </c:strRef>
          </c:cat>
          <c:val>
            <c:numRef>
              <c:f>Sheet1!$B$2:$J$2</c:f>
              <c:numCache>
                <c:formatCode>General</c:formatCode>
                <c:ptCount val="9"/>
                <c:pt idx="0">
                  <c:v>4091</c:v>
                </c:pt>
                <c:pt idx="1">
                  <c:v>493</c:v>
                </c:pt>
                <c:pt idx="2">
                  <c:v>321</c:v>
                </c:pt>
                <c:pt idx="3">
                  <c:v>302</c:v>
                </c:pt>
                <c:pt idx="4">
                  <c:v>225</c:v>
                </c:pt>
                <c:pt idx="5">
                  <c:v>116</c:v>
                </c:pt>
                <c:pt idx="6">
                  <c:v>139</c:v>
                </c:pt>
                <c:pt idx="7">
                  <c:v>72</c:v>
                </c:pt>
                <c:pt idx="8">
                  <c:v>464</c:v>
                </c:pt>
              </c:numCache>
            </c:numRef>
          </c:val>
        </c:ser>
        <c:dLbls>
          <c:showVal val="1"/>
          <c:showCatName val="1"/>
          <c:showPercent val="1"/>
          <c:separator>; </c:separator>
        </c:dLbls>
      </c:pie3DChart>
      <c:spPr>
        <a:solidFill>
          <a:srgbClr val="FFFFFF"/>
        </a:solidFill>
        <a:ln w="33849">
          <a:noFill/>
        </a:ln>
      </c:spPr>
    </c:plotArea>
    <c:plotVisOnly val="1"/>
    <c:dispBlanksAs val="zero"/>
  </c:chart>
  <c:spPr>
    <a:noFill/>
    <a:ln>
      <a:noFill/>
    </a:ln>
  </c:spPr>
  <c:txPr>
    <a:bodyPr/>
    <a:lstStyle/>
    <a:p>
      <a:pPr>
        <a:defRPr sz="935" b="0" i="0" u="none" strike="noStrike" baseline="0">
          <a:solidFill>
            <a:srgbClr val="000000"/>
          </a:solidFill>
          <a:latin typeface="Times New Roman"/>
          <a:ea typeface="Times New Roman"/>
          <a:cs typeface="Times New Roman"/>
        </a:defRPr>
      </a:pPr>
      <a:endParaRPr lang="ru-RU"/>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b="1"/>
              <a:t>Динамика оплаты труда в разрезе отраслей экономики, руб. ПМР</a:t>
            </a:r>
            <a:endParaRPr lang="ru-RU" b="1">
              <a:solidFill>
                <a:srgbClr val="FF0000"/>
              </a:solidFill>
            </a:endParaRPr>
          </a:p>
        </c:rich>
      </c:tx>
      <c:layout>
        <c:manualLayout>
          <c:xMode val="edge"/>
          <c:yMode val="edge"/>
          <c:x val="0.173904673680498"/>
          <c:y val="2.1720719035390542E-3"/>
        </c:manualLayout>
      </c:layout>
      <c:spPr>
        <a:noFill/>
        <a:ln w="25176">
          <a:noFill/>
        </a:ln>
      </c:spPr>
    </c:title>
    <c:plotArea>
      <c:layout>
        <c:manualLayout>
          <c:layoutTarget val="inner"/>
          <c:xMode val="edge"/>
          <c:yMode val="edge"/>
          <c:x val="7.4722222222223522E-2"/>
          <c:y val="0.11466267420797772"/>
          <c:w val="0.92523784072688398"/>
          <c:h val="0.51258686633315298"/>
        </c:manualLayout>
      </c:layout>
      <c:lineChart>
        <c:grouping val="standard"/>
        <c:ser>
          <c:idx val="0"/>
          <c:order val="0"/>
          <c:tx>
            <c:strRef>
              <c:f>Sheet1!$A$2</c:f>
              <c:strCache>
                <c:ptCount val="1"/>
                <c:pt idx="0">
                  <c:v> I полугодие 2013 год</c:v>
                </c:pt>
              </c:strCache>
            </c:strRef>
          </c:tx>
          <c:spPr>
            <a:ln w="24130">
              <a:solidFill>
                <a:srgbClr val="000080"/>
              </a:solidFill>
              <a:prstDash val="solid"/>
            </a:ln>
          </c:spPr>
          <c:marker>
            <c:symbol val="diamond"/>
            <c:size val="2"/>
            <c:spPr>
              <a:solidFill>
                <a:srgbClr val="000080"/>
              </a:solidFill>
              <a:ln>
                <a:solidFill>
                  <a:srgbClr val="000080"/>
                </a:solidFill>
                <a:prstDash val="solid"/>
              </a:ln>
            </c:spPr>
          </c:marker>
          <c:dLbls>
            <c:dLbl>
              <c:idx val="0"/>
              <c:layout>
                <c:manualLayout>
                  <c:x val="-3.6258348518835217E-3"/>
                  <c:y val="9.6842327958375496E-2"/>
                </c:manualLayout>
              </c:layout>
              <c:dLblPos val="t"/>
              <c:showVal val="1"/>
            </c:dLbl>
            <c:dLbl>
              <c:idx val="1"/>
              <c:layout>
                <c:manualLayout>
                  <c:x val="6.6557527449635674E-3"/>
                  <c:y val="6.6934819545541632E-2"/>
                </c:manualLayout>
              </c:layout>
              <c:dLblPos val="t"/>
              <c:showVal val="1"/>
            </c:dLbl>
            <c:dLbl>
              <c:idx val="2"/>
              <c:layout>
                <c:manualLayout>
                  <c:x val="8.5514083588296239E-3"/>
                  <c:y val="8.467971730233971E-2"/>
                </c:manualLayout>
              </c:layout>
              <c:dLblPos val="t"/>
              <c:showVal val="1"/>
            </c:dLbl>
            <c:dLbl>
              <c:idx val="3"/>
              <c:layout>
                <c:manualLayout>
                  <c:x val="4.2367339037190522E-3"/>
                  <c:y val="0.11296111915481598"/>
                </c:manualLayout>
              </c:layout>
              <c:dLblPos val="t"/>
              <c:showVal val="1"/>
            </c:dLbl>
            <c:dLbl>
              <c:idx val="4"/>
              <c:layout>
                <c:manualLayout>
                  <c:x val="-1.5009868822516911E-2"/>
                  <c:y val="7.5302763025455424E-2"/>
                </c:manualLayout>
              </c:layout>
              <c:dLblPos val="t"/>
              <c:showVal val="1"/>
            </c:dLbl>
            <c:dLbl>
              <c:idx val="5"/>
              <c:layout>
                <c:manualLayout>
                  <c:x val="-2.668058261824701E-2"/>
                  <c:y val="6.8724621009275996E-2"/>
                </c:manualLayout>
              </c:layout>
              <c:dLblPos val="t"/>
              <c:showVal val="1"/>
            </c:dLbl>
            <c:dLbl>
              <c:idx val="6"/>
              <c:layout>
                <c:manualLayout>
                  <c:x val="-1.5400918284466209E-2"/>
                  <c:y val="6.2997679446241128E-2"/>
                </c:manualLayout>
              </c:layout>
              <c:dLblPos val="t"/>
              <c:showVal val="1"/>
            </c:dLbl>
            <c:dLbl>
              <c:idx val="7"/>
              <c:layout>
                <c:manualLayout>
                  <c:x val="4.444160140057319E-2"/>
                  <c:y val="3.7400979789365463E-2"/>
                </c:manualLayout>
              </c:layout>
              <c:dLblPos val="t"/>
              <c:showVal val="1"/>
            </c:dLbl>
            <c:dLbl>
              <c:idx val="8"/>
              <c:layout>
                <c:manualLayout>
                  <c:x val="1.7101975027039321E-2"/>
                  <c:y val="0.12052202542692313"/>
                </c:manualLayout>
              </c:layout>
              <c:dLblPos val="t"/>
              <c:showVal val="1"/>
            </c:dLbl>
            <c:dLbl>
              <c:idx val="9"/>
              <c:layout>
                <c:manualLayout>
                  <c:x val="2.1378941742383802E-3"/>
                  <c:y val="5.7230012495289466E-2"/>
                </c:manualLayout>
              </c:layout>
              <c:dLblPos val="t"/>
              <c:showVal val="1"/>
            </c:dLbl>
            <c:dLbl>
              <c:idx val="10"/>
              <c:layout>
                <c:manualLayout>
                  <c:x val="3.1821797261980415E-2"/>
                  <c:y val="1.9787513966295803E-2"/>
                </c:manualLayout>
              </c:layout>
              <c:dLblPos val="t"/>
              <c:showVal val="1"/>
            </c:dLbl>
            <c:dLbl>
              <c:idx val="11"/>
              <c:layout>
                <c:manualLayout>
                  <c:x val="-1.0689470871191877E-2"/>
                  <c:y val="5.9767415722909091E-2"/>
                </c:manualLayout>
              </c:layout>
              <c:dLblPos val="t"/>
              <c:showVal val="1"/>
            </c:dLbl>
            <c:dLbl>
              <c:idx val="12"/>
              <c:layout>
                <c:manualLayout>
                  <c:x val="-4.6383718336650906E-2"/>
                  <c:y val="3.5207097853322725E-2"/>
                </c:manualLayout>
              </c:layout>
              <c:dLblPos val="t"/>
              <c:showVal val="1"/>
            </c:dLbl>
            <c:dLbl>
              <c:idx val="13"/>
              <c:layout>
                <c:manualLayout>
                  <c:x val="4.27578834847675E-3"/>
                  <c:y val="8.5900421137534128E-2"/>
                </c:manualLayout>
              </c:layout>
              <c:dLblPos val="t"/>
              <c:showVal val="1"/>
            </c:dLbl>
            <c:dLbl>
              <c:idx val="14"/>
              <c:layout>
                <c:manualLayout>
                  <c:x val="2.3516835916622132E-2"/>
                  <c:y val="8.6054595820358723E-2"/>
                </c:manualLayout>
              </c:layout>
              <c:dLblPos val="t"/>
              <c:showVal val="1"/>
            </c:dLbl>
            <c:dLbl>
              <c:idx val="15"/>
              <c:layout>
                <c:manualLayout>
                  <c:x val="-2.2466911037510001E-2"/>
                  <c:y val="8.7985349438373227E-3"/>
                </c:manualLayout>
              </c:layout>
              <c:dLblPos val="t"/>
              <c:showVal val="1"/>
            </c:dLbl>
            <c:dLbl>
              <c:idx val="16"/>
              <c:layout>
                <c:manualLayout>
                  <c:x val="-2.603517425100072E-3"/>
                  <c:y val="8.0762939896996525E-2"/>
                </c:manualLayout>
              </c:layout>
              <c:dLblPos val="t"/>
              <c:showVal val="1"/>
            </c:dLbl>
            <c:dLbl>
              <c:idx val="17"/>
              <c:layout>
                <c:manualLayout>
                  <c:x val="2.8667477495297054E-2"/>
                  <c:y val="8.5589162815605233E-2"/>
                </c:manualLayout>
              </c:layout>
              <c:dLblPos val="t"/>
              <c:showVal val="1"/>
            </c:dLbl>
            <c:dLbl>
              <c:idx val="18"/>
              <c:layout>
                <c:manualLayout>
                  <c:x val="-3.848209513629075E-2"/>
                  <c:y val="4.0773944995934112E-2"/>
                </c:manualLayout>
              </c:layout>
              <c:dLblPos val="t"/>
              <c:showVal val="1"/>
            </c:dLbl>
            <c:dLbl>
              <c:idx val="19"/>
              <c:layout>
                <c:manualLayout>
                  <c:x val="-2.9930518439337254E-2"/>
                  <c:y val="1.5657818232210161E-2"/>
                </c:manualLayout>
              </c:layout>
              <c:dLblPos val="t"/>
              <c:showVal val="1"/>
            </c:dLbl>
            <c:dLblPos val="t"/>
            <c:showVal val="1"/>
          </c:dLbls>
          <c:cat>
            <c:strRef>
              <c:f>Sheet1!$B$1:$T$1</c:f>
              <c:strCache>
                <c:ptCount val="19"/>
                <c:pt idx="0">
                  <c:v>Промышленность</c:v>
                </c:pt>
                <c:pt idx="1">
                  <c:v>Сельское хозяйство</c:v>
                </c:pt>
                <c:pt idx="2">
                  <c:v>Транспорт</c:v>
                </c:pt>
                <c:pt idx="3">
                  <c:v>Связь</c:v>
                </c:pt>
                <c:pt idx="4">
                  <c:v>Строительство</c:v>
                </c:pt>
                <c:pt idx="5">
                  <c:v>Торговля и общепит</c:v>
                </c:pt>
                <c:pt idx="6">
                  <c:v>Материал. технич. снабж. и сбыт</c:v>
                </c:pt>
                <c:pt idx="7">
                  <c:v>Заготовки</c:v>
                </c:pt>
                <c:pt idx="8">
                  <c:v>Информац. - вычислит. обслуживан.</c:v>
                </c:pt>
                <c:pt idx="9">
                  <c:v>Операции с недвиж. имуществом</c:v>
                </c:pt>
                <c:pt idx="10">
                  <c:v>Общая комерческая деятельность</c:v>
                </c:pt>
                <c:pt idx="11">
                  <c:v>Редакции и издательства</c:v>
                </c:pt>
                <c:pt idx="12">
                  <c:v>ЖКХ</c:v>
                </c:pt>
                <c:pt idx="13">
                  <c:v>Непроизвод. виды быт. обслуж.</c:v>
                </c:pt>
                <c:pt idx="14">
                  <c:v>Здравоохранение</c:v>
                </c:pt>
                <c:pt idx="15">
                  <c:v>Образование</c:v>
                </c:pt>
                <c:pt idx="16">
                  <c:v>Культура и искусство</c:v>
                </c:pt>
                <c:pt idx="17">
                  <c:v>отдых и туризм (физкультура)</c:v>
                </c:pt>
                <c:pt idx="18">
                  <c:v>Прочие виды деятельности</c:v>
                </c:pt>
              </c:strCache>
            </c:strRef>
          </c:cat>
          <c:val>
            <c:numRef>
              <c:f>Sheet1!$B$2:$T$2</c:f>
              <c:numCache>
                <c:formatCode>0.0</c:formatCode>
                <c:ptCount val="19"/>
                <c:pt idx="0">
                  <c:v>2848.1</c:v>
                </c:pt>
                <c:pt idx="1">
                  <c:v>2385.5</c:v>
                </c:pt>
                <c:pt idx="2">
                  <c:v>2753</c:v>
                </c:pt>
                <c:pt idx="3">
                  <c:v>3959.7</c:v>
                </c:pt>
                <c:pt idx="4">
                  <c:v>3031.6</c:v>
                </c:pt>
                <c:pt idx="5">
                  <c:v>2414.6999999999998</c:v>
                </c:pt>
                <c:pt idx="6">
                  <c:v>1948.5</c:v>
                </c:pt>
                <c:pt idx="7">
                  <c:v>1702.7</c:v>
                </c:pt>
                <c:pt idx="8">
                  <c:v>3998.9</c:v>
                </c:pt>
                <c:pt idx="9">
                  <c:v>2858.8</c:v>
                </c:pt>
                <c:pt idx="10">
                  <c:v>4095.5</c:v>
                </c:pt>
                <c:pt idx="11">
                  <c:v>3019.9</c:v>
                </c:pt>
                <c:pt idx="12">
                  <c:v>2098</c:v>
                </c:pt>
                <c:pt idx="13">
                  <c:v>2280.1</c:v>
                </c:pt>
                <c:pt idx="14">
                  <c:v>3146.3</c:v>
                </c:pt>
                <c:pt idx="15">
                  <c:v>4061.8</c:v>
                </c:pt>
                <c:pt idx="16">
                  <c:v>2727.6</c:v>
                </c:pt>
                <c:pt idx="17">
                  <c:v>4797.9000000000005</c:v>
                </c:pt>
                <c:pt idx="18">
                  <c:v>3421.6</c:v>
                </c:pt>
              </c:numCache>
            </c:numRef>
          </c:val>
        </c:ser>
        <c:ser>
          <c:idx val="1"/>
          <c:order val="1"/>
          <c:tx>
            <c:strRef>
              <c:f>Sheet1!$A$3</c:f>
              <c:strCache>
                <c:ptCount val="1"/>
                <c:pt idx="0">
                  <c:v>I полугодие 2014 год</c:v>
                </c:pt>
              </c:strCache>
            </c:strRef>
          </c:tx>
          <c:spPr>
            <a:ln w="24130">
              <a:solidFill>
                <a:srgbClr val="FF9900"/>
              </a:solidFill>
              <a:prstDash val="solid"/>
            </a:ln>
          </c:spPr>
          <c:marker>
            <c:symbol val="circle"/>
            <c:size val="2"/>
            <c:spPr>
              <a:solidFill>
                <a:srgbClr val="FF9900"/>
              </a:solidFill>
              <a:ln>
                <a:solidFill>
                  <a:srgbClr val="FF9900"/>
                </a:solidFill>
                <a:prstDash val="solid"/>
              </a:ln>
            </c:spPr>
          </c:marker>
          <c:dLbls>
            <c:dLbl>
              <c:idx val="0"/>
              <c:layout>
                <c:manualLayout>
                  <c:x val="6.6015478690497828E-3"/>
                  <c:y val="3.962262903535043E-3"/>
                </c:manualLayout>
              </c:layout>
              <c:dLblPos val="t"/>
              <c:showVal val="1"/>
            </c:dLbl>
            <c:dLbl>
              <c:idx val="1"/>
              <c:layout>
                <c:manualLayout>
                  <c:x val="1.8924571895108839E-3"/>
                  <c:y val="-6.3913487965179766E-4"/>
                </c:manualLayout>
              </c:layout>
              <c:dLblPos val="t"/>
              <c:showVal val="1"/>
            </c:dLbl>
            <c:dLbl>
              <c:idx val="2"/>
              <c:layout>
                <c:manualLayout>
                  <c:x val="-2.5654730090860511E-2"/>
                  <c:y val="-2.0151133501259452E-2"/>
                </c:manualLayout>
              </c:layout>
              <c:dLblPos val="t"/>
              <c:showVal val="1"/>
            </c:dLbl>
            <c:dLbl>
              <c:idx val="3"/>
              <c:layout>
                <c:manualLayout>
                  <c:x val="-4.2295795334508904E-2"/>
                  <c:y val="4.469875774344359E-2"/>
                </c:manualLayout>
              </c:layout>
              <c:dLblPos val="t"/>
              <c:showVal val="1"/>
            </c:dLbl>
            <c:dLbl>
              <c:idx val="4"/>
              <c:layout>
                <c:manualLayout>
                  <c:x val="2.3540739930223847E-2"/>
                  <c:y val="-3.1773736091552812E-3"/>
                </c:manualLayout>
              </c:layout>
              <c:dLblPos val="t"/>
              <c:showVal val="1"/>
            </c:dLbl>
            <c:dLbl>
              <c:idx val="5"/>
              <c:layout>
                <c:manualLayout>
                  <c:x val="6.3848967035187104E-3"/>
                  <c:y val="-1.1664385780492864E-2"/>
                </c:manualLayout>
              </c:layout>
              <c:dLblPos val="t"/>
              <c:showVal val="1"/>
            </c:dLbl>
            <c:dLbl>
              <c:idx val="6"/>
              <c:layout>
                <c:manualLayout>
                  <c:x val="1.9241047568145389E-2"/>
                  <c:y val="2.2262242408616066E-2"/>
                </c:manualLayout>
              </c:layout>
              <c:dLblPos val="t"/>
              <c:showVal val="1"/>
            </c:dLbl>
            <c:dLbl>
              <c:idx val="7"/>
              <c:layout>
                <c:manualLayout>
                  <c:x val="-4.3111393545074692E-4"/>
                  <c:y val="-1.7303265303423975E-2"/>
                </c:manualLayout>
              </c:layout>
              <c:dLblPos val="t"/>
              <c:showVal val="1"/>
            </c:dLbl>
            <c:dLbl>
              <c:idx val="8"/>
              <c:layout>
                <c:manualLayout>
                  <c:x val="-4.0621167677396756E-2"/>
                  <c:y val="5.0691472130215492E-2"/>
                </c:manualLayout>
              </c:layout>
              <c:dLblPos val="t"/>
              <c:showVal val="1"/>
            </c:dLbl>
            <c:dLbl>
              <c:idx val="9"/>
              <c:layout>
                <c:manualLayout>
                  <c:x val="6.4136825227151572E-3"/>
                  <c:y val="-3.3585222502099271E-3"/>
                </c:manualLayout>
              </c:layout>
              <c:dLblPos val="t"/>
              <c:showVal val="1"/>
            </c:dLbl>
            <c:dLbl>
              <c:idx val="10"/>
              <c:layout>
                <c:manualLayout>
                  <c:x val="-1.3025499017326221E-2"/>
                  <c:y val="1.2135901148376604E-2"/>
                </c:manualLayout>
              </c:layout>
              <c:dLblPos val="t"/>
              <c:showVal val="1"/>
            </c:dLbl>
            <c:dLbl>
              <c:idx val="11"/>
              <c:layout>
                <c:manualLayout>
                  <c:x val="6.6325220838576796E-3"/>
                  <c:y val="-1.2917617035905776E-2"/>
                </c:manualLayout>
              </c:layout>
              <c:dLblPos val="t"/>
              <c:showVal val="1"/>
            </c:dLbl>
            <c:dLbl>
              <c:idx val="12"/>
              <c:layout>
                <c:manualLayout>
                  <c:x val="1.6644457904300441E-2"/>
                  <c:y val="1.3984449126957892E-2"/>
                </c:manualLayout>
              </c:layout>
              <c:dLblPos val="t"/>
              <c:showVal val="1"/>
            </c:dLbl>
            <c:dLbl>
              <c:idx val="13"/>
              <c:layout>
                <c:manualLayout>
                  <c:x val="-1.2827365045430333E-2"/>
                  <c:y val="5.2519354476156473E-2"/>
                </c:manualLayout>
              </c:layout>
              <c:dLblPos val="t"/>
              <c:showVal val="1"/>
            </c:dLbl>
            <c:dLbl>
              <c:idx val="14"/>
              <c:layout>
                <c:manualLayout>
                  <c:x val="-1.0689470871191877E-2"/>
                  <c:y val="5.9903343316342434E-3"/>
                </c:manualLayout>
              </c:layout>
              <c:dLblPos val="t"/>
              <c:showVal val="1"/>
            </c:dLbl>
            <c:dLbl>
              <c:idx val="15"/>
              <c:layout>
                <c:manualLayout>
                  <c:x val="8.5515766969535226E-3"/>
                  <c:y val="8.73215785054577E-2"/>
                </c:manualLayout>
              </c:layout>
              <c:dLblPos val="t"/>
              <c:showVal val="1"/>
            </c:dLbl>
            <c:dLbl>
              <c:idx val="16"/>
              <c:layout>
                <c:manualLayout>
                  <c:x val="-3.5970490326870694E-3"/>
                  <c:y val="4.3382587252160543E-2"/>
                </c:manualLayout>
              </c:layout>
              <c:dLblPos val="t"/>
              <c:showVal val="1"/>
            </c:dLbl>
            <c:dLbl>
              <c:idx val="17"/>
              <c:layout>
                <c:manualLayout>
                  <c:x val="-3.2068412613575827E-2"/>
                  <c:y val="2.9953787262738247E-2"/>
                </c:manualLayout>
              </c:layout>
              <c:dLblPos val="t"/>
              <c:showVal val="1"/>
            </c:dLbl>
            <c:dLbl>
              <c:idx val="18"/>
              <c:layout>
                <c:manualLayout>
                  <c:x val="0"/>
                  <c:y val="-1.883522746054728E-2"/>
                </c:manualLayout>
              </c:layout>
              <c:dLblPos val="t"/>
              <c:showVal val="1"/>
            </c:dLbl>
            <c:dLbl>
              <c:idx val="19"/>
              <c:layout>
                <c:manualLayout>
                  <c:x val="0"/>
                  <c:y val="-2.5052509171536237E-2"/>
                </c:manualLayout>
              </c:layout>
              <c:dLblPos val="t"/>
              <c:showVal val="1"/>
            </c:dLbl>
            <c:txPr>
              <a:bodyPr/>
              <a:lstStyle/>
              <a:p>
                <a:pPr>
                  <a:defRPr b="1"/>
                </a:pPr>
                <a:endParaRPr lang="ru-RU"/>
              </a:p>
            </c:txPr>
            <c:dLblPos val="t"/>
            <c:showVal val="1"/>
          </c:dLbls>
          <c:cat>
            <c:strRef>
              <c:f>Sheet1!$B$1:$T$1</c:f>
              <c:strCache>
                <c:ptCount val="19"/>
                <c:pt idx="0">
                  <c:v>Промышленность</c:v>
                </c:pt>
                <c:pt idx="1">
                  <c:v>Сельское хозяйство</c:v>
                </c:pt>
                <c:pt idx="2">
                  <c:v>Транспорт</c:v>
                </c:pt>
                <c:pt idx="3">
                  <c:v>Связь</c:v>
                </c:pt>
                <c:pt idx="4">
                  <c:v>Строительство</c:v>
                </c:pt>
                <c:pt idx="5">
                  <c:v>Торговля и общепит</c:v>
                </c:pt>
                <c:pt idx="6">
                  <c:v>Материал. технич. снабж. и сбыт</c:v>
                </c:pt>
                <c:pt idx="7">
                  <c:v>Заготовки</c:v>
                </c:pt>
                <c:pt idx="8">
                  <c:v>Информац. - вычислит. обслуживан.</c:v>
                </c:pt>
                <c:pt idx="9">
                  <c:v>Операции с недвиж. имуществом</c:v>
                </c:pt>
                <c:pt idx="10">
                  <c:v>Общая комерческая деятельность</c:v>
                </c:pt>
                <c:pt idx="11">
                  <c:v>Редакции и издательства</c:v>
                </c:pt>
                <c:pt idx="12">
                  <c:v>ЖКХ</c:v>
                </c:pt>
                <c:pt idx="13">
                  <c:v>Непроизвод. виды быт. обслуж.</c:v>
                </c:pt>
                <c:pt idx="14">
                  <c:v>Здравоохранение</c:v>
                </c:pt>
                <c:pt idx="15">
                  <c:v>Образование</c:v>
                </c:pt>
                <c:pt idx="16">
                  <c:v>Культура и искусство</c:v>
                </c:pt>
                <c:pt idx="17">
                  <c:v>отдых и туризм (физкультура)</c:v>
                </c:pt>
                <c:pt idx="18">
                  <c:v>Прочие виды деятельности</c:v>
                </c:pt>
              </c:strCache>
            </c:strRef>
          </c:cat>
          <c:val>
            <c:numRef>
              <c:f>Sheet1!$B$3:$T$3</c:f>
              <c:numCache>
                <c:formatCode>0.0</c:formatCode>
                <c:ptCount val="19"/>
                <c:pt idx="0">
                  <c:v>3008.1</c:v>
                </c:pt>
                <c:pt idx="1">
                  <c:v>2561.9</c:v>
                </c:pt>
                <c:pt idx="2">
                  <c:v>3143.4</c:v>
                </c:pt>
                <c:pt idx="3">
                  <c:v>5359.8</c:v>
                </c:pt>
                <c:pt idx="4">
                  <c:v>3436.6</c:v>
                </c:pt>
                <c:pt idx="5">
                  <c:v>2606.8000000000002</c:v>
                </c:pt>
                <c:pt idx="6">
                  <c:v>3196.2</c:v>
                </c:pt>
                <c:pt idx="7">
                  <c:v>1739.1</c:v>
                </c:pt>
                <c:pt idx="8">
                  <c:v>4878.3</c:v>
                </c:pt>
                <c:pt idx="9">
                  <c:v>3370</c:v>
                </c:pt>
                <c:pt idx="10">
                  <c:v>4540.1000000000004</c:v>
                </c:pt>
                <c:pt idx="11">
                  <c:v>3258.7</c:v>
                </c:pt>
                <c:pt idx="12">
                  <c:v>3034.5</c:v>
                </c:pt>
                <c:pt idx="13">
                  <c:v>2725.4</c:v>
                </c:pt>
                <c:pt idx="14">
                  <c:v>3424</c:v>
                </c:pt>
                <c:pt idx="15">
                  <c:v>3653.4</c:v>
                </c:pt>
                <c:pt idx="16">
                  <c:v>2755.9</c:v>
                </c:pt>
                <c:pt idx="17">
                  <c:v>5146.3</c:v>
                </c:pt>
                <c:pt idx="18">
                  <c:v>4272.5</c:v>
                </c:pt>
              </c:numCache>
            </c:numRef>
          </c:val>
        </c:ser>
        <c:ser>
          <c:idx val="2"/>
          <c:order val="2"/>
          <c:tx>
            <c:strRef>
              <c:f>Sheet1!$A$4</c:f>
              <c:strCache>
                <c:ptCount val="1"/>
                <c:pt idx="0">
                  <c:v>средняя заработная плата в целом по республике 2013 года</c:v>
                </c:pt>
              </c:strCache>
            </c:strRef>
          </c:tx>
          <c:spPr>
            <a:ln w="24130">
              <a:solidFill>
                <a:srgbClr val="008080"/>
              </a:solidFill>
              <a:prstDash val="solid"/>
            </a:ln>
          </c:spPr>
          <c:marker>
            <c:symbol val="triangle"/>
            <c:size val="2"/>
            <c:spPr>
              <a:solidFill>
                <a:srgbClr val="008080"/>
              </a:solidFill>
              <a:ln>
                <a:solidFill>
                  <a:srgbClr val="008080"/>
                </a:solidFill>
                <a:prstDash val="solid"/>
              </a:ln>
            </c:spPr>
          </c:marker>
          <c:cat>
            <c:strRef>
              <c:f>Sheet1!$B$1:$T$1</c:f>
              <c:strCache>
                <c:ptCount val="19"/>
                <c:pt idx="0">
                  <c:v>Промышленность</c:v>
                </c:pt>
                <c:pt idx="1">
                  <c:v>Сельское хозяйство</c:v>
                </c:pt>
                <c:pt idx="2">
                  <c:v>Транспорт</c:v>
                </c:pt>
                <c:pt idx="3">
                  <c:v>Связь</c:v>
                </c:pt>
                <c:pt idx="4">
                  <c:v>Строительство</c:v>
                </c:pt>
                <c:pt idx="5">
                  <c:v>Торговля и общепит</c:v>
                </c:pt>
                <c:pt idx="6">
                  <c:v>Материал. технич. снабж. и сбыт</c:v>
                </c:pt>
                <c:pt idx="7">
                  <c:v>Заготовки</c:v>
                </c:pt>
                <c:pt idx="8">
                  <c:v>Информац. - вычислит. обслуживан.</c:v>
                </c:pt>
                <c:pt idx="9">
                  <c:v>Операции с недвиж. имуществом</c:v>
                </c:pt>
                <c:pt idx="10">
                  <c:v>Общая комерческая деятельность</c:v>
                </c:pt>
                <c:pt idx="11">
                  <c:v>Редакции и издательства</c:v>
                </c:pt>
                <c:pt idx="12">
                  <c:v>ЖКХ</c:v>
                </c:pt>
                <c:pt idx="13">
                  <c:v>Непроизвод. виды быт. обслуж.</c:v>
                </c:pt>
                <c:pt idx="14">
                  <c:v>Здравоохранение</c:v>
                </c:pt>
                <c:pt idx="15">
                  <c:v>Образование</c:v>
                </c:pt>
                <c:pt idx="16">
                  <c:v>Культура и искусство</c:v>
                </c:pt>
                <c:pt idx="17">
                  <c:v>отдых и туризм (физкультура)</c:v>
                </c:pt>
                <c:pt idx="18">
                  <c:v>Прочие виды деятельности</c:v>
                </c:pt>
              </c:strCache>
            </c:strRef>
          </c:cat>
          <c:val>
            <c:numRef>
              <c:f>Sheet1!$B$4:$T$4</c:f>
              <c:numCache>
                <c:formatCode>General</c:formatCode>
                <c:ptCount val="19"/>
                <c:pt idx="0">
                  <c:v>4020</c:v>
                </c:pt>
                <c:pt idx="1">
                  <c:v>4020</c:v>
                </c:pt>
                <c:pt idx="2">
                  <c:v>4020</c:v>
                </c:pt>
                <c:pt idx="3">
                  <c:v>4020</c:v>
                </c:pt>
                <c:pt idx="4">
                  <c:v>4020</c:v>
                </c:pt>
                <c:pt idx="5">
                  <c:v>4020</c:v>
                </c:pt>
                <c:pt idx="6">
                  <c:v>4020</c:v>
                </c:pt>
                <c:pt idx="7">
                  <c:v>4020</c:v>
                </c:pt>
                <c:pt idx="8">
                  <c:v>4020</c:v>
                </c:pt>
                <c:pt idx="9">
                  <c:v>4020</c:v>
                </c:pt>
                <c:pt idx="10">
                  <c:v>4020</c:v>
                </c:pt>
                <c:pt idx="11">
                  <c:v>4020</c:v>
                </c:pt>
                <c:pt idx="12">
                  <c:v>4020</c:v>
                </c:pt>
                <c:pt idx="13">
                  <c:v>4020</c:v>
                </c:pt>
                <c:pt idx="14">
                  <c:v>4020</c:v>
                </c:pt>
                <c:pt idx="15">
                  <c:v>4020</c:v>
                </c:pt>
                <c:pt idx="16">
                  <c:v>4020</c:v>
                </c:pt>
                <c:pt idx="17">
                  <c:v>4020</c:v>
                </c:pt>
                <c:pt idx="18">
                  <c:v>4020</c:v>
                </c:pt>
              </c:numCache>
            </c:numRef>
          </c:val>
        </c:ser>
        <c:marker val="1"/>
        <c:axId val="166532608"/>
        <c:axId val="166534528"/>
      </c:lineChart>
      <c:catAx>
        <c:axId val="166532608"/>
        <c:scaling>
          <c:orientation val="minMax"/>
        </c:scaling>
        <c:axPos val="b"/>
        <c:numFmt formatCode="General" sourceLinked="1"/>
        <c:tickLblPos val="nextTo"/>
        <c:spPr>
          <a:ln w="3016">
            <a:solidFill>
              <a:srgbClr val="000000"/>
            </a:solidFill>
            <a:prstDash val="solid"/>
          </a:ln>
        </c:spPr>
        <c:txPr>
          <a:bodyPr rot="-5400000" vert="horz"/>
          <a:lstStyle/>
          <a:p>
            <a:pPr>
              <a:defRPr/>
            </a:pPr>
            <a:endParaRPr lang="ru-RU"/>
          </a:p>
        </c:txPr>
        <c:crossAx val="166534528"/>
        <c:crosses val="autoZero"/>
        <c:auto val="1"/>
        <c:lblAlgn val="ctr"/>
        <c:lblOffset val="200"/>
        <c:tickLblSkip val="1"/>
        <c:tickMarkSkip val="1"/>
      </c:catAx>
      <c:valAx>
        <c:axId val="166534528"/>
        <c:scaling>
          <c:orientation val="minMax"/>
          <c:max val="5500"/>
          <c:min val="1500"/>
        </c:scaling>
        <c:axPos val="l"/>
        <c:majorGridlines>
          <c:spPr>
            <a:ln w="3016">
              <a:solidFill>
                <a:srgbClr val="000000"/>
              </a:solidFill>
              <a:prstDash val="solid"/>
            </a:ln>
          </c:spPr>
        </c:majorGridlines>
        <c:numFmt formatCode="General" sourceLinked="0"/>
        <c:tickLblPos val="nextTo"/>
        <c:spPr>
          <a:ln w="3016">
            <a:solidFill>
              <a:srgbClr val="000000"/>
            </a:solidFill>
            <a:prstDash val="solid"/>
          </a:ln>
        </c:spPr>
        <c:txPr>
          <a:bodyPr rot="0" vert="horz"/>
          <a:lstStyle/>
          <a:p>
            <a:pPr>
              <a:defRPr/>
            </a:pPr>
            <a:endParaRPr lang="ru-RU"/>
          </a:p>
        </c:txPr>
        <c:crossAx val="166532608"/>
        <c:crosses val="autoZero"/>
        <c:crossBetween val="between"/>
        <c:majorUnit val="500"/>
      </c:valAx>
    </c:plotArea>
    <c:legend>
      <c:legendPos val="r"/>
      <c:layout>
        <c:manualLayout>
          <c:xMode val="edge"/>
          <c:yMode val="edge"/>
          <c:x val="2.2971420395005416E-3"/>
          <c:y val="0.91758282183230788"/>
          <c:w val="0.90074428736753764"/>
          <c:h val="8.2321560198676313E-2"/>
        </c:manualLayout>
      </c:layout>
      <c:spPr>
        <a:solidFill>
          <a:srgbClr val="FFFFFF"/>
        </a:solidFill>
        <a:ln w="3016">
          <a:noFill/>
          <a:prstDash val="solid"/>
        </a:ln>
      </c:spPr>
    </c:legend>
    <c:plotVisOnly val="1"/>
    <c:dispBlanksAs val="gap"/>
  </c:chart>
  <c:spPr>
    <a:noFill/>
    <a:ln>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0.11762795275590562"/>
          <c:y val="4.4057617797775513E-2"/>
          <c:w val="0.87311278798483527"/>
          <c:h val="0.45806555430571178"/>
        </c:manualLayout>
      </c:layout>
      <c:bar3DChart>
        <c:barDir val="col"/>
        <c:grouping val="clustered"/>
        <c:ser>
          <c:idx val="0"/>
          <c:order val="0"/>
          <c:tx>
            <c:strRef>
              <c:f>Лист1!$B$1</c:f>
              <c:strCache>
                <c:ptCount val="1"/>
                <c:pt idx="0">
                  <c:v>I полугодие 2013 года</c:v>
                </c:pt>
              </c:strCache>
            </c:strRef>
          </c:tx>
          <c:spPr>
            <a:solidFill>
              <a:schemeClr val="accent5">
                <a:lumMod val="20000"/>
                <a:lumOff val="80000"/>
              </a:schemeClr>
            </a:solidFill>
          </c:spPr>
          <c:dLbls>
            <c:dLbl>
              <c:idx val="3"/>
              <c:layout>
                <c:manualLayout>
                  <c:x val="0"/>
                  <c:y val="1.1904761904761921E-2"/>
                </c:manualLayout>
              </c:layout>
              <c:showVal val="1"/>
            </c:dLbl>
            <c:dLbl>
              <c:idx val="7"/>
              <c:layout>
                <c:manualLayout>
                  <c:x val="0"/>
                  <c:y val="1.5873015873015879E-2"/>
                </c:manualLayout>
              </c:layout>
              <c:showVal val="1"/>
            </c:dLbl>
            <c:txPr>
              <a:bodyPr/>
              <a:lstStyle/>
              <a:p>
                <a:pPr>
                  <a:defRPr>
                    <a:latin typeface="Times New Roman" pitchFamily="18" charset="0"/>
                    <a:cs typeface="Times New Roman" pitchFamily="18" charset="0"/>
                  </a:defRPr>
                </a:pPr>
                <a:endParaRPr lang="ru-RU"/>
              </a:p>
            </c:txPr>
            <c:showVal val="1"/>
          </c:dLbls>
          <c:cat>
            <c:strRef>
              <c:f>Лист1!$A$2:$A$8</c:f>
              <c:strCache>
                <c:ptCount val="7"/>
                <c:pt idx="0">
                  <c:v>Строительство</c:v>
                </c:pt>
                <c:pt idx="1">
                  <c:v>Торговля и общепит</c:v>
                </c:pt>
                <c:pt idx="2">
                  <c:v>Промышленность</c:v>
                </c:pt>
                <c:pt idx="3">
                  <c:v>Операции с недвижимым имуществом</c:v>
                </c:pt>
                <c:pt idx="4">
                  <c:v>Здравоохранение и социальное обеспечение</c:v>
                </c:pt>
                <c:pt idx="5">
                  <c:v>Культура и искусство</c:v>
                </c:pt>
                <c:pt idx="6">
                  <c:v>Сельское хозяйство</c:v>
                </c:pt>
              </c:strCache>
            </c:strRef>
          </c:cat>
          <c:val>
            <c:numRef>
              <c:f>Лист1!$B$2:$B$8</c:f>
              <c:numCache>
                <c:formatCode>#,##0.0</c:formatCode>
                <c:ptCount val="7"/>
                <c:pt idx="0">
                  <c:v>15.5</c:v>
                </c:pt>
                <c:pt idx="1">
                  <c:v>6.5</c:v>
                </c:pt>
                <c:pt idx="2">
                  <c:v>7.5</c:v>
                </c:pt>
                <c:pt idx="3">
                  <c:v>3.5</c:v>
                </c:pt>
                <c:pt idx="4">
                  <c:v>0.2</c:v>
                </c:pt>
                <c:pt idx="5">
                  <c:v>5.0999999999999996</c:v>
                </c:pt>
                <c:pt idx="6">
                  <c:v>29.5</c:v>
                </c:pt>
              </c:numCache>
            </c:numRef>
          </c:val>
        </c:ser>
        <c:ser>
          <c:idx val="1"/>
          <c:order val="1"/>
          <c:tx>
            <c:strRef>
              <c:f>Лист1!$C$1</c:f>
              <c:strCache>
                <c:ptCount val="1"/>
                <c:pt idx="0">
                  <c:v>I полугодие 2014 года</c:v>
                </c:pt>
              </c:strCache>
            </c:strRef>
          </c:tx>
          <c:spPr>
            <a:solidFill>
              <a:srgbClr val="00B0F0"/>
            </a:solidFill>
          </c:spPr>
          <c:dLbls>
            <c:dLbl>
              <c:idx val="3"/>
              <c:layout>
                <c:manualLayout>
                  <c:x val="2.0833333333333412E-2"/>
                  <c:y val="-1.5873015873015879E-2"/>
                </c:manualLayout>
              </c:layout>
              <c:showVal val="1"/>
            </c:dLbl>
            <c:dLbl>
              <c:idx val="4"/>
              <c:layout>
                <c:manualLayout>
                  <c:x val="1.3888888888889162E-2"/>
                  <c:y val="0"/>
                </c:manualLayout>
              </c:layout>
              <c:showVal val="1"/>
            </c:dLbl>
            <c:dLbl>
              <c:idx val="6"/>
              <c:layout>
                <c:manualLayout>
                  <c:x val="1.1574074074074073E-2"/>
                  <c:y val="3.9682539682539802E-3"/>
                </c:manualLayout>
              </c:layout>
              <c:showVal val="1"/>
            </c:dLbl>
            <c:dLbl>
              <c:idx val="7"/>
              <c:layout>
                <c:manualLayout>
                  <c:x val="1.3888888888889162E-2"/>
                  <c:y val="0"/>
                </c:manualLayout>
              </c:layout>
              <c:showVal val="1"/>
            </c:dLbl>
            <c:txPr>
              <a:bodyPr/>
              <a:lstStyle/>
              <a:p>
                <a:pPr>
                  <a:defRPr>
                    <a:latin typeface="Times New Roman" pitchFamily="18" charset="0"/>
                    <a:cs typeface="Times New Roman" pitchFamily="18" charset="0"/>
                  </a:defRPr>
                </a:pPr>
                <a:endParaRPr lang="ru-RU"/>
              </a:p>
            </c:txPr>
            <c:showVal val="1"/>
          </c:dLbls>
          <c:cat>
            <c:strRef>
              <c:f>Лист1!$A$2:$A$8</c:f>
              <c:strCache>
                <c:ptCount val="7"/>
                <c:pt idx="0">
                  <c:v>Строительство</c:v>
                </c:pt>
                <c:pt idx="1">
                  <c:v>Торговля и общепит</c:v>
                </c:pt>
                <c:pt idx="2">
                  <c:v>Промышленность</c:v>
                </c:pt>
                <c:pt idx="3">
                  <c:v>Операции с недвижимым имуществом</c:v>
                </c:pt>
                <c:pt idx="4">
                  <c:v>Здравоохранение и социальное обеспечение</c:v>
                </c:pt>
                <c:pt idx="5">
                  <c:v>Культура и искусство</c:v>
                </c:pt>
                <c:pt idx="6">
                  <c:v>Сельское хозяйство</c:v>
                </c:pt>
              </c:strCache>
            </c:strRef>
          </c:cat>
          <c:val>
            <c:numRef>
              <c:f>Лист1!$C$2:$C$8</c:f>
              <c:numCache>
                <c:formatCode>#,##0.0</c:formatCode>
                <c:ptCount val="7"/>
                <c:pt idx="0">
                  <c:v>11.7</c:v>
                </c:pt>
                <c:pt idx="1">
                  <c:v>61.4</c:v>
                </c:pt>
                <c:pt idx="2">
                  <c:v>12.4</c:v>
                </c:pt>
                <c:pt idx="3">
                  <c:v>49.4</c:v>
                </c:pt>
                <c:pt idx="4">
                  <c:v>0.70000000000000062</c:v>
                </c:pt>
                <c:pt idx="5">
                  <c:v>0.5</c:v>
                </c:pt>
                <c:pt idx="6">
                  <c:v>20.399999999999999</c:v>
                </c:pt>
              </c:numCache>
            </c:numRef>
          </c:val>
        </c:ser>
        <c:shape val="cylinder"/>
        <c:axId val="166253696"/>
        <c:axId val="166255232"/>
        <c:axId val="0"/>
      </c:bar3DChart>
      <c:catAx>
        <c:axId val="166253696"/>
        <c:scaling>
          <c:orientation val="minMax"/>
        </c:scaling>
        <c:axPos val="b"/>
        <c:numFmt formatCode="General" sourceLinked="1"/>
        <c:tickLblPos val="low"/>
        <c:txPr>
          <a:bodyPr/>
          <a:lstStyle/>
          <a:p>
            <a:pPr>
              <a:defRPr b="1">
                <a:latin typeface="Times New Roman" pitchFamily="18" charset="0"/>
                <a:cs typeface="Times New Roman" pitchFamily="18" charset="0"/>
              </a:defRPr>
            </a:pPr>
            <a:endParaRPr lang="ru-RU"/>
          </a:p>
        </c:txPr>
        <c:crossAx val="166255232"/>
        <c:crosses val="autoZero"/>
        <c:auto val="1"/>
        <c:lblAlgn val="ctr"/>
        <c:lblOffset val="100"/>
      </c:catAx>
      <c:valAx>
        <c:axId val="166255232"/>
        <c:scaling>
          <c:orientation val="minMax"/>
          <c:max val="70"/>
          <c:min val="0"/>
        </c:scaling>
        <c:axPos val="l"/>
        <c:majorGridlines/>
        <c:numFmt formatCode="#,##0.0" sourceLinked="1"/>
        <c:tickLblPos val="nextTo"/>
        <c:txPr>
          <a:bodyPr/>
          <a:lstStyle/>
          <a:p>
            <a:pPr>
              <a:defRPr b="1">
                <a:latin typeface="Times New Roman" pitchFamily="18" charset="0"/>
                <a:cs typeface="Times New Roman" pitchFamily="18" charset="0"/>
              </a:defRPr>
            </a:pPr>
            <a:endParaRPr lang="ru-RU"/>
          </a:p>
        </c:txPr>
        <c:crossAx val="166253696"/>
        <c:crosses val="autoZero"/>
        <c:crossBetween val="between"/>
        <c:majorUnit val="10"/>
      </c:valAx>
    </c:plotArea>
    <c:legend>
      <c:legendPos val="l"/>
      <c:layout>
        <c:manualLayout>
          <c:xMode val="edge"/>
          <c:yMode val="edge"/>
          <c:x val="0.71675088593723757"/>
          <c:y val="0.86411355883885299"/>
          <c:w val="0.28205943953975482"/>
          <c:h val="0.13544250788876144"/>
        </c:manualLayout>
      </c:layout>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en-US" sz="1186"/>
              <a:t>I</a:t>
            </a:r>
            <a:r>
              <a:rPr lang="ru-RU" sz="1186"/>
              <a:t> полугодие 2013 года</a:t>
            </a:r>
          </a:p>
        </c:rich>
      </c:tx>
      <c:layout>
        <c:manualLayout>
          <c:xMode val="edge"/>
          <c:yMode val="edge"/>
          <c:x val="0.16074243162601476"/>
          <c:y val="2.0408077131062151E-2"/>
        </c:manualLayout>
      </c:layout>
      <c:spPr>
        <a:noFill/>
        <a:ln w="25099">
          <a:noFill/>
        </a:ln>
      </c:spPr>
    </c:title>
    <c:view3D>
      <c:rotX val="30"/>
      <c:perspective val="30"/>
    </c:view3D>
    <c:plotArea>
      <c:layout>
        <c:manualLayout>
          <c:layoutTarget val="inner"/>
          <c:xMode val="edge"/>
          <c:yMode val="edge"/>
          <c:x val="8.7637623728407263E-2"/>
          <c:y val="0.2554791922685965"/>
          <c:w val="0.4600428867960133"/>
          <c:h val="0.4965563697601455"/>
        </c:manualLayout>
      </c:layout>
      <c:pie3DChart>
        <c:varyColors val="1"/>
        <c:ser>
          <c:idx val="0"/>
          <c:order val="0"/>
          <c:tx>
            <c:strRef>
              <c:f>Лист1!$B$1</c:f>
              <c:strCache>
                <c:ptCount val="1"/>
                <c:pt idx="0">
                  <c:v>2013 год</c:v>
                </c:pt>
              </c:strCache>
            </c:strRef>
          </c:tx>
          <c:spPr>
            <a:solidFill>
              <a:srgbClr val="7030A0"/>
            </a:solidFill>
          </c:spPr>
          <c:explosion val="7"/>
          <c:dPt>
            <c:idx val="0"/>
            <c:spPr>
              <a:solidFill>
                <a:schemeClr val="accent2">
                  <a:lumMod val="40000"/>
                  <a:lumOff val="60000"/>
                </a:schemeClr>
              </a:solidFill>
            </c:spPr>
          </c:dPt>
          <c:dLbls>
            <c:dLbl>
              <c:idx val="0"/>
              <c:layout>
                <c:manualLayout>
                  <c:x val="5.9951623694097123E-2"/>
                  <c:y val="-3.0852790799994055E-2"/>
                </c:manualLayout>
              </c:layout>
              <c:tx>
                <c:rich>
                  <a:bodyPr/>
                  <a:lstStyle/>
                  <a:p>
                    <a:pPr>
                      <a:defRPr/>
                    </a:pPr>
                    <a:r>
                      <a:rPr lang="en-US"/>
                      <a:t>1</a:t>
                    </a:r>
                    <a:r>
                      <a:rPr lang="ru-RU"/>
                      <a:t>4</a:t>
                    </a:r>
                    <a:r>
                      <a:rPr lang="ru-RU" baseline="0"/>
                      <a:t> </a:t>
                    </a:r>
                    <a:r>
                      <a:rPr lang="ru-RU"/>
                      <a:t>814</a:t>
                    </a:r>
                    <a:r>
                      <a:rPr lang="en-US"/>
                      <a:t>,</a:t>
                    </a:r>
                    <a:r>
                      <a:rPr lang="ru-RU"/>
                      <a:t>6;</a:t>
                    </a:r>
                  </a:p>
                  <a:p>
                    <a:pPr>
                      <a:defRPr/>
                    </a:pPr>
                    <a:r>
                      <a:rPr lang="ru-RU"/>
                      <a:t>43,6%</a:t>
                    </a:r>
                    <a:endParaRPr lang="en-US"/>
                  </a:p>
                </c:rich>
              </c:tx>
              <c:spPr>
                <a:noFill/>
                <a:ln w="25099">
                  <a:noFill/>
                </a:ln>
              </c:spPr>
              <c:dLblPos val="bestFit"/>
            </c:dLbl>
            <c:dLbl>
              <c:idx val="1"/>
              <c:layout>
                <c:manualLayout>
                  <c:x val="3.9327331640548214E-4"/>
                  <c:y val="0.19242511771455667"/>
                </c:manualLayout>
              </c:layout>
              <c:tx>
                <c:rich>
                  <a:bodyPr/>
                  <a:lstStyle/>
                  <a:p>
                    <a:pPr>
                      <a:defRPr/>
                    </a:pPr>
                    <a:r>
                      <a:rPr lang="ru-RU"/>
                      <a:t>19 189</a:t>
                    </a:r>
                    <a:r>
                      <a:rPr lang="en-US"/>
                      <a:t>,</a:t>
                    </a:r>
                    <a:r>
                      <a:rPr lang="ru-RU"/>
                      <a:t>2;</a:t>
                    </a:r>
                  </a:p>
                  <a:p>
                    <a:pPr>
                      <a:defRPr/>
                    </a:pPr>
                    <a:r>
                      <a:rPr lang="ru-RU"/>
                      <a:t>56,4%</a:t>
                    </a:r>
                    <a:endParaRPr lang="en-US"/>
                  </a:p>
                </c:rich>
              </c:tx>
              <c:spPr>
                <a:noFill/>
                <a:ln w="25099">
                  <a:noFill/>
                </a:ln>
              </c:spPr>
              <c:dLblPos val="bestFit"/>
            </c:dLbl>
            <c:spPr>
              <a:noFill/>
              <a:ln w="25099">
                <a:noFill/>
              </a:ln>
            </c:spPr>
            <c:showVal val="1"/>
            <c:showLeaderLines val="1"/>
          </c:dLbls>
          <c:cat>
            <c:strRef>
              <c:f>Лист1!$A$2:$A$3</c:f>
              <c:strCache>
                <c:ptCount val="2"/>
                <c:pt idx="0">
                  <c:v>От стационарных источников</c:v>
                </c:pt>
                <c:pt idx="1">
                  <c:v>От передвижных источников</c:v>
                </c:pt>
              </c:strCache>
            </c:strRef>
          </c:cat>
          <c:val>
            <c:numRef>
              <c:f>Лист1!$B$2:$B$3</c:f>
              <c:numCache>
                <c:formatCode>#,##0.0</c:formatCode>
                <c:ptCount val="2"/>
                <c:pt idx="0">
                  <c:v>14814.6</c:v>
                </c:pt>
                <c:pt idx="1">
                  <c:v>19189.2</c:v>
                </c:pt>
              </c:numCache>
            </c:numRef>
          </c:val>
        </c:ser>
      </c:pie3DChart>
      <c:spPr>
        <a:noFill/>
        <a:ln w="25099">
          <a:noFill/>
        </a:ln>
      </c:spPr>
    </c:plotArea>
    <c:legend>
      <c:legendPos val="r"/>
      <c:layout>
        <c:manualLayout>
          <c:xMode val="edge"/>
          <c:yMode val="edge"/>
          <c:x val="0.32432432432432851"/>
          <c:y val="0.80272108843537904"/>
          <c:w val="0.64527027027027595"/>
          <c:h val="0.20408163265306123"/>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en-US" sz="1186"/>
              <a:t>I</a:t>
            </a:r>
            <a:r>
              <a:rPr lang="ru-RU" sz="1186"/>
              <a:t> полугодие 2014 года</a:t>
            </a:r>
          </a:p>
        </c:rich>
      </c:tx>
      <c:layout>
        <c:manualLayout>
          <c:xMode val="edge"/>
          <c:yMode val="edge"/>
          <c:x val="0.19983037950875038"/>
          <c:y val="4.1026598479313788E-2"/>
        </c:manualLayout>
      </c:layout>
      <c:spPr>
        <a:noFill/>
        <a:ln w="25099">
          <a:noFill/>
        </a:ln>
      </c:spPr>
    </c:title>
    <c:view3D>
      <c:rotX val="30"/>
      <c:perspective val="30"/>
    </c:view3D>
    <c:plotArea>
      <c:layout>
        <c:manualLayout>
          <c:layoutTarget val="inner"/>
          <c:xMode val="edge"/>
          <c:yMode val="edge"/>
          <c:x val="8.7637623728406708E-2"/>
          <c:y val="0.2554791922685965"/>
          <c:w val="0.4600428867960133"/>
          <c:h val="0.49655636976014572"/>
        </c:manualLayout>
      </c:layout>
      <c:pie3DChart>
        <c:varyColors val="1"/>
        <c:ser>
          <c:idx val="0"/>
          <c:order val="0"/>
          <c:tx>
            <c:strRef>
              <c:f>Лист1!$B$1</c:f>
              <c:strCache>
                <c:ptCount val="1"/>
                <c:pt idx="0">
                  <c:v>2014год</c:v>
                </c:pt>
              </c:strCache>
            </c:strRef>
          </c:tx>
          <c:explosion val="7"/>
          <c:dPt>
            <c:idx val="0"/>
            <c:spPr>
              <a:solidFill>
                <a:schemeClr val="accent2">
                  <a:lumMod val="40000"/>
                  <a:lumOff val="60000"/>
                </a:schemeClr>
              </a:solidFill>
            </c:spPr>
          </c:dPt>
          <c:dPt>
            <c:idx val="1"/>
            <c:spPr>
              <a:solidFill>
                <a:srgbClr val="7030A0"/>
              </a:solidFill>
            </c:spPr>
          </c:dPt>
          <c:dLbls>
            <c:dLbl>
              <c:idx val="0"/>
              <c:layout>
                <c:manualLayout>
                  <c:x val="0.10771174775791542"/>
                  <c:y val="2.026188715360859E-2"/>
                </c:manualLayout>
              </c:layout>
              <c:tx>
                <c:rich>
                  <a:bodyPr/>
                  <a:lstStyle/>
                  <a:p>
                    <a:pPr>
                      <a:defRPr/>
                    </a:pPr>
                    <a:r>
                      <a:rPr lang="ru-RU"/>
                      <a:t>6</a:t>
                    </a:r>
                    <a:r>
                      <a:rPr lang="en-US"/>
                      <a:t> </a:t>
                    </a:r>
                    <a:r>
                      <a:rPr lang="ru-RU"/>
                      <a:t>602</a:t>
                    </a:r>
                    <a:r>
                      <a:rPr lang="en-US"/>
                      <a:t>,</a:t>
                    </a:r>
                    <a:r>
                      <a:rPr lang="ru-RU"/>
                      <a:t>7;</a:t>
                    </a:r>
                  </a:p>
                  <a:p>
                    <a:pPr>
                      <a:defRPr/>
                    </a:pPr>
                    <a:r>
                      <a:rPr lang="ru-RU"/>
                      <a:t>25,3%</a:t>
                    </a:r>
                    <a:endParaRPr lang="en-US"/>
                  </a:p>
                </c:rich>
              </c:tx>
              <c:spPr>
                <a:noFill/>
                <a:ln w="25099">
                  <a:noFill/>
                </a:ln>
              </c:spPr>
              <c:dLblPos val="bestFit"/>
            </c:dLbl>
            <c:dLbl>
              <c:idx val="1"/>
              <c:layout>
                <c:manualLayout>
                  <c:x val="2.2179678520577836E-2"/>
                  <c:y val="0.17836663480649007"/>
                </c:manualLayout>
              </c:layout>
              <c:tx>
                <c:rich>
                  <a:bodyPr/>
                  <a:lstStyle/>
                  <a:p>
                    <a:pPr>
                      <a:defRPr/>
                    </a:pPr>
                    <a:r>
                      <a:rPr lang="ru-RU"/>
                      <a:t>19</a:t>
                    </a:r>
                    <a:r>
                      <a:rPr lang="ru-RU" baseline="0"/>
                      <a:t> 488</a:t>
                    </a:r>
                    <a:r>
                      <a:rPr lang="en-US"/>
                      <a:t>,</a:t>
                    </a:r>
                    <a:r>
                      <a:rPr lang="ru-RU"/>
                      <a:t>1;</a:t>
                    </a:r>
                  </a:p>
                  <a:p>
                    <a:pPr>
                      <a:defRPr/>
                    </a:pPr>
                    <a:r>
                      <a:rPr lang="ru-RU"/>
                      <a:t>74,7%</a:t>
                    </a:r>
                    <a:endParaRPr lang="en-US"/>
                  </a:p>
                </c:rich>
              </c:tx>
              <c:spPr>
                <a:noFill/>
                <a:ln w="25099">
                  <a:noFill/>
                </a:ln>
              </c:spPr>
              <c:dLblPos val="bestFit"/>
            </c:dLbl>
            <c:spPr>
              <a:noFill/>
              <a:ln w="25099">
                <a:noFill/>
              </a:ln>
            </c:spPr>
            <c:showVal val="1"/>
            <c:showLeaderLines val="1"/>
          </c:dLbls>
          <c:cat>
            <c:strRef>
              <c:f>Лист1!$A$2:$A$3</c:f>
              <c:strCache>
                <c:ptCount val="2"/>
                <c:pt idx="0">
                  <c:v>От стационарных источников</c:v>
                </c:pt>
                <c:pt idx="1">
                  <c:v>От передвижных источников</c:v>
                </c:pt>
              </c:strCache>
            </c:strRef>
          </c:cat>
          <c:val>
            <c:numRef>
              <c:f>Лист1!$B$2:$B$3</c:f>
              <c:numCache>
                <c:formatCode>#,##0.0</c:formatCode>
                <c:ptCount val="2"/>
                <c:pt idx="0">
                  <c:v>6602.7</c:v>
                </c:pt>
                <c:pt idx="1">
                  <c:v>19488.099999999908</c:v>
                </c:pt>
              </c:numCache>
            </c:numRef>
          </c:val>
        </c:ser>
      </c:pie3DChart>
      <c:spPr>
        <a:noFill/>
        <a:ln w="25099">
          <a:noFill/>
        </a:ln>
      </c:spPr>
    </c:plotArea>
    <c:legend>
      <c:legendPos val="r"/>
      <c:layout>
        <c:manualLayout>
          <c:xMode val="edge"/>
          <c:yMode val="edge"/>
          <c:x val="0.32432432432432851"/>
          <c:y val="0.80272108843537904"/>
          <c:w val="0.64527027027027595"/>
          <c:h val="0.20408163265306123"/>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Лист1!$B$2</c:f>
              <c:strCache>
                <c:ptCount val="1"/>
                <c:pt idx="0">
                  <c:v>Среднемесячная номинальная заработная плата в целом по республике</c:v>
                </c:pt>
              </c:strCache>
            </c:strRef>
          </c:tx>
          <c:spPr>
            <a:solidFill>
              <a:schemeClr val="accent6">
                <a:lumMod val="60000"/>
                <a:lumOff val="40000"/>
              </a:schemeClr>
            </a:solidFill>
          </c:spPr>
          <c:dLbls>
            <c:dLbl>
              <c:idx val="0"/>
              <c:layout>
                <c:manualLayout>
                  <c:x val="-6.1728395061728504E-3"/>
                  <c:y val="1.7590149516270928E-2"/>
                </c:manualLayout>
              </c:layout>
              <c:tx>
                <c:rich>
                  <a:bodyPr/>
                  <a:lstStyle/>
                  <a:p>
                    <a:r>
                      <a:rPr lang="ru-RU" b="1"/>
                      <a:t>+4,7*</a:t>
                    </a:r>
                    <a:endParaRPr lang="en-US" b="1"/>
                  </a:p>
                </c:rich>
              </c:tx>
              <c:showVal val="1"/>
            </c:dLbl>
            <c:dLbl>
              <c:idx val="1"/>
              <c:layout>
                <c:manualLayout>
                  <c:x val="-1.8518518518518632E-2"/>
                  <c:y val="1.4072119613016763E-2"/>
                </c:manualLayout>
              </c:layout>
              <c:tx>
                <c:rich>
                  <a:bodyPr/>
                  <a:lstStyle/>
                  <a:p>
                    <a:r>
                      <a:rPr lang="ru-RU" b="1"/>
                      <a:t>+12,3**</a:t>
                    </a:r>
                    <a:endParaRPr lang="en-US" b="1"/>
                  </a:p>
                </c:rich>
              </c:tx>
              <c:showVal val="1"/>
            </c:dLbl>
            <c:dLbl>
              <c:idx val="2"/>
              <c:layout>
                <c:manualLayout>
                  <c:x val="-1.2345679012345755E-2"/>
                  <c:y val="0"/>
                </c:manualLayout>
              </c:layout>
              <c:tx>
                <c:rich>
                  <a:bodyPr/>
                  <a:lstStyle/>
                  <a:p>
                    <a:r>
                      <a:rPr lang="ru-RU" b="1"/>
                      <a:t>+7,5*</a:t>
                    </a:r>
                    <a:endParaRPr lang="en-US" b="1"/>
                  </a:p>
                </c:rich>
              </c:tx>
              <c:showVal val="1"/>
            </c:dLbl>
            <c:dLbl>
              <c:idx val="3"/>
              <c:layout>
                <c:manualLayout>
                  <c:x val="-6.1728395061728504E-3"/>
                  <c:y val="1.7590149516270928E-2"/>
                </c:manualLayout>
              </c:layout>
              <c:tx>
                <c:rich>
                  <a:bodyPr/>
                  <a:lstStyle/>
                  <a:p>
                    <a:r>
                      <a:rPr lang="ru-RU" b="1"/>
                      <a:t>+10,0**</a:t>
                    </a:r>
                    <a:endParaRPr lang="en-US" b="1"/>
                  </a:p>
                </c:rich>
              </c:tx>
              <c:showVal val="1"/>
            </c:dLbl>
            <c:txPr>
              <a:bodyPr/>
              <a:lstStyle/>
              <a:p>
                <a:pPr>
                  <a:defRPr b="1"/>
                </a:pPr>
                <a:endParaRPr lang="ru-RU"/>
              </a:p>
            </c:txPr>
            <c:showVal val="1"/>
          </c:dLbls>
          <c:cat>
            <c:strRef>
              <c:f>Лист1!$A$3:$A$6</c:f>
              <c:strCache>
                <c:ptCount val="4"/>
                <c:pt idx="0">
                  <c:v>руб. ПМР 2013 года</c:v>
                </c:pt>
                <c:pt idx="1">
                  <c:v>дол. США</c:v>
                </c:pt>
                <c:pt idx="2">
                  <c:v>руб. ПМР 2014 года</c:v>
                </c:pt>
                <c:pt idx="3">
                  <c:v>дол. США</c:v>
                </c:pt>
              </c:strCache>
            </c:strRef>
          </c:cat>
          <c:val>
            <c:numRef>
              <c:f>Лист1!$B$3:$B$6</c:f>
              <c:numCache>
                <c:formatCode>General</c:formatCode>
                <c:ptCount val="4"/>
                <c:pt idx="0">
                  <c:v>3656</c:v>
                </c:pt>
                <c:pt idx="1">
                  <c:v>329</c:v>
                </c:pt>
                <c:pt idx="2">
                  <c:v>4020</c:v>
                </c:pt>
                <c:pt idx="3">
                  <c:v>362</c:v>
                </c:pt>
              </c:numCache>
            </c:numRef>
          </c:val>
        </c:ser>
        <c:ser>
          <c:idx val="1"/>
          <c:order val="1"/>
          <c:tx>
            <c:strRef>
              <c:f>Лист1!$C$2</c:f>
              <c:strCache>
                <c:ptCount val="1"/>
                <c:pt idx="0">
                  <c:v>Среднемесячная номинальная заработная плата во внебюджетном секторе экономики</c:v>
                </c:pt>
              </c:strCache>
            </c:strRef>
          </c:tx>
          <c:dLbls>
            <c:dLbl>
              <c:idx val="0"/>
              <c:layout>
                <c:manualLayout>
                  <c:x val="2.057613168724283E-3"/>
                  <c:y val="1.4072119613016763E-2"/>
                </c:manualLayout>
              </c:layout>
              <c:tx>
                <c:rich>
                  <a:bodyPr/>
                  <a:lstStyle/>
                  <a:p>
                    <a:r>
                      <a:rPr lang="ru-RU" b="1"/>
                      <a:t>+2,6*</a:t>
                    </a:r>
                    <a:endParaRPr lang="en-US" b="1"/>
                  </a:p>
                </c:rich>
              </c:tx>
              <c:showVal val="1"/>
            </c:dLbl>
            <c:dLbl>
              <c:idx val="1"/>
              <c:layout>
                <c:manualLayout>
                  <c:x val="-6.1728395061728504E-3"/>
                  <c:y val="-2.1108179419525318E-2"/>
                </c:manualLayout>
              </c:layout>
              <c:tx>
                <c:rich>
                  <a:bodyPr/>
                  <a:lstStyle/>
                  <a:p>
                    <a:r>
                      <a:rPr lang="ru-RU" b="1"/>
                      <a:t>+10,0**</a:t>
                    </a:r>
                    <a:endParaRPr lang="en-US" b="1"/>
                  </a:p>
                </c:rich>
              </c:tx>
              <c:showVal val="1"/>
            </c:dLbl>
            <c:dLbl>
              <c:idx val="2"/>
              <c:tx>
                <c:rich>
                  <a:bodyPr/>
                  <a:lstStyle/>
                  <a:p>
                    <a:r>
                      <a:rPr lang="ru-RU" b="1"/>
                      <a:t>+6,3*</a:t>
                    </a:r>
                    <a:endParaRPr lang="en-US" b="1"/>
                  </a:p>
                </c:rich>
              </c:tx>
              <c:showVal val="1"/>
            </c:dLbl>
            <c:dLbl>
              <c:idx val="3"/>
              <c:layout>
                <c:manualLayout>
                  <c:x val="4.1152263374485661E-3"/>
                  <c:y val="-1.0554089709762652E-2"/>
                </c:manualLayout>
              </c:layout>
              <c:tx>
                <c:rich>
                  <a:bodyPr/>
                  <a:lstStyle/>
                  <a:p>
                    <a:r>
                      <a:rPr lang="ru-RU" b="1"/>
                      <a:t>+8,6**</a:t>
                    </a:r>
                    <a:endParaRPr lang="en-US" b="1"/>
                  </a:p>
                </c:rich>
              </c:tx>
              <c:showVal val="1"/>
            </c:dLbl>
            <c:txPr>
              <a:bodyPr/>
              <a:lstStyle/>
              <a:p>
                <a:pPr>
                  <a:defRPr b="1"/>
                </a:pPr>
                <a:endParaRPr lang="ru-RU"/>
              </a:p>
            </c:txPr>
            <c:showVal val="1"/>
          </c:dLbls>
          <c:cat>
            <c:strRef>
              <c:f>Лист1!$A$3:$A$6</c:f>
              <c:strCache>
                <c:ptCount val="4"/>
                <c:pt idx="0">
                  <c:v>руб. ПМР 2013 года</c:v>
                </c:pt>
                <c:pt idx="1">
                  <c:v>дол. США</c:v>
                </c:pt>
                <c:pt idx="2">
                  <c:v>руб. ПМР 2014 года</c:v>
                </c:pt>
                <c:pt idx="3">
                  <c:v>дол. США</c:v>
                </c:pt>
              </c:strCache>
            </c:strRef>
          </c:cat>
          <c:val>
            <c:numRef>
              <c:f>Лист1!$C$3:$C$6</c:f>
              <c:numCache>
                <c:formatCode>General</c:formatCode>
                <c:ptCount val="4"/>
                <c:pt idx="0">
                  <c:v>4674</c:v>
                </c:pt>
                <c:pt idx="1">
                  <c:v>421</c:v>
                </c:pt>
                <c:pt idx="2">
                  <c:v>5078</c:v>
                </c:pt>
                <c:pt idx="3">
                  <c:v>457</c:v>
                </c:pt>
              </c:numCache>
            </c:numRef>
          </c:val>
        </c:ser>
        <c:ser>
          <c:idx val="2"/>
          <c:order val="2"/>
          <c:tx>
            <c:strRef>
              <c:f>Лист1!$D$2</c:f>
              <c:strCache>
                <c:ptCount val="1"/>
                <c:pt idx="0">
                  <c:v>Среднемесячная номинальная заработная плата в бюджетном секторе экономики</c:v>
                </c:pt>
              </c:strCache>
            </c:strRef>
          </c:tx>
          <c:spPr>
            <a:solidFill>
              <a:schemeClr val="tx2">
                <a:lumMod val="20000"/>
                <a:lumOff val="80000"/>
              </a:schemeClr>
            </a:solidFill>
          </c:spPr>
          <c:dLbls>
            <c:dLbl>
              <c:idx val="0"/>
              <c:layout>
                <c:manualLayout>
                  <c:x val="8.2304526748971322E-3"/>
                  <c:y val="1.0554089709762652E-2"/>
                </c:manualLayout>
              </c:layout>
              <c:tx>
                <c:rich>
                  <a:bodyPr/>
                  <a:lstStyle/>
                  <a:p>
                    <a:r>
                      <a:rPr lang="ru-RU" b="1"/>
                      <a:t>+7,8*</a:t>
                    </a:r>
                    <a:endParaRPr lang="en-US" b="1"/>
                  </a:p>
                </c:rich>
              </c:tx>
              <c:showVal val="1"/>
            </c:dLbl>
            <c:dLbl>
              <c:idx val="1"/>
              <c:layout>
                <c:manualLayout>
                  <c:x val="1.0288065843621401E-2"/>
                  <c:y val="0"/>
                </c:manualLayout>
              </c:layout>
              <c:tx>
                <c:rich>
                  <a:bodyPr/>
                  <a:lstStyle/>
                  <a:p>
                    <a:r>
                      <a:rPr lang="ru-RU" b="1"/>
                      <a:t>+15,3**</a:t>
                    </a:r>
                    <a:endParaRPr lang="en-US" b="1"/>
                  </a:p>
                </c:rich>
              </c:tx>
              <c:showVal val="1"/>
            </c:dLbl>
            <c:dLbl>
              <c:idx val="2"/>
              <c:layout>
                <c:manualLayout>
                  <c:x val="1.2345679012345755E-2"/>
                  <c:y val="-7.036059806508399E-3"/>
                </c:manualLayout>
              </c:layout>
              <c:tx>
                <c:rich>
                  <a:bodyPr/>
                  <a:lstStyle/>
                  <a:p>
                    <a:r>
                      <a:rPr lang="ru-RU" b="1"/>
                      <a:t>+10,1*</a:t>
                    </a:r>
                    <a:endParaRPr lang="en-US" b="1"/>
                  </a:p>
                </c:rich>
              </c:tx>
              <c:showVal val="1"/>
            </c:dLbl>
            <c:dLbl>
              <c:idx val="3"/>
              <c:layout>
                <c:manualLayout>
                  <c:x val="2.4691358024691492E-2"/>
                  <c:y val="1.0554089709762652E-2"/>
                </c:manualLayout>
              </c:layout>
              <c:tx>
                <c:rich>
                  <a:bodyPr/>
                  <a:lstStyle/>
                  <a:p>
                    <a:r>
                      <a:rPr lang="ru-RU" b="1"/>
                      <a:t>+12,4**</a:t>
                    </a:r>
                    <a:endParaRPr lang="en-US" b="1"/>
                  </a:p>
                </c:rich>
              </c:tx>
              <c:showVal val="1"/>
            </c:dLbl>
            <c:txPr>
              <a:bodyPr/>
              <a:lstStyle/>
              <a:p>
                <a:pPr>
                  <a:defRPr b="1"/>
                </a:pPr>
                <a:endParaRPr lang="ru-RU"/>
              </a:p>
            </c:txPr>
            <c:showVal val="1"/>
          </c:dLbls>
          <c:cat>
            <c:strRef>
              <c:f>Лист1!$A$3:$A$6</c:f>
              <c:strCache>
                <c:ptCount val="4"/>
                <c:pt idx="0">
                  <c:v>руб. ПМР 2013 года</c:v>
                </c:pt>
                <c:pt idx="1">
                  <c:v>дол. США</c:v>
                </c:pt>
                <c:pt idx="2">
                  <c:v>руб. ПМР 2014 года</c:v>
                </c:pt>
                <c:pt idx="3">
                  <c:v>дол. США</c:v>
                </c:pt>
              </c:strCache>
            </c:strRef>
          </c:cat>
          <c:val>
            <c:numRef>
              <c:f>Лист1!$D$3:$D$6</c:f>
              <c:numCache>
                <c:formatCode>General</c:formatCode>
                <c:ptCount val="4"/>
                <c:pt idx="0">
                  <c:v>2419</c:v>
                </c:pt>
                <c:pt idx="1">
                  <c:v>218</c:v>
                </c:pt>
                <c:pt idx="2">
                  <c:v>2722</c:v>
                </c:pt>
                <c:pt idx="3">
                  <c:v>245</c:v>
                </c:pt>
              </c:numCache>
            </c:numRef>
          </c:val>
        </c:ser>
        <c:axId val="167633280"/>
        <c:axId val="167634816"/>
      </c:barChart>
      <c:catAx>
        <c:axId val="167633280"/>
        <c:scaling>
          <c:orientation val="minMax"/>
        </c:scaling>
        <c:axPos val="b"/>
        <c:numFmt formatCode="General" sourceLinked="1"/>
        <c:tickLblPos val="nextTo"/>
        <c:crossAx val="167634816"/>
        <c:crosses val="autoZero"/>
        <c:auto val="1"/>
        <c:lblAlgn val="ctr"/>
        <c:lblOffset val="100"/>
      </c:catAx>
      <c:valAx>
        <c:axId val="167634816"/>
        <c:scaling>
          <c:orientation val="minMax"/>
        </c:scaling>
        <c:axPos val="l"/>
        <c:title>
          <c:tx>
            <c:rich>
              <a:bodyPr rot="0" vert="horz"/>
              <a:lstStyle/>
              <a:p>
                <a:pPr>
                  <a:defRPr sz="900"/>
                </a:pPr>
                <a:r>
                  <a:rPr lang="ru-RU" sz="900"/>
                  <a:t>* - Прирост реальной заработной платы</a:t>
                </a:r>
              </a:p>
              <a:p>
                <a:pPr>
                  <a:defRPr sz="900"/>
                </a:pPr>
                <a:r>
                  <a:rPr lang="ru-RU" sz="900"/>
                  <a:t>** - прирост заработной платы в долларовом эквиваленте</a:t>
                </a:r>
              </a:p>
              <a:p>
                <a:pPr>
                  <a:defRPr sz="900"/>
                </a:pPr>
                <a:endParaRPr lang="ru-RU" sz="900"/>
              </a:p>
            </c:rich>
          </c:tx>
          <c:layout>
            <c:manualLayout>
              <c:xMode val="edge"/>
              <c:yMode val="edge"/>
              <c:x val="2.2633744855967353E-2"/>
              <c:y val="0.27784541444192823"/>
            </c:manualLayout>
          </c:layout>
        </c:title>
        <c:numFmt formatCode="General" sourceLinked="1"/>
        <c:tickLblPos val="nextTo"/>
        <c:txPr>
          <a:bodyPr/>
          <a:lstStyle/>
          <a:p>
            <a:pPr>
              <a:defRPr b="1"/>
            </a:pPr>
            <a:endParaRPr lang="ru-RU"/>
          </a:p>
        </c:txPr>
        <c:crossAx val="167633280"/>
        <c:crosses val="autoZero"/>
        <c:crossBetween val="between"/>
      </c:valAx>
      <c:dTable>
        <c:showHorzBorder val="1"/>
        <c:showVertBorder val="1"/>
        <c:showOutline val="1"/>
        <c:showKeys val="1"/>
        <c:txPr>
          <a:bodyPr/>
          <a:lstStyle/>
          <a:p>
            <a:pPr rtl="0">
              <a:defRPr sz="900" b="1"/>
            </a:pPr>
            <a:endParaRPr lang="ru-RU"/>
          </a:p>
        </c:txPr>
      </c:dTable>
    </c:plotArea>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b="1"/>
              <a:t>Динамика оплаты труда в разрезе отраслей экономики, руб. ПМР</a:t>
            </a:r>
            <a:endParaRPr lang="ru-RU" b="1">
              <a:solidFill>
                <a:srgbClr val="FF0000"/>
              </a:solidFill>
            </a:endParaRPr>
          </a:p>
        </c:rich>
      </c:tx>
      <c:layout>
        <c:manualLayout>
          <c:xMode val="edge"/>
          <c:yMode val="edge"/>
          <c:x val="0.17176795208291407"/>
          <c:y val="1.7827634559378708E-2"/>
        </c:manualLayout>
      </c:layout>
      <c:spPr>
        <a:noFill/>
        <a:ln w="25176">
          <a:noFill/>
        </a:ln>
      </c:spPr>
    </c:title>
    <c:plotArea>
      <c:layout>
        <c:manualLayout>
          <c:layoutTarget val="inner"/>
          <c:xMode val="edge"/>
          <c:yMode val="edge"/>
          <c:x val="7.4722222222223356E-2"/>
          <c:y val="0.11466267420797772"/>
          <c:w val="0.91585760517799353"/>
          <c:h val="0.38824834395700841"/>
        </c:manualLayout>
      </c:layout>
      <c:lineChart>
        <c:grouping val="standard"/>
        <c:ser>
          <c:idx val="0"/>
          <c:order val="0"/>
          <c:tx>
            <c:strRef>
              <c:f>Sheet1!$A$2</c:f>
              <c:strCache>
                <c:ptCount val="1"/>
                <c:pt idx="0">
                  <c:v>I полугодие 2013 года</c:v>
                </c:pt>
              </c:strCache>
            </c:strRef>
          </c:tx>
          <c:spPr>
            <a:ln w="24130">
              <a:solidFill>
                <a:srgbClr val="000080"/>
              </a:solidFill>
              <a:prstDash val="solid"/>
            </a:ln>
          </c:spPr>
          <c:marker>
            <c:symbol val="diamond"/>
            <c:size val="2"/>
            <c:spPr>
              <a:solidFill>
                <a:srgbClr val="000080"/>
              </a:solidFill>
              <a:ln>
                <a:solidFill>
                  <a:srgbClr val="000080"/>
                </a:solidFill>
                <a:prstDash val="solid"/>
              </a:ln>
            </c:spPr>
          </c:marker>
          <c:dLbls>
            <c:dLbl>
              <c:idx val="0"/>
              <c:layout>
                <c:manualLayout>
                  <c:x val="3.2697859882899256E-2"/>
                  <c:y val="2.97176551561192E-2"/>
                </c:manualLayout>
              </c:layout>
              <c:dLblPos val="t"/>
              <c:showVal val="1"/>
            </c:dLbl>
            <c:dLbl>
              <c:idx val="1"/>
              <c:layout>
                <c:manualLayout>
                  <c:x val="-1.4723231711420691E-2"/>
                  <c:y val="4.7464665508360773E-2"/>
                </c:manualLayout>
              </c:layout>
              <c:dLblPos val="t"/>
              <c:showVal val="1"/>
            </c:dLbl>
            <c:dLbl>
              <c:idx val="2"/>
              <c:layout>
                <c:manualLayout>
                  <c:x val="0"/>
                  <c:y val="5.6036375734723323E-2"/>
                </c:manualLayout>
              </c:layout>
              <c:dLblPos val="t"/>
              <c:showVal val="1"/>
            </c:dLbl>
            <c:dLbl>
              <c:idx val="3"/>
              <c:layout>
                <c:manualLayout>
                  <c:x val="3.8443031159566592E-2"/>
                  <c:y val="4.3385949995687158E-2"/>
                </c:manualLayout>
              </c:layout>
              <c:dLblPos val="t"/>
              <c:showVal val="1"/>
            </c:dLbl>
            <c:dLbl>
              <c:idx val="4"/>
              <c:layout>
                <c:manualLayout>
                  <c:x val="3.2023857594724335E-2"/>
                  <c:y val="4.3987036831663932E-2"/>
                </c:manualLayout>
              </c:layout>
              <c:dLblPos val="t"/>
              <c:showVal val="1"/>
            </c:dLbl>
            <c:dLbl>
              <c:idx val="5"/>
              <c:layout>
                <c:manualLayout>
                  <c:x val="-2.8818443804034581E-2"/>
                  <c:y val="9.905894006934382E-3"/>
                </c:manualLayout>
              </c:layout>
              <c:dLblPos val="t"/>
              <c:showVal val="1"/>
            </c:dLbl>
            <c:dLbl>
              <c:idx val="6"/>
              <c:layout>
                <c:manualLayout>
                  <c:x val="5.9792045225116946E-3"/>
                  <c:y val="4.1535723527516812E-2"/>
                </c:manualLayout>
              </c:layout>
              <c:dLblPos val="t"/>
              <c:showVal val="1"/>
            </c:dLbl>
            <c:dLbl>
              <c:idx val="7"/>
              <c:layout>
                <c:manualLayout>
                  <c:x val="8.0974493572918763E-3"/>
                  <c:y val="6.8308750138627083E-2"/>
                </c:manualLayout>
              </c:layout>
              <c:dLblPos val="t"/>
              <c:showVal val="1"/>
            </c:dLbl>
            <c:dLbl>
              <c:idx val="8"/>
              <c:layout>
                <c:manualLayout>
                  <c:x val="2.136752136752137E-3"/>
                  <c:y val="5.4440378051335184E-2"/>
                </c:manualLayout>
              </c:layout>
              <c:dLblPos val="t"/>
              <c:showVal val="1"/>
            </c:dLbl>
            <c:dLbl>
              <c:idx val="10"/>
              <c:layout>
                <c:manualLayout>
                  <c:x val="2.3270240258429681E-2"/>
                  <c:y val="6.9257575197466517E-2"/>
                </c:manualLayout>
              </c:layout>
              <c:dLblPos val="t"/>
              <c:showVal val="1"/>
            </c:dLbl>
            <c:dLbl>
              <c:idx val="11"/>
              <c:layout>
                <c:manualLayout>
                  <c:x val="-7.8346673280127366E-17"/>
                  <c:y val="9.3896713615023528E-3"/>
                </c:manualLayout>
              </c:layout>
              <c:dLblPos val="t"/>
              <c:showVal val="1"/>
            </c:dLbl>
            <c:dLbl>
              <c:idx val="12"/>
              <c:layout>
                <c:manualLayout>
                  <c:x val="-5.7638468268389476E-3"/>
                  <c:y val="4.6098278811039034E-2"/>
                </c:manualLayout>
              </c:layout>
              <c:dLblPos val="t"/>
              <c:showVal val="1"/>
            </c:dLbl>
            <c:dLbl>
              <c:idx val="13"/>
              <c:layout>
                <c:manualLayout>
                  <c:x val="0"/>
                  <c:y val="4.1604754829123423E-2"/>
                </c:manualLayout>
              </c:layout>
              <c:dLblPos val="t"/>
              <c:showVal val="1"/>
            </c:dLbl>
            <c:dLbl>
              <c:idx val="14"/>
              <c:layout>
                <c:manualLayout>
                  <c:x val="0"/>
                  <c:y val="4.9776665240789088E-2"/>
                </c:manualLayout>
              </c:layout>
              <c:dLblPos val="t"/>
              <c:showVal val="1"/>
            </c:dLbl>
            <c:dLbl>
              <c:idx val="15"/>
              <c:layout>
                <c:manualLayout>
                  <c:x val="1.8153139511407439E-2"/>
                  <c:y val="5.2459428486932087E-2"/>
                </c:manualLayout>
              </c:layout>
              <c:dLblPos val="t"/>
              <c:showVal val="1"/>
            </c:dLbl>
            <c:dLbl>
              <c:idx val="16"/>
              <c:layout>
                <c:manualLayout>
                  <c:x val="2.9464970724813702E-2"/>
                  <c:y val="5.4756817369659781E-2"/>
                </c:manualLayout>
              </c:layout>
              <c:dLblPos val="t"/>
              <c:showVal val="1"/>
            </c:dLbl>
            <c:dLbl>
              <c:idx val="17"/>
              <c:layout>
                <c:manualLayout>
                  <c:x val="3.079514099199139E-2"/>
                  <c:y val="1.5946294384434824E-2"/>
                </c:manualLayout>
              </c:layout>
              <c:dLblPos val="t"/>
              <c:showVal val="1"/>
            </c:dLbl>
            <c:dLbl>
              <c:idx val="18"/>
              <c:layout>
                <c:manualLayout>
                  <c:x val="-3.4188034188034191E-2"/>
                  <c:y val="2.1986840686010457E-2"/>
                </c:manualLayout>
              </c:layout>
              <c:dLblPos val="t"/>
              <c:showVal val="1"/>
            </c:dLbl>
            <c:dLblPos val="t"/>
            <c:showVal val="1"/>
          </c:dLbls>
          <c:cat>
            <c:strRef>
              <c:f>Sheet1!$B$1:$T$1</c:f>
              <c:strCache>
                <c:ptCount val="19"/>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Заготовки</c:v>
                </c:pt>
                <c:pt idx="10">
                  <c:v>Операции с недвиж. Имуществом</c:v>
                </c:pt>
                <c:pt idx="11">
                  <c:v>Общая комерческая деятельность</c:v>
                </c:pt>
                <c:pt idx="12">
                  <c:v>ЖКХ</c:v>
                </c:pt>
                <c:pt idx="13">
                  <c:v>Здравоохранение</c:v>
                </c:pt>
                <c:pt idx="14">
                  <c:v>Образование</c:v>
                </c:pt>
                <c:pt idx="15">
                  <c:v>Культура и искусство</c:v>
                </c:pt>
                <c:pt idx="16">
                  <c:v>Физкультура отдых и туризм</c:v>
                </c:pt>
                <c:pt idx="17">
                  <c:v>Банки и кредитование</c:v>
                </c:pt>
                <c:pt idx="18">
                  <c:v>Страхование</c:v>
                </c:pt>
              </c:strCache>
            </c:strRef>
          </c:cat>
          <c:val>
            <c:numRef>
              <c:f>Sheet1!$B$2:$T$2</c:f>
              <c:numCache>
                <c:formatCode>General</c:formatCode>
                <c:ptCount val="19"/>
                <c:pt idx="0">
                  <c:v>4711</c:v>
                </c:pt>
                <c:pt idx="1">
                  <c:v>2800</c:v>
                </c:pt>
                <c:pt idx="2">
                  <c:v>1798</c:v>
                </c:pt>
                <c:pt idx="3">
                  <c:v>3791</c:v>
                </c:pt>
                <c:pt idx="4">
                  <c:v>6244</c:v>
                </c:pt>
                <c:pt idx="5">
                  <c:v>4137</c:v>
                </c:pt>
                <c:pt idx="6">
                  <c:v>1729</c:v>
                </c:pt>
                <c:pt idx="7" formatCode="0">
                  <c:v>4246</c:v>
                </c:pt>
                <c:pt idx="8" formatCode="0">
                  <c:v>3479</c:v>
                </c:pt>
                <c:pt idx="9" formatCode="0">
                  <c:v>2727</c:v>
                </c:pt>
                <c:pt idx="10" formatCode="0">
                  <c:v>3745</c:v>
                </c:pt>
                <c:pt idx="11" formatCode="0">
                  <c:v>4169</c:v>
                </c:pt>
                <c:pt idx="12" formatCode="0">
                  <c:v>3616</c:v>
                </c:pt>
                <c:pt idx="13" formatCode="0">
                  <c:v>2448</c:v>
                </c:pt>
                <c:pt idx="14" formatCode="0">
                  <c:v>2388</c:v>
                </c:pt>
                <c:pt idx="15" formatCode="0">
                  <c:v>2215</c:v>
                </c:pt>
                <c:pt idx="16" formatCode="0">
                  <c:v>4333</c:v>
                </c:pt>
                <c:pt idx="17" formatCode="0">
                  <c:v>7986</c:v>
                </c:pt>
                <c:pt idx="18" formatCode="0">
                  <c:v>5670</c:v>
                </c:pt>
              </c:numCache>
            </c:numRef>
          </c:val>
        </c:ser>
        <c:ser>
          <c:idx val="1"/>
          <c:order val="1"/>
          <c:tx>
            <c:strRef>
              <c:f>Sheet1!$A$3</c:f>
              <c:strCache>
                <c:ptCount val="1"/>
                <c:pt idx="0">
                  <c:v>I полугодие 2014 года</c:v>
                </c:pt>
              </c:strCache>
            </c:strRef>
          </c:tx>
          <c:spPr>
            <a:ln w="24130">
              <a:solidFill>
                <a:srgbClr val="FF9900"/>
              </a:solidFill>
              <a:prstDash val="solid"/>
            </a:ln>
          </c:spPr>
          <c:marker>
            <c:symbol val="circle"/>
            <c:size val="2"/>
            <c:spPr>
              <a:solidFill>
                <a:srgbClr val="FF9900"/>
              </a:solidFill>
              <a:ln>
                <a:solidFill>
                  <a:srgbClr val="FF9900"/>
                </a:solidFill>
                <a:prstDash val="solid"/>
              </a:ln>
            </c:spPr>
          </c:marker>
          <c:dLbls>
            <c:dLbl>
              <c:idx val="0"/>
              <c:layout>
                <c:manualLayout>
                  <c:x val="1.7291066282420754E-2"/>
                  <c:y val="3.9623576027736605E-3"/>
                </c:manualLayout>
              </c:layout>
              <c:dLblPos val="t"/>
              <c:showVal val="1"/>
            </c:dLbl>
            <c:dLbl>
              <c:idx val="1"/>
              <c:layout>
                <c:manualLayout>
                  <c:x val="2.113352545629205E-2"/>
                  <c:y val="1.1887072808320961E-2"/>
                </c:manualLayout>
              </c:layout>
              <c:dLblPos val="t"/>
              <c:showVal val="1"/>
            </c:dLbl>
            <c:dLbl>
              <c:idx val="2"/>
              <c:layout>
                <c:manualLayout>
                  <c:x val="-6.4102564102564491E-3"/>
                  <c:y val="-7.8277886497064575E-3"/>
                </c:manualLayout>
              </c:layout>
              <c:dLblPos val="t"/>
              <c:showVal val="1"/>
            </c:dLbl>
            <c:dLbl>
              <c:idx val="3"/>
              <c:layout>
                <c:manualLayout>
                  <c:x val="-2.3054755043227668E-2"/>
                  <c:y val="1.7830609212481481E-2"/>
                </c:manualLayout>
              </c:layout>
              <c:dLblPos val="t"/>
              <c:showVal val="1"/>
            </c:dLbl>
            <c:dLbl>
              <c:idx val="4"/>
              <c:layout>
                <c:manualLayout>
                  <c:x val="2.1618211185140492E-3"/>
                  <c:y val="2.5006592485798451E-2"/>
                </c:manualLayout>
              </c:layout>
              <c:dLblPos val="t"/>
              <c:showVal val="1"/>
            </c:dLbl>
            <c:dLbl>
              <c:idx val="5"/>
              <c:layout>
                <c:manualLayout>
                  <c:x val="1.9212295869356393E-2"/>
                  <c:y val="0"/>
                </c:manualLayout>
              </c:layout>
              <c:dLblPos val="t"/>
              <c:showVal val="1"/>
            </c:dLbl>
            <c:dLbl>
              <c:idx val="6"/>
              <c:layout>
                <c:manualLayout>
                  <c:x val="0"/>
                  <c:y val="-2.049084874791841E-2"/>
                </c:manualLayout>
              </c:layout>
              <c:dLblPos val="t"/>
              <c:showVal val="1"/>
            </c:dLbl>
            <c:dLbl>
              <c:idx val="7"/>
              <c:layout>
                <c:manualLayout>
                  <c:x val="-4.3105188774479364E-4"/>
                  <c:y val="1.6281838009685721E-2"/>
                </c:manualLayout>
              </c:layout>
              <c:dLblPos val="t"/>
              <c:showVal val="1"/>
            </c:dLbl>
            <c:dLbl>
              <c:idx val="8"/>
              <c:layout>
                <c:manualLayout>
                  <c:x val="2.136752136752137E-3"/>
                  <c:y val="9.4882505883947706E-4"/>
                </c:manualLayout>
              </c:layout>
              <c:dLblPos val="t"/>
              <c:showVal val="1"/>
            </c:dLbl>
            <c:dLbl>
              <c:idx val="10"/>
              <c:layout>
                <c:manualLayout>
                  <c:x val="1.9397334948516285E-3"/>
                  <c:y val="2.0603058420514938E-3"/>
                </c:manualLayout>
              </c:layout>
              <c:dLblPos val="t"/>
              <c:showVal val="1"/>
            </c:dLbl>
            <c:dLbl>
              <c:idx val="11"/>
              <c:layout>
                <c:manualLayout>
                  <c:x val="-6.1947304663840085E-3"/>
                  <c:y val="6.6960186314738823E-2"/>
                </c:manualLayout>
              </c:layout>
              <c:dLblPos val="t"/>
              <c:showVal val="1"/>
            </c:dLbl>
            <c:dLbl>
              <c:idx val="12"/>
              <c:layout>
                <c:manualLayout>
                  <c:x val="1.6644457904300441E-2"/>
                  <c:y val="1.3984449126957871E-2"/>
                </c:manualLayout>
              </c:layout>
              <c:dLblPos val="t"/>
              <c:showVal val="1"/>
            </c:dLbl>
            <c:dLbl>
              <c:idx val="13"/>
              <c:layout>
                <c:manualLayout>
                  <c:x val="-2.1369203849518808E-3"/>
                  <c:y val="-1.6904736223040681E-3"/>
                </c:manualLayout>
              </c:layout>
              <c:dLblPos val="t"/>
              <c:showVal val="1"/>
            </c:dLbl>
            <c:dLbl>
              <c:idx val="16"/>
              <c:layout>
                <c:manualLayout>
                  <c:x val="-2.4975984630163352E-2"/>
                  <c:y val="1.7830609212481481E-2"/>
                </c:manualLayout>
              </c:layout>
              <c:dLblPos val="t"/>
              <c:showVal val="1"/>
            </c:dLbl>
            <c:dLbl>
              <c:idx val="18"/>
              <c:layout>
                <c:manualLayout>
                  <c:x val="-7.0765192812437538E-3"/>
                  <c:y val="4.2409767272241813E-2"/>
                </c:manualLayout>
              </c:layout>
              <c:dLblPos val="t"/>
              <c:showVal val="1"/>
            </c:dLbl>
            <c:dLblPos val="t"/>
            <c:showVal val="1"/>
          </c:dLbls>
          <c:cat>
            <c:strRef>
              <c:f>Sheet1!$B$1:$T$1</c:f>
              <c:strCache>
                <c:ptCount val="19"/>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Заготовки</c:v>
                </c:pt>
                <c:pt idx="10">
                  <c:v>Операции с недвиж. Имуществом</c:v>
                </c:pt>
                <c:pt idx="11">
                  <c:v>Общая комерческая деятельность</c:v>
                </c:pt>
                <c:pt idx="12">
                  <c:v>ЖКХ</c:v>
                </c:pt>
                <c:pt idx="13">
                  <c:v>Здравоохранение</c:v>
                </c:pt>
                <c:pt idx="14">
                  <c:v>Образование</c:v>
                </c:pt>
                <c:pt idx="15">
                  <c:v>Культура и искусство</c:v>
                </c:pt>
                <c:pt idx="16">
                  <c:v>Физкультура отдых и туризм</c:v>
                </c:pt>
                <c:pt idx="17">
                  <c:v>Банки и кредитование</c:v>
                </c:pt>
                <c:pt idx="18">
                  <c:v>Страхование</c:v>
                </c:pt>
              </c:strCache>
            </c:strRef>
          </c:cat>
          <c:val>
            <c:numRef>
              <c:f>Sheet1!$B$3:$T$3</c:f>
              <c:numCache>
                <c:formatCode>0</c:formatCode>
                <c:ptCount val="19"/>
                <c:pt idx="0" formatCode="General">
                  <c:v>5102</c:v>
                </c:pt>
                <c:pt idx="1">
                  <c:v>3175</c:v>
                </c:pt>
                <c:pt idx="2" formatCode="General">
                  <c:v>1927</c:v>
                </c:pt>
                <c:pt idx="3" formatCode="General">
                  <c:v>4300</c:v>
                </c:pt>
                <c:pt idx="4" formatCode="General">
                  <c:v>6781</c:v>
                </c:pt>
                <c:pt idx="5" formatCode="General">
                  <c:v>5006</c:v>
                </c:pt>
                <c:pt idx="6" formatCode="General">
                  <c:v>1982</c:v>
                </c:pt>
                <c:pt idx="7">
                  <c:v>4317</c:v>
                </c:pt>
                <c:pt idx="8">
                  <c:v>4261</c:v>
                </c:pt>
                <c:pt idx="9">
                  <c:v>5081</c:v>
                </c:pt>
                <c:pt idx="10">
                  <c:v>4235</c:v>
                </c:pt>
                <c:pt idx="11">
                  <c:v>4303</c:v>
                </c:pt>
                <c:pt idx="12">
                  <c:v>4051</c:v>
                </c:pt>
                <c:pt idx="13">
                  <c:v>2719</c:v>
                </c:pt>
                <c:pt idx="14">
                  <c:v>2714</c:v>
                </c:pt>
                <c:pt idx="15">
                  <c:v>2490</c:v>
                </c:pt>
                <c:pt idx="16">
                  <c:v>5061</c:v>
                </c:pt>
                <c:pt idx="17">
                  <c:v>8308</c:v>
                </c:pt>
                <c:pt idx="18">
                  <c:v>5439</c:v>
                </c:pt>
              </c:numCache>
            </c:numRef>
          </c:val>
        </c:ser>
        <c:ser>
          <c:idx val="2"/>
          <c:order val="2"/>
          <c:tx>
            <c:strRef>
              <c:f>Sheet1!$A$4</c:f>
              <c:strCache>
                <c:ptCount val="1"/>
                <c:pt idx="0">
                  <c:v>средняя заработная плата в целом по республике за  2014 год</c:v>
                </c:pt>
              </c:strCache>
            </c:strRef>
          </c:tx>
          <c:spPr>
            <a:ln w="24130">
              <a:solidFill>
                <a:srgbClr val="008080"/>
              </a:solidFill>
              <a:prstDash val="solid"/>
            </a:ln>
          </c:spPr>
          <c:marker>
            <c:symbol val="triangle"/>
            <c:size val="2"/>
            <c:spPr>
              <a:solidFill>
                <a:srgbClr val="008080"/>
              </a:solidFill>
              <a:ln>
                <a:solidFill>
                  <a:srgbClr val="008080"/>
                </a:solidFill>
                <a:prstDash val="solid"/>
              </a:ln>
            </c:spPr>
          </c:marker>
          <c:cat>
            <c:strRef>
              <c:f>Sheet1!$B$1:$T$1</c:f>
              <c:strCache>
                <c:ptCount val="19"/>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Заготовки</c:v>
                </c:pt>
                <c:pt idx="10">
                  <c:v>Операции с недвиж. Имуществом</c:v>
                </c:pt>
                <c:pt idx="11">
                  <c:v>Общая комерческая деятельность</c:v>
                </c:pt>
                <c:pt idx="12">
                  <c:v>ЖКХ</c:v>
                </c:pt>
                <c:pt idx="13">
                  <c:v>Здравоохранение</c:v>
                </c:pt>
                <c:pt idx="14">
                  <c:v>Образование</c:v>
                </c:pt>
                <c:pt idx="15">
                  <c:v>Культура и искусство</c:v>
                </c:pt>
                <c:pt idx="16">
                  <c:v>Физкультура отдых и туризм</c:v>
                </c:pt>
                <c:pt idx="17">
                  <c:v>Банки и кредитование</c:v>
                </c:pt>
                <c:pt idx="18">
                  <c:v>Страхование</c:v>
                </c:pt>
              </c:strCache>
            </c:strRef>
          </c:cat>
          <c:val>
            <c:numRef>
              <c:f>Sheet1!$B$4:$T$4</c:f>
              <c:numCache>
                <c:formatCode>General</c:formatCode>
                <c:ptCount val="19"/>
                <c:pt idx="0">
                  <c:v>4020</c:v>
                </c:pt>
                <c:pt idx="1">
                  <c:v>4020</c:v>
                </c:pt>
                <c:pt idx="2">
                  <c:v>4020</c:v>
                </c:pt>
                <c:pt idx="3">
                  <c:v>4020</c:v>
                </c:pt>
                <c:pt idx="4">
                  <c:v>4020</c:v>
                </c:pt>
                <c:pt idx="5">
                  <c:v>4020</c:v>
                </c:pt>
                <c:pt idx="6">
                  <c:v>4020</c:v>
                </c:pt>
                <c:pt idx="7">
                  <c:v>4020</c:v>
                </c:pt>
                <c:pt idx="8">
                  <c:v>4020</c:v>
                </c:pt>
                <c:pt idx="9">
                  <c:v>4020</c:v>
                </c:pt>
                <c:pt idx="10">
                  <c:v>4020</c:v>
                </c:pt>
                <c:pt idx="11">
                  <c:v>4020</c:v>
                </c:pt>
                <c:pt idx="12">
                  <c:v>4020</c:v>
                </c:pt>
                <c:pt idx="13">
                  <c:v>4020</c:v>
                </c:pt>
                <c:pt idx="14">
                  <c:v>4020</c:v>
                </c:pt>
                <c:pt idx="15">
                  <c:v>4020</c:v>
                </c:pt>
                <c:pt idx="16">
                  <c:v>4020</c:v>
                </c:pt>
                <c:pt idx="17">
                  <c:v>4020</c:v>
                </c:pt>
                <c:pt idx="18">
                  <c:v>4020</c:v>
                </c:pt>
              </c:numCache>
            </c:numRef>
          </c:val>
        </c:ser>
        <c:marker val="1"/>
        <c:axId val="167760640"/>
        <c:axId val="167762560"/>
      </c:lineChart>
      <c:catAx>
        <c:axId val="167760640"/>
        <c:scaling>
          <c:orientation val="minMax"/>
        </c:scaling>
        <c:axPos val="b"/>
        <c:numFmt formatCode="General" sourceLinked="1"/>
        <c:tickLblPos val="nextTo"/>
        <c:spPr>
          <a:ln w="3016">
            <a:solidFill>
              <a:srgbClr val="000000"/>
            </a:solidFill>
            <a:prstDash val="solid"/>
          </a:ln>
        </c:spPr>
        <c:txPr>
          <a:bodyPr rot="-5400000" vert="horz"/>
          <a:lstStyle/>
          <a:p>
            <a:pPr>
              <a:defRPr/>
            </a:pPr>
            <a:endParaRPr lang="ru-RU"/>
          </a:p>
        </c:txPr>
        <c:crossAx val="167762560"/>
        <c:crosses val="autoZero"/>
        <c:auto val="1"/>
        <c:lblAlgn val="ctr"/>
        <c:lblOffset val="200"/>
        <c:tickLblSkip val="1"/>
        <c:tickMarkSkip val="1"/>
      </c:catAx>
      <c:valAx>
        <c:axId val="167762560"/>
        <c:scaling>
          <c:orientation val="minMax"/>
          <c:max val="9000"/>
          <c:min val="1000"/>
        </c:scaling>
        <c:axPos val="l"/>
        <c:numFmt formatCode="General" sourceLinked="0"/>
        <c:tickLblPos val="nextTo"/>
        <c:spPr>
          <a:ln w="3016">
            <a:solidFill>
              <a:srgbClr val="000000"/>
            </a:solidFill>
            <a:prstDash val="solid"/>
          </a:ln>
        </c:spPr>
        <c:txPr>
          <a:bodyPr rot="0" vert="horz"/>
          <a:lstStyle/>
          <a:p>
            <a:pPr>
              <a:defRPr/>
            </a:pPr>
            <a:endParaRPr lang="ru-RU"/>
          </a:p>
        </c:txPr>
        <c:crossAx val="167760640"/>
        <c:crosses val="autoZero"/>
        <c:crossBetween val="between"/>
        <c:majorUnit val="500"/>
      </c:valAx>
    </c:plotArea>
    <c:legend>
      <c:legendPos val="r"/>
      <c:layout>
        <c:manualLayout>
          <c:xMode val="edge"/>
          <c:yMode val="edge"/>
          <c:x val="3.6503400333744232E-2"/>
          <c:y val="0.92364454443194599"/>
          <c:w val="0.90074428736753764"/>
          <c:h val="7.6259842519684248E-2"/>
        </c:manualLayout>
      </c:layout>
      <c:spPr>
        <a:solidFill>
          <a:srgbClr val="FFFFFF"/>
        </a:solidFill>
        <a:ln w="3016">
          <a:noFill/>
          <a:prstDash val="solid"/>
        </a:ln>
      </c:spPr>
    </c:legend>
    <c:plotVisOnly val="1"/>
    <c:dispBlanksAs val="gap"/>
  </c:chart>
  <c:spPr>
    <a:noFill/>
    <a:ln>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ru-RU" sz="1200"/>
              <a:t>Динамика оплаты труда в организациях внебюджетного сектора, руб. ПМР</a:t>
            </a:r>
            <a:endParaRPr lang="ru-RU" sz="1200">
              <a:solidFill>
                <a:srgbClr val="FF0000"/>
              </a:solidFill>
            </a:endParaRPr>
          </a:p>
        </c:rich>
      </c:tx>
      <c:layout>
        <c:manualLayout>
          <c:xMode val="edge"/>
          <c:yMode val="edge"/>
          <c:x val="0.20669997981021604"/>
          <c:y val="5.6943499346532862E-4"/>
        </c:manualLayout>
      </c:layout>
      <c:spPr>
        <a:noFill/>
        <a:ln w="23940">
          <a:noFill/>
        </a:ln>
      </c:spPr>
    </c:title>
    <c:plotArea>
      <c:layout>
        <c:manualLayout>
          <c:layoutTarget val="inner"/>
          <c:xMode val="edge"/>
          <c:yMode val="edge"/>
          <c:x val="8.2768860623191345E-2"/>
          <c:y val="8.1280969242294498E-2"/>
          <c:w val="0.88247863247864011"/>
          <c:h val="0.45666531929915338"/>
        </c:manualLayout>
      </c:layout>
      <c:lineChart>
        <c:grouping val="standard"/>
        <c:ser>
          <c:idx val="0"/>
          <c:order val="0"/>
          <c:tx>
            <c:strRef>
              <c:f>Sheet1!$A$2</c:f>
              <c:strCache>
                <c:ptCount val="1"/>
                <c:pt idx="0">
                  <c:v>  I полугодие 2013 года</c:v>
                </c:pt>
              </c:strCache>
            </c:strRef>
          </c:tx>
          <c:spPr>
            <a:ln w="22946">
              <a:solidFill>
                <a:srgbClr val="000080"/>
              </a:solidFill>
              <a:prstDash val="solid"/>
            </a:ln>
          </c:spPr>
          <c:marker>
            <c:symbol val="diamond"/>
            <c:size val="2"/>
            <c:spPr>
              <a:solidFill>
                <a:srgbClr val="000080"/>
              </a:solidFill>
              <a:ln>
                <a:solidFill>
                  <a:srgbClr val="000080"/>
                </a:solidFill>
                <a:prstDash val="solid"/>
              </a:ln>
            </c:spPr>
          </c:marker>
          <c:dLbls>
            <c:dLbl>
              <c:idx val="0"/>
              <c:layout>
                <c:manualLayout>
                  <c:x val="-2.7531505370339788E-2"/>
                  <c:y val="3.3331590812559271E-2"/>
                </c:manualLayout>
              </c:layout>
              <c:dLblPos val="r"/>
              <c:showVal val="1"/>
            </c:dLbl>
            <c:dLbl>
              <c:idx val="3"/>
              <c:layout>
                <c:manualLayout>
                  <c:x val="-1.9638426580532463E-2"/>
                  <c:y val="7.8215223097112922E-3"/>
                </c:manualLayout>
              </c:layout>
              <c:dLblPos val="r"/>
              <c:showVal val="1"/>
            </c:dLbl>
            <c:dLbl>
              <c:idx val="4"/>
              <c:layout>
                <c:manualLayout>
                  <c:x val="2.0169594185342177E-3"/>
                  <c:y val="9.5675641351284004E-3"/>
                </c:manualLayout>
              </c:layout>
              <c:dLblPos val="r"/>
              <c:showVal val="1"/>
            </c:dLbl>
            <c:dLbl>
              <c:idx val="6"/>
              <c:layout>
                <c:manualLayout>
                  <c:x val="0"/>
                  <c:y val="5.4869684499315279E-3"/>
                </c:manualLayout>
              </c:layout>
              <c:dLblPos val="r"/>
              <c:showVal val="1"/>
            </c:dLbl>
            <c:dLbl>
              <c:idx val="8"/>
              <c:layout>
                <c:manualLayout>
                  <c:x val="-3.7342119714442616E-2"/>
                  <c:y val="1.9613319939945785E-2"/>
                </c:manualLayout>
              </c:layout>
              <c:dLblPos val="r"/>
              <c:showVal val="1"/>
            </c:dLbl>
            <c:dLbl>
              <c:idx val="9"/>
              <c:layout>
                <c:manualLayout>
                  <c:x val="-2.8041254458577292E-2"/>
                  <c:y val="2.1465441819772592E-2"/>
                </c:manualLayout>
              </c:layout>
              <c:dLblPos val="r"/>
              <c:showVal val="1"/>
            </c:dLbl>
            <c:dLbl>
              <c:idx val="13"/>
              <c:layout>
                <c:manualLayout>
                  <c:x val="-1.4071877378964001E-2"/>
                  <c:y val="1.1065006915629319E-2"/>
                </c:manualLayout>
              </c:layout>
              <c:dLblPos val="r"/>
              <c:showVal val="1"/>
            </c:dLbl>
            <c:dLbl>
              <c:idx val="14"/>
              <c:layout>
                <c:manualLayout>
                  <c:x val="-3.0490611750454272E-2"/>
                  <c:y val="4.6649309965286649E-2"/>
                </c:manualLayout>
              </c:layout>
              <c:dLblPos val="r"/>
              <c:showVal val="1"/>
            </c:dLbl>
            <c:dLbl>
              <c:idx val="16"/>
              <c:layout>
                <c:manualLayout>
                  <c:x val="-2.8457497178585801E-2"/>
                  <c:y val="-1.8931769331302983E-2"/>
                </c:manualLayout>
              </c:layout>
              <c:dLblPos val="r"/>
              <c:showVal val="1"/>
            </c:dLbl>
            <c:dLbl>
              <c:idx val="17"/>
              <c:layout>
                <c:manualLayout>
                  <c:x val="-4.8270613619755466E-2"/>
                  <c:y val="3.3330741064774412E-2"/>
                </c:manualLayout>
              </c:layout>
              <c:dLblPos val="r"/>
              <c:showVal val="1"/>
            </c:dLbl>
            <c:dLbl>
              <c:idx val="18"/>
              <c:layout>
                <c:manualLayout>
                  <c:x val="-2.9914529914529909E-2"/>
                  <c:y val="-4.7316272965879584E-2"/>
                </c:manualLayout>
              </c:layout>
              <c:dLblPos val="r"/>
              <c:showVal val="1"/>
            </c:dLbl>
            <c:txPr>
              <a:bodyPr/>
              <a:lstStyle/>
              <a:p>
                <a:pPr>
                  <a:defRPr sz="763">
                    <a:latin typeface="Times New Roman" pitchFamily="18" charset="0"/>
                    <a:cs typeface="Times New Roman" pitchFamily="18" charset="0"/>
                  </a:defRPr>
                </a:pPr>
                <a:endParaRPr lang="ru-RU"/>
              </a:p>
            </c:txPr>
            <c:dLblPos val="b"/>
            <c:showVal val="1"/>
          </c:dLbls>
          <c:cat>
            <c:strRef>
              <c:f>Sheet1!$B$1:$T$1</c:f>
              <c:strCache>
                <c:ptCount val="19"/>
                <c:pt idx="0">
                  <c:v>Промышленность</c:v>
                </c:pt>
                <c:pt idx="1">
                  <c:v>Сельское хозяйство</c:v>
                </c:pt>
                <c:pt idx="2">
                  <c:v>Лесное хозяйство</c:v>
                </c:pt>
                <c:pt idx="3">
                  <c:v>Транспорт</c:v>
                </c:pt>
                <c:pt idx="4">
                  <c:v>Связь</c:v>
                </c:pt>
                <c:pt idx="5">
                  <c:v>Строительство</c:v>
                </c:pt>
                <c:pt idx="6">
                  <c:v>Торговля и общепит</c:v>
                </c:pt>
                <c:pt idx="7">
                  <c:v>Материально-тех. снабжение</c:v>
                </c:pt>
                <c:pt idx="8">
                  <c:v>Заготовки</c:v>
                </c:pt>
                <c:pt idx="9">
                  <c:v>Операции с недвиж. Имуществом</c:v>
                </c:pt>
                <c:pt idx="10">
                  <c:v>Общая комерческая деятельность</c:v>
                </c:pt>
                <c:pt idx="11">
                  <c:v>ЖКХ</c:v>
                </c:pt>
                <c:pt idx="12">
                  <c:v>Бытовое обслуживание</c:v>
                </c:pt>
                <c:pt idx="13">
                  <c:v>Здравоохранение</c:v>
                </c:pt>
                <c:pt idx="14">
                  <c:v>Образование</c:v>
                </c:pt>
                <c:pt idx="15">
                  <c:v>Культура и искусство</c:v>
                </c:pt>
                <c:pt idx="16">
                  <c:v>Физкультура отдых и туризм</c:v>
                </c:pt>
                <c:pt idx="17">
                  <c:v>Банки и кредитование</c:v>
                </c:pt>
                <c:pt idx="18">
                  <c:v>Страхование</c:v>
                </c:pt>
              </c:strCache>
            </c:strRef>
          </c:cat>
          <c:val>
            <c:numRef>
              <c:f>Sheet1!$B$2:$T$2</c:f>
              <c:numCache>
                <c:formatCode>General</c:formatCode>
                <c:ptCount val="19"/>
                <c:pt idx="0">
                  <c:v>4711</c:v>
                </c:pt>
                <c:pt idx="1">
                  <c:v>2891</c:v>
                </c:pt>
                <c:pt idx="2">
                  <c:v>1798</c:v>
                </c:pt>
                <c:pt idx="3">
                  <c:v>3818</c:v>
                </c:pt>
                <c:pt idx="4">
                  <c:v>5982</c:v>
                </c:pt>
                <c:pt idx="5">
                  <c:v>4038</c:v>
                </c:pt>
                <c:pt idx="6" formatCode="0">
                  <c:v>4376</c:v>
                </c:pt>
                <c:pt idx="7" formatCode="0">
                  <c:v>2187</c:v>
                </c:pt>
                <c:pt idx="8" formatCode="0">
                  <c:v>2727</c:v>
                </c:pt>
                <c:pt idx="9" formatCode="0">
                  <c:v>3745</c:v>
                </c:pt>
                <c:pt idx="10" formatCode="0">
                  <c:v>4169</c:v>
                </c:pt>
                <c:pt idx="11" formatCode="0">
                  <c:v>3635</c:v>
                </c:pt>
                <c:pt idx="12" formatCode="0">
                  <c:v>2541</c:v>
                </c:pt>
                <c:pt idx="13" formatCode="0">
                  <c:v>3229</c:v>
                </c:pt>
                <c:pt idx="14" formatCode="0">
                  <c:v>5396</c:v>
                </c:pt>
                <c:pt idx="15" formatCode="0">
                  <c:v>2782</c:v>
                </c:pt>
                <c:pt idx="16" formatCode="0">
                  <c:v>8618</c:v>
                </c:pt>
                <c:pt idx="17" formatCode="0">
                  <c:v>7967</c:v>
                </c:pt>
                <c:pt idx="18" formatCode="0">
                  <c:v>5670</c:v>
                </c:pt>
              </c:numCache>
            </c:numRef>
          </c:val>
        </c:ser>
        <c:ser>
          <c:idx val="1"/>
          <c:order val="1"/>
          <c:tx>
            <c:strRef>
              <c:f>Sheet1!$A$3</c:f>
              <c:strCache>
                <c:ptCount val="1"/>
                <c:pt idx="0">
                  <c:v>   I полугодие 2014 года</c:v>
                </c:pt>
              </c:strCache>
            </c:strRef>
          </c:tx>
          <c:spPr>
            <a:ln w="22946">
              <a:solidFill>
                <a:srgbClr val="FF9900"/>
              </a:solidFill>
              <a:prstDash val="solid"/>
            </a:ln>
          </c:spPr>
          <c:marker>
            <c:symbol val="circle"/>
            <c:size val="2"/>
            <c:spPr>
              <a:solidFill>
                <a:srgbClr val="FF9900"/>
              </a:solidFill>
              <a:ln>
                <a:solidFill>
                  <a:srgbClr val="FF9900"/>
                </a:solidFill>
                <a:prstDash val="solid"/>
              </a:ln>
            </c:spPr>
          </c:marker>
          <c:dLbls>
            <c:dLbl>
              <c:idx val="0"/>
              <c:layout>
                <c:manualLayout>
                  <c:x val="-1.907799986540144E-2"/>
                  <c:y val="-2.1219414105494879E-2"/>
                </c:manualLayout>
              </c:layout>
              <c:dLblPos val="r"/>
              <c:showVal val="1"/>
            </c:dLbl>
            <c:dLbl>
              <c:idx val="1"/>
              <c:layout>
                <c:manualLayout>
                  <c:x val="-2.6359143327841845E-2"/>
                  <c:y val="-3.1268591426071801E-2"/>
                </c:manualLayout>
              </c:layout>
              <c:dLblPos val="r"/>
              <c:showVal val="1"/>
            </c:dLbl>
            <c:dLbl>
              <c:idx val="3"/>
              <c:layout>
                <c:manualLayout>
                  <c:x val="-6.1570046742509675E-2"/>
                  <c:y val="-1.5643260641802523E-2"/>
                </c:manualLayout>
              </c:layout>
              <c:dLblPos val="r"/>
              <c:showVal val="1"/>
            </c:dLbl>
            <c:dLbl>
              <c:idx val="4"/>
              <c:layout>
                <c:manualLayout>
                  <c:x val="-3.5145524437122461E-2"/>
                  <c:y val="-1.5234330276616657E-2"/>
                </c:manualLayout>
              </c:layout>
              <c:dLblPos val="r"/>
              <c:showVal val="1"/>
            </c:dLbl>
            <c:dLbl>
              <c:idx val="5"/>
              <c:layout>
                <c:manualLayout>
                  <c:x val="-2.2139948852547296E-2"/>
                  <c:y val="-5.2556726780120314E-2"/>
                </c:manualLayout>
              </c:layout>
              <c:dLblPos val="r"/>
              <c:showVal val="1"/>
            </c:dLbl>
            <c:dLbl>
              <c:idx val="6"/>
              <c:layout>
                <c:manualLayout>
                  <c:x val="-1.9671116069305435E-2"/>
                  <c:y val="-2.2084183921454292E-2"/>
                </c:manualLayout>
              </c:layout>
              <c:dLblPos val="r"/>
              <c:showVal val="1"/>
            </c:dLbl>
            <c:dLbl>
              <c:idx val="9"/>
              <c:layout>
                <c:manualLayout>
                  <c:x val="-2.6055833929850183E-2"/>
                  <c:y val="-1.9363979917448381E-2"/>
                </c:manualLayout>
              </c:layout>
              <c:dLblPos val="r"/>
              <c:showVal val="1"/>
            </c:dLbl>
            <c:dLbl>
              <c:idx val="10"/>
              <c:layout>
                <c:manualLayout>
                  <c:x val="-7.8346673280125702E-17"/>
                  <c:y val="8.0645161290323047E-3"/>
                </c:manualLayout>
              </c:layout>
              <c:dLblPos val="t"/>
              <c:showVal val="1"/>
            </c:dLbl>
            <c:dLbl>
              <c:idx val="12"/>
              <c:layout>
                <c:manualLayout>
                  <c:x val="-2.1353220270543202E-2"/>
                  <c:y val="-1.8655341693399382E-2"/>
                </c:manualLayout>
              </c:layout>
              <c:dLblPos val="r"/>
              <c:showVal val="1"/>
            </c:dLbl>
            <c:dLbl>
              <c:idx val="13"/>
              <c:layout>
                <c:manualLayout>
                  <c:x val="-2.136752136752137E-3"/>
                  <c:y val="8.0645161290323047E-3"/>
                </c:manualLayout>
              </c:layout>
              <c:dLblPos val="t"/>
              <c:showVal val="1"/>
            </c:dLbl>
            <c:dLbl>
              <c:idx val="15"/>
              <c:layout>
                <c:manualLayout>
                  <c:x val="2.1856987810626284E-3"/>
                  <c:y val="6.7312573582624475E-3"/>
                </c:manualLayout>
              </c:layout>
              <c:dLblPos val="r"/>
              <c:showVal val="1"/>
            </c:dLbl>
            <c:dLbl>
              <c:idx val="17"/>
              <c:layout>
                <c:manualLayout>
                  <c:x val="-8.0549022281305744E-3"/>
                  <c:y val="-1.6597510373443983E-2"/>
                </c:manualLayout>
              </c:layout>
              <c:dLblPos val="r"/>
              <c:showVal val="1"/>
            </c:dLbl>
            <c:dLbl>
              <c:idx val="18"/>
              <c:layout>
                <c:manualLayout>
                  <c:x val="-6.8376068376068383E-2"/>
                  <c:y val="-1.1594911523156379E-2"/>
                </c:manualLayout>
              </c:layout>
              <c:dLblPos val="r"/>
              <c:showVal val="1"/>
            </c:dLbl>
            <c:txPr>
              <a:bodyPr/>
              <a:lstStyle/>
              <a:p>
                <a:pPr>
                  <a:defRPr sz="763">
                    <a:latin typeface="Times New Roman" pitchFamily="18" charset="0"/>
                    <a:cs typeface="Times New Roman" pitchFamily="18" charset="0"/>
                  </a:defRPr>
                </a:pPr>
                <a:endParaRPr lang="ru-RU"/>
              </a:p>
            </c:txPr>
            <c:dLblPos val="t"/>
            <c:showVal val="1"/>
          </c:dLbls>
          <c:cat>
            <c:strRef>
              <c:f>Sheet1!$B$1:$T$1</c:f>
              <c:strCache>
                <c:ptCount val="19"/>
                <c:pt idx="0">
                  <c:v>Промышленность</c:v>
                </c:pt>
                <c:pt idx="1">
                  <c:v>Сельское хозяйство</c:v>
                </c:pt>
                <c:pt idx="2">
                  <c:v>Лесное хозяйство</c:v>
                </c:pt>
                <c:pt idx="3">
                  <c:v>Транспорт</c:v>
                </c:pt>
                <c:pt idx="4">
                  <c:v>Связь</c:v>
                </c:pt>
                <c:pt idx="5">
                  <c:v>Строительство</c:v>
                </c:pt>
                <c:pt idx="6">
                  <c:v>Торговля и общепит</c:v>
                </c:pt>
                <c:pt idx="7">
                  <c:v>Материально-тех. снабжение</c:v>
                </c:pt>
                <c:pt idx="8">
                  <c:v>Заготовки</c:v>
                </c:pt>
                <c:pt idx="9">
                  <c:v>Операции с недвиж. Имуществом</c:v>
                </c:pt>
                <c:pt idx="10">
                  <c:v>Общая комерческая деятельность</c:v>
                </c:pt>
                <c:pt idx="11">
                  <c:v>ЖКХ</c:v>
                </c:pt>
                <c:pt idx="12">
                  <c:v>Бытовое обслуживание</c:v>
                </c:pt>
                <c:pt idx="13">
                  <c:v>Здравоохранение</c:v>
                </c:pt>
                <c:pt idx="14">
                  <c:v>Образование</c:v>
                </c:pt>
                <c:pt idx="15">
                  <c:v>Культура и искусство</c:v>
                </c:pt>
                <c:pt idx="16">
                  <c:v>Физкультура отдых и туризм</c:v>
                </c:pt>
                <c:pt idx="17">
                  <c:v>Банки и кредитование</c:v>
                </c:pt>
                <c:pt idx="18">
                  <c:v>Страхование</c:v>
                </c:pt>
              </c:strCache>
            </c:strRef>
          </c:cat>
          <c:val>
            <c:numRef>
              <c:f>Sheet1!$B$3:$T$3</c:f>
              <c:numCache>
                <c:formatCode>0</c:formatCode>
                <c:ptCount val="19"/>
                <c:pt idx="0" formatCode="General">
                  <c:v>5102</c:v>
                </c:pt>
                <c:pt idx="1">
                  <c:v>3288</c:v>
                </c:pt>
                <c:pt idx="2" formatCode="General">
                  <c:v>1927</c:v>
                </c:pt>
                <c:pt idx="3" formatCode="General">
                  <c:v>4300</c:v>
                </c:pt>
                <c:pt idx="4" formatCode="General">
                  <c:v>6781</c:v>
                </c:pt>
                <c:pt idx="5" formatCode="General">
                  <c:v>5006</c:v>
                </c:pt>
                <c:pt idx="6">
                  <c:v>4426</c:v>
                </c:pt>
                <c:pt idx="7">
                  <c:v>2387</c:v>
                </c:pt>
                <c:pt idx="8">
                  <c:v>5081</c:v>
                </c:pt>
                <c:pt idx="9">
                  <c:v>4235</c:v>
                </c:pt>
                <c:pt idx="10">
                  <c:v>4303</c:v>
                </c:pt>
                <c:pt idx="11">
                  <c:v>4080</c:v>
                </c:pt>
                <c:pt idx="12">
                  <c:v>3455</c:v>
                </c:pt>
                <c:pt idx="13">
                  <c:v>4317</c:v>
                </c:pt>
                <c:pt idx="14">
                  <c:v>5620</c:v>
                </c:pt>
                <c:pt idx="15">
                  <c:v>2699</c:v>
                </c:pt>
                <c:pt idx="16">
                  <c:v>10800</c:v>
                </c:pt>
                <c:pt idx="17">
                  <c:v>8308</c:v>
                </c:pt>
                <c:pt idx="18">
                  <c:v>5439</c:v>
                </c:pt>
              </c:numCache>
            </c:numRef>
          </c:val>
        </c:ser>
        <c:ser>
          <c:idx val="2"/>
          <c:order val="2"/>
          <c:tx>
            <c:strRef>
              <c:f>Sheet1!$A$4</c:f>
              <c:strCache>
                <c:ptCount val="1"/>
                <c:pt idx="0">
                  <c:v>средняя заработная плата в целом по республике за   I полугодие 2014 года</c:v>
                </c:pt>
              </c:strCache>
            </c:strRef>
          </c:tx>
          <c:spPr>
            <a:ln w="22946">
              <a:solidFill>
                <a:srgbClr val="008080"/>
              </a:solidFill>
              <a:prstDash val="solid"/>
            </a:ln>
          </c:spPr>
          <c:marker>
            <c:symbol val="triangle"/>
            <c:size val="2"/>
            <c:spPr>
              <a:solidFill>
                <a:srgbClr val="008080"/>
              </a:solidFill>
              <a:ln>
                <a:solidFill>
                  <a:srgbClr val="008080"/>
                </a:solidFill>
                <a:prstDash val="solid"/>
              </a:ln>
            </c:spPr>
          </c:marker>
          <c:dLbls>
            <c:delete val="1"/>
          </c:dLbls>
          <c:cat>
            <c:strRef>
              <c:f>Sheet1!$B$1:$T$1</c:f>
              <c:strCache>
                <c:ptCount val="19"/>
                <c:pt idx="0">
                  <c:v>Промышленность</c:v>
                </c:pt>
                <c:pt idx="1">
                  <c:v>Сельское хозяйство</c:v>
                </c:pt>
                <c:pt idx="2">
                  <c:v>Лесное хозяйство</c:v>
                </c:pt>
                <c:pt idx="3">
                  <c:v>Транспорт</c:v>
                </c:pt>
                <c:pt idx="4">
                  <c:v>Связь</c:v>
                </c:pt>
                <c:pt idx="5">
                  <c:v>Строительство</c:v>
                </c:pt>
                <c:pt idx="6">
                  <c:v>Торговля и общепит</c:v>
                </c:pt>
                <c:pt idx="7">
                  <c:v>Материально-тех. снабжение</c:v>
                </c:pt>
                <c:pt idx="8">
                  <c:v>Заготовки</c:v>
                </c:pt>
                <c:pt idx="9">
                  <c:v>Операции с недвиж. Имуществом</c:v>
                </c:pt>
                <c:pt idx="10">
                  <c:v>Общая комерческая деятельность</c:v>
                </c:pt>
                <c:pt idx="11">
                  <c:v>ЖКХ</c:v>
                </c:pt>
                <c:pt idx="12">
                  <c:v>Бытовое обслуживание</c:v>
                </c:pt>
                <c:pt idx="13">
                  <c:v>Здравоохранение</c:v>
                </c:pt>
                <c:pt idx="14">
                  <c:v>Образование</c:v>
                </c:pt>
                <c:pt idx="15">
                  <c:v>Культура и искусство</c:v>
                </c:pt>
                <c:pt idx="16">
                  <c:v>Физкультура отдых и туризм</c:v>
                </c:pt>
                <c:pt idx="17">
                  <c:v>Банки и кредитование</c:v>
                </c:pt>
                <c:pt idx="18">
                  <c:v>Страхование</c:v>
                </c:pt>
              </c:strCache>
            </c:strRef>
          </c:cat>
          <c:val>
            <c:numRef>
              <c:f>Sheet1!$B$4:$T$4</c:f>
              <c:numCache>
                <c:formatCode>General</c:formatCode>
                <c:ptCount val="19"/>
                <c:pt idx="0">
                  <c:v>5078</c:v>
                </c:pt>
                <c:pt idx="1">
                  <c:v>5078</c:v>
                </c:pt>
                <c:pt idx="2">
                  <c:v>5078</c:v>
                </c:pt>
                <c:pt idx="3">
                  <c:v>5078</c:v>
                </c:pt>
                <c:pt idx="4">
                  <c:v>5078</c:v>
                </c:pt>
                <c:pt idx="5">
                  <c:v>5078</c:v>
                </c:pt>
                <c:pt idx="6">
                  <c:v>5078</c:v>
                </c:pt>
                <c:pt idx="7">
                  <c:v>5078</c:v>
                </c:pt>
                <c:pt idx="8">
                  <c:v>5078</c:v>
                </c:pt>
                <c:pt idx="9">
                  <c:v>5078</c:v>
                </c:pt>
                <c:pt idx="10">
                  <c:v>5078</c:v>
                </c:pt>
                <c:pt idx="11">
                  <c:v>5078</c:v>
                </c:pt>
                <c:pt idx="12">
                  <c:v>5078</c:v>
                </c:pt>
                <c:pt idx="13">
                  <c:v>5078</c:v>
                </c:pt>
                <c:pt idx="14">
                  <c:v>5078</c:v>
                </c:pt>
                <c:pt idx="15">
                  <c:v>5078</c:v>
                </c:pt>
                <c:pt idx="16">
                  <c:v>5078</c:v>
                </c:pt>
                <c:pt idx="17">
                  <c:v>5078</c:v>
                </c:pt>
                <c:pt idx="18">
                  <c:v>5078</c:v>
                </c:pt>
              </c:numCache>
            </c:numRef>
          </c:val>
        </c:ser>
        <c:dLbls>
          <c:showVal val="1"/>
        </c:dLbls>
        <c:marker val="1"/>
        <c:axId val="170328448"/>
        <c:axId val="170330368"/>
      </c:lineChart>
      <c:catAx>
        <c:axId val="170328448"/>
        <c:scaling>
          <c:orientation val="minMax"/>
        </c:scaling>
        <c:axPos val="b"/>
        <c:numFmt formatCode="General" sourceLinked="1"/>
        <c:tickLblPos val="nextTo"/>
        <c:spPr>
          <a:ln w="2868">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ru-RU"/>
          </a:p>
        </c:txPr>
        <c:crossAx val="170330368"/>
        <c:crosses val="autoZero"/>
        <c:auto val="1"/>
        <c:lblAlgn val="ctr"/>
        <c:lblOffset val="200"/>
        <c:tickLblSkip val="1"/>
        <c:tickMarkSkip val="1"/>
      </c:catAx>
      <c:valAx>
        <c:axId val="170330368"/>
        <c:scaling>
          <c:orientation val="minMax"/>
        </c:scaling>
        <c:axPos val="l"/>
        <c:numFmt formatCode="General" sourceLinked="0"/>
        <c:tickLblPos val="nextTo"/>
        <c:spPr>
          <a:ln w="2868">
            <a:solidFill>
              <a:srgbClr val="000000"/>
            </a:solidFill>
            <a:prstDash val="solid"/>
          </a:ln>
        </c:spPr>
        <c:txPr>
          <a:bodyPr rot="0" vert="horz"/>
          <a:lstStyle/>
          <a:p>
            <a:pPr>
              <a:defRPr sz="816" b="0" i="0" u="none" strike="noStrike" baseline="0">
                <a:solidFill>
                  <a:srgbClr val="000000"/>
                </a:solidFill>
                <a:latin typeface="Times New Roman"/>
                <a:ea typeface="Times New Roman"/>
                <a:cs typeface="Times New Roman"/>
              </a:defRPr>
            </a:pPr>
            <a:endParaRPr lang="ru-RU"/>
          </a:p>
        </c:txPr>
        <c:crossAx val="170328448"/>
        <c:crosses val="autoZero"/>
        <c:crossBetween val="between"/>
      </c:valAx>
      <c:spPr>
        <a:solidFill>
          <a:srgbClr val="FFFFFF"/>
        </a:solidFill>
        <a:ln w="2868">
          <a:solidFill>
            <a:srgbClr val="000000"/>
          </a:solidFill>
          <a:prstDash val="solid"/>
        </a:ln>
      </c:spPr>
    </c:plotArea>
    <c:legend>
      <c:legendPos val="r"/>
      <c:layout>
        <c:manualLayout>
          <c:xMode val="edge"/>
          <c:yMode val="edge"/>
          <c:x val="1.4099703883168448E-2"/>
          <c:y val="0.90773097921281398"/>
          <c:w val="0.95616090653340002"/>
          <c:h val="9.226902078718599E-2"/>
        </c:manualLayout>
      </c:layout>
      <c:spPr>
        <a:solidFill>
          <a:srgbClr val="FFFFFF"/>
        </a:solidFill>
        <a:ln w="2868">
          <a:no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93" b="1" i="0" u="none" strike="noStrike" baseline="0">
          <a:solidFill>
            <a:srgbClr val="000000"/>
          </a:solidFill>
          <a:latin typeface="Arial Cyr"/>
          <a:ea typeface="Arial Cyr"/>
          <a:cs typeface="Arial Cyr"/>
        </a:defRPr>
      </a:pPr>
      <a:endParaRPr lang="ru-RU"/>
    </a:p>
  </c:tx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style val="39"/>
  <c:chart>
    <c:title>
      <c:tx>
        <c:rich>
          <a:bodyPr/>
          <a:lstStyle/>
          <a:p>
            <a:pPr>
              <a:defRPr sz="1200"/>
            </a:pPr>
            <a:r>
              <a:rPr lang="ru-RU" sz="1200"/>
              <a:t>Динамика среднемесячной номинальной заработной платы в разрезе подотраслей промышленности, %</a:t>
            </a:r>
            <a:endParaRPr lang="ru-RU" sz="1200">
              <a:solidFill>
                <a:srgbClr val="FF0000"/>
              </a:solidFill>
            </a:endParaRPr>
          </a:p>
        </c:rich>
      </c:tx>
      <c:layout>
        <c:manualLayout>
          <c:xMode val="edge"/>
          <c:yMode val="edge"/>
          <c:x val="0.16765366114377317"/>
          <c:y val="0"/>
        </c:manualLayout>
      </c:layout>
    </c:title>
    <c:view3D>
      <c:rotX val="10"/>
      <c:rotY val="0"/>
      <c:perspective val="30"/>
    </c:view3D>
    <c:plotArea>
      <c:layout>
        <c:manualLayout>
          <c:layoutTarget val="inner"/>
          <c:xMode val="edge"/>
          <c:yMode val="edge"/>
          <c:x val="9.8163869051253669E-2"/>
          <c:y val="0.11311794090254847"/>
          <c:w val="0.89139381014873265"/>
          <c:h val="0.36235170603674538"/>
        </c:manualLayout>
      </c:layout>
      <c:bar3DChart>
        <c:barDir val="col"/>
        <c:grouping val="clustered"/>
        <c:ser>
          <c:idx val="0"/>
          <c:order val="0"/>
          <c:tx>
            <c:strRef>
              <c:f>Лист1!$B$1</c:f>
              <c:strCache>
                <c:ptCount val="1"/>
                <c:pt idx="0">
                  <c:v>I полугодие 2013 года</c:v>
                </c:pt>
              </c:strCache>
            </c:strRef>
          </c:tx>
          <c:dLbls>
            <c:delete val="1"/>
          </c:dLbls>
          <c:cat>
            <c:strRef>
              <c:f>Лист1!$A$2:$A$12</c:f>
              <c:strCache>
                <c:ptCount val="11"/>
                <c:pt idx="0">
                  <c:v>Электроэнергетика</c:v>
                </c:pt>
                <c:pt idx="1">
                  <c:v>Черная металлургия</c:v>
                </c:pt>
                <c:pt idx="2">
                  <c:v>Химическая промышленность</c:v>
                </c:pt>
                <c:pt idx="3">
                  <c:v>Машиностроение и метал. Обработка</c:v>
                </c:pt>
                <c:pt idx="4">
                  <c:v>Электротехническая промышленность</c:v>
                </c:pt>
                <c:pt idx="5">
                  <c:v>Деревообрабатываающая</c:v>
                </c:pt>
                <c:pt idx="6">
                  <c:v>Промышленность строительных материалов</c:v>
                </c:pt>
                <c:pt idx="7">
                  <c:v>Легкая промышленность</c:v>
                </c:pt>
                <c:pt idx="8">
                  <c:v>Пищевая промышленность</c:v>
                </c:pt>
                <c:pt idx="9">
                  <c:v>Мукомольно-крупянная</c:v>
                </c:pt>
                <c:pt idx="10">
                  <c:v>Полиграфическая промышленность</c:v>
                </c:pt>
              </c:strCache>
            </c:strRef>
          </c:cat>
          <c:val>
            <c:numRef>
              <c:f>Лист1!$B$2:$B$12</c:f>
              <c:numCache>
                <c:formatCode>#,##0</c:formatCode>
                <c:ptCount val="11"/>
                <c:pt idx="0">
                  <c:v>5589</c:v>
                </c:pt>
                <c:pt idx="1">
                  <c:v>5076</c:v>
                </c:pt>
                <c:pt idx="2">
                  <c:v>3789</c:v>
                </c:pt>
                <c:pt idx="3">
                  <c:v>4422</c:v>
                </c:pt>
                <c:pt idx="4">
                  <c:v>3743</c:v>
                </c:pt>
                <c:pt idx="5">
                  <c:v>2667</c:v>
                </c:pt>
                <c:pt idx="6">
                  <c:v>3888</c:v>
                </c:pt>
                <c:pt idx="7">
                  <c:v>4299</c:v>
                </c:pt>
                <c:pt idx="8">
                  <c:v>4494</c:v>
                </c:pt>
                <c:pt idx="9">
                  <c:v>4866</c:v>
                </c:pt>
                <c:pt idx="10">
                  <c:v>3323</c:v>
                </c:pt>
              </c:numCache>
            </c:numRef>
          </c:val>
        </c:ser>
        <c:ser>
          <c:idx val="1"/>
          <c:order val="1"/>
          <c:tx>
            <c:strRef>
              <c:f>Лист1!$C$1</c:f>
              <c:strCache>
                <c:ptCount val="1"/>
                <c:pt idx="0">
                  <c:v>I полугодие 2014 года</c:v>
                </c:pt>
              </c:strCache>
            </c:strRef>
          </c:tx>
          <c:dLbls>
            <c:dLbl>
              <c:idx val="0"/>
              <c:layout>
                <c:manualLayout>
                  <c:x val="-3.0005086573480651E-3"/>
                  <c:y val="7.0127846922360508E-3"/>
                </c:manualLayout>
              </c:layout>
              <c:tx>
                <c:rich>
                  <a:bodyPr/>
                  <a:lstStyle/>
                  <a:p>
                    <a:r>
                      <a:rPr lang="ru-RU" sz="800" b="1"/>
                      <a:t>103,8*</a:t>
                    </a:r>
                    <a:endParaRPr lang="en-US" sz="800" b="1"/>
                  </a:p>
                </c:rich>
              </c:tx>
              <c:showVal val="1"/>
            </c:dLbl>
            <c:dLbl>
              <c:idx val="1"/>
              <c:layout>
                <c:manualLayout>
                  <c:x val="1.5105088608110247E-4"/>
                  <c:y val="1.0882736432139531E-2"/>
                </c:manualLayout>
              </c:layout>
              <c:tx>
                <c:rich>
                  <a:bodyPr/>
                  <a:lstStyle/>
                  <a:p>
                    <a:r>
                      <a:rPr lang="ru-RU" sz="800" b="1"/>
                      <a:t>136,5*</a:t>
                    </a:r>
                    <a:endParaRPr lang="en-US" sz="800" b="1"/>
                  </a:p>
                </c:rich>
              </c:tx>
              <c:showVal val="1"/>
            </c:dLbl>
            <c:dLbl>
              <c:idx val="2"/>
              <c:layout>
                <c:manualLayout>
                  <c:x val="4.949846385480975E-4"/>
                  <c:y val="-3.3633053932774692E-3"/>
                </c:manualLayout>
              </c:layout>
              <c:tx>
                <c:rich>
                  <a:bodyPr/>
                  <a:lstStyle/>
                  <a:p>
                    <a:r>
                      <a:rPr lang="ru-RU" sz="800" b="1"/>
                      <a:t>107,4*</a:t>
                    </a:r>
                    <a:endParaRPr lang="en-US" sz="800" b="1"/>
                  </a:p>
                </c:rich>
              </c:tx>
              <c:showVal val="1"/>
            </c:dLbl>
            <c:dLbl>
              <c:idx val="3"/>
              <c:layout>
                <c:manualLayout>
                  <c:x val="-1.8550936946835227E-3"/>
                  <c:y val="-1.2537465074930151E-3"/>
                </c:manualLayout>
              </c:layout>
              <c:tx>
                <c:rich>
                  <a:bodyPr/>
                  <a:lstStyle/>
                  <a:p>
                    <a:r>
                      <a:rPr lang="ru-RU" sz="800" b="1"/>
                      <a:t>108,0*</a:t>
                    </a:r>
                    <a:endParaRPr lang="en-US" sz="800" b="1"/>
                  </a:p>
                </c:rich>
              </c:tx>
              <c:showVal val="1"/>
            </c:dLbl>
            <c:dLbl>
              <c:idx val="4"/>
              <c:layout>
                <c:manualLayout>
                  <c:x val="-1.4877210116177341E-4"/>
                  <c:y val="-3.9888239776479919E-3"/>
                </c:manualLayout>
              </c:layout>
              <c:tx>
                <c:rich>
                  <a:bodyPr/>
                  <a:lstStyle/>
                  <a:p>
                    <a:r>
                      <a:rPr lang="ru-RU" sz="800" b="1"/>
                      <a:t>110,8*</a:t>
                    </a:r>
                    <a:endParaRPr lang="en-US" sz="800" b="1"/>
                  </a:p>
                </c:rich>
              </c:tx>
              <c:showVal val="1"/>
            </c:dLbl>
            <c:dLbl>
              <c:idx val="5"/>
              <c:layout>
                <c:manualLayout>
                  <c:x val="-3.8929784939673241E-3"/>
                  <c:y val="3.8946744560195524E-5"/>
                </c:manualLayout>
              </c:layout>
              <c:tx>
                <c:rich>
                  <a:bodyPr/>
                  <a:lstStyle/>
                  <a:p>
                    <a:r>
                      <a:rPr lang="ru-RU" sz="800" b="1"/>
                      <a:t>104,1*</a:t>
                    </a:r>
                    <a:endParaRPr lang="en-US" sz="800" b="1"/>
                  </a:p>
                </c:rich>
              </c:tx>
              <c:showVal val="1"/>
            </c:dLbl>
            <c:dLbl>
              <c:idx val="6"/>
              <c:layout>
                <c:manualLayout>
                  <c:x val="4.9482186819671558E-4"/>
                  <c:y val="9.5395817458301582E-3"/>
                </c:manualLayout>
              </c:layout>
              <c:tx>
                <c:rich>
                  <a:bodyPr/>
                  <a:lstStyle/>
                  <a:p>
                    <a:r>
                      <a:rPr lang="ru-RU" sz="800" b="1"/>
                      <a:t>125,8*</a:t>
                    </a:r>
                    <a:endParaRPr lang="en-US" sz="800" b="1"/>
                  </a:p>
                </c:rich>
              </c:tx>
              <c:showVal val="1"/>
            </c:dLbl>
            <c:dLbl>
              <c:idx val="7"/>
              <c:layout>
                <c:manualLayout>
                  <c:x val="-3.8345439378217258E-3"/>
                  <c:y val="4.6133265599864375E-3"/>
                </c:manualLayout>
              </c:layout>
              <c:tx>
                <c:rich>
                  <a:bodyPr/>
                  <a:lstStyle/>
                  <a:p>
                    <a:r>
                      <a:rPr lang="ru-RU" sz="800" b="1"/>
                      <a:t>99,3*</a:t>
                    </a:r>
                    <a:endParaRPr lang="en-US" sz="800" b="1"/>
                  </a:p>
                </c:rich>
              </c:tx>
              <c:showVal val="1"/>
            </c:dLbl>
            <c:dLbl>
              <c:idx val="8"/>
              <c:layout>
                <c:manualLayout>
                  <c:x val="-8.1810006307351107E-3"/>
                  <c:y val="7.5980018626704334E-3"/>
                </c:manualLayout>
              </c:layout>
              <c:tx>
                <c:rich>
                  <a:bodyPr/>
                  <a:lstStyle/>
                  <a:p>
                    <a:r>
                      <a:rPr lang="ru-RU" sz="800" b="1"/>
                      <a:t>106,1*</a:t>
                    </a:r>
                    <a:endParaRPr lang="en-US" sz="800" b="1"/>
                  </a:p>
                </c:rich>
              </c:tx>
              <c:showVal val="1"/>
            </c:dLbl>
            <c:dLbl>
              <c:idx val="9"/>
              <c:layout>
                <c:manualLayout>
                  <c:x val="-1.0513988077071754E-2"/>
                  <c:y val="-8.2895605791212697E-3"/>
                </c:manualLayout>
              </c:layout>
              <c:tx>
                <c:rich>
                  <a:bodyPr/>
                  <a:lstStyle/>
                  <a:p>
                    <a:r>
                      <a:rPr lang="ru-RU" sz="800" b="1"/>
                      <a:t>94,8*</a:t>
                    </a:r>
                    <a:endParaRPr lang="en-US" sz="800" b="1"/>
                  </a:p>
                </c:rich>
              </c:tx>
              <c:showVal val="1"/>
            </c:dLbl>
            <c:dLbl>
              <c:idx val="10"/>
              <c:layout>
                <c:manualLayout>
                  <c:x val="-1.1978758469144845E-2"/>
                  <c:y val="-2.5806451612903236E-2"/>
                </c:manualLayout>
              </c:layout>
              <c:tx>
                <c:rich>
                  <a:bodyPr/>
                  <a:lstStyle/>
                  <a:p>
                    <a:r>
                      <a:rPr lang="ru-RU" sz="800" b="1"/>
                      <a:t>105,1*</a:t>
                    </a:r>
                    <a:endParaRPr lang="en-US" sz="800" b="1"/>
                  </a:p>
                </c:rich>
              </c:tx>
              <c:showVal val="1"/>
            </c:dLbl>
            <c:txPr>
              <a:bodyPr/>
              <a:lstStyle/>
              <a:p>
                <a:pPr>
                  <a:defRPr b="1"/>
                </a:pPr>
                <a:endParaRPr lang="ru-RU"/>
              </a:p>
            </c:txPr>
            <c:showVal val="1"/>
          </c:dLbls>
          <c:cat>
            <c:strRef>
              <c:f>Лист1!$A$2:$A$12</c:f>
              <c:strCache>
                <c:ptCount val="11"/>
                <c:pt idx="0">
                  <c:v>Электроэнергетика</c:v>
                </c:pt>
                <c:pt idx="1">
                  <c:v>Черная металлургия</c:v>
                </c:pt>
                <c:pt idx="2">
                  <c:v>Химическая промышленность</c:v>
                </c:pt>
                <c:pt idx="3">
                  <c:v>Машиностроение и метал. Обработка</c:v>
                </c:pt>
                <c:pt idx="4">
                  <c:v>Электротехническая промышленность</c:v>
                </c:pt>
                <c:pt idx="5">
                  <c:v>Деревообрабатываающая</c:v>
                </c:pt>
                <c:pt idx="6">
                  <c:v>Промышленность строительных материалов</c:v>
                </c:pt>
                <c:pt idx="7">
                  <c:v>Легкая промышленность</c:v>
                </c:pt>
                <c:pt idx="8">
                  <c:v>Пищевая промышленность</c:v>
                </c:pt>
                <c:pt idx="9">
                  <c:v>Мукомольно-крупянная</c:v>
                </c:pt>
                <c:pt idx="10">
                  <c:v>Полиграфическая промышленность</c:v>
                </c:pt>
              </c:strCache>
            </c:strRef>
          </c:cat>
          <c:val>
            <c:numRef>
              <c:f>Лист1!$C$2:$C$12</c:f>
              <c:numCache>
                <c:formatCode>#,##0</c:formatCode>
                <c:ptCount val="11"/>
                <c:pt idx="0">
                  <c:v>5802</c:v>
                </c:pt>
                <c:pt idx="1">
                  <c:v>6928</c:v>
                </c:pt>
                <c:pt idx="2">
                  <c:v>4069</c:v>
                </c:pt>
                <c:pt idx="3">
                  <c:v>4773</c:v>
                </c:pt>
                <c:pt idx="4">
                  <c:v>4147</c:v>
                </c:pt>
                <c:pt idx="5">
                  <c:v>2777</c:v>
                </c:pt>
                <c:pt idx="6">
                  <c:v>4893</c:v>
                </c:pt>
                <c:pt idx="7">
                  <c:v>4268</c:v>
                </c:pt>
                <c:pt idx="8">
                  <c:v>4768</c:v>
                </c:pt>
                <c:pt idx="9">
                  <c:v>4614</c:v>
                </c:pt>
                <c:pt idx="10">
                  <c:v>3492</c:v>
                </c:pt>
              </c:numCache>
            </c:numRef>
          </c:val>
        </c:ser>
        <c:dLbls>
          <c:showVal val="1"/>
        </c:dLbls>
        <c:shape val="cylinder"/>
        <c:axId val="166264192"/>
        <c:axId val="167105664"/>
        <c:axId val="0"/>
      </c:bar3DChart>
      <c:catAx>
        <c:axId val="166264192"/>
        <c:scaling>
          <c:orientation val="minMax"/>
        </c:scaling>
        <c:axPos val="b"/>
        <c:tickLblPos val="nextTo"/>
        <c:txPr>
          <a:bodyPr rot="-5400000" vert="horz"/>
          <a:lstStyle/>
          <a:p>
            <a:pPr>
              <a:defRPr sz="900" b="0"/>
            </a:pPr>
            <a:endParaRPr lang="ru-RU"/>
          </a:p>
        </c:txPr>
        <c:crossAx val="167105664"/>
        <c:crosses val="autoZero"/>
        <c:auto val="1"/>
        <c:lblAlgn val="ctr"/>
        <c:lblOffset val="100"/>
      </c:catAx>
      <c:valAx>
        <c:axId val="167105664"/>
        <c:scaling>
          <c:orientation val="minMax"/>
        </c:scaling>
        <c:axPos val="l"/>
        <c:title>
          <c:tx>
            <c:rich>
              <a:bodyPr rot="0" vert="horz"/>
              <a:lstStyle/>
              <a:p>
                <a:pPr>
                  <a:defRPr sz="800"/>
                </a:pPr>
                <a:r>
                  <a:rPr lang="ru-RU" sz="800"/>
                  <a:t>* - темп роста </a:t>
                </a:r>
                <a:r>
                  <a:rPr lang="en-US" sz="800"/>
                  <a:t>I</a:t>
                </a:r>
                <a:r>
                  <a:rPr lang="ru-RU" sz="800"/>
                  <a:t> полуг.</a:t>
                </a:r>
              </a:p>
              <a:p>
                <a:pPr>
                  <a:defRPr sz="800"/>
                </a:pPr>
                <a:r>
                  <a:rPr lang="ru-RU" sz="800"/>
                  <a:t>2014г. к </a:t>
                </a:r>
                <a:r>
                  <a:rPr lang="en-US" sz="800"/>
                  <a:t>I</a:t>
                </a:r>
                <a:r>
                  <a:rPr lang="ru-RU" sz="800"/>
                  <a:t> полуг.2013г.,%</a:t>
                </a:r>
              </a:p>
            </c:rich>
          </c:tx>
          <c:layout>
            <c:manualLayout>
              <c:xMode val="edge"/>
              <c:yMode val="edge"/>
              <c:x val="8.2687338501293041E-3"/>
              <c:y val="0.87132334264668565"/>
            </c:manualLayout>
          </c:layout>
        </c:title>
        <c:numFmt formatCode="#,##0" sourceLinked="1"/>
        <c:tickLblPos val="nextTo"/>
        <c:crossAx val="166264192"/>
        <c:crosses val="autoZero"/>
        <c:crossBetween val="between"/>
        <c:majorUnit val="5000"/>
      </c:valAx>
      <c:dTable>
        <c:showHorzBorder val="1"/>
        <c:showVertBorder val="1"/>
        <c:showOutline val="1"/>
        <c:showKeys val="1"/>
      </c:dTable>
    </c:plotArea>
    <c:legend>
      <c:legendPos val="b"/>
      <c:layout>
        <c:manualLayout>
          <c:xMode val="edge"/>
          <c:yMode val="edge"/>
          <c:x val="0.37728197928747575"/>
          <c:y val="0.92521365522379062"/>
          <c:w val="0.51471614885348638"/>
          <c:h val="7.2964185928371894E-2"/>
        </c:manualLayout>
      </c:layout>
    </c:legend>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оплаты труда в организациях бюджетного сектора, руб. ПМР</a:t>
            </a:r>
            <a:endParaRPr lang="ru-RU" sz="1200">
              <a:solidFill>
                <a:srgbClr val="FF0000"/>
              </a:solidFill>
              <a:latin typeface="Times New Roman" pitchFamily="18" charset="0"/>
              <a:cs typeface="Times New Roman" pitchFamily="18" charset="0"/>
            </a:endParaRPr>
          </a:p>
        </c:rich>
      </c:tx>
      <c:layout>
        <c:manualLayout>
          <c:xMode val="edge"/>
          <c:yMode val="edge"/>
          <c:x val="0.17442712890055387"/>
          <c:y val="2.3809523809523812E-2"/>
        </c:manualLayout>
      </c:layout>
    </c:title>
    <c:plotArea>
      <c:layout>
        <c:manualLayout>
          <c:layoutTarget val="inner"/>
          <c:xMode val="edge"/>
          <c:yMode val="edge"/>
          <c:x val="9.7791490797193584E-2"/>
          <c:y val="0.13437845156233469"/>
          <c:w val="0.86877068266154089"/>
          <c:h val="0.4076382337649323"/>
        </c:manualLayout>
      </c:layout>
      <c:lineChart>
        <c:grouping val="standard"/>
        <c:ser>
          <c:idx val="0"/>
          <c:order val="0"/>
          <c:tx>
            <c:strRef>
              <c:f>Лист1!$B$1</c:f>
              <c:strCache>
                <c:ptCount val="1"/>
                <c:pt idx="0">
                  <c:v>I полугодие 2013 года</c:v>
                </c:pt>
              </c:strCache>
            </c:strRef>
          </c:tx>
          <c:dLbls>
            <c:dLbl>
              <c:idx val="0"/>
              <c:layout>
                <c:manualLayout>
                  <c:x val="0"/>
                  <c:y val="6.332453825857523E-2"/>
                </c:manualLayout>
              </c:layout>
              <c:dLblPos val="t"/>
              <c:showVal val="1"/>
            </c:dLbl>
            <c:dLbl>
              <c:idx val="1"/>
              <c:layout>
                <c:manualLayout>
                  <c:x val="2.0898641588296802E-3"/>
                  <c:y val="5.8051757782058705E-2"/>
                </c:manualLayout>
              </c:layout>
              <c:dLblPos val="t"/>
              <c:showVal val="1"/>
            </c:dLbl>
            <c:dLbl>
              <c:idx val="2"/>
              <c:layout>
                <c:manualLayout>
                  <c:x val="1.4466546112115735E-2"/>
                  <c:y val="5.6288478452066852E-2"/>
                </c:manualLayout>
              </c:layout>
              <c:dLblPos val="t"/>
              <c:showVal val="1"/>
            </c:dLbl>
            <c:dLbl>
              <c:idx val="3"/>
              <c:layout>
                <c:manualLayout>
                  <c:x val="-1.6455623297871783E-7"/>
                  <c:y val="0.10238215472472115"/>
                </c:manualLayout>
              </c:layout>
              <c:dLblPos val="t"/>
              <c:showVal val="1"/>
            </c:dLbl>
            <c:dLbl>
              <c:idx val="4"/>
              <c:layout>
                <c:manualLayout>
                  <c:x val="1.7682554570960761E-2"/>
                  <c:y val="1.582683399729428E-2"/>
                </c:manualLayout>
              </c:layout>
              <c:dLblPos val="t"/>
              <c:showVal val="1"/>
            </c:dLbl>
            <c:dLbl>
              <c:idx val="5"/>
              <c:layout>
                <c:manualLayout>
                  <c:x val="4.8221820373719046E-3"/>
                  <c:y val="5.6288478452066852E-2"/>
                </c:manualLayout>
              </c:layout>
              <c:dLblPos val="t"/>
              <c:showVal val="1"/>
            </c:dLbl>
            <c:dLbl>
              <c:idx val="6"/>
              <c:layout>
                <c:manualLayout>
                  <c:x val="0"/>
                  <c:y val="7.3878627968338467E-2"/>
                </c:manualLayout>
              </c:layout>
              <c:dLblPos val="t"/>
              <c:showVal val="1"/>
            </c:dLbl>
            <c:dLbl>
              <c:idx val="7"/>
              <c:layout>
                <c:manualLayout>
                  <c:x val="1.9288728149487944E-2"/>
                  <c:y val="6.332453825857523E-2"/>
                </c:manualLayout>
              </c:layout>
              <c:dLblPos val="t"/>
              <c:showVal val="1"/>
            </c:dLbl>
            <c:dLbl>
              <c:idx val="8"/>
              <c:layout>
                <c:manualLayout>
                  <c:x val="7.2332730560579371E-3"/>
                  <c:y val="8.44324406678717E-2"/>
                </c:manualLayout>
              </c:layout>
              <c:dLblPos val="t"/>
              <c:showVal val="1"/>
            </c:dLbl>
            <c:dLbl>
              <c:idx val="9"/>
              <c:layout>
                <c:manualLayout>
                  <c:x val="-4.1797283176593534E-3"/>
                  <c:y val="6.8605806696965685E-2"/>
                </c:manualLayout>
              </c:layout>
              <c:dLblPos val="t"/>
              <c:showVal val="1"/>
            </c:dLbl>
            <c:dLbl>
              <c:idx val="10"/>
              <c:layout>
                <c:manualLayout>
                  <c:x val="-2.0898641588296802E-3"/>
                  <c:y val="6.5438744147480424E-2"/>
                </c:manualLayout>
              </c:layout>
              <c:dLblPos val="t"/>
              <c:showVal val="1"/>
            </c:dLbl>
            <c:dLbl>
              <c:idx val="11"/>
              <c:layout>
                <c:manualLayout>
                  <c:x val="0"/>
                  <c:y val="7.4939931795937123E-2"/>
                </c:manualLayout>
              </c:layout>
              <c:dLblPos val="t"/>
              <c:showVal val="1"/>
            </c:dLbl>
            <c:dLbl>
              <c:idx val="12"/>
              <c:layout>
                <c:manualLayout>
                  <c:x val="7.2332730560579371E-3"/>
                  <c:y val="6.332453825857523E-2"/>
                </c:manualLayout>
              </c:layout>
              <c:dLblPos val="t"/>
              <c:showVal val="1"/>
            </c:dLbl>
            <c:dLbl>
              <c:idx val="13"/>
              <c:layout>
                <c:manualLayout>
                  <c:x val="1.0449320794148381E-2"/>
                  <c:y val="6.790381606099713E-2"/>
                </c:manualLayout>
              </c:layout>
              <c:dLblPos val="t"/>
              <c:showVal val="1"/>
            </c:dLbl>
            <c:txPr>
              <a:bodyPr/>
              <a:lstStyle/>
              <a:p>
                <a:pPr>
                  <a:defRPr sz="800" b="1">
                    <a:latin typeface="Times New Roman" pitchFamily="18" charset="0"/>
                    <a:cs typeface="Times New Roman" pitchFamily="18" charset="0"/>
                  </a:defRPr>
                </a:pPr>
                <a:endParaRPr lang="ru-RU"/>
              </a:p>
            </c:txPr>
            <c:dLblPos val="t"/>
            <c:showVal val="1"/>
          </c:dLbls>
          <c:cat>
            <c:strRef>
              <c:f>Лист1!$A$2:$A$14</c:f>
              <c:strCache>
                <c:ptCount val="13"/>
                <c:pt idx="0">
                  <c:v>Сельское хозяйство</c:v>
                </c:pt>
                <c:pt idx="1">
                  <c:v>Торговля и общепит</c:v>
                </c:pt>
                <c:pt idx="2">
                  <c:v>Геология и метрология</c:v>
                </c:pt>
                <c:pt idx="3">
                  <c:v>Жилищно-ком. Хозяйство</c:v>
                </c:pt>
                <c:pt idx="4">
                  <c:v>Социальное обеспечение</c:v>
                </c:pt>
                <c:pt idx="5">
                  <c:v>Здравоохранение</c:v>
                </c:pt>
                <c:pt idx="6">
                  <c:v>Образование</c:v>
                </c:pt>
                <c:pt idx="7">
                  <c:v>Высшие учебные заведения</c:v>
                </c:pt>
                <c:pt idx="8">
                  <c:v>Средние специальные учебные заведения</c:v>
                </c:pt>
                <c:pt idx="9">
                  <c:v>ГУНО (школы и ДОУ)</c:v>
                </c:pt>
                <c:pt idx="10">
                  <c:v>Культура и искусство</c:v>
                </c:pt>
                <c:pt idx="11">
                  <c:v>Физкультура, отдых, туризм</c:v>
                </c:pt>
                <c:pt idx="12">
                  <c:v>Наука и научное обслуживание</c:v>
                </c:pt>
              </c:strCache>
            </c:strRef>
          </c:cat>
          <c:val>
            <c:numRef>
              <c:f>Лист1!$B$2:$B$14</c:f>
              <c:numCache>
                <c:formatCode>#,##0</c:formatCode>
                <c:ptCount val="13"/>
                <c:pt idx="0">
                  <c:v>2027</c:v>
                </c:pt>
                <c:pt idx="1">
                  <c:v>1729</c:v>
                </c:pt>
                <c:pt idx="2">
                  <c:v>1729</c:v>
                </c:pt>
                <c:pt idx="3">
                  <c:v>2256</c:v>
                </c:pt>
                <c:pt idx="4">
                  <c:v>1947</c:v>
                </c:pt>
                <c:pt idx="5">
                  <c:v>2401</c:v>
                </c:pt>
                <c:pt idx="6">
                  <c:v>2352</c:v>
                </c:pt>
                <c:pt idx="7">
                  <c:v>3554</c:v>
                </c:pt>
                <c:pt idx="8">
                  <c:v>2809</c:v>
                </c:pt>
                <c:pt idx="9">
                  <c:v>2143</c:v>
                </c:pt>
                <c:pt idx="10">
                  <c:v>2192</c:v>
                </c:pt>
                <c:pt idx="11">
                  <c:v>2229</c:v>
                </c:pt>
                <c:pt idx="12">
                  <c:v>2493</c:v>
                </c:pt>
              </c:numCache>
            </c:numRef>
          </c:val>
        </c:ser>
        <c:ser>
          <c:idx val="1"/>
          <c:order val="1"/>
          <c:tx>
            <c:strRef>
              <c:f>Лист1!$C$1</c:f>
              <c:strCache>
                <c:ptCount val="1"/>
                <c:pt idx="0">
                  <c:v>I полугодие 2014 года</c:v>
                </c:pt>
              </c:strCache>
            </c:strRef>
          </c:tx>
          <c:dLbls>
            <c:dLbl>
              <c:idx val="0"/>
              <c:layout>
                <c:manualLayout>
                  <c:x val="2.0898641588296802E-3"/>
                  <c:y val="9.5011876484560574E-3"/>
                </c:manualLayout>
              </c:layout>
              <c:dLblPos val="t"/>
              <c:showVal val="1"/>
            </c:dLbl>
            <c:dLbl>
              <c:idx val="1"/>
              <c:layout>
                <c:manualLayout>
                  <c:x val="3.2157579048700492E-3"/>
                  <c:y val="2.1108097829814307E-2"/>
                </c:manualLayout>
              </c:layout>
              <c:dLblPos val="t"/>
              <c:showVal val="1"/>
            </c:dLbl>
            <c:dLbl>
              <c:idx val="2"/>
              <c:layout>
                <c:manualLayout>
                  <c:x val="7.2332730560579371E-3"/>
                  <c:y val="2.4626209322779251E-2"/>
                </c:manualLayout>
              </c:layout>
              <c:dLblPos val="t"/>
              <c:showVal val="1"/>
            </c:dLbl>
            <c:dLbl>
              <c:idx val="3"/>
              <c:layout>
                <c:manualLayout>
                  <c:x val="2.4107113193129622E-3"/>
                  <c:y val="2.1108179419525409E-2"/>
                </c:manualLayout>
              </c:layout>
              <c:dLblPos val="t"/>
              <c:showVal val="1"/>
            </c:dLbl>
            <c:dLbl>
              <c:idx val="4"/>
              <c:layout>
                <c:manualLayout>
                  <c:x val="-5.9483787097146914E-3"/>
                  <c:y val="6.6842476044413984E-2"/>
                </c:manualLayout>
              </c:layout>
              <c:dLblPos val="t"/>
              <c:showVal val="1"/>
            </c:dLbl>
            <c:dLbl>
              <c:idx val="5"/>
              <c:layout>
                <c:manualLayout>
                  <c:x val="-1.7686503920552321E-3"/>
                  <c:y val="9.1418382678412225E-3"/>
                </c:manualLayout>
              </c:layout>
              <c:dLblPos val="t"/>
              <c:showVal val="1"/>
            </c:dLbl>
            <c:dLbl>
              <c:idx val="6"/>
              <c:layout>
                <c:manualLayout>
                  <c:x val="-4.1797283176593534E-3"/>
                  <c:y val="1.8993896546779663E-2"/>
                </c:manualLayout>
              </c:layout>
              <c:dLblPos val="t"/>
              <c:showVal val="1"/>
            </c:dLbl>
            <c:dLbl>
              <c:idx val="7"/>
              <c:layout>
                <c:manualLayout>
                  <c:x val="-1.4474366252807741E-3"/>
                  <c:y val="2.4568425383881577E-3"/>
                </c:manualLayout>
              </c:layout>
              <c:dLblPos val="t"/>
              <c:showVal val="1"/>
            </c:dLbl>
            <c:dLbl>
              <c:idx val="8"/>
              <c:layout>
                <c:manualLayout>
                  <c:x val="-2.4110910186859652E-2"/>
                  <c:y val="4.9252418645558502E-2"/>
                </c:manualLayout>
              </c:layout>
              <c:dLblPos val="t"/>
              <c:showVal val="1"/>
            </c:dLbl>
            <c:dLbl>
              <c:idx val="9"/>
              <c:layout>
                <c:manualLayout>
                  <c:x val="1.141279753823876E-2"/>
                  <c:y val="3.1583344243489892E-3"/>
                </c:manualLayout>
              </c:layout>
              <c:dLblPos val="t"/>
              <c:showVal val="1"/>
            </c:dLbl>
            <c:dLbl>
              <c:idx val="10"/>
              <c:layout>
                <c:manualLayout>
                  <c:x val="5.9483787097146914E-3"/>
                  <c:y val="1.582683399729428E-2"/>
                </c:manualLayout>
              </c:layout>
              <c:dLblPos val="t"/>
              <c:showVal val="1"/>
            </c:dLbl>
            <c:dLbl>
              <c:idx val="11"/>
              <c:layout>
                <c:manualLayout>
                  <c:x val="4.8221558512081949E-3"/>
                  <c:y val="5.9747757183558833E-3"/>
                </c:manualLayout>
              </c:layout>
              <c:dLblPos val="t"/>
              <c:showVal val="1"/>
            </c:dLbl>
            <c:dLbl>
              <c:idx val="12"/>
              <c:layout>
                <c:manualLayout>
                  <c:x val="4.8221558512081949E-3"/>
                  <c:y val="1.1606910181357975E-2"/>
                </c:manualLayout>
              </c:layout>
              <c:dLblPos val="t"/>
              <c:showVal val="1"/>
            </c:dLbl>
            <c:dLbl>
              <c:idx val="13"/>
              <c:layout>
                <c:manualLayout>
                  <c:x val="1.2539184952978056E-2"/>
                  <c:y val="9.5011876484560574E-3"/>
                </c:manualLayout>
              </c:layout>
              <c:dLblPos val="t"/>
              <c:showVal val="1"/>
            </c:dLbl>
            <c:txPr>
              <a:bodyPr/>
              <a:lstStyle/>
              <a:p>
                <a:pPr>
                  <a:defRPr sz="800" b="1">
                    <a:latin typeface="Times New Roman" pitchFamily="18" charset="0"/>
                    <a:cs typeface="Times New Roman" pitchFamily="18" charset="0"/>
                  </a:defRPr>
                </a:pPr>
                <a:endParaRPr lang="ru-RU"/>
              </a:p>
            </c:txPr>
            <c:dLblPos val="t"/>
            <c:showVal val="1"/>
          </c:dLbls>
          <c:cat>
            <c:strRef>
              <c:f>Лист1!$A$2:$A$14</c:f>
              <c:strCache>
                <c:ptCount val="13"/>
                <c:pt idx="0">
                  <c:v>Сельское хозяйство</c:v>
                </c:pt>
                <c:pt idx="1">
                  <c:v>Торговля и общепит</c:v>
                </c:pt>
                <c:pt idx="2">
                  <c:v>Геология и метрология</c:v>
                </c:pt>
                <c:pt idx="3">
                  <c:v>Жилищно-ком. Хозяйство</c:v>
                </c:pt>
                <c:pt idx="4">
                  <c:v>Социальное обеспечение</c:v>
                </c:pt>
                <c:pt idx="5">
                  <c:v>Здравоохранение</c:v>
                </c:pt>
                <c:pt idx="6">
                  <c:v>Образование</c:v>
                </c:pt>
                <c:pt idx="7">
                  <c:v>Высшие учебные заведения</c:v>
                </c:pt>
                <c:pt idx="8">
                  <c:v>Средние специальные учебные заведения</c:v>
                </c:pt>
                <c:pt idx="9">
                  <c:v>ГУНО (школы и ДОУ)</c:v>
                </c:pt>
                <c:pt idx="10">
                  <c:v>Культура и искусство</c:v>
                </c:pt>
                <c:pt idx="11">
                  <c:v>Физкультура, отдых, туризм</c:v>
                </c:pt>
                <c:pt idx="12">
                  <c:v>Наука и научное обслуживание</c:v>
                </c:pt>
              </c:strCache>
            </c:strRef>
          </c:cat>
          <c:val>
            <c:numRef>
              <c:f>Лист1!$C$2:$C$14</c:f>
              <c:numCache>
                <c:formatCode>#,##0</c:formatCode>
                <c:ptCount val="13"/>
                <c:pt idx="0">
                  <c:v>2378</c:v>
                </c:pt>
                <c:pt idx="1">
                  <c:v>1775</c:v>
                </c:pt>
                <c:pt idx="2">
                  <c:v>1982</c:v>
                </c:pt>
                <c:pt idx="3">
                  <c:v>2316</c:v>
                </c:pt>
                <c:pt idx="4">
                  <c:v>2040</c:v>
                </c:pt>
                <c:pt idx="5">
                  <c:v>2668</c:v>
                </c:pt>
                <c:pt idx="6">
                  <c:v>2677</c:v>
                </c:pt>
                <c:pt idx="7">
                  <c:v>3764</c:v>
                </c:pt>
                <c:pt idx="8">
                  <c:v>3118</c:v>
                </c:pt>
                <c:pt idx="9">
                  <c:v>2480</c:v>
                </c:pt>
                <c:pt idx="10">
                  <c:v>2476</c:v>
                </c:pt>
                <c:pt idx="11">
                  <c:v>2445</c:v>
                </c:pt>
                <c:pt idx="12">
                  <c:v>2970</c:v>
                </c:pt>
              </c:numCache>
            </c:numRef>
          </c:val>
        </c:ser>
        <c:ser>
          <c:idx val="2"/>
          <c:order val="2"/>
          <c:tx>
            <c:strRef>
              <c:f>Лист1!$D$1</c:f>
              <c:strCache>
                <c:ptCount val="1"/>
                <c:pt idx="0">
                  <c:v>Средняя по республике</c:v>
                </c:pt>
              </c:strCache>
            </c:strRef>
          </c:tx>
          <c:dLbls>
            <c:delete val="1"/>
          </c:dLbls>
          <c:cat>
            <c:strRef>
              <c:f>Лист1!$A$2:$A$14</c:f>
              <c:strCache>
                <c:ptCount val="13"/>
                <c:pt idx="0">
                  <c:v>Сельское хозяйство</c:v>
                </c:pt>
                <c:pt idx="1">
                  <c:v>Торговля и общепит</c:v>
                </c:pt>
                <c:pt idx="2">
                  <c:v>Геология и метрология</c:v>
                </c:pt>
                <c:pt idx="3">
                  <c:v>Жилищно-ком. Хозяйство</c:v>
                </c:pt>
                <c:pt idx="4">
                  <c:v>Социальное обеспечение</c:v>
                </c:pt>
                <c:pt idx="5">
                  <c:v>Здравоохранение</c:v>
                </c:pt>
                <c:pt idx="6">
                  <c:v>Образование</c:v>
                </c:pt>
                <c:pt idx="7">
                  <c:v>Высшие учебные заведения</c:v>
                </c:pt>
                <c:pt idx="8">
                  <c:v>Средние специальные учебные заведения</c:v>
                </c:pt>
                <c:pt idx="9">
                  <c:v>ГУНО (школы и ДОУ)</c:v>
                </c:pt>
                <c:pt idx="10">
                  <c:v>Культура и искусство</c:v>
                </c:pt>
                <c:pt idx="11">
                  <c:v>Физкультура, отдых, туризм</c:v>
                </c:pt>
                <c:pt idx="12">
                  <c:v>Наука и научное обслуживание</c:v>
                </c:pt>
              </c:strCache>
            </c:strRef>
          </c:cat>
          <c:val>
            <c:numRef>
              <c:f>Лист1!$D$2:$D$14</c:f>
              <c:numCache>
                <c:formatCode>#,##0</c:formatCode>
                <c:ptCount val="13"/>
                <c:pt idx="0">
                  <c:v>4020</c:v>
                </c:pt>
                <c:pt idx="1">
                  <c:v>4020</c:v>
                </c:pt>
                <c:pt idx="2">
                  <c:v>4020</c:v>
                </c:pt>
                <c:pt idx="3">
                  <c:v>4020</c:v>
                </c:pt>
                <c:pt idx="4">
                  <c:v>4020</c:v>
                </c:pt>
                <c:pt idx="5">
                  <c:v>4020</c:v>
                </c:pt>
                <c:pt idx="6">
                  <c:v>4020</c:v>
                </c:pt>
                <c:pt idx="7">
                  <c:v>4020</c:v>
                </c:pt>
                <c:pt idx="8">
                  <c:v>4020</c:v>
                </c:pt>
                <c:pt idx="9">
                  <c:v>4020</c:v>
                </c:pt>
                <c:pt idx="10">
                  <c:v>4020</c:v>
                </c:pt>
                <c:pt idx="11">
                  <c:v>4020</c:v>
                </c:pt>
                <c:pt idx="12">
                  <c:v>4020</c:v>
                </c:pt>
              </c:numCache>
            </c:numRef>
          </c:val>
        </c:ser>
        <c:dLbls>
          <c:showVal val="1"/>
        </c:dLbls>
        <c:marker val="1"/>
        <c:axId val="170427520"/>
        <c:axId val="170429056"/>
      </c:lineChart>
      <c:catAx>
        <c:axId val="170427520"/>
        <c:scaling>
          <c:orientation val="minMax"/>
        </c:scaling>
        <c:axPos val="b"/>
        <c:numFmt formatCode="General" sourceLinked="1"/>
        <c:tickLblPos val="nextTo"/>
        <c:txPr>
          <a:bodyPr rot="-5400000" vert="horz"/>
          <a:lstStyle/>
          <a:p>
            <a:pPr>
              <a:defRPr b="0" i="0">
                <a:latin typeface="Times New Roman" pitchFamily="18" charset="0"/>
                <a:cs typeface="Times New Roman" pitchFamily="18" charset="0"/>
              </a:defRPr>
            </a:pPr>
            <a:endParaRPr lang="ru-RU"/>
          </a:p>
        </c:txPr>
        <c:crossAx val="170429056"/>
        <c:crosses val="autoZero"/>
        <c:auto val="1"/>
        <c:lblAlgn val="ctr"/>
        <c:lblOffset val="100"/>
      </c:catAx>
      <c:valAx>
        <c:axId val="170429056"/>
        <c:scaling>
          <c:orientation val="minMax"/>
        </c:scaling>
        <c:axPos val="l"/>
        <c:majorGridlines/>
        <c:numFmt formatCode="#,##0" sourceLinked="1"/>
        <c:tickLblPos val="nextTo"/>
        <c:txPr>
          <a:bodyPr/>
          <a:lstStyle/>
          <a:p>
            <a:pPr>
              <a:defRPr b="1">
                <a:latin typeface="Times New Roman" pitchFamily="18" charset="0"/>
                <a:cs typeface="Times New Roman" pitchFamily="18" charset="0"/>
              </a:defRPr>
            </a:pPr>
            <a:endParaRPr lang="ru-RU"/>
          </a:p>
        </c:txPr>
        <c:crossAx val="170427520"/>
        <c:crosses val="autoZero"/>
        <c:crossBetween val="between"/>
      </c:valAx>
      <c:spPr>
        <a:noFill/>
        <a:ln w="25400">
          <a:noFill/>
        </a:ln>
      </c:spPr>
    </c:plotArea>
    <c:legend>
      <c:legendPos val="b"/>
      <c:legendEntry>
        <c:idx val="0"/>
        <c:delete val="1"/>
      </c:legendEntry>
      <c:legendEntry>
        <c:idx val="1"/>
        <c:delete val="1"/>
      </c:legendEntry>
      <c:layout>
        <c:manualLayout>
          <c:xMode val="edge"/>
          <c:yMode val="edge"/>
          <c:x val="0.10452661285677869"/>
          <c:y val="0.95463198616760581"/>
          <c:w val="0.701082450900534"/>
          <c:h val="4.5367948253330508E-2"/>
        </c:manualLayout>
      </c:layout>
      <c:txPr>
        <a:bodyPr/>
        <a:lstStyle/>
        <a:p>
          <a:pPr>
            <a:defRPr sz="1000" b="0">
              <a:latin typeface="Times New Roman" pitchFamily="18" charset="0"/>
              <a:cs typeface="Times New Roman" pitchFamily="18" charset="0"/>
            </a:defRPr>
          </a:pPr>
          <a:endParaRPr lang="ru-RU"/>
        </a:p>
      </c:txPr>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915">
                <a:latin typeface="Times New Roman" pitchFamily="18" charset="0"/>
                <a:cs typeface="Times New Roman" pitchFamily="18" charset="0"/>
              </a:defRPr>
            </a:pPr>
            <a:r>
              <a:rPr lang="ru-RU" sz="1048">
                <a:latin typeface="Times New Roman" pitchFamily="18" charset="0"/>
                <a:cs typeface="Times New Roman" pitchFamily="18" charset="0"/>
              </a:rPr>
              <a:t>Динамика инвестиций в основной капитал</a:t>
            </a:r>
          </a:p>
          <a:p>
            <a:pPr>
              <a:defRPr sz="915">
                <a:latin typeface="Times New Roman" pitchFamily="18" charset="0"/>
                <a:cs typeface="Times New Roman" pitchFamily="18" charset="0"/>
              </a:defRPr>
            </a:pPr>
            <a:r>
              <a:rPr lang="ru-RU" sz="1048">
                <a:latin typeface="Times New Roman" pitchFamily="18" charset="0"/>
                <a:cs typeface="Times New Roman" pitchFamily="18" charset="0"/>
              </a:rPr>
              <a:t> </a:t>
            </a:r>
            <a:r>
              <a:rPr lang="ru-RU" sz="873" b="0">
                <a:latin typeface="Times New Roman" pitchFamily="18" charset="0"/>
                <a:cs typeface="Times New Roman" pitchFamily="18" charset="0"/>
              </a:rPr>
              <a:t>(в части новых и приобретенных по импорту основных средств) по организациям всех форм собственности (кроме субъектов предпринимательства)</a:t>
            </a:r>
            <a:endParaRPr lang="ru-RU" sz="1000">
              <a:latin typeface="Times New Roman" pitchFamily="18" charset="0"/>
              <a:cs typeface="Times New Roman" pitchFamily="18" charset="0"/>
            </a:endParaRPr>
          </a:p>
        </c:rich>
      </c:tx>
      <c:layout>
        <c:manualLayout>
          <c:xMode val="edge"/>
          <c:yMode val="edge"/>
          <c:x val="0.1828761146375282"/>
          <c:y val="3.1745531808524012E-2"/>
        </c:manualLayout>
      </c:layout>
    </c:title>
    <c:plotArea>
      <c:layout/>
      <c:barChart>
        <c:barDir val="col"/>
        <c:grouping val="clustered"/>
        <c:ser>
          <c:idx val="0"/>
          <c:order val="0"/>
          <c:tx>
            <c:strRef>
              <c:f>Лист1!$B$1</c:f>
              <c:strCache>
                <c:ptCount val="1"/>
                <c:pt idx="0">
                  <c:v>Инвестиции в основной капитал, млн. руб.</c:v>
                </c:pt>
              </c:strCache>
            </c:strRef>
          </c:tx>
          <c:dLbls>
            <c:dLbl>
              <c:idx val="0"/>
              <c:tx>
                <c:rich>
                  <a:bodyPr/>
                  <a:lstStyle/>
                  <a:p>
                    <a:r>
                      <a:rPr lang="ru-RU" sz="786" b="1">
                        <a:latin typeface="Times New Roman" pitchFamily="18" charset="0"/>
                        <a:cs typeface="Times New Roman" pitchFamily="18" charset="0"/>
                      </a:rPr>
                      <a:t>+2,5%*</a:t>
                    </a:r>
                    <a:endParaRPr lang="en-US" sz="900" b="1">
                      <a:latin typeface="Times New Roman" pitchFamily="18" charset="0"/>
                      <a:cs typeface="Times New Roman" pitchFamily="18" charset="0"/>
                    </a:endParaRPr>
                  </a:p>
                </c:rich>
              </c:tx>
              <c:dLblPos val="outEnd"/>
            </c:dLbl>
            <c:dLbl>
              <c:idx val="1"/>
              <c:tx>
                <c:rich>
                  <a:bodyPr/>
                  <a:lstStyle/>
                  <a:p>
                    <a:r>
                      <a:rPr lang="ru-RU" sz="786" b="1">
                        <a:latin typeface="Times New Roman" pitchFamily="18" charset="0"/>
                        <a:cs typeface="Times New Roman" pitchFamily="18" charset="0"/>
                      </a:rPr>
                      <a:t>+5,0%*</a:t>
                    </a:r>
                    <a:endParaRPr lang="en-US" sz="900" b="1">
                      <a:latin typeface="Times New Roman" pitchFamily="18" charset="0"/>
                      <a:cs typeface="Times New Roman" pitchFamily="18" charset="0"/>
                    </a:endParaRPr>
                  </a:p>
                </c:rich>
              </c:tx>
              <c:dLblPos val="outEnd"/>
            </c:dLbl>
            <c:txPr>
              <a:bodyPr/>
              <a:lstStyle/>
              <a:p>
                <a:pPr>
                  <a:defRPr sz="786" b="1">
                    <a:latin typeface="Times New Roman" pitchFamily="18" charset="0"/>
                    <a:cs typeface="Times New Roman" pitchFamily="18" charset="0"/>
                  </a:defRPr>
                </a:pPr>
                <a:endParaRPr lang="ru-RU"/>
              </a:p>
            </c:txPr>
            <c:dLblPos val="outEnd"/>
            <c:showVal val="1"/>
          </c:dLbls>
          <c:cat>
            <c:strRef>
              <c:f>Лист1!$A$2:$A$3</c:f>
              <c:strCache>
                <c:ptCount val="2"/>
                <c:pt idx="0">
                  <c:v>январь-июнь 2013 года</c:v>
                </c:pt>
                <c:pt idx="1">
                  <c:v>январь-июнь 2014 года</c:v>
                </c:pt>
              </c:strCache>
            </c:strRef>
          </c:cat>
          <c:val>
            <c:numRef>
              <c:f>Лист1!$B$2:$B$3</c:f>
              <c:numCache>
                <c:formatCode>General</c:formatCode>
                <c:ptCount val="2"/>
                <c:pt idx="0">
                  <c:v>565.29999999999995</c:v>
                </c:pt>
                <c:pt idx="1">
                  <c:v>629.70000000000005</c:v>
                </c:pt>
              </c:numCache>
            </c:numRef>
          </c:val>
        </c:ser>
        <c:dLbls>
          <c:showVal val="1"/>
        </c:dLbls>
        <c:axId val="144829056"/>
        <c:axId val="149193088"/>
      </c:barChart>
      <c:catAx>
        <c:axId val="144829056"/>
        <c:scaling>
          <c:orientation val="minMax"/>
        </c:scaling>
        <c:axPos val="b"/>
        <c:numFmt formatCode="General" sourceLinked="1"/>
        <c:tickLblPos val="nextTo"/>
        <c:crossAx val="149193088"/>
        <c:crosses val="autoZero"/>
        <c:auto val="1"/>
        <c:lblAlgn val="ctr"/>
        <c:lblOffset val="100"/>
      </c:catAx>
      <c:valAx>
        <c:axId val="149193088"/>
        <c:scaling>
          <c:orientation val="minMax"/>
        </c:scaling>
        <c:axPos val="l"/>
        <c:title>
          <c:tx>
            <c:rich>
              <a:bodyPr rot="0" vert="horz"/>
              <a:lstStyle/>
              <a:p>
                <a:pPr algn="ctr">
                  <a:defRPr sz="762" b="0" i="0" u="none" strike="noStrike" baseline="0">
                    <a:solidFill>
                      <a:srgbClr val="000000"/>
                    </a:solidFill>
                    <a:latin typeface="Calibri"/>
                    <a:ea typeface="Calibri"/>
                    <a:cs typeface="Calibri"/>
                  </a:defRPr>
                </a:pPr>
                <a:r>
                  <a:rPr lang="ru-RU" sz="786" b="1" i="0" strike="noStrike">
                    <a:solidFill>
                      <a:srgbClr val="000000"/>
                    </a:solidFill>
                    <a:latin typeface="Times New Roman"/>
                    <a:cs typeface="Times New Roman"/>
                  </a:rPr>
                  <a:t>Темп прироста</a:t>
                </a:r>
              </a:p>
              <a:p>
                <a:pPr algn="ctr">
                  <a:defRPr sz="762" b="0" i="0" u="none" strike="noStrike" baseline="0">
                    <a:solidFill>
                      <a:srgbClr val="000000"/>
                    </a:solidFill>
                    <a:latin typeface="Calibri"/>
                    <a:ea typeface="Calibri"/>
                    <a:cs typeface="Calibri"/>
                  </a:defRPr>
                </a:pPr>
                <a:r>
                  <a:rPr lang="ru-RU" sz="786" b="1" i="0" strike="noStrike">
                    <a:solidFill>
                      <a:srgbClr val="000000"/>
                    </a:solidFill>
                    <a:latin typeface="Times New Roman"/>
                    <a:cs typeface="Times New Roman"/>
                  </a:rPr>
                  <a:t> (в сопоставимых ценах) </a:t>
                </a:r>
              </a:p>
            </c:rich>
          </c:tx>
        </c:title>
        <c:numFmt formatCode="General" sourceLinked="1"/>
        <c:tickLblPos val="nextTo"/>
        <c:txPr>
          <a:bodyPr/>
          <a:lstStyle/>
          <a:p>
            <a:pPr>
              <a:defRPr b="1">
                <a:latin typeface="Times New Roman" pitchFamily="18" charset="0"/>
                <a:cs typeface="Times New Roman" pitchFamily="18" charset="0"/>
              </a:defRPr>
            </a:pPr>
            <a:endParaRPr lang="ru-RU"/>
          </a:p>
        </c:txPr>
        <c:crossAx val="144829056"/>
        <c:crosses val="autoZero"/>
        <c:crossBetween val="between"/>
        <c:majorUnit val="50"/>
      </c:valAx>
      <c:dTable>
        <c:showHorzBorder val="1"/>
        <c:showVertBorder val="1"/>
        <c:showOutline val="1"/>
        <c:txPr>
          <a:bodyPr/>
          <a:lstStyle/>
          <a:p>
            <a:pPr rtl="0">
              <a:defRPr b="1">
                <a:latin typeface="Times New Roman" pitchFamily="18" charset="0"/>
                <a:cs typeface="Times New Roman" pitchFamily="18" charset="0"/>
              </a:defRPr>
            </a:pPr>
            <a:endParaRPr lang="ru-RU"/>
          </a:p>
        </c:txPr>
      </c:dTable>
    </c:plotArea>
    <c:plotVisOnly val="1"/>
    <c:dispBlanksAs val="gap"/>
  </c:chart>
  <c:spPr>
    <a:ln>
      <a:noFill/>
    </a:ln>
  </c:spPr>
  <c:externalData r:id="rId2"/>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style val="31"/>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средней назначенной пенсии и величины прожиточного минимума пенсионера </a:t>
            </a:r>
            <a:endParaRPr lang="ru-RU" sz="1200">
              <a:solidFill>
                <a:srgbClr val="FF0000"/>
              </a:solidFill>
              <a:latin typeface="Times New Roman" pitchFamily="18" charset="0"/>
              <a:cs typeface="Times New Roman" pitchFamily="18" charset="0"/>
            </a:endParaRPr>
          </a:p>
        </c:rich>
      </c:tx>
      <c:layout>
        <c:manualLayout>
          <c:xMode val="edge"/>
          <c:yMode val="edge"/>
          <c:x val="0.22574657334499854"/>
          <c:y val="0"/>
        </c:manualLayout>
      </c:layout>
    </c:title>
    <c:plotArea>
      <c:layout/>
      <c:barChart>
        <c:barDir val="col"/>
        <c:grouping val="clustered"/>
        <c:ser>
          <c:idx val="0"/>
          <c:order val="0"/>
          <c:tx>
            <c:strRef>
              <c:f>Лист1!$B$1</c:f>
              <c:strCache>
                <c:ptCount val="1"/>
                <c:pt idx="0">
                  <c:v>Средний размер назначенных пенсий, руб. ПМР</c:v>
                </c:pt>
              </c:strCache>
            </c:strRef>
          </c:tx>
          <c:dLbls>
            <c:dLbl>
              <c:idx val="0"/>
              <c:layout>
                <c:manualLayout>
                  <c:x val="2.3148148148148147E-3"/>
                  <c:y val="-1.1904761904761921E-2"/>
                </c:manualLayout>
              </c:layout>
              <c:tx>
                <c:rich>
                  <a:bodyPr/>
                  <a:lstStyle/>
                  <a:p>
                    <a:r>
                      <a:rPr lang="ru-RU" b="1">
                        <a:latin typeface="Times New Roman" pitchFamily="18" charset="0"/>
                        <a:cs typeface="Times New Roman" pitchFamily="18" charset="0"/>
                      </a:rPr>
                      <a:t>+14,3</a:t>
                    </a:r>
                    <a:r>
                      <a:rPr lang="ru-RU" b="1" baseline="0">
                        <a:latin typeface="Times New Roman" pitchFamily="18" charset="0"/>
                        <a:cs typeface="Times New Roman" pitchFamily="18" charset="0"/>
                      </a:rPr>
                      <a:t>%*</a:t>
                    </a:r>
                    <a:endParaRPr lang="en-US" b="1">
                      <a:latin typeface="Times New Roman" pitchFamily="18" charset="0"/>
                      <a:cs typeface="Times New Roman" pitchFamily="18" charset="0"/>
                    </a:endParaRPr>
                  </a:p>
                </c:rich>
              </c:tx>
              <c:showVal val="1"/>
            </c:dLbl>
            <c:dLbl>
              <c:idx val="1"/>
              <c:tx>
                <c:rich>
                  <a:bodyPr/>
                  <a:lstStyle/>
                  <a:p>
                    <a:r>
                      <a:rPr lang="ru-RU" b="1">
                        <a:latin typeface="Times New Roman" pitchFamily="18" charset="0"/>
                        <a:cs typeface="Times New Roman" pitchFamily="18" charset="0"/>
                      </a:rPr>
                      <a:t>+7,8%*</a:t>
                    </a:r>
                    <a:endParaRPr lang="en-US" b="1">
                      <a:latin typeface="Times New Roman" pitchFamily="18" charset="0"/>
                      <a:cs typeface="Times New Roman" pitchFamily="18" charset="0"/>
                    </a:endParaRPr>
                  </a:p>
                </c:rich>
              </c:tx>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I полугодие 2013 года</c:v>
                </c:pt>
                <c:pt idx="1">
                  <c:v>I полугодие 2014 года</c:v>
                </c:pt>
              </c:strCache>
            </c:strRef>
          </c:cat>
          <c:val>
            <c:numRef>
              <c:f>Лист1!$B$2:$B$3</c:f>
              <c:numCache>
                <c:formatCode>General</c:formatCode>
                <c:ptCount val="2"/>
                <c:pt idx="0">
                  <c:v>1254.04</c:v>
                </c:pt>
                <c:pt idx="1">
                  <c:v>1351.32</c:v>
                </c:pt>
              </c:numCache>
            </c:numRef>
          </c:val>
        </c:ser>
        <c:ser>
          <c:idx val="1"/>
          <c:order val="1"/>
          <c:tx>
            <c:strRef>
              <c:f>Лист1!$C$1</c:f>
              <c:strCache>
                <c:ptCount val="1"/>
                <c:pt idx="0">
                  <c:v>Прожиточный минимум пенсионера, руб. ПМР</c:v>
                </c:pt>
              </c:strCache>
            </c:strRef>
          </c:tx>
          <c:dLbls>
            <c:dLbl>
              <c:idx val="0"/>
              <c:tx>
                <c:rich>
                  <a:bodyPr/>
                  <a:lstStyle/>
                  <a:p>
                    <a:r>
                      <a:rPr lang="ru-RU" b="1">
                        <a:latin typeface="Times New Roman" pitchFamily="18" charset="0"/>
                        <a:cs typeface="Times New Roman" pitchFamily="18" charset="0"/>
                      </a:rPr>
                      <a:t>+8,4%*</a:t>
                    </a:r>
                    <a:endParaRPr lang="en-US" b="1">
                      <a:latin typeface="Times New Roman" pitchFamily="18" charset="0"/>
                      <a:cs typeface="Times New Roman" pitchFamily="18" charset="0"/>
                    </a:endParaRPr>
                  </a:p>
                </c:rich>
              </c:tx>
              <c:showVal val="1"/>
            </c:dLbl>
            <c:dLbl>
              <c:idx val="1"/>
              <c:tx>
                <c:rich>
                  <a:bodyPr/>
                  <a:lstStyle/>
                  <a:p>
                    <a:r>
                      <a:rPr lang="ru-RU" b="1">
                        <a:latin typeface="Times New Roman" pitchFamily="18" charset="0"/>
                        <a:cs typeface="Times New Roman" pitchFamily="18" charset="0"/>
                      </a:rPr>
                      <a:t>+12,3%*</a:t>
                    </a:r>
                    <a:endParaRPr lang="en-US" b="1">
                      <a:latin typeface="Times New Roman" pitchFamily="18" charset="0"/>
                      <a:cs typeface="Times New Roman" pitchFamily="18" charset="0"/>
                    </a:endParaRPr>
                  </a:p>
                </c:rich>
              </c:tx>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I полугодие 2013 года</c:v>
                </c:pt>
                <c:pt idx="1">
                  <c:v>I полугодие 2014 года</c:v>
                </c:pt>
              </c:strCache>
            </c:strRef>
          </c:cat>
          <c:val>
            <c:numRef>
              <c:f>Лист1!$C$2:$C$3</c:f>
              <c:numCache>
                <c:formatCode>General</c:formatCode>
                <c:ptCount val="2"/>
                <c:pt idx="0" formatCode="0.00">
                  <c:v>1007.3</c:v>
                </c:pt>
                <c:pt idx="1">
                  <c:v>1131.31</c:v>
                </c:pt>
              </c:numCache>
            </c:numRef>
          </c:val>
        </c:ser>
        <c:axId val="171262720"/>
        <c:axId val="171264256"/>
      </c:barChart>
      <c:catAx>
        <c:axId val="171262720"/>
        <c:scaling>
          <c:orientation val="minMax"/>
        </c:scaling>
        <c:axPos val="b"/>
        <c:numFmt formatCode="General" sourceLinked="1"/>
        <c:tickLblPos val="nextTo"/>
        <c:crossAx val="171264256"/>
        <c:crosses val="autoZero"/>
        <c:auto val="1"/>
        <c:lblAlgn val="ctr"/>
        <c:lblOffset val="100"/>
      </c:catAx>
      <c:valAx>
        <c:axId val="171264256"/>
        <c:scaling>
          <c:orientation val="minMax"/>
          <c:max val="1400"/>
        </c:scaling>
        <c:axPos val="l"/>
        <c:title>
          <c:tx>
            <c:rich>
              <a:bodyPr rot="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 -</a:t>
                </a:r>
                <a:r>
                  <a:rPr lang="ru-RU" baseline="0">
                    <a:latin typeface="Times New Roman" pitchFamily="18" charset="0"/>
                    <a:cs typeface="Times New Roman" pitchFamily="18" charset="0"/>
                  </a:rPr>
                  <a:t> темп прироста</a:t>
                </a:r>
                <a:endParaRPr lang="ru-RU">
                  <a:latin typeface="Times New Roman" pitchFamily="18" charset="0"/>
                  <a:cs typeface="Times New Roman" pitchFamily="18" charset="0"/>
                </a:endParaRPr>
              </a:p>
            </c:rich>
          </c:tx>
          <c:layout>
            <c:manualLayout>
              <c:xMode val="edge"/>
              <c:yMode val="edge"/>
              <c:x val="3.9351851851851853E-2"/>
              <c:y val="0.38748531433571387"/>
            </c:manualLayout>
          </c:layout>
        </c:title>
        <c:numFmt formatCode="General" sourceLinked="1"/>
        <c:tickLblPos val="nextTo"/>
        <c:txPr>
          <a:bodyPr/>
          <a:lstStyle/>
          <a:p>
            <a:pPr>
              <a:defRPr b="1">
                <a:latin typeface="Times New Roman" pitchFamily="18" charset="0"/>
                <a:cs typeface="Times New Roman" pitchFamily="18" charset="0"/>
              </a:defRPr>
            </a:pPr>
            <a:endParaRPr lang="ru-RU"/>
          </a:p>
        </c:txPr>
        <c:crossAx val="171262720"/>
        <c:crosses val="autoZero"/>
        <c:crossBetween val="between"/>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chart>
  <c:spPr>
    <a:ln>
      <a:noFill/>
    </a:ln>
  </c:sp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en-US"/>
              <a:t>I</a:t>
            </a:r>
            <a:r>
              <a:rPr lang="ru-RU"/>
              <a:t> полгодие 2013 года</a:t>
            </a:r>
          </a:p>
        </c:rich>
      </c:tx>
      <c:layout>
        <c:manualLayout>
          <c:xMode val="edge"/>
          <c:yMode val="edge"/>
          <c:x val="0.49720683515959274"/>
          <c:y val="0"/>
        </c:manualLayout>
      </c:layout>
    </c:title>
    <c:view3D>
      <c:rotX val="30"/>
      <c:perspective val="30"/>
    </c:view3D>
    <c:plotArea>
      <c:layout>
        <c:manualLayout>
          <c:layoutTarget val="inner"/>
          <c:xMode val="edge"/>
          <c:yMode val="edge"/>
          <c:x val="5.7803351504139004E-2"/>
          <c:y val="0.23586830127247044"/>
          <c:w val="0.94219653179190066"/>
          <c:h val="0.46008813473961957"/>
        </c:manualLayout>
      </c:layout>
      <c:pie3DChart>
        <c:varyColors val="1"/>
        <c:ser>
          <c:idx val="0"/>
          <c:order val="0"/>
          <c:tx>
            <c:strRef>
              <c:f>Лист1!$B$1</c:f>
              <c:strCache>
                <c:ptCount val="1"/>
                <c:pt idx="0">
                  <c:v>2012 год</c:v>
                </c:pt>
              </c:strCache>
            </c:strRef>
          </c:tx>
          <c:explosion val="25"/>
          <c:dPt>
            <c:idx val="0"/>
            <c:explosion val="3"/>
            <c:spPr>
              <a:blipFill>
                <a:blip xmlns:r="http://schemas.openxmlformats.org/officeDocument/2006/relationships" r:embed="rId2"/>
                <a:tile tx="0" ty="0" sx="100000" sy="100000" flip="none" algn="tl"/>
              </a:blipFill>
            </c:spPr>
          </c:dPt>
          <c:dPt>
            <c:idx val="1"/>
            <c:explosion val="10"/>
            <c:spPr>
              <a:blipFill>
                <a:blip xmlns:r="http://schemas.openxmlformats.org/officeDocument/2006/relationships" r:embed="rId3"/>
                <a:tile tx="0" ty="0" sx="100000" sy="100000" flip="none" algn="tl"/>
              </a:blipFill>
            </c:spPr>
          </c:dPt>
          <c:dPt>
            <c:idx val="2"/>
            <c:explosion val="12"/>
            <c:spPr>
              <a:blipFill>
                <a:blip xmlns:r="http://schemas.openxmlformats.org/officeDocument/2006/relationships" r:embed="rId4"/>
                <a:tile tx="0" ty="0" sx="100000" sy="100000" flip="none" algn="tl"/>
              </a:blipFill>
            </c:spPr>
          </c:dPt>
          <c:dLbls>
            <c:dLbl>
              <c:idx val="0"/>
              <c:layout>
                <c:manualLayout>
                  <c:x val="2.4522173167660401E-2"/>
                  <c:y val="-0.10130497525447696"/>
                </c:manualLayout>
              </c:layout>
              <c:tx>
                <c:rich>
                  <a:bodyPr/>
                  <a:lstStyle/>
                  <a:p>
                    <a:r>
                      <a:rPr lang="ru-RU" b="1">
                        <a:latin typeface="Times New Roman" pitchFamily="18" charset="0"/>
                        <a:cs typeface="Times New Roman" pitchFamily="18" charset="0"/>
                      </a:rPr>
                      <a:t>615,9;</a:t>
                    </a:r>
                  </a:p>
                  <a:p>
                    <a:r>
                      <a:rPr lang="ru-RU" b="1">
                        <a:latin typeface="Times New Roman" pitchFamily="18" charset="0"/>
                        <a:cs typeface="Times New Roman" pitchFamily="18" charset="0"/>
                      </a:rPr>
                      <a:t>50,1</a:t>
                    </a:r>
                    <a:endParaRPr lang="en-US" b="1">
                      <a:latin typeface="Times New Roman" pitchFamily="18" charset="0"/>
                      <a:cs typeface="Times New Roman" pitchFamily="18" charset="0"/>
                    </a:endParaRPr>
                  </a:p>
                </c:rich>
              </c:tx>
              <c:dLblPos val="bestFit"/>
            </c:dLbl>
            <c:dLbl>
              <c:idx val="1"/>
              <c:layout>
                <c:manualLayout>
                  <c:x val="-4.6097583177825412E-2"/>
                  <c:y val="3.5544449932688187E-3"/>
                </c:manualLayout>
              </c:layout>
              <c:tx>
                <c:rich>
                  <a:bodyPr/>
                  <a:lstStyle/>
                  <a:p>
                    <a:r>
                      <a:rPr lang="ru-RU" b="1">
                        <a:latin typeface="Times New Roman" pitchFamily="18" charset="0"/>
                        <a:cs typeface="Times New Roman" pitchFamily="18" charset="0"/>
                      </a:rPr>
                      <a:t>224,4;</a:t>
                    </a:r>
                  </a:p>
                  <a:p>
                    <a:r>
                      <a:rPr lang="en-US" b="1">
                        <a:latin typeface="Times New Roman" pitchFamily="18" charset="0"/>
                        <a:cs typeface="Times New Roman" pitchFamily="18" charset="0"/>
                      </a:rPr>
                      <a:t>18,</a:t>
                    </a:r>
                    <a:r>
                      <a:rPr lang="ru-RU" b="1">
                        <a:latin typeface="Times New Roman" pitchFamily="18" charset="0"/>
                        <a:cs typeface="Times New Roman" pitchFamily="18" charset="0"/>
                      </a:rPr>
                      <a:t>2</a:t>
                    </a:r>
                    <a:endParaRPr lang="en-US" b="1">
                      <a:latin typeface="Times New Roman" pitchFamily="18" charset="0"/>
                      <a:cs typeface="Times New Roman" pitchFamily="18" charset="0"/>
                    </a:endParaRPr>
                  </a:p>
                </c:rich>
              </c:tx>
              <c:dLblPos val="bestFit"/>
            </c:dLbl>
            <c:dLbl>
              <c:idx val="2"/>
              <c:layout>
                <c:manualLayout>
                  <c:x val="-8.6938236766646998E-2"/>
                  <c:y val="1.7084580294622102E-3"/>
                </c:manualLayout>
              </c:layout>
              <c:tx>
                <c:rich>
                  <a:bodyPr/>
                  <a:lstStyle/>
                  <a:p>
                    <a:r>
                      <a:rPr lang="ru-RU" b="1">
                        <a:latin typeface="Times New Roman" pitchFamily="18" charset="0"/>
                        <a:cs typeface="Times New Roman" pitchFamily="18" charset="0"/>
                      </a:rPr>
                      <a:t>366,6;</a:t>
                    </a:r>
                  </a:p>
                  <a:p>
                    <a:r>
                      <a:rPr lang="en-US" b="1">
                        <a:latin typeface="Times New Roman" pitchFamily="18" charset="0"/>
                        <a:cs typeface="Times New Roman" pitchFamily="18" charset="0"/>
                      </a:rPr>
                      <a:t>2</a:t>
                    </a:r>
                    <a:r>
                      <a:rPr lang="ru-RU" b="1">
                        <a:latin typeface="Times New Roman" pitchFamily="18" charset="0"/>
                        <a:cs typeface="Times New Roman" pitchFamily="18" charset="0"/>
                      </a:rPr>
                      <a:t>9,8</a:t>
                    </a:r>
                    <a:endParaRPr lang="en-US" b="1">
                      <a:latin typeface="Times New Roman" pitchFamily="18" charset="0"/>
                      <a:cs typeface="Times New Roman" pitchFamily="18" charset="0"/>
                    </a:endParaRPr>
                  </a:p>
                </c:rich>
              </c:tx>
              <c:dLblPos val="bestFit"/>
            </c:dLbl>
            <c:dLbl>
              <c:idx val="3"/>
              <c:layout>
                <c:manualLayout>
                  <c:x val="-7.0683476704140324E-2"/>
                  <c:y val="5.2450823720835834E-3"/>
                </c:manualLayout>
              </c:layout>
              <c:tx>
                <c:rich>
                  <a:bodyPr/>
                  <a:lstStyle/>
                  <a:p>
                    <a:r>
                      <a:rPr lang="ru-RU" b="1">
                        <a:latin typeface="Times New Roman" pitchFamily="18" charset="0"/>
                        <a:cs typeface="Times New Roman" pitchFamily="18" charset="0"/>
                      </a:rPr>
                      <a:t>23,3;</a:t>
                    </a:r>
                  </a:p>
                  <a:p>
                    <a:r>
                      <a:rPr lang="en-US" b="1">
                        <a:latin typeface="Times New Roman" pitchFamily="18" charset="0"/>
                        <a:cs typeface="Times New Roman" pitchFamily="18" charset="0"/>
                      </a:rPr>
                      <a:t>1,9</a:t>
                    </a:r>
                  </a:p>
                </c:rich>
              </c:tx>
              <c:dLblPos val="bestFit"/>
            </c:dLbl>
            <c:txPr>
              <a:bodyPr/>
              <a:lstStyle/>
              <a:p>
                <a:pPr>
                  <a:defRPr b="1">
                    <a:latin typeface="Times New Roman" pitchFamily="18" charset="0"/>
                    <a:cs typeface="Times New Roman" pitchFamily="18" charset="0"/>
                  </a:defRPr>
                </a:pPr>
                <a:endParaRPr lang="ru-RU"/>
              </a:p>
            </c:txPr>
            <c:showVal val="1"/>
            <c:showLeaderLines val="1"/>
          </c:dLbls>
          <c:cat>
            <c:strRef>
              <c:f>Лист1!$A$2:$A$5</c:f>
              <c:strCache>
                <c:ptCount val="4"/>
                <c:pt idx="0">
                  <c:v>Питание</c:v>
                </c:pt>
                <c:pt idx="1">
                  <c:v>Непродольственные товары</c:v>
                </c:pt>
                <c:pt idx="2">
                  <c:v>Услуги</c:v>
                </c:pt>
                <c:pt idx="3">
                  <c:v>Обязательные платежи и сборы</c:v>
                </c:pt>
              </c:strCache>
            </c:strRef>
          </c:cat>
          <c:val>
            <c:numRef>
              <c:f>Лист1!$B$2:$B$5</c:f>
              <c:numCache>
                <c:formatCode>#,##0.0</c:formatCode>
                <c:ptCount val="4"/>
                <c:pt idx="0">
                  <c:v>50.1</c:v>
                </c:pt>
                <c:pt idx="1">
                  <c:v>18.2</c:v>
                </c:pt>
                <c:pt idx="2">
                  <c:v>29.8</c:v>
                </c:pt>
                <c:pt idx="3">
                  <c:v>1.9000000000000001</c:v>
                </c:pt>
              </c:numCache>
            </c:numRef>
          </c:val>
        </c:ser>
      </c:pie3DChart>
      <c:spPr>
        <a:noFill/>
        <a:ln w="25395">
          <a:noFill/>
        </a:ln>
      </c:spPr>
    </c:plotArea>
    <c:legend>
      <c:legendPos val="b"/>
      <c:layout>
        <c:manualLayout>
          <c:xMode val="edge"/>
          <c:yMode val="edge"/>
          <c:x val="4.7037556669052696E-2"/>
          <c:y val="0.74732248777272858"/>
          <c:w val="0.90977847769029874"/>
          <c:h val="0.2231572375039024"/>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5"/>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I</a:t>
            </a:r>
            <a:r>
              <a:rPr lang="ru-RU" sz="1100">
                <a:latin typeface="Times New Roman" pitchFamily="18" charset="0"/>
                <a:cs typeface="Times New Roman" pitchFamily="18" charset="0"/>
              </a:rPr>
              <a:t> полугодие 2014 года</a:t>
            </a:r>
          </a:p>
        </c:rich>
      </c:tx>
      <c:layout>
        <c:manualLayout>
          <c:xMode val="edge"/>
          <c:yMode val="edge"/>
          <c:x val="0.44111888111888303"/>
          <c:y val="2.8027509219575412E-3"/>
        </c:manualLayout>
      </c:layout>
    </c:title>
    <c:view3D>
      <c:rotX val="30"/>
      <c:perspective val="30"/>
    </c:view3D>
    <c:plotArea>
      <c:layout>
        <c:manualLayout>
          <c:layoutTarget val="inner"/>
          <c:xMode val="edge"/>
          <c:yMode val="edge"/>
          <c:x val="5.7821614403462722E-2"/>
          <c:y val="0.24950576749861986"/>
          <c:w val="0.94217838559653733"/>
          <c:h val="0.45052503123456777"/>
        </c:manualLayout>
      </c:layout>
      <c:pie3DChart>
        <c:varyColors val="1"/>
        <c:ser>
          <c:idx val="0"/>
          <c:order val="0"/>
          <c:tx>
            <c:strRef>
              <c:f>Лист1!$B$1</c:f>
              <c:strCache>
                <c:ptCount val="1"/>
                <c:pt idx="0">
                  <c:v>I полугодие 2014 года</c:v>
                </c:pt>
              </c:strCache>
            </c:strRef>
          </c:tx>
          <c:explosion val="25"/>
          <c:dPt>
            <c:idx val="0"/>
            <c:explosion val="3"/>
            <c:spPr>
              <a:blipFill>
                <a:blip xmlns:r="http://schemas.openxmlformats.org/officeDocument/2006/relationships" r:embed="rId2"/>
                <a:tile tx="0" ty="0" sx="100000" sy="100000" flip="none" algn="tl"/>
              </a:blipFill>
            </c:spPr>
          </c:dPt>
          <c:dPt>
            <c:idx val="1"/>
            <c:explosion val="2"/>
            <c:spPr>
              <a:blipFill>
                <a:blip xmlns:r="http://schemas.openxmlformats.org/officeDocument/2006/relationships" r:embed="rId3"/>
                <a:tile tx="0" ty="0" sx="100000" sy="100000" flip="none" algn="tl"/>
              </a:blipFill>
            </c:spPr>
          </c:dPt>
          <c:dPt>
            <c:idx val="2"/>
            <c:explosion val="14"/>
            <c:spPr>
              <a:blipFill>
                <a:blip xmlns:r="http://schemas.openxmlformats.org/officeDocument/2006/relationships" r:embed="rId4"/>
                <a:tile tx="0" ty="0" sx="100000" sy="100000" flip="none" algn="tl"/>
              </a:blipFill>
            </c:spPr>
          </c:dPt>
          <c:dLbls>
            <c:dLbl>
              <c:idx val="0"/>
              <c:layout>
                <c:manualLayout>
                  <c:x val="2.7834047059907583E-2"/>
                  <c:y val="-8.0648904126836743E-2"/>
                </c:manualLayout>
              </c:layout>
              <c:tx>
                <c:rich>
                  <a:bodyPr/>
                  <a:lstStyle/>
                  <a:p>
                    <a:r>
                      <a:rPr lang="ru-RU" b="1"/>
                      <a:t>667,4;</a:t>
                    </a:r>
                  </a:p>
                  <a:p>
                    <a:r>
                      <a:rPr lang="ru-RU" b="1"/>
                      <a:t>50,2</a:t>
                    </a:r>
                    <a:endParaRPr lang="en-US" b="1"/>
                  </a:p>
                </c:rich>
              </c:tx>
              <c:dLblPos val="bestFit"/>
            </c:dLbl>
            <c:dLbl>
              <c:idx val="1"/>
              <c:layout>
                <c:manualLayout>
                  <c:x val="-7.84703485490887E-2"/>
                  <c:y val="-1.1483880970574879E-2"/>
                </c:manualLayout>
              </c:layout>
              <c:tx>
                <c:rich>
                  <a:bodyPr/>
                  <a:lstStyle/>
                  <a:p>
                    <a:r>
                      <a:rPr lang="ru-RU" b="1"/>
                      <a:t>253,9</a:t>
                    </a:r>
                  </a:p>
                  <a:p>
                    <a:r>
                      <a:rPr lang="ru-RU" b="1"/>
                      <a:t>19,1</a:t>
                    </a:r>
                    <a:endParaRPr lang="en-US" b="1"/>
                  </a:p>
                </c:rich>
              </c:tx>
              <c:dLblPos val="bestFit"/>
            </c:dLbl>
            <c:dLbl>
              <c:idx val="2"/>
              <c:layout>
                <c:manualLayout>
                  <c:x val="-0.11444840447575633"/>
                  <c:y val="-2.8731150303629042E-2"/>
                </c:manualLayout>
              </c:layout>
              <c:tx>
                <c:rich>
                  <a:bodyPr/>
                  <a:lstStyle/>
                  <a:p>
                    <a:r>
                      <a:rPr lang="ru-RU" b="1"/>
                      <a:t>384,3</a:t>
                    </a:r>
                  </a:p>
                  <a:p>
                    <a:r>
                      <a:rPr lang="ru-RU" b="1"/>
                      <a:t>28,9</a:t>
                    </a:r>
                    <a:endParaRPr lang="en-US" b="1"/>
                  </a:p>
                </c:rich>
              </c:tx>
              <c:dLblPos val="bestFit"/>
            </c:dLbl>
            <c:dLbl>
              <c:idx val="3"/>
              <c:layout>
                <c:manualLayout>
                  <c:x val="-7.668978219827785E-2"/>
                  <c:y val="9.9137054362671267E-3"/>
                </c:manualLayout>
              </c:layout>
              <c:tx>
                <c:rich>
                  <a:bodyPr/>
                  <a:lstStyle/>
                  <a:p>
                    <a:r>
                      <a:rPr lang="ru-RU" b="1"/>
                      <a:t>24,8</a:t>
                    </a:r>
                  </a:p>
                  <a:p>
                    <a:r>
                      <a:rPr lang="en-US" b="1"/>
                      <a:t>1,9</a:t>
                    </a:r>
                  </a:p>
                </c:rich>
              </c:tx>
              <c:dLblPos val="bestFit"/>
            </c:dLbl>
            <c:txPr>
              <a:bodyPr/>
              <a:lstStyle/>
              <a:p>
                <a:pPr>
                  <a:defRPr b="1">
                    <a:latin typeface="Times New Roman" pitchFamily="18" charset="0"/>
                    <a:cs typeface="Times New Roman" pitchFamily="18" charset="0"/>
                  </a:defRPr>
                </a:pPr>
                <a:endParaRPr lang="ru-RU"/>
              </a:p>
            </c:txPr>
            <c:showVal val="1"/>
            <c:showLeaderLines val="1"/>
          </c:dLbls>
          <c:cat>
            <c:strRef>
              <c:f>Лист1!$A$2:$A$5</c:f>
              <c:strCache>
                <c:ptCount val="4"/>
                <c:pt idx="0">
                  <c:v>Питание</c:v>
                </c:pt>
                <c:pt idx="1">
                  <c:v>Непродовольственные товары</c:v>
                </c:pt>
                <c:pt idx="2">
                  <c:v>Услуги</c:v>
                </c:pt>
                <c:pt idx="3">
                  <c:v>Обязательные платежи и сборы</c:v>
                </c:pt>
              </c:strCache>
            </c:strRef>
          </c:cat>
          <c:val>
            <c:numRef>
              <c:f>Лист1!$B$2:$B$5</c:f>
              <c:numCache>
                <c:formatCode>#,##0.0</c:formatCode>
                <c:ptCount val="4"/>
                <c:pt idx="0">
                  <c:v>50.2</c:v>
                </c:pt>
                <c:pt idx="1">
                  <c:v>19.100000000000001</c:v>
                </c:pt>
                <c:pt idx="2">
                  <c:v>28.9</c:v>
                </c:pt>
                <c:pt idx="3">
                  <c:v>1.9000000000000001</c:v>
                </c:pt>
              </c:numCache>
            </c:numRef>
          </c:val>
        </c:ser>
      </c:pie3DChart>
      <c:spPr>
        <a:noFill/>
        <a:ln w="25395">
          <a:noFill/>
        </a:ln>
      </c:spPr>
    </c:plotArea>
    <c:legend>
      <c:legendPos val="b"/>
      <c:layout>
        <c:manualLayout>
          <c:xMode val="edge"/>
          <c:yMode val="edge"/>
          <c:x val="7.6403722261989979E-2"/>
          <c:y val="0.74732295026998274"/>
          <c:w val="0.91736845621570062"/>
          <c:h val="0.22315723750390226"/>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5"/>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150"/>
            </a:pPr>
            <a:r>
              <a:rPr lang="ru-RU" sz="1150">
                <a:latin typeface="Times New Roman" pitchFamily="18" charset="0"/>
                <a:cs typeface="Times New Roman" pitchFamily="18" charset="0"/>
              </a:rPr>
              <a:t>Динамика численности граждан зарегистрированных в службе занятости (чел.) </a:t>
            </a:r>
          </a:p>
        </c:rich>
      </c:tx>
      <c:layout>
        <c:manualLayout>
          <c:xMode val="edge"/>
          <c:yMode val="edge"/>
          <c:x val="0.12903225806451613"/>
          <c:y val="2.1645021645021696E-2"/>
        </c:manualLayout>
      </c:layout>
      <c:spPr>
        <a:noFill/>
        <a:ln w="24908">
          <a:noFill/>
        </a:ln>
      </c:spPr>
    </c:title>
    <c:plotArea>
      <c:layout>
        <c:manualLayout>
          <c:layoutTarget val="inner"/>
          <c:xMode val="edge"/>
          <c:yMode val="edge"/>
          <c:x val="8.4592592592594038E-2"/>
          <c:y val="0.19613756613756642"/>
          <c:w val="0.88563496229638161"/>
          <c:h val="0.52439153439153463"/>
        </c:manualLayout>
      </c:layout>
      <c:barChart>
        <c:barDir val="col"/>
        <c:grouping val="clustered"/>
        <c:ser>
          <c:idx val="0"/>
          <c:order val="0"/>
          <c:tx>
            <c:strRef>
              <c:f>Лист1!$B$1</c:f>
              <c:strCache>
                <c:ptCount val="1"/>
                <c:pt idx="0">
                  <c:v>2013 год</c:v>
                </c:pt>
              </c:strCache>
            </c:strRef>
          </c:tx>
          <c:spPr>
            <a:solidFill>
              <a:srgbClr val="C0504D">
                <a:alpha val="70000"/>
              </a:srgbClr>
            </a:solidFill>
          </c:spPr>
          <c:dLbls>
            <c:dLbl>
              <c:idx val="0"/>
              <c:layout>
                <c:manualLayout>
                  <c:x val="1.0609445340017559E-17"/>
                  <c:y val="1.5564202334630423E-2"/>
                </c:manualLayout>
              </c:layout>
              <c:dLblPos val="outEnd"/>
              <c:showVal val="1"/>
            </c:dLbl>
            <c:dLbl>
              <c:idx val="1"/>
              <c:layout>
                <c:manualLayout>
                  <c:x val="0"/>
                  <c:y val="2.5940337224384429E-2"/>
                </c:manualLayout>
              </c:layout>
              <c:dLblPos val="outEnd"/>
              <c:showVal val="1"/>
            </c:dLbl>
            <c:dLbl>
              <c:idx val="2"/>
              <c:layout>
                <c:manualLayout>
                  <c:x val="-6.9444444444445603E-3"/>
                  <c:y val="0"/>
                </c:manualLayout>
              </c:layout>
              <c:dLblPos val="outEnd"/>
              <c:showVal val="1"/>
            </c:dLbl>
            <c:dLbl>
              <c:idx val="3"/>
              <c:layout>
                <c:manualLayout>
                  <c:x val="4.2437781360069649E-17"/>
                  <c:y val="1.5564202334630423E-2"/>
                </c:manualLayout>
              </c:layout>
              <c:dLblPos val="outEnd"/>
              <c:showVal val="1"/>
            </c:dLbl>
            <c:dLbl>
              <c:idx val="4"/>
              <c:layout>
                <c:manualLayout>
                  <c:x val="-2.3148148148148147E-3"/>
                  <c:y val="2.5940337224384359E-2"/>
                </c:manualLayout>
              </c:layout>
              <c:dLblPos val="outEnd"/>
              <c:showVal val="1"/>
            </c:dLbl>
            <c:dLbl>
              <c:idx val="5"/>
              <c:layout>
                <c:manualLayout>
                  <c:x val="0"/>
                  <c:y val="2.0752269779507192E-2"/>
                </c:manualLayout>
              </c:layout>
              <c:dLblPos val="outEnd"/>
              <c:showVal val="1"/>
            </c:dLbl>
            <c:dLbl>
              <c:idx val="6"/>
              <c:layout>
                <c:manualLayout>
                  <c:x val="0"/>
                  <c:y val="1.5564202334630369E-2"/>
                </c:manualLayout>
              </c:layout>
              <c:dLblPos val="outEnd"/>
              <c:showVal val="1"/>
            </c:dLbl>
            <c:dLbl>
              <c:idx val="7"/>
              <c:layout>
                <c:manualLayout>
                  <c:x val="-8.487556272014042E-17"/>
                  <c:y val="2.0752269779507192E-2"/>
                </c:manualLayout>
              </c:layout>
              <c:dLblPos val="outEnd"/>
              <c:showVal val="1"/>
            </c:dLbl>
            <c:dLbl>
              <c:idx val="8"/>
              <c:layout>
                <c:manualLayout>
                  <c:x val="-8.487556272014042E-17"/>
                  <c:y val="1.5564202334630423E-2"/>
                </c:manualLayout>
              </c:layout>
              <c:dLblPos val="outEnd"/>
              <c:showVal val="1"/>
            </c:dLbl>
            <c:dLbl>
              <c:idx val="9"/>
              <c:layout>
                <c:manualLayout>
                  <c:x val="-8.487556272014042E-17"/>
                  <c:y val="2.0752269779507192E-2"/>
                </c:manualLayout>
              </c:layout>
              <c:dLblPos val="outEnd"/>
              <c:showVal val="1"/>
            </c:dLbl>
            <c:dLbl>
              <c:idx val="10"/>
              <c:layout>
                <c:manualLayout>
                  <c:x val="-9.2592592592594999E-3"/>
                  <c:y val="3.1128404669260701E-2"/>
                </c:manualLayout>
              </c:layout>
              <c:dLblPos val="outEnd"/>
              <c:showVal val="1"/>
            </c:dLbl>
            <c:dLbl>
              <c:idx val="11"/>
              <c:layout>
                <c:manualLayout>
                  <c:x val="-9.2592592592594999E-3"/>
                  <c:y val="3.1128404669260701E-2"/>
                </c:manualLayout>
              </c:layout>
              <c:dLblPos val="outEnd"/>
              <c:showVal val="1"/>
            </c:dLbl>
            <c:spPr>
              <a:noFill/>
              <a:ln w="24908">
                <a:noFill/>
              </a:ln>
            </c:spPr>
            <c:txPr>
              <a:bodyPr/>
              <a:lstStyle/>
              <a:p>
                <a:pPr>
                  <a:defRPr sz="785" b="1">
                    <a:latin typeface="Times New Roman" pitchFamily="18" charset="0"/>
                    <a:cs typeface="Times New Roman" pitchFamily="18" charset="0"/>
                  </a:defRPr>
                </a:pPr>
                <a:endParaRPr lang="ru-RU"/>
              </a:p>
            </c:txPr>
            <c:dLblPos val="outEnd"/>
            <c:showVal val="1"/>
          </c:dLbls>
          <c:cat>
            <c:strRef>
              <c:f>Лист1!$A$2:$A$7</c:f>
              <c:strCache>
                <c:ptCount val="6"/>
                <c:pt idx="0">
                  <c:v>январь</c:v>
                </c:pt>
                <c:pt idx="1">
                  <c:v>февраль</c:v>
                </c:pt>
                <c:pt idx="2">
                  <c:v>март</c:v>
                </c:pt>
                <c:pt idx="3">
                  <c:v>апрель</c:v>
                </c:pt>
                <c:pt idx="4">
                  <c:v>май  </c:v>
                </c:pt>
                <c:pt idx="5">
                  <c:v>июнь </c:v>
                </c:pt>
              </c:strCache>
            </c:strRef>
          </c:cat>
          <c:val>
            <c:numRef>
              <c:f>Лист1!$B$2:$B$7</c:f>
              <c:numCache>
                <c:formatCode>General</c:formatCode>
                <c:ptCount val="6"/>
                <c:pt idx="0">
                  <c:v>1013</c:v>
                </c:pt>
                <c:pt idx="1">
                  <c:v>874</c:v>
                </c:pt>
                <c:pt idx="2">
                  <c:v>724</c:v>
                </c:pt>
                <c:pt idx="3">
                  <c:v>627</c:v>
                </c:pt>
                <c:pt idx="4">
                  <c:v>735</c:v>
                </c:pt>
                <c:pt idx="5">
                  <c:v>666</c:v>
                </c:pt>
              </c:numCache>
            </c:numRef>
          </c:val>
        </c:ser>
        <c:ser>
          <c:idx val="1"/>
          <c:order val="1"/>
          <c:tx>
            <c:strRef>
              <c:f>Лист1!$C$1</c:f>
              <c:strCache>
                <c:ptCount val="1"/>
                <c:pt idx="0">
                  <c:v>2014 год</c:v>
                </c:pt>
              </c:strCache>
            </c:strRef>
          </c:tx>
          <c:spPr>
            <a:solidFill>
              <a:srgbClr val="4BACC6">
                <a:lumMod val="75000"/>
                <a:alpha val="68000"/>
              </a:srgbClr>
            </a:solidFill>
          </c:spPr>
          <c:dLbls>
            <c:dLbl>
              <c:idx val="0"/>
              <c:layout>
                <c:manualLayout>
                  <c:x val="1.157407407407408E-2"/>
                  <c:y val="-4.7556735531906912E-17"/>
                </c:manualLayout>
              </c:layout>
              <c:dLblPos val="outEnd"/>
              <c:showVal val="1"/>
            </c:dLbl>
            <c:dLbl>
              <c:idx val="1"/>
              <c:layout>
                <c:manualLayout>
                  <c:x val="6.9444444444445603E-3"/>
                  <c:y val="0"/>
                </c:manualLayout>
              </c:layout>
              <c:dLblPos val="outEnd"/>
              <c:showVal val="1"/>
            </c:dLbl>
            <c:dLbl>
              <c:idx val="2"/>
              <c:layout>
                <c:manualLayout>
                  <c:x val="6.9444444444445603E-3"/>
                  <c:y val="0"/>
                </c:manualLayout>
              </c:layout>
              <c:dLblPos val="outEnd"/>
              <c:showVal val="1"/>
            </c:dLbl>
            <c:dLbl>
              <c:idx val="3"/>
              <c:layout>
                <c:manualLayout>
                  <c:x val="6.9444444444445603E-3"/>
                  <c:y val="1.5564202334630423E-2"/>
                </c:manualLayout>
              </c:layout>
              <c:dLblPos val="outEnd"/>
              <c:showVal val="1"/>
            </c:dLbl>
            <c:dLbl>
              <c:idx val="4"/>
              <c:layout>
                <c:manualLayout>
                  <c:x val="6.9444444444445603E-3"/>
                  <c:y val="1.0376134889753573E-2"/>
                </c:manualLayout>
              </c:layout>
              <c:dLblPos val="outEnd"/>
              <c:showVal val="1"/>
            </c:dLbl>
            <c:dLbl>
              <c:idx val="5"/>
              <c:layout>
                <c:manualLayout>
                  <c:x val="1.388888888888916E-2"/>
                  <c:y val="1.5564202334630423E-2"/>
                </c:manualLayout>
              </c:layout>
              <c:dLblPos val="outEnd"/>
              <c:showVal val="1"/>
            </c:dLbl>
            <c:dLbl>
              <c:idx val="6"/>
              <c:layout>
                <c:manualLayout>
                  <c:x val="6.9444444444445603E-3"/>
                  <c:y val="3.1128404669260701E-2"/>
                </c:manualLayout>
              </c:layout>
              <c:dLblPos val="outEnd"/>
              <c:showVal val="1"/>
            </c:dLbl>
            <c:dLbl>
              <c:idx val="7"/>
              <c:layout>
                <c:manualLayout>
                  <c:x val="1.157407407407408E-2"/>
                  <c:y val="1.5564202334630423E-2"/>
                </c:manualLayout>
              </c:layout>
              <c:dLblPos val="outEnd"/>
              <c:showVal val="1"/>
            </c:dLbl>
            <c:dLbl>
              <c:idx val="8"/>
              <c:layout>
                <c:manualLayout>
                  <c:x val="6.9444444444446791E-3"/>
                  <c:y val="3.1128404669260753E-2"/>
                </c:manualLayout>
              </c:layout>
              <c:dLblPos val="outEnd"/>
              <c:showVal val="1"/>
            </c:dLbl>
            <c:dLbl>
              <c:idx val="9"/>
              <c:layout>
                <c:manualLayout>
                  <c:x val="6.9444444444445603E-3"/>
                  <c:y val="1.5564202334630369E-2"/>
                </c:manualLayout>
              </c:layout>
              <c:dLblPos val="outEnd"/>
              <c:showVal val="1"/>
            </c:dLbl>
            <c:dLbl>
              <c:idx val="10"/>
              <c:layout>
                <c:manualLayout>
                  <c:x val="1.388888888888916E-2"/>
                  <c:y val="2.0751861270259606E-2"/>
                </c:manualLayout>
              </c:layout>
              <c:dLblPos val="outEnd"/>
              <c:showVal val="1"/>
            </c:dLbl>
            <c:dLbl>
              <c:idx val="11"/>
              <c:layout>
                <c:manualLayout>
                  <c:x val="6.9444444444445603E-3"/>
                  <c:y val="2.0752269779507192E-2"/>
                </c:manualLayout>
              </c:layout>
              <c:dLblPos val="outEnd"/>
              <c:showVal val="1"/>
            </c:dLbl>
            <c:spPr>
              <a:noFill/>
              <a:ln w="24908">
                <a:noFill/>
              </a:ln>
            </c:spPr>
            <c:txPr>
              <a:bodyPr/>
              <a:lstStyle/>
              <a:p>
                <a:pPr>
                  <a:defRPr sz="785" b="1">
                    <a:latin typeface="Times New Roman" pitchFamily="18" charset="0"/>
                    <a:cs typeface="Times New Roman" pitchFamily="18" charset="0"/>
                  </a:defRPr>
                </a:pPr>
                <a:endParaRPr lang="ru-RU"/>
              </a:p>
            </c:txPr>
            <c:dLblPos val="outEnd"/>
            <c:showVal val="1"/>
          </c:dLbls>
          <c:cat>
            <c:strRef>
              <c:f>Лист1!$A$2:$A$7</c:f>
              <c:strCache>
                <c:ptCount val="6"/>
                <c:pt idx="0">
                  <c:v>январь</c:v>
                </c:pt>
                <c:pt idx="1">
                  <c:v>февраль</c:v>
                </c:pt>
                <c:pt idx="2">
                  <c:v>март</c:v>
                </c:pt>
                <c:pt idx="3">
                  <c:v>апрель</c:v>
                </c:pt>
                <c:pt idx="4">
                  <c:v>май  </c:v>
                </c:pt>
                <c:pt idx="5">
                  <c:v>июнь </c:v>
                </c:pt>
              </c:strCache>
            </c:strRef>
          </c:cat>
          <c:val>
            <c:numRef>
              <c:f>Лист1!$C$2:$C$7</c:f>
              <c:numCache>
                <c:formatCode>General</c:formatCode>
                <c:ptCount val="6"/>
                <c:pt idx="0">
                  <c:v>1029</c:v>
                </c:pt>
                <c:pt idx="1">
                  <c:v>1040</c:v>
                </c:pt>
                <c:pt idx="2">
                  <c:v>905</c:v>
                </c:pt>
                <c:pt idx="3">
                  <c:v>669</c:v>
                </c:pt>
                <c:pt idx="4">
                  <c:v>885</c:v>
                </c:pt>
                <c:pt idx="5">
                  <c:v>1007</c:v>
                </c:pt>
              </c:numCache>
            </c:numRef>
          </c:val>
        </c:ser>
        <c:dLbls>
          <c:showVal val="1"/>
        </c:dLbls>
        <c:axId val="206786944"/>
        <c:axId val="206788480"/>
      </c:barChart>
      <c:catAx>
        <c:axId val="206786944"/>
        <c:scaling>
          <c:orientation val="minMax"/>
        </c:scaling>
        <c:axPos val="b"/>
        <c:numFmt formatCode="General" sourceLinked="1"/>
        <c:tickLblPos val="nextTo"/>
        <c:txPr>
          <a:bodyPr rot="-5400000" vert="horz"/>
          <a:lstStyle/>
          <a:p>
            <a:pPr>
              <a:defRPr>
                <a:latin typeface="Times New Roman" pitchFamily="18" charset="0"/>
                <a:cs typeface="Times New Roman" pitchFamily="18" charset="0"/>
              </a:defRPr>
            </a:pPr>
            <a:endParaRPr lang="ru-RU"/>
          </a:p>
        </c:txPr>
        <c:crossAx val="206788480"/>
        <c:crosses val="autoZero"/>
        <c:auto val="1"/>
        <c:lblAlgn val="ctr"/>
        <c:lblOffset val="100"/>
      </c:catAx>
      <c:valAx>
        <c:axId val="206788480"/>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206786944"/>
        <c:crosses val="autoZero"/>
        <c:crossBetween val="between"/>
      </c:valAx>
    </c:plotArea>
    <c:legend>
      <c:legendPos val="r"/>
      <c:layout>
        <c:manualLayout>
          <c:xMode val="edge"/>
          <c:yMode val="edge"/>
          <c:x val="0.36774193548387096"/>
          <c:y val="0.89369870432862775"/>
          <c:w val="0.28797350331208904"/>
          <c:h val="0.10630129567137442"/>
        </c:manualLayout>
      </c:layout>
      <c:txPr>
        <a:bodyPr/>
        <a:lstStyle/>
        <a:p>
          <a:pPr>
            <a:defRPr b="1">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200"/>
            </a:pPr>
            <a:r>
              <a:rPr lang="ru-RU" sz="1200"/>
              <a:t>Уровень регистрируемой безработицы, %</a:t>
            </a:r>
          </a:p>
        </c:rich>
      </c:tx>
      <c:layout>
        <c:manualLayout>
          <c:xMode val="edge"/>
          <c:yMode val="edge"/>
          <c:x val="0.22968197879858498"/>
          <c:y val="2.0689655172414053E-2"/>
        </c:manualLayout>
      </c:layout>
      <c:spPr>
        <a:noFill/>
        <a:ln w="25399">
          <a:noFill/>
        </a:ln>
      </c:spPr>
    </c:title>
    <c:view3D>
      <c:rotX val="0"/>
      <c:rotY val="40"/>
      <c:depthPercent val="100"/>
      <c:rAngAx val="1"/>
    </c:view3D>
    <c:plotArea>
      <c:layout/>
      <c:bar3DChart>
        <c:barDir val="bar"/>
        <c:grouping val="clustered"/>
        <c:ser>
          <c:idx val="0"/>
          <c:order val="0"/>
          <c:tx>
            <c:strRef>
              <c:f>Лист1!$B$1</c:f>
              <c:strCache>
                <c:ptCount val="1"/>
                <c:pt idx="0">
                  <c:v>на 1.07.2014 г.</c:v>
                </c:pt>
              </c:strCache>
            </c:strRef>
          </c:tx>
          <c:spPr>
            <a:solidFill>
              <a:srgbClr val="8064A2">
                <a:lumMod val="60000"/>
                <a:lumOff val="40000"/>
              </a:srgbClr>
            </a:solidFill>
          </c:spPr>
          <c:dLbls>
            <c:dLbl>
              <c:idx val="4"/>
              <c:layout>
                <c:manualLayout>
                  <c:x val="-2.3148148148148147E-3"/>
                  <c:y val="1.1904761904761921E-2"/>
                </c:manualLayout>
              </c:layout>
              <c:showVal val="1"/>
            </c:dLbl>
            <c:spPr>
              <a:noFill/>
              <a:ln w="25399">
                <a:noFill/>
              </a:ln>
            </c:spPr>
            <c:txPr>
              <a:bodyPr/>
              <a:lstStyle/>
              <a:p>
                <a:pPr>
                  <a:defRPr sz="900" b="1"/>
                </a:pPr>
                <a:endParaRPr lang="ru-RU"/>
              </a:p>
            </c:txPr>
            <c:showVal val="1"/>
          </c:dLbls>
          <c:cat>
            <c:strRef>
              <c:f>Лист1!$A$2:$A$9</c:f>
              <c:strCache>
                <c:ptCount val="8"/>
                <c:pt idx="0">
                  <c:v>Всего по республике</c:v>
                </c:pt>
                <c:pt idx="1">
                  <c:v>Каменка</c:v>
                </c:pt>
                <c:pt idx="2">
                  <c:v>Григориополь</c:v>
                </c:pt>
                <c:pt idx="3">
                  <c:v>Слободзея</c:v>
                </c:pt>
                <c:pt idx="4">
                  <c:v>Дубоссары</c:v>
                </c:pt>
                <c:pt idx="5">
                  <c:v>Рыбница</c:v>
                </c:pt>
                <c:pt idx="6">
                  <c:v>Бендеры</c:v>
                </c:pt>
                <c:pt idx="7">
                  <c:v>Тирасполь</c:v>
                </c:pt>
              </c:strCache>
            </c:strRef>
          </c:cat>
          <c:val>
            <c:numRef>
              <c:f>Лист1!$B$2:$B$9</c:f>
              <c:numCache>
                <c:formatCode>General</c:formatCode>
                <c:ptCount val="8"/>
                <c:pt idx="0">
                  <c:v>3.62</c:v>
                </c:pt>
                <c:pt idx="1">
                  <c:v>4.95</c:v>
                </c:pt>
                <c:pt idx="2">
                  <c:v>9.08</c:v>
                </c:pt>
                <c:pt idx="3" formatCode="0.00">
                  <c:v>9.4</c:v>
                </c:pt>
                <c:pt idx="4">
                  <c:v>0.58000000000000007</c:v>
                </c:pt>
                <c:pt idx="5">
                  <c:v>6.45</c:v>
                </c:pt>
                <c:pt idx="6">
                  <c:v>2.61</c:v>
                </c:pt>
                <c:pt idx="7">
                  <c:v>1.42</c:v>
                </c:pt>
              </c:numCache>
            </c:numRef>
          </c:val>
        </c:ser>
        <c:ser>
          <c:idx val="1"/>
          <c:order val="1"/>
          <c:tx>
            <c:strRef>
              <c:f>Лист1!$C$1</c:f>
              <c:strCache>
                <c:ptCount val="1"/>
                <c:pt idx="0">
                  <c:v>на 1 07. 2013 г.</c:v>
                </c:pt>
              </c:strCache>
            </c:strRef>
          </c:tx>
          <c:spPr>
            <a:solidFill>
              <a:srgbClr val="F79646">
                <a:lumMod val="60000"/>
                <a:lumOff val="40000"/>
              </a:srgbClr>
            </a:solidFill>
          </c:spPr>
          <c:dLbls>
            <c:dLbl>
              <c:idx val="7"/>
              <c:layout>
                <c:manualLayout>
                  <c:x val="-6.9444444444445473E-3"/>
                  <c:y val="-1.9841269841270145E-2"/>
                </c:manualLayout>
              </c:layout>
              <c:showVal val="1"/>
            </c:dLbl>
            <c:spPr>
              <a:noFill/>
              <a:ln w="25399">
                <a:noFill/>
              </a:ln>
            </c:spPr>
            <c:txPr>
              <a:bodyPr/>
              <a:lstStyle/>
              <a:p>
                <a:pPr>
                  <a:defRPr sz="900" b="1"/>
                </a:pPr>
                <a:endParaRPr lang="ru-RU"/>
              </a:p>
            </c:txPr>
            <c:showVal val="1"/>
          </c:dLbls>
          <c:cat>
            <c:strRef>
              <c:f>Лист1!$A$2:$A$9</c:f>
              <c:strCache>
                <c:ptCount val="8"/>
                <c:pt idx="0">
                  <c:v>Всего по республике</c:v>
                </c:pt>
                <c:pt idx="1">
                  <c:v>Каменка</c:v>
                </c:pt>
                <c:pt idx="2">
                  <c:v>Григориополь</c:v>
                </c:pt>
                <c:pt idx="3">
                  <c:v>Слободзея</c:v>
                </c:pt>
                <c:pt idx="4">
                  <c:v>Дубоссары</c:v>
                </c:pt>
                <c:pt idx="5">
                  <c:v>Рыбница</c:v>
                </c:pt>
                <c:pt idx="6">
                  <c:v>Бендеры</c:v>
                </c:pt>
                <c:pt idx="7">
                  <c:v>Тирасполь</c:v>
                </c:pt>
              </c:strCache>
            </c:strRef>
          </c:cat>
          <c:val>
            <c:numRef>
              <c:f>Лист1!$C$2:$C$9</c:f>
              <c:numCache>
                <c:formatCode>General</c:formatCode>
                <c:ptCount val="8"/>
                <c:pt idx="0" formatCode="0.00">
                  <c:v>3.04</c:v>
                </c:pt>
                <c:pt idx="1">
                  <c:v>2.75</c:v>
                </c:pt>
                <c:pt idx="2">
                  <c:v>7.21</c:v>
                </c:pt>
                <c:pt idx="3" formatCode="0.00">
                  <c:v>8.2000000000000011</c:v>
                </c:pt>
                <c:pt idx="4" formatCode="0.00">
                  <c:v>0.78</c:v>
                </c:pt>
                <c:pt idx="5">
                  <c:v>4.99</c:v>
                </c:pt>
                <c:pt idx="6">
                  <c:v>2.19</c:v>
                </c:pt>
                <c:pt idx="7">
                  <c:v>1.25</c:v>
                </c:pt>
              </c:numCache>
            </c:numRef>
          </c:val>
        </c:ser>
        <c:shape val="cylinder"/>
        <c:axId val="191081856"/>
        <c:axId val="191083648"/>
        <c:axId val="0"/>
      </c:bar3DChart>
      <c:catAx>
        <c:axId val="191081856"/>
        <c:scaling>
          <c:orientation val="minMax"/>
        </c:scaling>
        <c:axPos val="l"/>
        <c:numFmt formatCode="General" sourceLinked="1"/>
        <c:tickLblPos val="nextTo"/>
        <c:txPr>
          <a:bodyPr/>
          <a:lstStyle/>
          <a:p>
            <a:pPr>
              <a:defRPr b="1"/>
            </a:pPr>
            <a:endParaRPr lang="ru-RU"/>
          </a:p>
        </c:txPr>
        <c:crossAx val="191083648"/>
        <c:crosses val="autoZero"/>
        <c:auto val="1"/>
        <c:lblAlgn val="ctr"/>
        <c:lblOffset val="100"/>
      </c:catAx>
      <c:valAx>
        <c:axId val="191083648"/>
        <c:scaling>
          <c:orientation val="minMax"/>
        </c:scaling>
        <c:delete val="1"/>
        <c:axPos val="b"/>
        <c:numFmt formatCode="General" sourceLinked="1"/>
        <c:tickLblPos val="nextTo"/>
        <c:crossAx val="191081856"/>
        <c:crosses val="autoZero"/>
        <c:crossBetween val="between"/>
      </c:valAx>
      <c:spPr>
        <a:noFill/>
        <a:ln w="25399">
          <a:noFill/>
        </a:ln>
      </c:spPr>
    </c:plotArea>
    <c:legend>
      <c:legendPos val="r"/>
      <c:layout>
        <c:manualLayout>
          <c:xMode val="edge"/>
          <c:yMode val="edge"/>
          <c:x val="0.28064411359325331"/>
          <c:y val="0.9203259244493176"/>
          <c:w val="0.41900244271892356"/>
          <c:h val="6.5153659590019619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100"/>
            </a:pPr>
            <a:r>
              <a:rPr lang="ru-RU" sz="1100"/>
              <a:t>Динамика численности вакантных рабочих мест (должностей) и безработных граждан, зарегистрированных в службе занятости</a:t>
            </a:r>
          </a:p>
        </c:rich>
      </c:tx>
      <c:layout>
        <c:manualLayout>
          <c:xMode val="edge"/>
          <c:yMode val="edge"/>
          <c:x val="0.18504548894578399"/>
          <c:y val="2.5723375487155097E-2"/>
        </c:manualLayout>
      </c:layout>
    </c:title>
    <c:plotArea>
      <c:layout>
        <c:manualLayout>
          <c:layoutTarget val="inner"/>
          <c:xMode val="edge"/>
          <c:yMode val="edge"/>
          <c:x val="0.10001417000789012"/>
          <c:y val="0.23630756382724891"/>
          <c:w val="0.87580599971015893"/>
          <c:h val="0.47214467509743308"/>
        </c:manualLayout>
      </c:layout>
      <c:lineChart>
        <c:grouping val="standard"/>
        <c:ser>
          <c:idx val="0"/>
          <c:order val="0"/>
          <c:tx>
            <c:strRef>
              <c:f>Лист1!$B$1</c:f>
              <c:strCache>
                <c:ptCount val="1"/>
                <c:pt idx="0">
                  <c:v>Количество граждан состоявших на учете в службе занятости</c:v>
                </c:pt>
              </c:strCache>
            </c:strRef>
          </c:tx>
          <c:spPr>
            <a:ln>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a:ln>
          </c:spPr>
          <c:marker>
            <c:spPr>
              <a:ln>
                <a:gradFill>
                  <a:gsLst>
                    <a:gs pos="0">
                      <a:srgbClr val="8488C4"/>
                    </a:gs>
                    <a:gs pos="53000">
                      <a:srgbClr val="D4DEFF"/>
                    </a:gs>
                    <a:gs pos="83000">
                      <a:srgbClr val="D4DEFF"/>
                    </a:gs>
                    <a:gs pos="100000">
                      <a:srgbClr val="96AB94"/>
                    </a:gs>
                  </a:gsLst>
                  <a:lin ang="5400000" scaled="0"/>
                </a:gradFill>
              </a:ln>
            </c:spPr>
          </c:marker>
          <c:dLbls>
            <c:dLblPos val="t"/>
            <c:showVal val="1"/>
          </c:dLbls>
          <c:cat>
            <c:numRef>
              <c:f>Лист1!$A$2:$A$7</c:f>
              <c:numCache>
                <c:formatCode>dd/mm/yyyy</c:formatCode>
                <c:ptCount val="6"/>
                <c:pt idx="0">
                  <c:v>41640</c:v>
                </c:pt>
                <c:pt idx="1">
                  <c:v>41671</c:v>
                </c:pt>
                <c:pt idx="2">
                  <c:v>41699</c:v>
                </c:pt>
                <c:pt idx="3">
                  <c:v>41760</c:v>
                </c:pt>
                <c:pt idx="4">
                  <c:v>41791</c:v>
                </c:pt>
                <c:pt idx="5">
                  <c:v>41821</c:v>
                </c:pt>
              </c:numCache>
            </c:numRef>
          </c:cat>
          <c:val>
            <c:numRef>
              <c:f>Лист1!$B$2:$B$7</c:f>
              <c:numCache>
                <c:formatCode>General</c:formatCode>
                <c:ptCount val="6"/>
                <c:pt idx="0">
                  <c:v>4279</c:v>
                </c:pt>
                <c:pt idx="1">
                  <c:v>4733</c:v>
                </c:pt>
                <c:pt idx="2">
                  <c:v>5236</c:v>
                </c:pt>
                <c:pt idx="3">
                  <c:v>5403</c:v>
                </c:pt>
                <c:pt idx="4">
                  <c:v>5270</c:v>
                </c:pt>
                <c:pt idx="5">
                  <c:v>5305</c:v>
                </c:pt>
              </c:numCache>
            </c:numRef>
          </c:val>
        </c:ser>
        <c:ser>
          <c:idx val="1"/>
          <c:order val="1"/>
          <c:tx>
            <c:strRef>
              <c:f>Лист1!$C$1</c:f>
              <c:strCache>
                <c:ptCount val="1"/>
                <c:pt idx="0">
                  <c:v>Наличие вакансий в базе данных службы занятости</c:v>
                </c:pt>
              </c:strCache>
            </c:strRef>
          </c:tx>
          <c:spPr>
            <a:ln>
              <a:solidFill>
                <a:schemeClr val="accent2">
                  <a:lumMod val="60000"/>
                  <a:lumOff val="40000"/>
                </a:schemeClr>
              </a:solidFill>
            </a:ln>
          </c:spPr>
          <c:marker>
            <c:spPr>
              <a:ln>
                <a:solidFill>
                  <a:schemeClr val="accent2">
                    <a:lumMod val="60000"/>
                    <a:lumOff val="40000"/>
                  </a:schemeClr>
                </a:solidFill>
                <a:bevel/>
              </a:ln>
            </c:spPr>
          </c:marker>
          <c:dLbls>
            <c:dLblPos val="b"/>
            <c:showVal val="1"/>
          </c:dLbls>
          <c:cat>
            <c:numRef>
              <c:f>Лист1!$A$2:$A$7</c:f>
              <c:numCache>
                <c:formatCode>dd/mm/yyyy</c:formatCode>
                <c:ptCount val="6"/>
                <c:pt idx="0">
                  <c:v>41640</c:v>
                </c:pt>
                <c:pt idx="1">
                  <c:v>41671</c:v>
                </c:pt>
                <c:pt idx="2">
                  <c:v>41699</c:v>
                </c:pt>
                <c:pt idx="3">
                  <c:v>41760</c:v>
                </c:pt>
                <c:pt idx="4">
                  <c:v>41791</c:v>
                </c:pt>
                <c:pt idx="5">
                  <c:v>41821</c:v>
                </c:pt>
              </c:numCache>
            </c:numRef>
          </c:cat>
          <c:val>
            <c:numRef>
              <c:f>Лист1!$C$2:$C$7</c:f>
              <c:numCache>
                <c:formatCode>General</c:formatCode>
                <c:ptCount val="6"/>
                <c:pt idx="0">
                  <c:v>2479</c:v>
                </c:pt>
                <c:pt idx="1">
                  <c:v>2663</c:v>
                </c:pt>
                <c:pt idx="2">
                  <c:v>2461</c:v>
                </c:pt>
                <c:pt idx="3">
                  <c:v>2023</c:v>
                </c:pt>
                <c:pt idx="4">
                  <c:v>2230</c:v>
                </c:pt>
                <c:pt idx="5">
                  <c:v>2160</c:v>
                </c:pt>
              </c:numCache>
            </c:numRef>
          </c:val>
        </c:ser>
        <c:marker val="1"/>
        <c:axId val="214247680"/>
        <c:axId val="214290432"/>
      </c:lineChart>
      <c:dateAx>
        <c:axId val="214247680"/>
        <c:scaling>
          <c:orientation val="minMax"/>
        </c:scaling>
        <c:axPos val="b"/>
        <c:numFmt formatCode="dd/mm/yyyy" sourceLinked="1"/>
        <c:tickLblPos val="nextTo"/>
        <c:crossAx val="214290432"/>
        <c:crosses val="autoZero"/>
        <c:auto val="1"/>
        <c:lblOffset val="100"/>
      </c:dateAx>
      <c:valAx>
        <c:axId val="214290432"/>
        <c:scaling>
          <c:orientation val="minMax"/>
        </c:scaling>
        <c:delete val="1"/>
        <c:axPos val="l"/>
        <c:numFmt formatCode="General" sourceLinked="1"/>
        <c:tickLblPos val="nextTo"/>
        <c:crossAx val="214247680"/>
        <c:crosses val="autoZero"/>
        <c:crossBetween val="between"/>
      </c:valAx>
    </c:plotArea>
    <c:legend>
      <c:legendPos val="b"/>
      <c:layout>
        <c:manualLayout>
          <c:xMode val="edge"/>
          <c:yMode val="edge"/>
          <c:x val="3.9576671014282722E-2"/>
          <c:y val="0.83384076990376199"/>
          <c:w val="0.92424066783319181"/>
          <c:h val="0.14102600811262311"/>
        </c:manualLayout>
      </c:layout>
    </c:legend>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b="1" i="0" u="none" strike="noStrike" baseline="0">
                <a:solidFill>
                  <a:srgbClr val="000000"/>
                </a:solidFill>
                <a:latin typeface="Times New Roman"/>
                <a:ea typeface="Times New Roman"/>
                <a:cs typeface="Times New Roman"/>
              </a:defRPr>
            </a:pPr>
            <a:r>
              <a:rPr lang="ru-RU" sz="1000"/>
              <a:t>январь-июнь 2014 г.</a:t>
            </a:r>
          </a:p>
        </c:rich>
      </c:tx>
      <c:layout>
        <c:manualLayout>
          <c:xMode val="edge"/>
          <c:yMode val="edge"/>
          <c:x val="0.4339195918267254"/>
          <c:y val="6.7240306301918464E-3"/>
        </c:manualLayout>
      </c:layout>
      <c:spPr>
        <a:noFill/>
        <a:ln w="25370">
          <a:noFill/>
        </a:ln>
      </c:spPr>
    </c:title>
    <c:view3D>
      <c:rotY val="190"/>
      <c:perspective val="0"/>
    </c:view3D>
    <c:plotArea>
      <c:layout>
        <c:manualLayout>
          <c:layoutTarget val="inner"/>
          <c:xMode val="edge"/>
          <c:yMode val="edge"/>
          <c:x val="0.22687356080489937"/>
          <c:y val="0.17393753633145148"/>
          <c:w val="0.77312639778548664"/>
          <c:h val="0.40772826926046496"/>
        </c:manualLayout>
      </c:layout>
      <c:pie3DChart>
        <c:varyColors val="1"/>
        <c:ser>
          <c:idx val="0"/>
          <c:order val="0"/>
          <c:tx>
            <c:strRef>
              <c:f>Sheet1!$A$2</c:f>
              <c:strCache>
                <c:ptCount val="1"/>
                <c:pt idx="0">
                  <c:v>Восток</c:v>
                </c:pt>
              </c:strCache>
            </c:strRef>
          </c:tx>
          <c:spPr>
            <a:solidFill>
              <a:srgbClr val="9999FF"/>
            </a:solidFill>
            <a:ln w="12685">
              <a:solidFill>
                <a:srgbClr val="000000"/>
              </a:solidFill>
              <a:prstDash val="solid"/>
            </a:ln>
          </c:spPr>
          <c:dPt>
            <c:idx val="0"/>
            <c:spPr>
              <a:pattFill prst="pct10">
                <a:fgClr>
                  <a:srgbClr val="000000"/>
                </a:fgClr>
                <a:bgClr>
                  <a:srgbClr val="FFFFFF"/>
                </a:bgClr>
              </a:pattFill>
              <a:ln w="12685">
                <a:solidFill>
                  <a:srgbClr val="000000"/>
                </a:solidFill>
                <a:prstDash val="solid"/>
              </a:ln>
            </c:spPr>
          </c:dPt>
          <c:dPt>
            <c:idx val="1"/>
            <c:explosion val="13"/>
            <c:spPr>
              <a:pattFill prst="lgGrid">
                <a:fgClr>
                  <a:srgbClr val="000000"/>
                </a:fgClr>
                <a:bgClr>
                  <a:srgbClr val="FFFFFF"/>
                </a:bgClr>
              </a:pattFill>
              <a:ln w="12685">
                <a:solidFill>
                  <a:srgbClr val="000000"/>
                </a:solidFill>
                <a:prstDash val="solid"/>
              </a:ln>
            </c:spPr>
          </c:dPt>
          <c:dPt>
            <c:idx val="2"/>
            <c:explosion val="12"/>
            <c:spPr>
              <a:pattFill prst="pct90">
                <a:fgClr>
                  <a:srgbClr val="000000"/>
                </a:fgClr>
                <a:bgClr>
                  <a:srgbClr val="FFFFFF"/>
                </a:bgClr>
              </a:pattFill>
              <a:ln w="12685">
                <a:solidFill>
                  <a:srgbClr val="000000"/>
                </a:solidFill>
                <a:prstDash val="solid"/>
              </a:ln>
            </c:spPr>
          </c:dPt>
          <c:dPt>
            <c:idx val="3"/>
            <c:spPr>
              <a:pattFill prst="dashVert">
                <a:fgClr>
                  <a:srgbClr val="000000"/>
                </a:fgClr>
                <a:bgClr>
                  <a:srgbClr val="FFFFFF"/>
                </a:bgClr>
              </a:pattFill>
              <a:ln w="12685">
                <a:solidFill>
                  <a:srgbClr val="000000"/>
                </a:solidFill>
                <a:prstDash val="solid"/>
              </a:ln>
            </c:spPr>
          </c:dPt>
          <c:dPt>
            <c:idx val="4"/>
            <c:spPr>
              <a:pattFill prst="lgConfetti">
                <a:fgClr>
                  <a:srgbClr val="000000"/>
                </a:fgClr>
                <a:bgClr>
                  <a:srgbClr val="FFFFFF"/>
                </a:bgClr>
              </a:pattFill>
              <a:ln w="12685">
                <a:solidFill>
                  <a:srgbClr val="000000"/>
                </a:solidFill>
                <a:prstDash val="solid"/>
              </a:ln>
            </c:spPr>
          </c:dPt>
          <c:dPt>
            <c:idx val="5"/>
            <c:spPr>
              <a:pattFill prst="zigZag">
                <a:fgClr>
                  <a:srgbClr val="000000"/>
                </a:fgClr>
                <a:bgClr>
                  <a:srgbClr val="FFFFFF"/>
                </a:bgClr>
              </a:pattFill>
              <a:ln w="12685">
                <a:solidFill>
                  <a:srgbClr val="000000"/>
                </a:solidFill>
                <a:prstDash val="solid"/>
              </a:ln>
            </c:spPr>
          </c:dPt>
          <c:dPt>
            <c:idx val="6"/>
            <c:spPr>
              <a:pattFill prst="sphere">
                <a:fgClr>
                  <a:srgbClr val="000000"/>
                </a:fgClr>
                <a:bgClr>
                  <a:srgbClr val="FFFFFF"/>
                </a:bgClr>
              </a:pattFill>
              <a:ln w="12685">
                <a:solidFill>
                  <a:srgbClr val="000000"/>
                </a:solidFill>
                <a:prstDash val="solid"/>
              </a:ln>
            </c:spPr>
          </c:dPt>
          <c:dLbls>
            <c:dLbl>
              <c:idx val="0"/>
              <c:layout>
                <c:manualLayout>
                  <c:x val="-5.3641916255795126E-2"/>
                  <c:y val="-0.11980327701755727"/>
                </c:manualLayout>
              </c:layout>
              <c:tx>
                <c:rich>
                  <a:bodyPr/>
                  <a:lstStyle/>
                  <a:p>
                    <a:pPr>
                      <a:defRPr sz="650" b="1" i="0" u="none" strike="noStrike" baseline="0">
                        <a:solidFill>
                          <a:srgbClr val="000000"/>
                        </a:solidFill>
                        <a:latin typeface="Times New Roman"/>
                        <a:ea typeface="Times New Roman"/>
                        <a:cs typeface="Times New Roman"/>
                      </a:defRPr>
                    </a:pPr>
                    <a:r>
                      <a:rPr lang="ru-RU" sz="650" b="1"/>
                      <a:t>г.Тирасполь
31,0%</a:t>
                    </a:r>
                  </a:p>
                </c:rich>
              </c:tx>
              <c:spPr>
                <a:noFill/>
                <a:ln w="25370">
                  <a:noFill/>
                </a:ln>
              </c:spPr>
              <c:dLblPos val="bestFit"/>
            </c:dLbl>
            <c:dLbl>
              <c:idx val="1"/>
              <c:layout>
                <c:manualLayout>
                  <c:x val="-0.13175231600722928"/>
                  <c:y val="-2.351706036745407E-2"/>
                </c:manualLayout>
              </c:layout>
              <c:tx>
                <c:rich>
                  <a:bodyPr/>
                  <a:lstStyle/>
                  <a:p>
                    <a:pPr>
                      <a:defRPr sz="650" b="1" i="0" u="none" strike="noStrike" baseline="0">
                        <a:solidFill>
                          <a:srgbClr val="000000"/>
                        </a:solidFill>
                        <a:latin typeface="Times New Roman"/>
                        <a:ea typeface="Times New Roman"/>
                        <a:cs typeface="Times New Roman"/>
                      </a:defRPr>
                    </a:pPr>
                    <a:r>
                      <a:rPr lang="ru-RU" sz="650" b="1"/>
                      <a:t>г.Бендеры
11,5%</a:t>
                    </a:r>
                  </a:p>
                </c:rich>
              </c:tx>
              <c:spPr>
                <a:noFill/>
                <a:ln w="25370">
                  <a:noFill/>
                </a:ln>
              </c:spPr>
              <c:dLblPos val="bestFit"/>
            </c:dLbl>
            <c:dLbl>
              <c:idx val="2"/>
              <c:layout>
                <c:manualLayout>
                  <c:x val="4.1034743538413632E-2"/>
                  <c:y val="-8.3582294931580148E-2"/>
                </c:manualLayout>
              </c:layout>
              <c:tx>
                <c:rich>
                  <a:bodyPr/>
                  <a:lstStyle/>
                  <a:p>
                    <a:pPr>
                      <a:defRPr sz="650" b="1" i="0" u="none" strike="noStrike" baseline="0">
                        <a:solidFill>
                          <a:srgbClr val="000000"/>
                        </a:solidFill>
                        <a:latin typeface="Times New Roman"/>
                        <a:ea typeface="Times New Roman"/>
                        <a:cs typeface="Times New Roman"/>
                      </a:defRPr>
                    </a:pPr>
                    <a:r>
                      <a:rPr lang="ru-RU" sz="650" b="1"/>
                      <a:t>Рыбницкий</a:t>
                    </a:r>
                  </a:p>
                  <a:p>
                    <a:pPr>
                      <a:defRPr sz="650" b="1" i="0" u="none" strike="noStrike" baseline="0">
                        <a:solidFill>
                          <a:srgbClr val="000000"/>
                        </a:solidFill>
                        <a:latin typeface="Times New Roman"/>
                        <a:ea typeface="Times New Roman"/>
                        <a:cs typeface="Times New Roman"/>
                      </a:defRPr>
                    </a:pPr>
                    <a:r>
                      <a:rPr lang="ru-RU" sz="650" b="1"/>
                      <a:t>р-н  32,8%
</a:t>
                    </a:r>
                  </a:p>
                </c:rich>
              </c:tx>
              <c:spPr>
                <a:noFill/>
                <a:ln w="25370">
                  <a:noFill/>
                </a:ln>
              </c:spPr>
              <c:dLblPos val="bestFit"/>
            </c:dLbl>
            <c:dLbl>
              <c:idx val="3"/>
              <c:layout>
                <c:manualLayout>
                  <c:x val="-1.7652030784287679E-3"/>
                  <c:y val="0.19015213145750146"/>
                </c:manualLayout>
              </c:layout>
              <c:tx>
                <c:rich>
                  <a:bodyPr/>
                  <a:lstStyle/>
                  <a:p>
                    <a:pPr>
                      <a:defRPr sz="650" b="1" i="0" u="none" strike="noStrike" baseline="0">
                        <a:solidFill>
                          <a:srgbClr val="000000"/>
                        </a:solidFill>
                        <a:latin typeface="Times New Roman"/>
                        <a:ea typeface="Times New Roman"/>
                        <a:cs typeface="Times New Roman"/>
                      </a:defRPr>
                    </a:pPr>
                    <a:r>
                      <a:rPr lang="ru-RU" sz="650" b="1"/>
                      <a:t>Дубоссарский </a:t>
                    </a:r>
                  </a:p>
                  <a:p>
                    <a:pPr>
                      <a:defRPr sz="650" b="1" i="0" u="none" strike="noStrike" baseline="0">
                        <a:solidFill>
                          <a:srgbClr val="000000"/>
                        </a:solidFill>
                        <a:latin typeface="Times New Roman"/>
                        <a:ea typeface="Times New Roman"/>
                        <a:cs typeface="Times New Roman"/>
                      </a:defRPr>
                    </a:pPr>
                    <a:r>
                      <a:rPr lang="ru-RU" sz="650" b="1"/>
                      <a:t>р-н  3,6%</a:t>
                    </a:r>
                  </a:p>
                </c:rich>
              </c:tx>
              <c:spPr>
                <a:noFill/>
                <a:ln w="25370">
                  <a:noFill/>
                </a:ln>
              </c:spPr>
              <c:dLblPos val="bestFit"/>
            </c:dLbl>
            <c:dLbl>
              <c:idx val="4"/>
              <c:layout>
                <c:manualLayout>
                  <c:x val="0.17889175068069771"/>
                  <c:y val="0.16485283999694214"/>
                </c:manualLayout>
              </c:layout>
              <c:tx>
                <c:rich>
                  <a:bodyPr/>
                  <a:lstStyle/>
                  <a:p>
                    <a:pPr>
                      <a:defRPr sz="650" b="1" i="0" u="none" strike="noStrike" baseline="0">
                        <a:solidFill>
                          <a:srgbClr val="000000"/>
                        </a:solidFill>
                        <a:latin typeface="Times New Roman"/>
                        <a:ea typeface="Times New Roman"/>
                        <a:cs typeface="Times New Roman"/>
                      </a:defRPr>
                    </a:pPr>
                    <a:r>
                      <a:rPr lang="ru-RU" sz="650" b="1"/>
                      <a:t>Слободзей</a:t>
                    </a:r>
                  </a:p>
                  <a:p>
                    <a:pPr>
                      <a:defRPr sz="650" b="1" i="0" u="none" strike="noStrike" baseline="0">
                        <a:solidFill>
                          <a:srgbClr val="000000"/>
                        </a:solidFill>
                        <a:latin typeface="Times New Roman"/>
                        <a:ea typeface="Times New Roman"/>
                        <a:cs typeface="Times New Roman"/>
                      </a:defRPr>
                    </a:pPr>
                    <a:r>
                      <a:rPr lang="ru-RU" sz="650" b="1"/>
                      <a:t>ский р-н 0,5%
</a:t>
                    </a:r>
                  </a:p>
                </c:rich>
              </c:tx>
              <c:spPr>
                <a:noFill/>
                <a:ln w="25370">
                  <a:noFill/>
                </a:ln>
              </c:spPr>
              <c:dLblPos val="bestFit"/>
            </c:dLbl>
            <c:dLbl>
              <c:idx val="5"/>
              <c:layout>
                <c:manualLayout>
                  <c:x val="5.9169150466361176E-2"/>
                  <c:y val="0.20206966847590654"/>
                </c:manualLayout>
              </c:layout>
              <c:tx>
                <c:rich>
                  <a:bodyPr/>
                  <a:lstStyle/>
                  <a:p>
                    <a:pPr>
                      <a:defRPr sz="650" b="1" i="0" u="none" strike="noStrike" baseline="0">
                        <a:solidFill>
                          <a:srgbClr val="000000"/>
                        </a:solidFill>
                        <a:latin typeface="Times New Roman"/>
                        <a:ea typeface="Times New Roman"/>
                        <a:cs typeface="Times New Roman"/>
                      </a:defRPr>
                    </a:pPr>
                    <a:r>
                      <a:rPr lang="ru-RU" sz="650" b="1"/>
                      <a:t>Григориополь</a:t>
                    </a:r>
                  </a:p>
                  <a:p>
                    <a:pPr>
                      <a:defRPr sz="650" b="1" i="0" u="none" strike="noStrike" baseline="0">
                        <a:solidFill>
                          <a:srgbClr val="000000"/>
                        </a:solidFill>
                        <a:latin typeface="Times New Roman"/>
                        <a:ea typeface="Times New Roman"/>
                        <a:cs typeface="Times New Roman"/>
                      </a:defRPr>
                    </a:pPr>
                    <a:r>
                      <a:rPr lang="ru-RU" sz="650" b="1"/>
                      <a:t>ский р-н 0,2%
</a:t>
                    </a:r>
                  </a:p>
                </c:rich>
              </c:tx>
              <c:spPr>
                <a:noFill/>
                <a:ln w="25370">
                  <a:noFill/>
                </a:ln>
              </c:spPr>
              <c:dLblPos val="bestFit"/>
            </c:dLbl>
            <c:dLbl>
              <c:idx val="6"/>
              <c:layout>
                <c:manualLayout>
                  <c:x val="-0.25692246096356874"/>
                  <c:y val="-3.4176286216650101E-2"/>
                </c:manualLayout>
              </c:layout>
              <c:tx>
                <c:rich>
                  <a:bodyPr/>
                  <a:lstStyle/>
                  <a:p>
                    <a:pPr>
                      <a:defRPr sz="650" b="1" i="0" u="none" strike="noStrike" baseline="0">
                        <a:solidFill>
                          <a:srgbClr val="000000"/>
                        </a:solidFill>
                        <a:latin typeface="Times New Roman"/>
                        <a:ea typeface="Times New Roman"/>
                        <a:cs typeface="Times New Roman"/>
                      </a:defRPr>
                    </a:pPr>
                    <a:r>
                      <a:rPr lang="ru-RU" sz="650" b="1"/>
                      <a:t>г. Днестровск  19,7%
</a:t>
                    </a:r>
                  </a:p>
                </c:rich>
              </c:tx>
              <c:spPr>
                <a:noFill/>
                <a:ln w="25370">
                  <a:noFill/>
                </a:ln>
              </c:spPr>
              <c:dLblPos val="bestFit"/>
            </c:dLbl>
            <c:dLbl>
              <c:idx val="7"/>
              <c:layout>
                <c:manualLayout>
                  <c:x val="-0.21231934991177101"/>
                  <c:y val="0.11081986789565923"/>
                </c:manualLayout>
              </c:layout>
              <c:dLblPos val="bestFit"/>
              <c:showCatName val="1"/>
              <c:showPercent val="1"/>
            </c:dLbl>
            <c:numFmt formatCode="0.0%" sourceLinked="0"/>
            <c:spPr>
              <a:noFill/>
              <a:ln w="25370">
                <a:noFill/>
              </a:ln>
            </c:spPr>
            <c:txPr>
              <a:bodyPr/>
              <a:lstStyle/>
              <a:p>
                <a:pPr>
                  <a:defRPr sz="650" b="1" i="0" u="none" strike="noStrike" baseline="0">
                    <a:solidFill>
                      <a:srgbClr val="000000"/>
                    </a:solidFill>
                    <a:latin typeface="Times New Roman"/>
                    <a:ea typeface="Times New Roman"/>
                    <a:cs typeface="Times New Roman"/>
                  </a:defRPr>
                </a:pPr>
                <a:endParaRPr lang="ru-RU"/>
              </a:p>
            </c:txPr>
            <c:dLblPos val="bestFit"/>
            <c:showCatName val="1"/>
            <c:showPercent val="1"/>
            <c:showLeaderLines val="1"/>
          </c:dLbls>
          <c:cat>
            <c:strRef>
              <c:f>Sheet1!$B$1:$I$1</c:f>
              <c:strCache>
                <c:ptCount val="8"/>
                <c:pt idx="0">
                  <c:v>г.Тирасполь</c:v>
                </c:pt>
                <c:pt idx="1">
                  <c:v>г.Днестровск</c:v>
                </c:pt>
                <c:pt idx="2">
                  <c:v>г.Бендеры</c:v>
                </c:pt>
                <c:pt idx="3">
                  <c:v>Рыбницкий р-н</c:v>
                </c:pt>
                <c:pt idx="4">
                  <c:v>Дубоссарский р-н</c:v>
                </c:pt>
                <c:pt idx="5">
                  <c:v>Слободзейский р-н</c:v>
                </c:pt>
                <c:pt idx="6">
                  <c:v>Григориопольский р-н</c:v>
                </c:pt>
                <c:pt idx="7">
                  <c:v>Каменский р-н</c:v>
                </c:pt>
              </c:strCache>
            </c:strRef>
          </c:cat>
          <c:val>
            <c:numRef>
              <c:f>Sheet1!$B$2:$I$2</c:f>
              <c:numCache>
                <c:formatCode>0.0%</c:formatCode>
                <c:ptCount val="8"/>
                <c:pt idx="0">
                  <c:v>0.31000000000000216</c:v>
                </c:pt>
                <c:pt idx="1">
                  <c:v>0.19700000000000001</c:v>
                </c:pt>
                <c:pt idx="2">
                  <c:v>0.115</c:v>
                </c:pt>
                <c:pt idx="3">
                  <c:v>0.32800000000000246</c:v>
                </c:pt>
                <c:pt idx="4">
                  <c:v>3.5999999999999997E-2</c:v>
                </c:pt>
                <c:pt idx="5">
                  <c:v>5.0000000000000114E-3</c:v>
                </c:pt>
                <c:pt idx="6">
                  <c:v>2.0000000000000052E-3</c:v>
                </c:pt>
                <c:pt idx="7">
                  <c:v>7.0000000000000114E-3</c:v>
                </c:pt>
              </c:numCache>
            </c:numRef>
          </c:val>
        </c:ser>
        <c:dLbls>
          <c:showCatName val="1"/>
          <c:showPercent val="1"/>
          <c:separator>; </c:separator>
        </c:dLbls>
      </c:pie3DChart>
      <c:spPr>
        <a:solidFill>
          <a:srgbClr val="FFFFFF"/>
        </a:solidFill>
        <a:ln w="25370">
          <a:noFill/>
        </a:ln>
      </c:spPr>
    </c:plotArea>
    <c:plotVisOnly val="1"/>
    <c:dispBlanksAs val="zero"/>
  </c:chart>
  <c:spPr>
    <a:noFill/>
    <a:ln>
      <a:noFill/>
    </a:ln>
  </c:spPr>
  <c:txPr>
    <a:bodyPr/>
    <a:lstStyle/>
    <a:p>
      <a:pPr>
        <a:defRPr sz="1049" b="1" i="0" u="none" strike="noStrike" baseline="0">
          <a:solidFill>
            <a:srgbClr val="000000"/>
          </a:solidFill>
          <a:latin typeface="Arial Cyr"/>
          <a:ea typeface="Arial Cyr"/>
          <a:cs typeface="Arial Cyr"/>
        </a:defRPr>
      </a:pPr>
      <a:endParaRPr lang="ru-RU"/>
    </a:p>
  </c:tx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январь-июнь 2013 г.</a:t>
            </a:r>
          </a:p>
        </c:rich>
      </c:tx>
      <c:layout>
        <c:manualLayout>
          <c:xMode val="edge"/>
          <c:yMode val="edge"/>
          <c:x val="0.38441158804992853"/>
          <c:y val="2.6922602416633492E-2"/>
        </c:manualLayout>
      </c:layout>
      <c:spPr>
        <a:noFill/>
        <a:ln w="25296">
          <a:noFill/>
        </a:ln>
      </c:spPr>
    </c:title>
    <c:view3D>
      <c:rotY val="220"/>
      <c:perspective val="0"/>
    </c:view3D>
    <c:plotArea>
      <c:layout>
        <c:manualLayout>
          <c:layoutTarget val="inner"/>
          <c:xMode val="edge"/>
          <c:yMode val="edge"/>
          <c:x val="0.16608232748335922"/>
          <c:y val="0.11619579810588263"/>
          <c:w val="0.78794066102238791"/>
          <c:h val="0.50935278251508886"/>
        </c:manualLayout>
      </c:layout>
      <c:pie3DChart>
        <c:varyColors val="1"/>
        <c:ser>
          <c:idx val="0"/>
          <c:order val="0"/>
          <c:tx>
            <c:strRef>
              <c:f>Sheet1!$A$2</c:f>
              <c:strCache>
                <c:ptCount val="1"/>
                <c:pt idx="0">
                  <c:v>Восток</c:v>
                </c:pt>
              </c:strCache>
            </c:strRef>
          </c:tx>
          <c:spPr>
            <a:solidFill>
              <a:srgbClr val="9999FF"/>
            </a:solidFill>
            <a:ln w="12648">
              <a:solidFill>
                <a:srgbClr val="000000"/>
              </a:solidFill>
              <a:prstDash val="solid"/>
            </a:ln>
          </c:spPr>
          <c:explosion val="16"/>
          <c:dPt>
            <c:idx val="0"/>
            <c:spPr>
              <a:pattFill prst="pct10">
                <a:fgClr>
                  <a:srgbClr val="000000"/>
                </a:fgClr>
                <a:bgClr>
                  <a:srgbClr val="FFFFFF"/>
                </a:bgClr>
              </a:pattFill>
              <a:ln w="12648">
                <a:solidFill>
                  <a:srgbClr val="000000"/>
                </a:solidFill>
                <a:prstDash val="solid"/>
              </a:ln>
            </c:spPr>
          </c:dPt>
          <c:dPt>
            <c:idx val="1"/>
            <c:explosion val="4"/>
            <c:spPr>
              <a:pattFill prst="lgGrid">
                <a:fgClr>
                  <a:srgbClr val="000000"/>
                </a:fgClr>
                <a:bgClr>
                  <a:srgbClr val="FFFFFF"/>
                </a:bgClr>
              </a:pattFill>
              <a:ln w="12648">
                <a:solidFill>
                  <a:srgbClr val="000000"/>
                </a:solidFill>
                <a:prstDash val="solid"/>
              </a:ln>
            </c:spPr>
          </c:dPt>
          <c:dPt>
            <c:idx val="2"/>
            <c:spPr>
              <a:pattFill prst="pct80">
                <a:fgClr>
                  <a:srgbClr val="000000"/>
                </a:fgClr>
                <a:bgClr>
                  <a:srgbClr val="FFFFFF"/>
                </a:bgClr>
              </a:pattFill>
              <a:ln w="12648">
                <a:solidFill>
                  <a:srgbClr val="000000"/>
                </a:solidFill>
                <a:prstDash val="solid"/>
              </a:ln>
            </c:spPr>
          </c:dPt>
          <c:dPt>
            <c:idx val="3"/>
            <c:spPr>
              <a:pattFill prst="dashVert">
                <a:fgClr>
                  <a:srgbClr val="000000"/>
                </a:fgClr>
                <a:bgClr>
                  <a:srgbClr val="FFFFFF"/>
                </a:bgClr>
              </a:pattFill>
              <a:ln w="12648">
                <a:solidFill>
                  <a:srgbClr val="000000"/>
                </a:solidFill>
                <a:prstDash val="solid"/>
              </a:ln>
            </c:spPr>
          </c:dPt>
          <c:dPt>
            <c:idx val="4"/>
            <c:spPr>
              <a:pattFill prst="lgConfetti">
                <a:fgClr>
                  <a:srgbClr val="000000"/>
                </a:fgClr>
                <a:bgClr>
                  <a:srgbClr val="FFFFFF"/>
                </a:bgClr>
              </a:pattFill>
              <a:ln w="12648">
                <a:solidFill>
                  <a:srgbClr val="000000"/>
                </a:solidFill>
                <a:prstDash val="solid"/>
              </a:ln>
            </c:spPr>
          </c:dPt>
          <c:dPt>
            <c:idx val="5"/>
            <c:spPr>
              <a:pattFill prst="zigZag">
                <a:fgClr>
                  <a:srgbClr val="000000"/>
                </a:fgClr>
                <a:bgClr>
                  <a:srgbClr val="FFFFFF"/>
                </a:bgClr>
              </a:pattFill>
              <a:ln w="12648">
                <a:solidFill>
                  <a:srgbClr val="000000"/>
                </a:solidFill>
                <a:prstDash val="solid"/>
              </a:ln>
            </c:spPr>
          </c:dPt>
          <c:dPt>
            <c:idx val="6"/>
            <c:spPr>
              <a:pattFill prst="sphere">
                <a:fgClr>
                  <a:srgbClr val="000000"/>
                </a:fgClr>
                <a:bgClr>
                  <a:srgbClr val="FFFFFF"/>
                </a:bgClr>
              </a:pattFill>
              <a:ln w="12648">
                <a:solidFill>
                  <a:srgbClr val="000000"/>
                </a:solidFill>
                <a:prstDash val="solid"/>
              </a:ln>
            </c:spPr>
          </c:dPt>
          <c:dLbls>
            <c:dLbl>
              <c:idx val="0"/>
              <c:layout>
                <c:manualLayout>
                  <c:x val="-0.20107488131381687"/>
                  <c:y val="-1.5411783204518914E-2"/>
                </c:manualLayout>
              </c:layout>
              <c:tx>
                <c:rich>
                  <a:bodyPr/>
                  <a:lstStyle/>
                  <a:p>
                    <a:r>
                      <a:rPr lang="ru-RU" b="1"/>
                      <a:t>г.Тирасполь
67,9%</a:t>
                    </a:r>
                  </a:p>
                </c:rich>
              </c:tx>
              <c:dLblPos val="bestFit"/>
              <c:showCatName val="1"/>
              <c:showPercent val="1"/>
            </c:dLbl>
            <c:dLbl>
              <c:idx val="1"/>
              <c:layout>
                <c:manualLayout>
                  <c:x val="4.1988826631780753E-2"/>
                  <c:y val="0.14906539908318037"/>
                </c:manualLayout>
              </c:layout>
              <c:tx>
                <c:rich>
                  <a:bodyPr/>
                  <a:lstStyle/>
                  <a:p>
                    <a:r>
                      <a:rPr lang="ru-RU" b="1"/>
                      <a:t>г.Бендеры
18,6%</a:t>
                    </a:r>
                  </a:p>
                </c:rich>
              </c:tx>
              <c:dLblPos val="bestFit"/>
              <c:showCatName val="1"/>
              <c:showPercent val="1"/>
            </c:dLbl>
            <c:dLbl>
              <c:idx val="2"/>
              <c:layout>
                <c:manualLayout>
                  <c:x val="0.23891228330001246"/>
                  <c:y val="0.11702852309338127"/>
                </c:manualLayout>
              </c:layout>
              <c:tx>
                <c:rich>
                  <a:bodyPr/>
                  <a:lstStyle/>
                  <a:p>
                    <a:r>
                      <a:rPr lang="ru-RU" b="1"/>
                      <a:t>Рыбницкий р-н
7,0%</a:t>
                    </a:r>
                  </a:p>
                </c:rich>
              </c:tx>
              <c:dLblPos val="bestFit"/>
              <c:showCatName val="1"/>
              <c:showPercent val="1"/>
            </c:dLbl>
            <c:dLbl>
              <c:idx val="3"/>
              <c:layout>
                <c:manualLayout>
                  <c:x val="0.18078707246233913"/>
                  <c:y val="0.19422475416379442"/>
                </c:manualLayout>
              </c:layout>
              <c:tx>
                <c:rich>
                  <a:bodyPr/>
                  <a:lstStyle/>
                  <a:p>
                    <a:r>
                      <a:rPr lang="ru-RU" b="1"/>
                      <a:t>Дубоссарский р-н  4,3%</a:t>
                    </a:r>
                  </a:p>
                </c:rich>
              </c:tx>
              <c:dLblPos val="bestFit"/>
              <c:showCatName val="1"/>
              <c:showPercent val="1"/>
            </c:dLbl>
            <c:dLbl>
              <c:idx val="4"/>
              <c:layout>
                <c:manualLayout>
                  <c:x val="-1.5158920181999174E-2"/>
                  <c:y val="0.19786155762787722"/>
                </c:manualLayout>
              </c:layout>
              <c:tx>
                <c:rich>
                  <a:bodyPr/>
                  <a:lstStyle/>
                  <a:p>
                    <a:r>
                      <a:rPr lang="ru-RU" b="1"/>
                      <a:t>Слободзей</a:t>
                    </a:r>
                  </a:p>
                  <a:p>
                    <a:r>
                      <a:rPr lang="ru-RU" b="1"/>
                      <a:t>ский р-н</a:t>
                    </a:r>
                  </a:p>
                  <a:p>
                    <a:r>
                      <a:rPr lang="ru-RU" b="1"/>
                      <a:t>0,8%</a:t>
                    </a:r>
                  </a:p>
                </c:rich>
              </c:tx>
              <c:dLblPos val="bestFit"/>
              <c:showCatName val="1"/>
              <c:showPercent val="1"/>
            </c:dLbl>
            <c:dLbl>
              <c:idx val="5"/>
              <c:layout>
                <c:manualLayout>
                  <c:x val="-0.15029118225425644"/>
                  <c:y val="7.7289209816514923E-2"/>
                </c:manualLayout>
              </c:layout>
              <c:tx>
                <c:rich>
                  <a:bodyPr/>
                  <a:lstStyle/>
                  <a:p>
                    <a:r>
                      <a:rPr lang="ru-RU" b="1"/>
                      <a:t>Григориопо</a:t>
                    </a:r>
                  </a:p>
                  <a:p>
                    <a:r>
                      <a:rPr lang="ru-RU" b="1"/>
                      <a:t>льский р-н
0,3%</a:t>
                    </a:r>
                  </a:p>
                </c:rich>
              </c:tx>
              <c:dLblPos val="bestFit"/>
              <c:showCatName val="1"/>
              <c:showPercent val="1"/>
            </c:dLbl>
            <c:dLbl>
              <c:idx val="6"/>
              <c:layout>
                <c:manualLayout>
                  <c:x val="-0.14791202823784971"/>
                  <c:y val="-5.7677951546379322E-2"/>
                </c:manualLayout>
              </c:layout>
              <c:tx>
                <c:rich>
                  <a:bodyPr/>
                  <a:lstStyle/>
                  <a:p>
                    <a:r>
                      <a:rPr lang="ru-RU" b="1"/>
                      <a:t>Каменский </a:t>
                    </a:r>
                  </a:p>
                  <a:p>
                    <a:r>
                      <a:rPr lang="ru-RU" b="1"/>
                      <a:t>р-н  1,1%</a:t>
                    </a:r>
                  </a:p>
                </c:rich>
              </c:tx>
              <c:dLblPos val="bestFit"/>
              <c:showCatName val="1"/>
              <c:showPercent val="1"/>
            </c:dLbl>
            <c:txPr>
              <a:bodyPr/>
              <a:lstStyle/>
              <a:p>
                <a:pPr>
                  <a:defRPr sz="650" b="1"/>
                </a:pPr>
                <a:endParaRPr lang="ru-RU"/>
              </a:p>
            </c:txPr>
            <c:dLblPos val="bestFit"/>
            <c:showCatName val="1"/>
            <c:showPercent val="1"/>
            <c:showLeaderLines val="1"/>
          </c:dLbls>
          <c:cat>
            <c:strRef>
              <c:f>Sheet1!$B$1:$H$1</c:f>
              <c:strCache>
                <c:ptCount val="7"/>
                <c:pt idx="0">
                  <c:v>г.Тирасполь</c:v>
                </c:pt>
                <c:pt idx="1">
                  <c:v>г.Бендеры</c:v>
                </c:pt>
                <c:pt idx="2">
                  <c:v>Рыбницкий р-н</c:v>
                </c:pt>
                <c:pt idx="3">
                  <c:v>Дубоссарский р-н</c:v>
                </c:pt>
                <c:pt idx="4">
                  <c:v>Слободзейский р-н</c:v>
                </c:pt>
                <c:pt idx="5">
                  <c:v>Григориопольский р-н</c:v>
                </c:pt>
                <c:pt idx="6">
                  <c:v>Каменский р-н</c:v>
                </c:pt>
              </c:strCache>
            </c:strRef>
          </c:cat>
          <c:val>
            <c:numRef>
              <c:f>Sheet1!$B$2:$H$2</c:f>
              <c:numCache>
                <c:formatCode>0.0%</c:formatCode>
                <c:ptCount val="7"/>
                <c:pt idx="0">
                  <c:v>0.67900000000000571</c:v>
                </c:pt>
                <c:pt idx="1">
                  <c:v>0.18600000000000044</c:v>
                </c:pt>
                <c:pt idx="2">
                  <c:v>7.0000000000000034E-2</c:v>
                </c:pt>
                <c:pt idx="3">
                  <c:v>4.3000000000000003E-2</c:v>
                </c:pt>
                <c:pt idx="4">
                  <c:v>8.0000000000000227E-3</c:v>
                </c:pt>
                <c:pt idx="5">
                  <c:v>3.0000000000000248E-3</c:v>
                </c:pt>
                <c:pt idx="6">
                  <c:v>1.0999999999999998E-2</c:v>
                </c:pt>
              </c:numCache>
            </c:numRef>
          </c:val>
        </c:ser>
        <c:dLbls>
          <c:showCatName val="1"/>
          <c:showPercent val="1"/>
        </c:dLbls>
      </c:pie3DChart>
      <c:spPr>
        <a:solidFill>
          <a:srgbClr val="FFFFFF"/>
        </a:solidFill>
        <a:ln w="25296">
          <a:noFill/>
        </a:ln>
      </c:spPr>
    </c:plotArea>
    <c:plotVisOnly val="1"/>
    <c:dispBlanksAs val="zero"/>
  </c:chart>
  <c:spPr>
    <a:noFill/>
    <a:ln>
      <a:noFill/>
    </a:ln>
  </c:spPr>
  <c:txPr>
    <a:bodyPr/>
    <a:lstStyle/>
    <a:p>
      <a:pPr>
        <a:defRPr sz="921" b="1" i="0" u="none" strike="noStrike" baseline="0">
          <a:solidFill>
            <a:srgbClr val="000000"/>
          </a:solidFill>
          <a:latin typeface="Times New Roman" pitchFamily="18" charset="0"/>
          <a:ea typeface="Arial Cyr"/>
          <a:cs typeface="Times New Roman" pitchFamily="18" charset="0"/>
        </a:defRPr>
      </a:pPr>
      <a:endParaRPr lang="ru-RU"/>
    </a:p>
  </c:tx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b="1" i="0" u="none" strike="noStrike" baseline="0">
                <a:solidFill>
                  <a:srgbClr val="000000"/>
                </a:solidFill>
                <a:latin typeface="Times New Roman"/>
                <a:ea typeface="Times New Roman"/>
                <a:cs typeface="Times New Roman"/>
              </a:defRPr>
            </a:pPr>
            <a:r>
              <a:rPr lang="ru-RU" sz="1000"/>
              <a:t>январь-июнь 2013 г.</a:t>
            </a:r>
          </a:p>
        </c:rich>
      </c:tx>
      <c:layout>
        <c:manualLayout>
          <c:xMode val="edge"/>
          <c:yMode val="edge"/>
          <c:x val="0.34749379731789093"/>
          <c:y val="1.214543613520392E-3"/>
        </c:manualLayout>
      </c:layout>
      <c:spPr>
        <a:noFill/>
        <a:ln w="25389">
          <a:noFill/>
        </a:ln>
      </c:spPr>
    </c:title>
    <c:view3D>
      <c:rotY val="190"/>
      <c:perspective val="0"/>
    </c:view3D>
    <c:plotArea>
      <c:layout>
        <c:manualLayout>
          <c:layoutTarget val="inner"/>
          <c:xMode val="edge"/>
          <c:yMode val="edge"/>
          <c:x val="4.6083494882289133E-2"/>
          <c:y val="0.15023408875921132"/>
          <c:w val="0.79724832268307599"/>
          <c:h val="0.38736000639514401"/>
        </c:manualLayout>
      </c:layout>
      <c:pie3DChart>
        <c:varyColors val="1"/>
        <c:ser>
          <c:idx val="0"/>
          <c:order val="0"/>
          <c:tx>
            <c:strRef>
              <c:f>Sheet1!$A$2</c:f>
              <c:strCache>
                <c:ptCount val="1"/>
                <c:pt idx="0">
                  <c:v>Восток</c:v>
                </c:pt>
              </c:strCache>
            </c:strRef>
          </c:tx>
          <c:spPr>
            <a:solidFill>
              <a:srgbClr val="9999FF"/>
            </a:solidFill>
            <a:ln w="12694">
              <a:solidFill>
                <a:srgbClr val="000000"/>
              </a:solidFill>
              <a:prstDash val="solid"/>
            </a:ln>
          </c:spPr>
          <c:explosion val="28"/>
          <c:dPt>
            <c:idx val="0"/>
            <c:spPr>
              <a:pattFill prst="pct10">
                <a:fgClr>
                  <a:srgbClr val="000000"/>
                </a:fgClr>
                <a:bgClr>
                  <a:srgbClr val="FFFFFF"/>
                </a:bgClr>
              </a:pattFill>
              <a:ln w="12694">
                <a:solidFill>
                  <a:srgbClr val="000000"/>
                </a:solidFill>
                <a:prstDash val="solid"/>
              </a:ln>
            </c:spPr>
          </c:dPt>
          <c:dPt>
            <c:idx val="1"/>
            <c:spPr>
              <a:pattFill prst="lgGrid">
                <a:fgClr>
                  <a:srgbClr val="000000"/>
                </a:fgClr>
                <a:bgClr>
                  <a:srgbClr val="FFFFFF"/>
                </a:bgClr>
              </a:pattFill>
              <a:ln w="12694">
                <a:solidFill>
                  <a:srgbClr val="000000"/>
                </a:solidFill>
                <a:prstDash val="solid"/>
              </a:ln>
            </c:spPr>
          </c:dPt>
          <c:dPt>
            <c:idx val="2"/>
            <c:spPr>
              <a:pattFill prst="pct80">
                <a:fgClr>
                  <a:srgbClr val="000000"/>
                </a:fgClr>
                <a:bgClr>
                  <a:srgbClr val="FFFFFF"/>
                </a:bgClr>
              </a:pattFill>
              <a:ln w="12694">
                <a:solidFill>
                  <a:srgbClr val="000000"/>
                </a:solidFill>
                <a:prstDash val="solid"/>
              </a:ln>
            </c:spPr>
          </c:dPt>
          <c:dPt>
            <c:idx val="3"/>
            <c:spPr>
              <a:pattFill prst="dashVert">
                <a:fgClr>
                  <a:srgbClr val="000000"/>
                </a:fgClr>
                <a:bgClr>
                  <a:srgbClr val="FFFFFF"/>
                </a:bgClr>
              </a:pattFill>
              <a:ln w="12694">
                <a:solidFill>
                  <a:srgbClr val="000000"/>
                </a:solidFill>
                <a:prstDash val="solid"/>
              </a:ln>
            </c:spPr>
          </c:dPt>
          <c:dPt>
            <c:idx val="4"/>
            <c:spPr>
              <a:pattFill prst="lgConfetti">
                <a:fgClr>
                  <a:srgbClr val="000000"/>
                </a:fgClr>
                <a:bgClr>
                  <a:srgbClr val="FFFFFF"/>
                </a:bgClr>
              </a:pattFill>
              <a:ln w="12694">
                <a:solidFill>
                  <a:srgbClr val="000000"/>
                </a:solidFill>
                <a:prstDash val="solid"/>
              </a:ln>
            </c:spPr>
          </c:dPt>
          <c:dPt>
            <c:idx val="5"/>
            <c:spPr>
              <a:pattFill prst="zigZag">
                <a:fgClr>
                  <a:srgbClr val="000000"/>
                </a:fgClr>
                <a:bgClr>
                  <a:srgbClr val="FFFFFF"/>
                </a:bgClr>
              </a:pattFill>
              <a:ln w="12694">
                <a:solidFill>
                  <a:srgbClr val="000000"/>
                </a:solidFill>
                <a:prstDash val="solid"/>
              </a:ln>
            </c:spPr>
          </c:dPt>
          <c:dPt>
            <c:idx val="6"/>
            <c:spPr>
              <a:pattFill prst="sphere">
                <a:fgClr>
                  <a:srgbClr val="000000"/>
                </a:fgClr>
                <a:bgClr>
                  <a:srgbClr val="FFFFFF"/>
                </a:bgClr>
              </a:pattFill>
              <a:ln w="12694">
                <a:solidFill>
                  <a:srgbClr val="000000"/>
                </a:solidFill>
                <a:prstDash val="solid"/>
              </a:ln>
            </c:spPr>
          </c:dPt>
          <c:dLbls>
            <c:dLbl>
              <c:idx val="0"/>
              <c:layout>
                <c:manualLayout>
                  <c:x val="-0.16159510259839496"/>
                  <c:y val="-5.0074160073920397E-2"/>
                </c:manualLayout>
              </c:layout>
              <c:tx>
                <c:rich>
                  <a:bodyPr/>
                  <a:lstStyle/>
                  <a:p>
                    <a:pPr>
                      <a:defRPr sz="650" b="1" i="0" u="none" strike="noStrike" baseline="0">
                        <a:solidFill>
                          <a:srgbClr val="000000"/>
                        </a:solidFill>
                        <a:latin typeface="Times New Roman"/>
                        <a:ea typeface="Times New Roman"/>
                        <a:cs typeface="Times New Roman"/>
                      </a:defRPr>
                    </a:pPr>
                    <a:r>
                      <a:rPr lang="ru-RU" sz="650" b="1"/>
                      <a:t>г.Тирасполь 424,3; 75,1%</a:t>
                    </a:r>
                  </a:p>
                </c:rich>
              </c:tx>
              <c:spPr>
                <a:noFill/>
                <a:ln w="25389">
                  <a:noFill/>
                </a:ln>
              </c:spPr>
              <c:dLblPos val="bestFit"/>
            </c:dLbl>
            <c:dLbl>
              <c:idx val="1"/>
              <c:layout>
                <c:manualLayout>
                  <c:x val="5.648453517778363E-2"/>
                  <c:y val="7.2430286315734119E-3"/>
                </c:manualLayout>
              </c:layout>
              <c:tx>
                <c:rich>
                  <a:bodyPr/>
                  <a:lstStyle/>
                  <a:p>
                    <a:pPr>
                      <a:defRPr sz="650" b="1" i="0" u="none" strike="noStrike" baseline="0">
                        <a:solidFill>
                          <a:srgbClr val="000000"/>
                        </a:solidFill>
                        <a:latin typeface="Times New Roman"/>
                        <a:ea typeface="Times New Roman"/>
                        <a:cs typeface="Times New Roman"/>
                      </a:defRPr>
                    </a:pPr>
                    <a:r>
                      <a:rPr lang="ru-RU" sz="650" b="1"/>
                      <a:t>г.Бендеры</a:t>
                    </a:r>
                  </a:p>
                  <a:p>
                    <a:pPr>
                      <a:defRPr sz="650" b="1" i="0" u="none" strike="noStrike" baseline="0">
                        <a:solidFill>
                          <a:srgbClr val="000000"/>
                        </a:solidFill>
                        <a:latin typeface="Times New Roman"/>
                        <a:ea typeface="Times New Roman"/>
                        <a:cs typeface="Times New Roman"/>
                      </a:defRPr>
                    </a:pPr>
                    <a:r>
                      <a:rPr lang="ru-RU" sz="650" b="1"/>
                      <a:t> 35,7; 6,3%</a:t>
                    </a:r>
                  </a:p>
                </c:rich>
              </c:tx>
              <c:spPr>
                <a:noFill/>
                <a:ln w="25389">
                  <a:noFill/>
                </a:ln>
              </c:spPr>
              <c:dLblPos val="bestFit"/>
            </c:dLbl>
            <c:dLbl>
              <c:idx val="2"/>
              <c:layout>
                <c:manualLayout>
                  <c:x val="6.0071320872125029E-2"/>
                  <c:y val="0.11381856455760288"/>
                </c:manualLayout>
              </c:layout>
              <c:tx>
                <c:rich>
                  <a:bodyPr/>
                  <a:lstStyle/>
                  <a:p>
                    <a:pPr>
                      <a:defRPr sz="650" b="1" i="0" u="none" strike="noStrike" baseline="0">
                        <a:solidFill>
                          <a:srgbClr val="000000"/>
                        </a:solidFill>
                        <a:latin typeface="Times New Roman"/>
                        <a:ea typeface="Times New Roman"/>
                        <a:cs typeface="Times New Roman"/>
                      </a:defRPr>
                    </a:pPr>
                    <a:r>
                      <a:rPr lang="ru-RU" sz="650" b="1"/>
                      <a:t>Рыбницкий </a:t>
                    </a:r>
                  </a:p>
                  <a:p>
                    <a:pPr>
                      <a:defRPr sz="650" b="1" i="0" u="none" strike="noStrike" baseline="0">
                        <a:solidFill>
                          <a:srgbClr val="000000"/>
                        </a:solidFill>
                        <a:latin typeface="Times New Roman"/>
                        <a:ea typeface="Times New Roman"/>
                        <a:cs typeface="Times New Roman"/>
                      </a:defRPr>
                    </a:pPr>
                    <a:r>
                      <a:rPr lang="ru-RU" sz="650" b="1"/>
                      <a:t>р-н  38,6; 6,8%</a:t>
                    </a:r>
                  </a:p>
                </c:rich>
              </c:tx>
              <c:spPr>
                <a:noFill/>
                <a:ln w="25389">
                  <a:noFill/>
                </a:ln>
              </c:spPr>
              <c:dLblPos val="bestFit"/>
            </c:dLbl>
            <c:dLbl>
              <c:idx val="3"/>
              <c:layout>
                <c:manualLayout>
                  <c:x val="7.0494379691900333E-3"/>
                  <c:y val="0.2611503257524283"/>
                </c:manualLayout>
              </c:layout>
              <c:tx>
                <c:rich>
                  <a:bodyPr/>
                  <a:lstStyle/>
                  <a:p>
                    <a:pPr>
                      <a:defRPr sz="650" b="1" i="0" u="none" strike="noStrike" baseline="0">
                        <a:solidFill>
                          <a:srgbClr val="000000"/>
                        </a:solidFill>
                        <a:latin typeface="Times New Roman"/>
                        <a:ea typeface="Times New Roman"/>
                        <a:cs typeface="Times New Roman"/>
                      </a:defRPr>
                    </a:pPr>
                    <a:r>
                      <a:rPr lang="ru-RU" sz="650" b="1"/>
                      <a:t>Дубоссарский р-н 7,2;  1,3%</a:t>
                    </a:r>
                  </a:p>
                </c:rich>
              </c:tx>
              <c:spPr>
                <a:noFill/>
                <a:ln w="25389">
                  <a:noFill/>
                </a:ln>
              </c:spPr>
              <c:dLblPos val="bestFit"/>
            </c:dLbl>
            <c:dLbl>
              <c:idx val="4"/>
              <c:layout>
                <c:manualLayout>
                  <c:x val="-0.29240472600499634"/>
                  <c:y val="0.25687997122187595"/>
                </c:manualLayout>
              </c:layout>
              <c:tx>
                <c:rich>
                  <a:bodyPr/>
                  <a:lstStyle/>
                  <a:p>
                    <a:pPr>
                      <a:defRPr sz="650" b="1" i="0" u="none" strike="noStrike" baseline="0">
                        <a:solidFill>
                          <a:srgbClr val="000000"/>
                        </a:solidFill>
                        <a:latin typeface="Times New Roman"/>
                        <a:ea typeface="Times New Roman"/>
                        <a:cs typeface="Times New Roman"/>
                      </a:defRPr>
                    </a:pPr>
                    <a:r>
                      <a:rPr lang="ru-RU" sz="650" b="1"/>
                      <a:t>Слободзейский р-н  40,3; 7,1%</a:t>
                    </a:r>
                  </a:p>
                </c:rich>
              </c:tx>
              <c:spPr>
                <a:noFill/>
                <a:ln w="25389">
                  <a:noFill/>
                </a:ln>
              </c:spPr>
              <c:dLblPos val="bestFit"/>
            </c:dLbl>
            <c:dLbl>
              <c:idx val="5"/>
              <c:layout>
                <c:manualLayout>
                  <c:x val="-0.31335391586690264"/>
                  <c:y val="0.14150792064697496"/>
                </c:manualLayout>
              </c:layout>
              <c:tx>
                <c:rich>
                  <a:bodyPr/>
                  <a:lstStyle/>
                  <a:p>
                    <a:pPr>
                      <a:defRPr sz="650" b="1" i="0" u="none" strike="noStrike" baseline="0">
                        <a:solidFill>
                          <a:srgbClr val="000000"/>
                        </a:solidFill>
                        <a:latin typeface="Times New Roman"/>
                        <a:ea typeface="Times New Roman"/>
                        <a:cs typeface="Times New Roman"/>
                      </a:defRPr>
                    </a:pPr>
                    <a:r>
                      <a:rPr lang="ru-RU" sz="650" b="1"/>
                      <a:t>Григориополь</a:t>
                    </a:r>
                  </a:p>
                  <a:p>
                    <a:pPr>
                      <a:defRPr sz="650" b="1" i="0" u="none" strike="noStrike" baseline="0">
                        <a:solidFill>
                          <a:srgbClr val="000000"/>
                        </a:solidFill>
                        <a:latin typeface="Times New Roman"/>
                        <a:ea typeface="Times New Roman"/>
                        <a:cs typeface="Times New Roman"/>
                      </a:defRPr>
                    </a:pPr>
                    <a:r>
                      <a:rPr lang="ru-RU" sz="650" b="1"/>
                      <a:t>ский </a:t>
                    </a:r>
                  </a:p>
                  <a:p>
                    <a:pPr>
                      <a:defRPr sz="650" b="1" i="0" u="none" strike="noStrike" baseline="0">
                        <a:solidFill>
                          <a:srgbClr val="000000"/>
                        </a:solidFill>
                        <a:latin typeface="Times New Roman"/>
                        <a:ea typeface="Times New Roman"/>
                        <a:cs typeface="Times New Roman"/>
                      </a:defRPr>
                    </a:pPr>
                    <a:r>
                      <a:rPr lang="ru-RU" sz="650" b="1"/>
                      <a:t>р-н 14,4;2,6%            </a:t>
                    </a:r>
                  </a:p>
                </c:rich>
              </c:tx>
              <c:spPr>
                <a:noFill/>
                <a:ln w="25389">
                  <a:noFill/>
                </a:ln>
              </c:spPr>
              <c:dLblPos val="bestFit"/>
            </c:dLbl>
            <c:dLbl>
              <c:idx val="6"/>
              <c:layout>
                <c:manualLayout>
                  <c:x val="-0.28916672649961511"/>
                  <c:y val="-5.4441824213597702E-2"/>
                </c:manualLayout>
              </c:layout>
              <c:tx>
                <c:rich>
                  <a:bodyPr/>
                  <a:lstStyle/>
                  <a:p>
                    <a:pPr>
                      <a:defRPr sz="650" b="1" i="0" u="none" strike="noStrike" baseline="0">
                        <a:solidFill>
                          <a:srgbClr val="000000"/>
                        </a:solidFill>
                        <a:latin typeface="Times New Roman"/>
                        <a:ea typeface="Times New Roman"/>
                        <a:cs typeface="Times New Roman"/>
                      </a:defRPr>
                    </a:pPr>
                    <a:r>
                      <a:rPr lang="ru-RU" sz="650" b="1"/>
                      <a:t>Каменский   </a:t>
                    </a:r>
                  </a:p>
                  <a:p>
                    <a:pPr>
                      <a:defRPr sz="650" b="1" i="0" u="none" strike="noStrike" baseline="0">
                        <a:solidFill>
                          <a:srgbClr val="000000"/>
                        </a:solidFill>
                        <a:latin typeface="Times New Roman"/>
                        <a:ea typeface="Times New Roman"/>
                        <a:cs typeface="Times New Roman"/>
                      </a:defRPr>
                    </a:pPr>
                    <a:r>
                      <a:rPr lang="ru-RU" sz="650" b="1"/>
                      <a:t>р-н                4,8; 0,8%</a:t>
                    </a:r>
                  </a:p>
                </c:rich>
              </c:tx>
              <c:spPr>
                <a:noFill/>
                <a:ln w="25389">
                  <a:noFill/>
                </a:ln>
              </c:spPr>
              <c:dLblPos val="bestFit"/>
            </c:dLbl>
            <c:dLbl>
              <c:idx val="7"/>
              <c:layout>
                <c:manualLayout>
                  <c:x val="-0.18988300507763844"/>
                  <c:y val="-0.26096080719572906"/>
                </c:manualLayout>
              </c:layout>
              <c:dLblPos val="bestFit"/>
              <c:showVal val="1"/>
              <c:showCatName val="1"/>
              <c:showPercent val="1"/>
              <c:separator>; </c:separator>
            </c:dLbl>
            <c:numFmt formatCode="0.00%" sourceLinked="0"/>
            <c:spPr>
              <a:noFill/>
              <a:ln w="25389">
                <a:noFill/>
              </a:ln>
            </c:spPr>
            <c:txPr>
              <a:bodyPr/>
              <a:lstStyle/>
              <a:p>
                <a:pPr>
                  <a:defRPr sz="650" b="1" i="0" u="none" strike="noStrike" baseline="0">
                    <a:solidFill>
                      <a:srgbClr val="000000"/>
                    </a:solidFill>
                    <a:latin typeface="Times New Roman"/>
                    <a:ea typeface="Times New Roman"/>
                    <a:cs typeface="Times New Roman"/>
                  </a:defRPr>
                </a:pPr>
                <a:endParaRPr lang="ru-RU"/>
              </a:p>
            </c:txPr>
            <c:showVal val="1"/>
            <c:showCatName val="1"/>
            <c:showPercent val="1"/>
            <c:separator>; </c:separator>
            <c:showLeaderLines val="1"/>
          </c:dLbls>
          <c:cat>
            <c:strRef>
              <c:f>Sheet1!$B$1:$H$1</c:f>
              <c:strCache>
                <c:ptCount val="7"/>
                <c:pt idx="0">
                  <c:v>г.Тирасполь</c:v>
                </c:pt>
                <c:pt idx="1">
                  <c:v>г. Бендеры</c:v>
                </c:pt>
                <c:pt idx="2">
                  <c:v>Рыбницкий р-н</c:v>
                </c:pt>
                <c:pt idx="3">
                  <c:v>Дубоссарский р-н</c:v>
                </c:pt>
                <c:pt idx="4">
                  <c:v>Слободзейский р-н</c:v>
                </c:pt>
                <c:pt idx="5">
                  <c:v>Григориопольский р-н</c:v>
                </c:pt>
                <c:pt idx="6">
                  <c:v>Каменский р-н</c:v>
                </c:pt>
              </c:strCache>
            </c:strRef>
          </c:cat>
          <c:val>
            <c:numRef>
              <c:f>Sheet1!$B$2:$H$2</c:f>
              <c:numCache>
                <c:formatCode>General</c:formatCode>
                <c:ptCount val="7"/>
                <c:pt idx="0">
                  <c:v>424.3</c:v>
                </c:pt>
                <c:pt idx="1">
                  <c:v>35.700000000000003</c:v>
                </c:pt>
                <c:pt idx="2">
                  <c:v>38.6</c:v>
                </c:pt>
                <c:pt idx="3">
                  <c:v>7.2</c:v>
                </c:pt>
                <c:pt idx="4">
                  <c:v>40.300000000000004</c:v>
                </c:pt>
                <c:pt idx="5" formatCode="#,##0.0">
                  <c:v>14.4</c:v>
                </c:pt>
                <c:pt idx="6">
                  <c:v>4.8</c:v>
                </c:pt>
              </c:numCache>
            </c:numRef>
          </c:val>
        </c:ser>
        <c:dLbls>
          <c:showVal val="1"/>
          <c:showCatName val="1"/>
          <c:showPercent val="1"/>
          <c:separator>; </c:separator>
        </c:dLbls>
      </c:pie3DChart>
      <c:spPr>
        <a:solidFill>
          <a:srgbClr val="FFFFFF"/>
        </a:solidFill>
        <a:ln w="25389">
          <a:noFill/>
        </a:ln>
      </c:spPr>
    </c:plotArea>
    <c:plotVisOnly val="1"/>
    <c:dispBlanksAs val="zero"/>
  </c:chart>
  <c:spPr>
    <a:noFill/>
    <a:ln>
      <a:noFill/>
    </a:ln>
  </c:spPr>
  <c:txPr>
    <a:bodyPr/>
    <a:lstStyle/>
    <a:p>
      <a:pPr>
        <a:defRPr sz="975" b="1" i="0" u="none" strike="noStrike" baseline="0">
          <a:solidFill>
            <a:srgbClr val="000000"/>
          </a:solidFill>
          <a:latin typeface="Arial Cyr"/>
          <a:ea typeface="Arial Cyr"/>
          <a:cs typeface="Arial Cyr"/>
        </a:defRPr>
      </a:pPr>
      <a:endParaRPr lang="ru-RU"/>
    </a:p>
  </c:tx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b="1" i="0" u="none" strike="noStrike" baseline="0">
                <a:solidFill>
                  <a:srgbClr val="000000"/>
                </a:solidFill>
                <a:latin typeface="Times New Roman"/>
                <a:ea typeface="Times New Roman"/>
                <a:cs typeface="Times New Roman"/>
              </a:defRPr>
            </a:pPr>
            <a:r>
              <a:rPr lang="ru-RU" sz="1000"/>
              <a:t>январь-июнь 2014 г.</a:t>
            </a:r>
          </a:p>
        </c:rich>
      </c:tx>
      <c:layout>
        <c:manualLayout>
          <c:xMode val="edge"/>
          <c:yMode val="edge"/>
          <c:x val="0.3231161062132214"/>
          <c:y val="2.8239028261002256E-3"/>
        </c:manualLayout>
      </c:layout>
      <c:spPr>
        <a:noFill/>
        <a:ln w="25394">
          <a:noFill/>
        </a:ln>
      </c:spPr>
    </c:title>
    <c:view3D>
      <c:rotY val="200"/>
      <c:perspective val="0"/>
    </c:view3D>
    <c:plotArea>
      <c:layout>
        <c:manualLayout>
          <c:layoutTarget val="inner"/>
          <c:xMode val="edge"/>
          <c:yMode val="edge"/>
          <c:x val="8.5772632652893296E-2"/>
          <c:y val="0.1480749557468107"/>
          <c:w val="0.69010046158023353"/>
          <c:h val="0.33968577183666609"/>
        </c:manualLayout>
      </c:layout>
      <c:pie3DChart>
        <c:varyColors val="1"/>
        <c:ser>
          <c:idx val="0"/>
          <c:order val="0"/>
          <c:tx>
            <c:strRef>
              <c:f>Sheet1!$A$3</c:f>
              <c:strCache>
                <c:ptCount val="1"/>
                <c:pt idx="0">
                  <c:v>Восток</c:v>
                </c:pt>
              </c:strCache>
            </c:strRef>
          </c:tx>
          <c:spPr>
            <a:solidFill>
              <a:srgbClr val="9999FF"/>
            </a:solidFill>
            <a:ln w="12697">
              <a:solidFill>
                <a:srgbClr val="000000"/>
              </a:solidFill>
              <a:prstDash val="solid"/>
            </a:ln>
          </c:spPr>
          <c:explosion val="25"/>
          <c:dPt>
            <c:idx val="0"/>
            <c:spPr>
              <a:pattFill prst="pct10">
                <a:fgClr>
                  <a:srgbClr val="000000"/>
                </a:fgClr>
                <a:bgClr>
                  <a:srgbClr val="FFFFFF"/>
                </a:bgClr>
              </a:pattFill>
              <a:ln w="12697">
                <a:solidFill>
                  <a:srgbClr val="000000"/>
                </a:solidFill>
                <a:prstDash val="solid"/>
              </a:ln>
            </c:spPr>
          </c:dPt>
          <c:dPt>
            <c:idx val="1"/>
            <c:spPr>
              <a:pattFill prst="lgGrid">
                <a:fgClr>
                  <a:srgbClr val="000000"/>
                </a:fgClr>
                <a:bgClr>
                  <a:srgbClr val="FFFFFF"/>
                </a:bgClr>
              </a:pattFill>
              <a:ln w="12697">
                <a:solidFill>
                  <a:srgbClr val="000000"/>
                </a:solidFill>
                <a:prstDash val="solid"/>
              </a:ln>
            </c:spPr>
          </c:dPt>
          <c:dPt>
            <c:idx val="2"/>
            <c:spPr>
              <a:pattFill prst="pct90">
                <a:fgClr>
                  <a:srgbClr val="000000"/>
                </a:fgClr>
                <a:bgClr>
                  <a:srgbClr val="FFFFFF"/>
                </a:bgClr>
              </a:pattFill>
              <a:ln w="12697">
                <a:solidFill>
                  <a:srgbClr val="000000"/>
                </a:solidFill>
                <a:prstDash val="solid"/>
              </a:ln>
            </c:spPr>
          </c:dPt>
          <c:dPt>
            <c:idx val="3"/>
            <c:spPr>
              <a:pattFill prst="dashVert">
                <a:fgClr>
                  <a:srgbClr val="000000"/>
                </a:fgClr>
                <a:bgClr>
                  <a:srgbClr val="FFFFFF"/>
                </a:bgClr>
              </a:pattFill>
              <a:ln w="12697">
                <a:solidFill>
                  <a:srgbClr val="000000"/>
                </a:solidFill>
                <a:prstDash val="solid"/>
              </a:ln>
            </c:spPr>
          </c:dPt>
          <c:dPt>
            <c:idx val="4"/>
            <c:spPr>
              <a:pattFill prst="lgConfetti">
                <a:fgClr>
                  <a:srgbClr val="000000"/>
                </a:fgClr>
                <a:bgClr>
                  <a:srgbClr val="FFFFFF"/>
                </a:bgClr>
              </a:pattFill>
              <a:ln w="12697">
                <a:solidFill>
                  <a:srgbClr val="000000"/>
                </a:solidFill>
                <a:prstDash val="solid"/>
              </a:ln>
            </c:spPr>
          </c:dPt>
          <c:dPt>
            <c:idx val="5"/>
            <c:spPr>
              <a:pattFill prst="zigZag">
                <a:fgClr>
                  <a:srgbClr val="000000"/>
                </a:fgClr>
                <a:bgClr>
                  <a:srgbClr val="FFFFFF"/>
                </a:bgClr>
              </a:pattFill>
              <a:ln w="12697">
                <a:solidFill>
                  <a:srgbClr val="000000"/>
                </a:solidFill>
                <a:prstDash val="solid"/>
              </a:ln>
            </c:spPr>
          </c:dPt>
          <c:dPt>
            <c:idx val="6"/>
            <c:spPr>
              <a:pattFill prst="sphere">
                <a:fgClr>
                  <a:srgbClr val="000000"/>
                </a:fgClr>
                <a:bgClr>
                  <a:srgbClr val="FFFFFF"/>
                </a:bgClr>
              </a:pattFill>
              <a:ln w="12697">
                <a:solidFill>
                  <a:srgbClr val="000000"/>
                </a:solidFill>
                <a:prstDash val="solid"/>
              </a:ln>
            </c:spPr>
          </c:dPt>
          <c:dLbls>
            <c:dLbl>
              <c:idx val="0"/>
              <c:layout>
                <c:manualLayout>
                  <c:x val="-2.6590693257359941E-2"/>
                  <c:y val="-0.13101336751510828"/>
                </c:manualLayout>
              </c:layout>
              <c:tx>
                <c:rich>
                  <a:bodyPr/>
                  <a:lstStyle/>
                  <a:p>
                    <a:pPr>
                      <a:defRPr sz="650" b="1">
                        <a:latin typeface="Times New Roman" pitchFamily="18" charset="0"/>
                        <a:cs typeface="Times New Roman" pitchFamily="18" charset="0"/>
                      </a:defRPr>
                    </a:pPr>
                    <a:r>
                      <a:rPr lang="ru-RU" b="1"/>
                      <a:t>г.Тирасполь
371,7;59,0%</a:t>
                    </a:r>
                  </a:p>
                </c:rich>
              </c:tx>
              <c:spPr/>
              <c:dLblPos val="bestFit"/>
              <c:showVal val="1"/>
              <c:showCatName val="1"/>
              <c:showPercent val="1"/>
            </c:dLbl>
            <c:dLbl>
              <c:idx val="1"/>
              <c:layout>
                <c:manualLayout>
                  <c:x val="6.4088235052123993E-2"/>
                  <c:y val="-7.1291948971494795E-2"/>
                </c:manualLayout>
              </c:layout>
              <c:tx>
                <c:rich>
                  <a:bodyPr/>
                  <a:lstStyle/>
                  <a:p>
                    <a:pPr>
                      <a:defRPr sz="650" b="1">
                        <a:latin typeface="Times New Roman" pitchFamily="18" charset="0"/>
                        <a:cs typeface="Times New Roman" pitchFamily="18" charset="0"/>
                      </a:defRPr>
                    </a:pPr>
                    <a:r>
                      <a:rPr lang="ru-RU" b="1"/>
                      <a:t>г. Днестровск
55,2; 8,8%</a:t>
                    </a:r>
                  </a:p>
                </c:rich>
              </c:tx>
              <c:spPr/>
              <c:dLblPos val="bestFit"/>
              <c:showVal val="1"/>
              <c:showCatName val="1"/>
              <c:showPercent val="1"/>
            </c:dLbl>
            <c:dLbl>
              <c:idx val="2"/>
              <c:layout>
                <c:manualLayout>
                  <c:x val="6.8268457038481514E-2"/>
                  <c:y val="-4.2726240615271929E-2"/>
                </c:manualLayout>
              </c:layout>
              <c:tx>
                <c:rich>
                  <a:bodyPr/>
                  <a:lstStyle/>
                  <a:p>
                    <a:pPr>
                      <a:defRPr sz="650" b="1">
                        <a:latin typeface="Times New Roman" pitchFamily="18" charset="0"/>
                        <a:cs typeface="Times New Roman" pitchFamily="18" charset="0"/>
                      </a:defRPr>
                    </a:pPr>
                    <a:r>
                      <a:rPr lang="ru-RU" b="1"/>
                      <a:t>г.Бендеры
68,3;10,8%</a:t>
                    </a:r>
                  </a:p>
                </c:rich>
              </c:tx>
              <c:spPr/>
              <c:dLblPos val="bestFit"/>
              <c:showVal val="1"/>
              <c:showCatName val="1"/>
              <c:showPercent val="1"/>
            </c:dLbl>
            <c:dLbl>
              <c:idx val="3"/>
              <c:layout>
                <c:manualLayout>
                  <c:x val="7.3539193180789705E-2"/>
                  <c:y val="0.1251516816211927"/>
                </c:manualLayout>
              </c:layout>
              <c:tx>
                <c:rich>
                  <a:bodyPr/>
                  <a:lstStyle/>
                  <a:p>
                    <a:pPr>
                      <a:defRPr sz="650" b="1">
                        <a:latin typeface="Times New Roman" pitchFamily="18" charset="0"/>
                        <a:cs typeface="Times New Roman" pitchFamily="18" charset="0"/>
                      </a:defRPr>
                    </a:pPr>
                    <a:r>
                      <a:rPr lang="ru-RU" b="1"/>
                      <a:t>Рыбницкий р-н  41,6; 6,6%</a:t>
                    </a:r>
                  </a:p>
                </c:rich>
              </c:tx>
              <c:spPr/>
              <c:dLblPos val="bestFit"/>
              <c:showVal val="1"/>
              <c:showCatName val="1"/>
              <c:showPercent val="1"/>
            </c:dLbl>
            <c:dLbl>
              <c:idx val="4"/>
              <c:layout>
                <c:manualLayout>
                  <c:x val="2.3526933741432575E-2"/>
                  <c:y val="0.26817945431239693"/>
                </c:manualLayout>
              </c:layout>
              <c:tx>
                <c:rich>
                  <a:bodyPr/>
                  <a:lstStyle/>
                  <a:p>
                    <a:pPr>
                      <a:defRPr sz="650" b="1">
                        <a:latin typeface="Times New Roman" pitchFamily="18" charset="0"/>
                        <a:cs typeface="Times New Roman" pitchFamily="18" charset="0"/>
                      </a:defRPr>
                    </a:pPr>
                    <a:r>
                      <a:rPr lang="ru-RU" b="1"/>
                      <a:t>Дубоссарский р-н 11,3; 1,8%
</a:t>
                    </a:r>
                  </a:p>
                </c:rich>
              </c:tx>
              <c:spPr/>
              <c:dLblPos val="bestFit"/>
              <c:showVal val="1"/>
              <c:showCatName val="1"/>
              <c:showPercent val="1"/>
            </c:dLbl>
            <c:dLbl>
              <c:idx val="5"/>
              <c:layout>
                <c:manualLayout>
                  <c:x val="-0.28711146216441108"/>
                  <c:y val="0.22160678752365257"/>
                </c:manualLayout>
              </c:layout>
              <c:tx>
                <c:rich>
                  <a:bodyPr/>
                  <a:lstStyle/>
                  <a:p>
                    <a:pPr>
                      <a:defRPr sz="650" b="1">
                        <a:latin typeface="Times New Roman" pitchFamily="18" charset="0"/>
                        <a:cs typeface="Times New Roman" pitchFamily="18" charset="0"/>
                      </a:defRPr>
                    </a:pPr>
                    <a:r>
                      <a:rPr lang="ru-RU" b="1"/>
                      <a:t>Слободзей</a:t>
                    </a:r>
                  </a:p>
                  <a:p>
                    <a:pPr>
                      <a:defRPr sz="650" b="1">
                        <a:latin typeface="Times New Roman" pitchFamily="18" charset="0"/>
                        <a:cs typeface="Times New Roman" pitchFamily="18" charset="0"/>
                      </a:defRPr>
                    </a:pPr>
                    <a:r>
                      <a:rPr lang="ru-RU" b="1"/>
                      <a:t>ский р-н
23,7; 3,8%
</a:t>
                    </a:r>
                  </a:p>
                </c:rich>
              </c:tx>
              <c:spPr/>
              <c:dLblPos val="bestFit"/>
              <c:showVal val="1"/>
              <c:showCatName val="1"/>
              <c:showPercent val="1"/>
            </c:dLbl>
            <c:dLbl>
              <c:idx val="6"/>
              <c:layout>
                <c:manualLayout>
                  <c:x val="-0.27073219295863876"/>
                  <c:y val="0.11953561618751209"/>
                </c:manualLayout>
              </c:layout>
              <c:tx>
                <c:rich>
                  <a:bodyPr/>
                  <a:lstStyle/>
                  <a:p>
                    <a:pPr>
                      <a:defRPr sz="650" b="1">
                        <a:latin typeface="Times New Roman" pitchFamily="18" charset="0"/>
                        <a:cs typeface="Times New Roman" pitchFamily="18" charset="0"/>
                      </a:defRPr>
                    </a:pPr>
                    <a:r>
                      <a:rPr lang="ru-RU" b="1"/>
                      <a:t>Григориопо</a:t>
                    </a:r>
                  </a:p>
                  <a:p>
                    <a:pPr>
                      <a:defRPr sz="650" b="1">
                        <a:latin typeface="Times New Roman" pitchFamily="18" charset="0"/>
                        <a:cs typeface="Times New Roman" pitchFamily="18" charset="0"/>
                      </a:defRPr>
                    </a:pPr>
                    <a:r>
                      <a:rPr lang="ru-RU" b="1"/>
                      <a:t>льский р-н
53,4;8,5%
</a:t>
                    </a:r>
                  </a:p>
                </c:rich>
              </c:tx>
              <c:spPr/>
              <c:dLblPos val="bestFit"/>
              <c:showVal val="1"/>
              <c:showCatName val="1"/>
              <c:showPercent val="1"/>
            </c:dLbl>
            <c:dLbl>
              <c:idx val="7"/>
              <c:layout>
                <c:manualLayout>
                  <c:x val="-0.17645134483581545"/>
                  <c:y val="-1.5512177256912828E-2"/>
                </c:manualLayout>
              </c:layout>
              <c:tx>
                <c:rich>
                  <a:bodyPr/>
                  <a:lstStyle/>
                  <a:p>
                    <a:pPr>
                      <a:defRPr sz="650" b="1">
                        <a:latin typeface="Times New Roman" pitchFamily="18" charset="0"/>
                        <a:cs typeface="Times New Roman" pitchFamily="18" charset="0"/>
                      </a:defRPr>
                    </a:pPr>
                    <a:r>
                      <a:rPr lang="ru-RU" b="1"/>
                      <a:t>Каменский </a:t>
                    </a:r>
                  </a:p>
                  <a:p>
                    <a:pPr>
                      <a:defRPr sz="650" b="1">
                        <a:latin typeface="Times New Roman" pitchFamily="18" charset="0"/>
                        <a:cs typeface="Times New Roman" pitchFamily="18" charset="0"/>
                      </a:defRPr>
                    </a:pPr>
                    <a:r>
                      <a:rPr lang="ru-RU" b="1"/>
                      <a:t>р-н
4,5; 0,7%
</a:t>
                    </a:r>
                  </a:p>
                </c:rich>
              </c:tx>
              <c:spPr/>
              <c:dLblPos val="bestFit"/>
              <c:showVal val="1"/>
              <c:showCatName val="1"/>
              <c:showPercent val="1"/>
            </c:dLbl>
            <c:dLbl>
              <c:idx val="8"/>
              <c:delete val="1"/>
            </c:dLbl>
            <c:txPr>
              <a:bodyPr/>
              <a:lstStyle/>
              <a:p>
                <a:pPr>
                  <a:defRPr sz="650" b="0">
                    <a:latin typeface="Times New Roman" pitchFamily="18" charset="0"/>
                    <a:cs typeface="Times New Roman" pitchFamily="18" charset="0"/>
                  </a:defRPr>
                </a:pPr>
                <a:endParaRPr lang="ru-RU"/>
              </a:p>
            </c:txPr>
            <c:dLblPos val="bestFit"/>
            <c:showVal val="1"/>
            <c:showCatName val="1"/>
            <c:showPercent val="1"/>
            <c:showLeaderLines val="1"/>
          </c:dLbls>
          <c:cat>
            <c:strRef>
              <c:f>Sheet1!$B$2:$J$2</c:f>
              <c:strCache>
                <c:ptCount val="8"/>
                <c:pt idx="0">
                  <c:v>г.Тирасполь</c:v>
                </c:pt>
                <c:pt idx="1">
                  <c:v>г.Днестровск</c:v>
                </c:pt>
                <c:pt idx="2">
                  <c:v>г.Бендеры</c:v>
                </c:pt>
                <c:pt idx="3">
                  <c:v>Рыбницкий р-н</c:v>
                </c:pt>
                <c:pt idx="4">
                  <c:v>Дубоссарский р-н</c:v>
                </c:pt>
                <c:pt idx="5">
                  <c:v>Слободзейский р-н</c:v>
                </c:pt>
                <c:pt idx="6">
                  <c:v>Григориопольский р-н</c:v>
                </c:pt>
                <c:pt idx="7">
                  <c:v>Каменский р-н</c:v>
                </c:pt>
              </c:strCache>
            </c:strRef>
          </c:cat>
          <c:val>
            <c:numRef>
              <c:f>Sheet1!$B$3:$J$3</c:f>
              <c:numCache>
                <c:formatCode>General</c:formatCode>
                <c:ptCount val="9"/>
                <c:pt idx="0">
                  <c:v>371.7</c:v>
                </c:pt>
                <c:pt idx="1">
                  <c:v>55.3</c:v>
                </c:pt>
                <c:pt idx="2" formatCode="0.0">
                  <c:v>68.3</c:v>
                </c:pt>
                <c:pt idx="3">
                  <c:v>41.6</c:v>
                </c:pt>
                <c:pt idx="4">
                  <c:v>11.3</c:v>
                </c:pt>
                <c:pt idx="5">
                  <c:v>23.8</c:v>
                </c:pt>
                <c:pt idx="6">
                  <c:v>53.4</c:v>
                </c:pt>
                <c:pt idx="7" formatCode="#,##0.0">
                  <c:v>4.5</c:v>
                </c:pt>
              </c:numCache>
            </c:numRef>
          </c:val>
        </c:ser>
        <c:dLbls>
          <c:showVal val="1"/>
          <c:showCatName val="1"/>
          <c:showPercent val="1"/>
          <c:separator>; </c:separator>
        </c:dLbls>
      </c:pie3DChart>
      <c:spPr>
        <a:solidFill>
          <a:srgbClr val="FFFFFF"/>
        </a:solidFill>
        <a:ln w="25394">
          <a:noFill/>
        </a:ln>
      </c:spPr>
    </c:plotArea>
    <c:plotVisOnly val="1"/>
    <c:dispBlanksAs val="zero"/>
  </c:chart>
  <c:spPr>
    <a:noFill/>
    <a:ln>
      <a:noFill/>
    </a:ln>
  </c:spPr>
  <c:txPr>
    <a:bodyPr/>
    <a:lstStyle/>
    <a:p>
      <a:pPr>
        <a:defRPr sz="1000" b="1" i="0" u="none" strike="noStrike" baseline="0">
          <a:solidFill>
            <a:srgbClr val="000000"/>
          </a:solidFill>
          <a:latin typeface="Arial Cyr"/>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title>
      <c:tx>
        <c:rich>
          <a:bodyPr/>
          <a:lstStyle/>
          <a:p>
            <a:pPr>
              <a:defRPr sz="1175"/>
            </a:pPr>
            <a:r>
              <a:rPr lang="ru-RU" sz="1175"/>
              <a:t>Отраслевая структура инвестиций в основной капитал, млн. руб.</a:t>
            </a:r>
          </a:p>
        </c:rich>
      </c:tx>
      <c:layout>
        <c:manualLayout>
          <c:xMode val="edge"/>
          <c:yMode val="edge"/>
          <c:x val="0.18887254777744641"/>
          <c:y val="2.2244651502963835E-3"/>
        </c:manualLayout>
      </c:layout>
      <c:spPr>
        <a:noFill/>
        <a:ln w="24880">
          <a:noFill/>
        </a:ln>
      </c:spPr>
    </c:title>
    <c:plotArea>
      <c:layout>
        <c:manualLayout>
          <c:layoutTarget val="inner"/>
          <c:xMode val="edge"/>
          <c:yMode val="edge"/>
          <c:x val="0.28042675378706045"/>
          <c:y val="8.0892246192803746E-2"/>
          <c:w val="0.88661548147603053"/>
          <c:h val="0.4500042418940115"/>
        </c:manualLayout>
      </c:layout>
      <c:barChart>
        <c:barDir val="col"/>
        <c:grouping val="clustered"/>
        <c:ser>
          <c:idx val="0"/>
          <c:order val="0"/>
          <c:tx>
            <c:strRef>
              <c:f>Лист1!$B$1</c:f>
              <c:strCache>
                <c:ptCount val="1"/>
                <c:pt idx="0">
                  <c:v>январь-июнь 2013 года</c:v>
                </c:pt>
              </c:strCache>
            </c:strRef>
          </c:tx>
          <c:spPr>
            <a:solidFill>
              <a:schemeClr val="accent6">
                <a:lumMod val="75000"/>
              </a:schemeClr>
            </a:solidFill>
          </c:spPr>
          <c:dLbls>
            <c:dLbl>
              <c:idx val="0"/>
              <c:tx>
                <c:rich>
                  <a:bodyPr/>
                  <a:lstStyle/>
                  <a:p>
                    <a:r>
                      <a:rPr lang="ru-RU" sz="784" b="1"/>
                      <a:t>48,4*</a:t>
                    </a:r>
                    <a:endParaRPr lang="en-US" sz="800" b="1"/>
                  </a:p>
                </c:rich>
              </c:tx>
            </c:dLbl>
            <c:dLbl>
              <c:idx val="1"/>
              <c:tx>
                <c:rich>
                  <a:bodyPr/>
                  <a:lstStyle/>
                  <a:p>
                    <a:r>
                      <a:rPr lang="ru-RU" sz="784" b="1"/>
                      <a:t>14,8*</a:t>
                    </a:r>
                    <a:endParaRPr lang="en-US" sz="800" b="1"/>
                  </a:p>
                </c:rich>
              </c:tx>
            </c:dLbl>
            <c:dLbl>
              <c:idx val="2"/>
              <c:tx>
                <c:rich>
                  <a:bodyPr/>
                  <a:lstStyle/>
                  <a:p>
                    <a:r>
                      <a:rPr lang="ru-RU" sz="784" b="1"/>
                      <a:t>5,2*</a:t>
                    </a:r>
                    <a:endParaRPr lang="en-US" sz="800" b="1"/>
                  </a:p>
                </c:rich>
              </c:tx>
            </c:dLbl>
            <c:dLbl>
              <c:idx val="3"/>
              <c:tx>
                <c:rich>
                  <a:bodyPr/>
                  <a:lstStyle/>
                  <a:p>
                    <a:r>
                      <a:rPr lang="ru-RU" sz="784" b="1"/>
                      <a:t>5,3*</a:t>
                    </a:r>
                    <a:endParaRPr lang="en-US" sz="800" b="1"/>
                  </a:p>
                </c:rich>
              </c:tx>
            </c:dLbl>
            <c:dLbl>
              <c:idx val="4"/>
              <c:tx>
                <c:rich>
                  <a:bodyPr/>
                  <a:lstStyle/>
                  <a:p>
                    <a:r>
                      <a:rPr lang="ru-RU" sz="784" b="1"/>
                      <a:t>0,7*</a:t>
                    </a:r>
                    <a:endParaRPr lang="en-US" sz="800" b="1"/>
                  </a:p>
                </c:rich>
              </c:tx>
            </c:dLbl>
            <c:dLbl>
              <c:idx val="5"/>
              <c:layout>
                <c:manualLayout>
                  <c:x val="-1.2965964343598063E-2"/>
                  <c:y val="-1.0840108401084089E-2"/>
                </c:manualLayout>
              </c:layout>
              <c:tx>
                <c:rich>
                  <a:bodyPr/>
                  <a:lstStyle/>
                  <a:p>
                    <a:r>
                      <a:rPr lang="ru-RU" sz="784" b="1"/>
                      <a:t>10,3*</a:t>
                    </a:r>
                    <a:endParaRPr lang="en-US" sz="800" b="1"/>
                  </a:p>
                </c:rich>
              </c:tx>
            </c:dLbl>
            <c:dLbl>
              <c:idx val="6"/>
              <c:layout>
                <c:manualLayout>
                  <c:x val="-6.4829821717989492E-3"/>
                  <c:y val="0"/>
                </c:manualLayout>
              </c:layout>
              <c:tx>
                <c:rich>
                  <a:bodyPr/>
                  <a:lstStyle/>
                  <a:p>
                    <a:r>
                      <a:rPr lang="ru-RU" sz="784" b="1"/>
                      <a:t>2,1*</a:t>
                    </a:r>
                    <a:endParaRPr lang="en-US" sz="800" b="1"/>
                  </a:p>
                </c:rich>
              </c:tx>
            </c:dLbl>
            <c:dLbl>
              <c:idx val="7"/>
              <c:tx>
                <c:rich>
                  <a:bodyPr/>
                  <a:lstStyle/>
                  <a:p>
                    <a:r>
                      <a:rPr lang="ru-RU" sz="784" b="1"/>
                      <a:t>0,9*</a:t>
                    </a:r>
                    <a:endParaRPr lang="en-US" sz="800" b="1"/>
                  </a:p>
                </c:rich>
              </c:tx>
            </c:dLbl>
            <c:dLbl>
              <c:idx val="8"/>
              <c:tx>
                <c:rich>
                  <a:bodyPr/>
                  <a:lstStyle/>
                  <a:p>
                    <a:r>
                      <a:rPr lang="ru-RU" sz="784" b="1"/>
                      <a:t>0,7*</a:t>
                    </a:r>
                    <a:endParaRPr lang="en-US" sz="800" b="1"/>
                  </a:p>
                </c:rich>
              </c:tx>
            </c:dLbl>
            <c:dLbl>
              <c:idx val="9"/>
              <c:layout>
                <c:manualLayout>
                  <c:x val="-8.6439762290654067E-3"/>
                  <c:y val="0"/>
                </c:manualLayout>
              </c:layout>
              <c:tx>
                <c:rich>
                  <a:bodyPr/>
                  <a:lstStyle/>
                  <a:p>
                    <a:r>
                      <a:rPr lang="ru-RU" sz="784" b="1"/>
                      <a:t>1,1*</a:t>
                    </a:r>
                    <a:endParaRPr lang="en-US" sz="800" b="1"/>
                  </a:p>
                </c:rich>
              </c:tx>
            </c:dLbl>
            <c:dLbl>
              <c:idx val="10"/>
              <c:tx>
                <c:rich>
                  <a:bodyPr/>
                  <a:lstStyle/>
                  <a:p>
                    <a:r>
                      <a:rPr lang="ru-RU" sz="784" b="1"/>
                      <a:t>10,5*</a:t>
                    </a:r>
                    <a:endParaRPr lang="en-US" sz="800" b="1"/>
                  </a:p>
                </c:rich>
              </c:tx>
            </c:dLbl>
            <c:spPr>
              <a:noFill/>
              <a:ln w="24880">
                <a:noFill/>
              </a:ln>
            </c:spPr>
            <c:txPr>
              <a:bodyPr/>
              <a:lstStyle/>
              <a:p>
                <a:pPr>
                  <a:defRPr sz="784" b="1"/>
                </a:pPr>
                <a:endParaRPr lang="ru-RU"/>
              </a:p>
            </c:txPr>
            <c:showVal val="1"/>
          </c:dLbls>
          <c:cat>
            <c:strRef>
              <c:f>Лист1!$A$2:$A$12</c:f>
              <c:strCache>
                <c:ptCount val="11"/>
                <c:pt idx="0">
                  <c:v>Промышленность</c:v>
                </c:pt>
                <c:pt idx="1">
                  <c:v>Сельское хозяйство</c:v>
                </c:pt>
                <c:pt idx="2">
                  <c:v>Транспорт</c:v>
                </c:pt>
                <c:pt idx="3">
                  <c:v>Связь</c:v>
                </c:pt>
                <c:pt idx="4">
                  <c:v>Строительство</c:v>
                </c:pt>
                <c:pt idx="5">
                  <c:v>Торговля и общественное питание</c:v>
                </c:pt>
                <c:pt idx="6">
                  <c:v>Жилищное строительство</c:v>
                </c:pt>
                <c:pt idx="7">
                  <c:v>Коммунальное хозяйство</c:v>
                </c:pt>
                <c:pt idx="8">
                  <c:v>Здравоохранение и соц.обеспечение</c:v>
                </c:pt>
                <c:pt idx="9">
                  <c:v>Образование</c:v>
                </c:pt>
                <c:pt idx="10">
                  <c:v>Прочие</c:v>
                </c:pt>
              </c:strCache>
            </c:strRef>
          </c:cat>
          <c:val>
            <c:numRef>
              <c:f>Лист1!$B$2:$B$12</c:f>
              <c:numCache>
                <c:formatCode>#,##0.0</c:formatCode>
                <c:ptCount val="11"/>
                <c:pt idx="0">
                  <c:v>273.8</c:v>
                </c:pt>
                <c:pt idx="1">
                  <c:v>83.4</c:v>
                </c:pt>
                <c:pt idx="2">
                  <c:v>29.2</c:v>
                </c:pt>
                <c:pt idx="3">
                  <c:v>30</c:v>
                </c:pt>
                <c:pt idx="4">
                  <c:v>4</c:v>
                </c:pt>
                <c:pt idx="5">
                  <c:v>58.4</c:v>
                </c:pt>
                <c:pt idx="6">
                  <c:v>11.8</c:v>
                </c:pt>
                <c:pt idx="7">
                  <c:v>5.0999999999999996</c:v>
                </c:pt>
                <c:pt idx="8">
                  <c:v>4.2</c:v>
                </c:pt>
                <c:pt idx="9">
                  <c:v>5.9</c:v>
                </c:pt>
                <c:pt idx="10">
                  <c:v>59.4</c:v>
                </c:pt>
              </c:numCache>
            </c:numRef>
          </c:val>
        </c:ser>
        <c:ser>
          <c:idx val="1"/>
          <c:order val="1"/>
          <c:tx>
            <c:strRef>
              <c:f>Лист1!$C$1</c:f>
              <c:strCache>
                <c:ptCount val="1"/>
                <c:pt idx="0">
                  <c:v>январь-июнь 2014 года</c:v>
                </c:pt>
              </c:strCache>
            </c:strRef>
          </c:tx>
          <c:spPr>
            <a:solidFill>
              <a:srgbClr val="0070C0"/>
            </a:solidFill>
          </c:spPr>
          <c:dLbls>
            <c:dLbl>
              <c:idx val="0"/>
              <c:layout>
                <c:manualLayout>
                  <c:x val="1.7287952458130744E-2"/>
                  <c:y val="3.6133694670280052E-3"/>
                </c:manualLayout>
              </c:layout>
              <c:tx>
                <c:rich>
                  <a:bodyPr/>
                  <a:lstStyle/>
                  <a:p>
                    <a:r>
                      <a:rPr lang="ru-RU" sz="784" b="1"/>
                      <a:t>41,0*</a:t>
                    </a:r>
                    <a:endParaRPr lang="en-US" sz="800" b="1"/>
                  </a:p>
                </c:rich>
              </c:tx>
            </c:dLbl>
            <c:dLbl>
              <c:idx val="1"/>
              <c:tx>
                <c:rich>
                  <a:bodyPr/>
                  <a:lstStyle/>
                  <a:p>
                    <a:r>
                      <a:rPr lang="ru-RU" sz="784" b="1"/>
                      <a:t>18,4*</a:t>
                    </a:r>
                    <a:endParaRPr lang="en-US" sz="800" b="1"/>
                  </a:p>
                </c:rich>
              </c:tx>
            </c:dLbl>
            <c:dLbl>
              <c:idx val="2"/>
              <c:tx>
                <c:rich>
                  <a:bodyPr/>
                  <a:lstStyle/>
                  <a:p>
                    <a:r>
                      <a:rPr lang="ru-RU" sz="784" b="1"/>
                      <a:t>12,3*</a:t>
                    </a:r>
                    <a:endParaRPr lang="en-US" sz="800" b="1"/>
                  </a:p>
                </c:rich>
              </c:tx>
            </c:dLbl>
            <c:dLbl>
              <c:idx val="3"/>
              <c:layout>
                <c:manualLayout>
                  <c:x val="1.2965964343598063E-2"/>
                  <c:y val="-7.2267389340560104E-3"/>
                </c:manualLayout>
              </c:layout>
              <c:tx>
                <c:rich>
                  <a:bodyPr/>
                  <a:lstStyle/>
                  <a:p>
                    <a:r>
                      <a:rPr lang="ru-RU" sz="784" b="1"/>
                      <a:t>4,2*</a:t>
                    </a:r>
                    <a:endParaRPr lang="en-US" sz="800" b="1"/>
                  </a:p>
                </c:rich>
              </c:tx>
            </c:dLbl>
            <c:dLbl>
              <c:idx val="4"/>
              <c:layout>
                <c:manualLayout>
                  <c:x val="1.2965964343598063E-2"/>
                  <c:y val="0"/>
                </c:manualLayout>
              </c:layout>
              <c:tx>
                <c:rich>
                  <a:bodyPr/>
                  <a:lstStyle/>
                  <a:p>
                    <a:r>
                      <a:rPr lang="ru-RU" sz="784" b="1"/>
                      <a:t>0,7*</a:t>
                    </a:r>
                    <a:endParaRPr lang="en-US" sz="800" b="1"/>
                  </a:p>
                </c:rich>
              </c:tx>
            </c:dLbl>
            <c:dLbl>
              <c:idx val="5"/>
              <c:layout>
                <c:manualLayout>
                  <c:x val="1.0804970286331783E-2"/>
                  <c:y val="0"/>
                </c:manualLayout>
              </c:layout>
              <c:tx>
                <c:rich>
                  <a:bodyPr/>
                  <a:lstStyle/>
                  <a:p>
                    <a:r>
                      <a:rPr lang="ru-RU" sz="784" b="1"/>
                      <a:t>8,6,0*</a:t>
                    </a:r>
                    <a:endParaRPr lang="en-US" sz="800" b="1"/>
                  </a:p>
                </c:rich>
              </c:tx>
            </c:dLbl>
            <c:dLbl>
              <c:idx val="6"/>
              <c:layout>
                <c:manualLayout>
                  <c:x val="6.4829821717990324E-3"/>
                  <c:y val="7.2267389340560104E-3"/>
                </c:manualLayout>
              </c:layout>
              <c:tx>
                <c:rich>
                  <a:bodyPr/>
                  <a:lstStyle/>
                  <a:p>
                    <a:r>
                      <a:rPr lang="ru-RU" sz="784" b="1"/>
                      <a:t>0,8*</a:t>
                    </a:r>
                    <a:endParaRPr lang="en-US" sz="800" b="1"/>
                  </a:p>
                </c:rich>
              </c:tx>
            </c:dLbl>
            <c:dLbl>
              <c:idx val="7"/>
              <c:layout>
                <c:manualLayout>
                  <c:x val="1.0804970286331783E-2"/>
                  <c:y val="3.6133694670280052E-3"/>
                </c:manualLayout>
              </c:layout>
              <c:tx>
                <c:rich>
                  <a:bodyPr/>
                  <a:lstStyle/>
                  <a:p>
                    <a:r>
                      <a:rPr lang="ru-RU" sz="784" b="1"/>
                      <a:t>2,1*</a:t>
                    </a:r>
                    <a:endParaRPr lang="en-US" sz="800" b="1"/>
                  </a:p>
                </c:rich>
              </c:tx>
            </c:dLbl>
            <c:dLbl>
              <c:idx val="8"/>
              <c:tx>
                <c:rich>
                  <a:bodyPr/>
                  <a:lstStyle/>
                  <a:p>
                    <a:r>
                      <a:rPr lang="ru-RU" sz="784" b="1"/>
                      <a:t>4,2*</a:t>
                    </a:r>
                    <a:endParaRPr lang="en-US" sz="800" b="1"/>
                  </a:p>
                </c:rich>
              </c:tx>
            </c:dLbl>
            <c:dLbl>
              <c:idx val="9"/>
              <c:layout>
                <c:manualLayout>
                  <c:x val="6.4829821717990324E-3"/>
                  <c:y val="3.6133694670280052E-3"/>
                </c:manualLayout>
              </c:layout>
              <c:tx>
                <c:rich>
                  <a:bodyPr/>
                  <a:lstStyle/>
                  <a:p>
                    <a:r>
                      <a:rPr lang="ru-RU" sz="784" b="1"/>
                      <a:t>0,9*</a:t>
                    </a:r>
                    <a:endParaRPr lang="en-US" sz="800" b="1"/>
                  </a:p>
                </c:rich>
              </c:tx>
            </c:dLbl>
            <c:dLbl>
              <c:idx val="10"/>
              <c:layout>
                <c:manualLayout>
                  <c:x val="2.0387359836901132E-3"/>
                  <c:y val="1.4453477868112114E-2"/>
                </c:manualLayout>
              </c:layout>
              <c:tx>
                <c:rich>
                  <a:bodyPr/>
                  <a:lstStyle/>
                  <a:p>
                    <a:r>
                      <a:rPr lang="ru-RU" sz="784" b="1"/>
                      <a:t>6,8*</a:t>
                    </a:r>
                    <a:endParaRPr lang="en-US" sz="800" b="1"/>
                  </a:p>
                </c:rich>
              </c:tx>
            </c:dLbl>
            <c:spPr>
              <a:noFill/>
              <a:ln w="24880">
                <a:noFill/>
              </a:ln>
            </c:spPr>
            <c:txPr>
              <a:bodyPr/>
              <a:lstStyle/>
              <a:p>
                <a:pPr>
                  <a:defRPr sz="784" b="1"/>
                </a:pPr>
                <a:endParaRPr lang="ru-RU"/>
              </a:p>
            </c:txPr>
            <c:showVal val="1"/>
          </c:dLbls>
          <c:cat>
            <c:strRef>
              <c:f>Лист1!$A$2:$A$12</c:f>
              <c:strCache>
                <c:ptCount val="11"/>
                <c:pt idx="0">
                  <c:v>Промышленность</c:v>
                </c:pt>
                <c:pt idx="1">
                  <c:v>Сельское хозяйство</c:v>
                </c:pt>
                <c:pt idx="2">
                  <c:v>Транспорт</c:v>
                </c:pt>
                <c:pt idx="3">
                  <c:v>Связь</c:v>
                </c:pt>
                <c:pt idx="4">
                  <c:v>Строительство</c:v>
                </c:pt>
                <c:pt idx="5">
                  <c:v>Торговля и общественное питание</c:v>
                </c:pt>
                <c:pt idx="6">
                  <c:v>Жилищное строительство</c:v>
                </c:pt>
                <c:pt idx="7">
                  <c:v>Коммунальное хозяйство</c:v>
                </c:pt>
                <c:pt idx="8">
                  <c:v>Здравоохранение и соц.обеспечение</c:v>
                </c:pt>
                <c:pt idx="9">
                  <c:v>Образование</c:v>
                </c:pt>
                <c:pt idx="10">
                  <c:v>Прочие</c:v>
                </c:pt>
              </c:strCache>
            </c:strRef>
          </c:cat>
          <c:val>
            <c:numRef>
              <c:f>Лист1!$C$2:$C$12</c:f>
              <c:numCache>
                <c:formatCode>#,##0.0</c:formatCode>
                <c:ptCount val="11"/>
                <c:pt idx="0">
                  <c:v>258.3</c:v>
                </c:pt>
                <c:pt idx="1">
                  <c:v>115.9</c:v>
                </c:pt>
                <c:pt idx="2">
                  <c:v>77.2</c:v>
                </c:pt>
                <c:pt idx="3">
                  <c:v>26.4</c:v>
                </c:pt>
                <c:pt idx="4">
                  <c:v>4.5</c:v>
                </c:pt>
                <c:pt idx="5">
                  <c:v>53.9</c:v>
                </c:pt>
                <c:pt idx="6">
                  <c:v>5.2</c:v>
                </c:pt>
                <c:pt idx="7">
                  <c:v>13.5</c:v>
                </c:pt>
                <c:pt idx="8">
                  <c:v>26.4</c:v>
                </c:pt>
                <c:pt idx="9">
                  <c:v>5.4</c:v>
                </c:pt>
                <c:pt idx="10">
                  <c:v>43.1</c:v>
                </c:pt>
              </c:numCache>
            </c:numRef>
          </c:val>
        </c:ser>
        <c:dLbls>
          <c:showVal val="1"/>
        </c:dLbls>
        <c:axId val="143719808"/>
        <c:axId val="144540800"/>
      </c:barChart>
      <c:catAx>
        <c:axId val="143719808"/>
        <c:scaling>
          <c:orientation val="minMax"/>
        </c:scaling>
        <c:axPos val="b"/>
        <c:numFmt formatCode="General" sourceLinked="1"/>
        <c:tickLblPos val="nextTo"/>
        <c:txPr>
          <a:bodyPr/>
          <a:lstStyle/>
          <a:p>
            <a:pPr>
              <a:defRPr b="1"/>
            </a:pPr>
            <a:endParaRPr lang="ru-RU"/>
          </a:p>
        </c:txPr>
        <c:crossAx val="144540800"/>
        <c:crosses val="autoZero"/>
        <c:auto val="1"/>
        <c:lblAlgn val="ctr"/>
        <c:lblOffset val="100"/>
      </c:catAx>
      <c:valAx>
        <c:axId val="144540800"/>
        <c:scaling>
          <c:orientation val="minMax"/>
          <c:max val="300"/>
          <c:min val="0"/>
        </c:scaling>
        <c:axPos val="l"/>
        <c:title>
          <c:tx>
            <c:rich>
              <a:bodyPr rot="0" vert="horz"/>
              <a:lstStyle/>
              <a:p>
                <a:pPr algn="ctr">
                  <a:defRPr sz="1055" b="0" i="0" u="none" strike="noStrike" baseline="0">
                    <a:solidFill>
                      <a:srgbClr val="000000"/>
                    </a:solidFill>
                    <a:latin typeface="Calibri"/>
                    <a:ea typeface="Calibri"/>
                    <a:cs typeface="Calibri"/>
                  </a:defRPr>
                </a:pPr>
                <a:r>
                  <a:rPr lang="ru-RU" sz="980" b="1" i="0" strike="noStrike">
                    <a:solidFill>
                      <a:srgbClr val="000000"/>
                    </a:solidFill>
                    <a:latin typeface="Times New Roman"/>
                    <a:cs typeface="Times New Roman"/>
                  </a:rPr>
                  <a:t>* - </a:t>
                </a:r>
                <a:r>
                  <a:rPr lang="ru-RU" sz="784" b="0" i="0" strike="noStrike">
                    <a:solidFill>
                      <a:srgbClr val="000000"/>
                    </a:solidFill>
                    <a:latin typeface="Times New Roman"/>
                    <a:cs typeface="Times New Roman"/>
                  </a:rPr>
                  <a:t>уд. вес в</a:t>
                </a:r>
              </a:p>
              <a:p>
                <a:pPr algn="ctr">
                  <a:defRPr sz="1055" b="0" i="0" u="none" strike="noStrike" baseline="0">
                    <a:solidFill>
                      <a:srgbClr val="000000"/>
                    </a:solidFill>
                    <a:latin typeface="Calibri"/>
                    <a:ea typeface="Calibri"/>
                    <a:cs typeface="Calibri"/>
                  </a:defRPr>
                </a:pPr>
                <a:r>
                  <a:rPr lang="ru-RU" sz="784" b="0" i="0" strike="noStrike">
                    <a:solidFill>
                      <a:srgbClr val="000000"/>
                    </a:solidFill>
                    <a:latin typeface="Times New Roman"/>
                    <a:cs typeface="Times New Roman"/>
                  </a:rPr>
                  <a:t> общем объеме инвестиций, % </a:t>
                </a:r>
              </a:p>
            </c:rich>
          </c:tx>
          <c:layout>
            <c:manualLayout>
              <c:xMode val="edge"/>
              <c:yMode val="edge"/>
              <c:x val="0.85110553013608492"/>
              <c:y val="8.2263143139509692E-2"/>
            </c:manualLayout>
          </c:layout>
          <c:spPr>
            <a:noFill/>
            <a:ln w="24880">
              <a:noFill/>
            </a:ln>
          </c:spPr>
        </c:title>
        <c:numFmt formatCode="#,##0.0" sourceLinked="1"/>
        <c:tickLblPos val="nextTo"/>
        <c:txPr>
          <a:bodyPr/>
          <a:lstStyle/>
          <a:p>
            <a:pPr>
              <a:defRPr b="1"/>
            </a:pPr>
            <a:endParaRPr lang="ru-RU"/>
          </a:p>
        </c:txPr>
        <c:crossAx val="143719808"/>
        <c:crosses val="autoZero"/>
        <c:crossBetween val="between"/>
        <c:majorUnit val="50"/>
      </c:valAx>
      <c:dTable>
        <c:showHorzBorder val="1"/>
        <c:showVertBorder val="1"/>
        <c:showOutline val="1"/>
        <c:showKeys val="1"/>
        <c:txPr>
          <a:bodyPr/>
          <a:lstStyle/>
          <a:p>
            <a:pPr rtl="0">
              <a:defRPr sz="800" b="1"/>
            </a:pPr>
            <a:endParaRPr lang="ru-RU"/>
          </a:p>
        </c:txPr>
      </c:dTable>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u-RU"/>
  <c:style val="28"/>
  <c:chart>
    <c:title>
      <c:tx>
        <c:rich>
          <a:bodyPr/>
          <a:lstStyle/>
          <a:p>
            <a:pPr>
              <a:defRPr/>
            </a:pPr>
            <a:r>
              <a:rPr lang="ru-RU"/>
              <a:t>Валовой сбор зерновых и зернобобовых культур первой группы, тонн</a:t>
            </a:r>
          </a:p>
          <a:p>
            <a:pPr>
              <a:defRPr/>
            </a:pPr>
            <a:r>
              <a:rPr lang="ru-RU"/>
              <a:t>(по оперативным данным МСХ и ПР ПМР)</a:t>
            </a:r>
          </a:p>
        </c:rich>
      </c:tx>
      <c:layout>
        <c:manualLayout>
          <c:xMode val="edge"/>
          <c:yMode val="edge"/>
          <c:x val="0.21530621172353456"/>
          <c:y val="0"/>
        </c:manualLayout>
      </c:layout>
    </c:title>
    <c:plotArea>
      <c:layout>
        <c:manualLayout>
          <c:layoutTarget val="inner"/>
          <c:xMode val="edge"/>
          <c:yMode val="edge"/>
          <c:x val="0.11401629483814524"/>
          <c:y val="0.12210776594102229"/>
          <c:w val="0.85820592738409263"/>
          <c:h val="0.45769517182445735"/>
        </c:manualLayout>
      </c:layout>
      <c:barChart>
        <c:barDir val="col"/>
        <c:grouping val="clustered"/>
        <c:ser>
          <c:idx val="0"/>
          <c:order val="0"/>
          <c:tx>
            <c:strRef>
              <c:f>Лист1!$B$1</c:f>
              <c:strCache>
                <c:ptCount val="1"/>
                <c:pt idx="0">
                  <c:v>на 20.08.2013 г.</c:v>
                </c:pt>
              </c:strCache>
            </c:strRef>
          </c:tx>
          <c:dLbls>
            <c:dLbl>
              <c:idx val="0"/>
              <c:layout>
                <c:manualLayout>
                  <c:x val="5.0925925925925923E-2"/>
                  <c:y val="5.8000000000000003E-2"/>
                </c:manualLayout>
              </c:layout>
              <c:tx>
                <c:rich>
                  <a:bodyPr/>
                  <a:lstStyle/>
                  <a:p>
                    <a:r>
                      <a:rPr lang="ru-RU"/>
                      <a:t>-32,1%*</a:t>
                    </a:r>
                  </a:p>
                  <a:p>
                    <a:endParaRPr lang="en-US"/>
                  </a:p>
                </c:rich>
              </c:tx>
              <c:showVal val="1"/>
            </c:dLbl>
            <c:dLbl>
              <c:idx val="1"/>
              <c:layout>
                <c:manualLayout>
                  <c:x val="4.8611111111111112E-2"/>
                  <c:y val="1.2538526728046142E-2"/>
                </c:manualLayout>
              </c:layout>
              <c:tx>
                <c:rich>
                  <a:bodyPr/>
                  <a:lstStyle/>
                  <a:p>
                    <a:r>
                      <a:rPr lang="ru-RU"/>
                      <a:t> +7,2%*</a:t>
                    </a:r>
                    <a:endParaRPr lang="en-US"/>
                  </a:p>
                </c:rich>
              </c:tx>
              <c:showVal val="1"/>
            </c:dLbl>
            <c:dLbl>
              <c:idx val="2"/>
              <c:layout>
                <c:manualLayout>
                  <c:x val="4.1533974919802034E-2"/>
                  <c:y val="-9.6330904695004407E-3"/>
                </c:manualLayout>
              </c:layout>
              <c:tx>
                <c:rich>
                  <a:bodyPr/>
                  <a:lstStyle/>
                  <a:p>
                    <a:r>
                      <a:rPr lang="ru-RU"/>
                      <a:t>+3,7%*</a:t>
                    </a:r>
                    <a:endParaRPr lang="en-US"/>
                  </a:p>
                </c:rich>
              </c:tx>
              <c:showVal val="1"/>
            </c:dLbl>
            <c:dLbl>
              <c:idx val="3"/>
              <c:layout>
                <c:manualLayout>
                  <c:x val="3.7371763714721215E-2"/>
                  <c:y val="-1.2602781498785845E-3"/>
                </c:manualLayout>
              </c:layout>
              <c:tx>
                <c:rich>
                  <a:bodyPr/>
                  <a:lstStyle/>
                  <a:p>
                    <a:r>
                      <a:rPr lang="ru-RU"/>
                      <a:t>+20,7%*</a:t>
                    </a:r>
                    <a:endParaRPr lang="en-US"/>
                  </a:p>
                </c:rich>
              </c:tx>
              <c:showVal val="1"/>
            </c:dLbl>
            <c:dLbl>
              <c:idx val="4"/>
              <c:layout>
                <c:manualLayout>
                  <c:x val="4.1174945724376646E-2"/>
                  <c:y val="2.2299909606735058E-2"/>
                </c:manualLayout>
              </c:layout>
              <c:tx>
                <c:rich>
                  <a:bodyPr/>
                  <a:lstStyle/>
                  <a:p>
                    <a:r>
                      <a:rPr lang="ru-RU"/>
                      <a:t>-12,6%*</a:t>
                    </a:r>
                    <a:endParaRPr lang="en-US"/>
                  </a:p>
                </c:rich>
              </c:tx>
              <c:showVal val="1"/>
            </c:dLbl>
            <c:dLbl>
              <c:idx val="5"/>
              <c:layout>
                <c:manualLayout>
                  <c:x val="3.9390816888629956E-2"/>
                  <c:y val="-1.9196044477842761E-2"/>
                </c:manualLayout>
              </c:layout>
              <c:tx>
                <c:rich>
                  <a:bodyPr/>
                  <a:lstStyle/>
                  <a:p>
                    <a:r>
                      <a:rPr lang="ru-RU"/>
                      <a:t>+5,2%*</a:t>
                    </a:r>
                    <a:endParaRPr lang="en-US"/>
                  </a:p>
                </c:rich>
              </c:tx>
              <c:showVal val="1"/>
            </c:dLbl>
            <c:dLbl>
              <c:idx val="6"/>
              <c:layout>
                <c:manualLayout>
                  <c:x val="4.5528498752470753E-2"/>
                  <c:y val="-2.5426427505690418E-2"/>
                </c:manualLayout>
              </c:layout>
              <c:tx>
                <c:rich>
                  <a:bodyPr/>
                  <a:lstStyle/>
                  <a:p>
                    <a:r>
                      <a:rPr lang="ru-RU"/>
                      <a:t>+25,2%*</a:t>
                    </a:r>
                    <a:endParaRPr lang="en-US"/>
                  </a:p>
                </c:rich>
              </c:tx>
              <c:showVal val="1"/>
            </c:dLbl>
            <c:showVal val="1"/>
          </c:dLbls>
          <c:cat>
            <c:strRef>
              <c:f>Лист1!$A$2:$A$8</c:f>
              <c:strCache>
                <c:ptCount val="7"/>
                <c:pt idx="0">
                  <c:v>г.Тирасполь</c:v>
                </c:pt>
                <c:pt idx="1">
                  <c:v>г. Бендеры</c:v>
                </c:pt>
                <c:pt idx="2">
                  <c:v>Рыбницкий     р-н</c:v>
                </c:pt>
                <c:pt idx="3">
                  <c:v>Дубоссарский р-н</c:v>
                </c:pt>
                <c:pt idx="4">
                  <c:v>Слободзейский р-н</c:v>
                </c:pt>
                <c:pt idx="5">
                  <c:v>Григориополь-ский р-н</c:v>
                </c:pt>
                <c:pt idx="6">
                  <c:v>Каменский р-н</c:v>
                </c:pt>
              </c:strCache>
            </c:strRef>
          </c:cat>
          <c:val>
            <c:numRef>
              <c:f>Лист1!$B$2:$B$8</c:f>
              <c:numCache>
                <c:formatCode>#,##0.0</c:formatCode>
                <c:ptCount val="7"/>
                <c:pt idx="0">
                  <c:v>2010.4</c:v>
                </c:pt>
                <c:pt idx="1">
                  <c:v>2891.1</c:v>
                </c:pt>
                <c:pt idx="2">
                  <c:v>80037</c:v>
                </c:pt>
                <c:pt idx="3">
                  <c:v>25122</c:v>
                </c:pt>
                <c:pt idx="4">
                  <c:v>91537.4</c:v>
                </c:pt>
                <c:pt idx="5">
                  <c:v>100767.3</c:v>
                </c:pt>
                <c:pt idx="6">
                  <c:v>28248.3</c:v>
                </c:pt>
              </c:numCache>
            </c:numRef>
          </c:val>
        </c:ser>
        <c:ser>
          <c:idx val="1"/>
          <c:order val="1"/>
          <c:tx>
            <c:strRef>
              <c:f>Лист1!$C$1</c:f>
              <c:strCache>
                <c:ptCount val="1"/>
                <c:pt idx="0">
                  <c:v>на 14.08.2014 г.</c:v>
                </c:pt>
              </c:strCache>
            </c:strRef>
          </c:tx>
          <c:spPr>
            <a:solidFill>
              <a:schemeClr val="accent5">
                <a:lumMod val="40000"/>
                <a:lumOff val="60000"/>
              </a:schemeClr>
            </a:solidFill>
          </c:spPr>
          <c:cat>
            <c:strRef>
              <c:f>Лист1!$A$2:$A$8</c:f>
              <c:strCache>
                <c:ptCount val="7"/>
                <c:pt idx="0">
                  <c:v>г.Тирасполь</c:v>
                </c:pt>
                <c:pt idx="1">
                  <c:v>г. Бендеры</c:v>
                </c:pt>
                <c:pt idx="2">
                  <c:v>Рыбницкий     р-н</c:v>
                </c:pt>
                <c:pt idx="3">
                  <c:v>Дубоссарский р-н</c:v>
                </c:pt>
                <c:pt idx="4">
                  <c:v>Слободзейский р-н</c:v>
                </c:pt>
                <c:pt idx="5">
                  <c:v>Григориополь-ский р-н</c:v>
                </c:pt>
                <c:pt idx="6">
                  <c:v>Каменский р-н</c:v>
                </c:pt>
              </c:strCache>
            </c:strRef>
          </c:cat>
          <c:val>
            <c:numRef>
              <c:f>Лист1!$C$2:$C$8</c:f>
              <c:numCache>
                <c:formatCode>#,##0.0</c:formatCode>
                <c:ptCount val="7"/>
                <c:pt idx="0">
                  <c:v>1365.4</c:v>
                </c:pt>
                <c:pt idx="1">
                  <c:v>3098.7</c:v>
                </c:pt>
                <c:pt idx="2">
                  <c:v>83036.7</c:v>
                </c:pt>
                <c:pt idx="3">
                  <c:v>30334</c:v>
                </c:pt>
                <c:pt idx="4">
                  <c:v>80032</c:v>
                </c:pt>
                <c:pt idx="5">
                  <c:v>105968.3</c:v>
                </c:pt>
                <c:pt idx="6">
                  <c:v>35373</c:v>
                </c:pt>
              </c:numCache>
            </c:numRef>
          </c:val>
        </c:ser>
        <c:axId val="218161920"/>
        <c:axId val="218163840"/>
      </c:barChart>
      <c:catAx>
        <c:axId val="218161920"/>
        <c:scaling>
          <c:orientation val="minMax"/>
        </c:scaling>
        <c:axPos val="b"/>
        <c:title>
          <c:tx>
            <c:rich>
              <a:bodyPr/>
              <a:lstStyle/>
              <a:p>
                <a:pPr>
                  <a:defRPr/>
                </a:pPr>
                <a:r>
                  <a:rPr lang="ru-RU"/>
                  <a:t>         *- темп роста (спада) к соответствующей дате 2013 года, %</a:t>
                </a:r>
              </a:p>
            </c:rich>
          </c:tx>
          <c:layout>
            <c:manualLayout>
              <c:xMode val="edge"/>
              <c:yMode val="edge"/>
              <c:x val="1.6274601188870101E-3"/>
              <c:y val="0.93374430760257765"/>
            </c:manualLayout>
          </c:layout>
        </c:title>
        <c:tickLblPos val="nextTo"/>
        <c:crossAx val="218163840"/>
        <c:crosses val="autoZero"/>
        <c:auto val="1"/>
        <c:lblAlgn val="ctr"/>
        <c:lblOffset val="100"/>
      </c:catAx>
      <c:valAx>
        <c:axId val="218163840"/>
        <c:scaling>
          <c:orientation val="minMax"/>
        </c:scaling>
        <c:axPos val="l"/>
        <c:numFmt formatCode="#,##0.0" sourceLinked="1"/>
        <c:tickLblPos val="nextTo"/>
        <c:crossAx val="218161920"/>
        <c:crosses val="autoZero"/>
        <c:crossBetween val="between"/>
      </c:valAx>
      <c:dTable>
        <c:showHorzBorder val="1"/>
        <c:showVertBorder val="1"/>
        <c:showOutline val="1"/>
        <c:showKeys val="1"/>
      </c:dTable>
    </c:plotArea>
    <c:plotVisOnly val="1"/>
  </c:chart>
  <c:spPr>
    <a:ln>
      <a:noFill/>
    </a:ln>
  </c:spPr>
  <c:txPr>
    <a:bodyPr/>
    <a:lstStyle/>
    <a:p>
      <a:pPr>
        <a:defRPr sz="750" b="1">
          <a:latin typeface="Times New Roman" pitchFamily="18" charset="0"/>
          <a:cs typeface="Times New Roman" pitchFamily="18" charset="0"/>
        </a:defRPr>
      </a:pPr>
      <a:endParaRPr lang="ru-RU"/>
    </a:p>
  </c:txPr>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u-RU"/>
  <c:style val="27"/>
  <c:chart>
    <c:title>
      <c:tx>
        <c:rich>
          <a:bodyPr/>
          <a:lstStyle/>
          <a:p>
            <a:pPr>
              <a:defRPr/>
            </a:pPr>
            <a:r>
              <a:rPr lang="ru-RU"/>
              <a:t>                    Урожайность зерновых и зернобобовых культур первой группы, ц/га</a:t>
            </a:r>
          </a:p>
          <a:p>
            <a:pPr>
              <a:defRPr/>
            </a:pPr>
            <a:r>
              <a:rPr lang="ru-RU"/>
              <a:t>(по оперативным данным МСХ и ПР ПМР)</a:t>
            </a:r>
          </a:p>
        </c:rich>
      </c:tx>
      <c:layout>
        <c:manualLayout>
          <c:xMode val="edge"/>
          <c:yMode val="edge"/>
          <c:x val="0.15577663369001951"/>
          <c:y val="0"/>
        </c:manualLayout>
      </c:layout>
    </c:title>
    <c:plotArea>
      <c:layout>
        <c:manualLayout>
          <c:layoutTarget val="inner"/>
          <c:xMode val="edge"/>
          <c:yMode val="edge"/>
          <c:x val="0.16465408170132695"/>
          <c:y val="0.15919732760677643"/>
          <c:w val="0.83344590685289244"/>
          <c:h val="0.49788400343763162"/>
        </c:manualLayout>
      </c:layout>
      <c:barChart>
        <c:barDir val="col"/>
        <c:grouping val="clustered"/>
        <c:ser>
          <c:idx val="0"/>
          <c:order val="0"/>
          <c:tx>
            <c:strRef>
              <c:f>Лист1!$B$1</c:f>
              <c:strCache>
                <c:ptCount val="1"/>
                <c:pt idx="0">
                  <c:v>на 20.08.2013 г.</c:v>
                </c:pt>
              </c:strCache>
            </c:strRef>
          </c:tx>
          <c:cat>
            <c:strRef>
              <c:f>Лист1!$A$2:$A$8</c:f>
              <c:strCache>
                <c:ptCount val="7"/>
                <c:pt idx="0">
                  <c:v>г. Тирасполь</c:v>
                </c:pt>
                <c:pt idx="1">
                  <c:v>г.Бендеры</c:v>
                </c:pt>
                <c:pt idx="2">
                  <c:v>Рыбницкий    р-н</c:v>
                </c:pt>
                <c:pt idx="3">
                  <c:v>Дубоссар     ский р-н</c:v>
                </c:pt>
                <c:pt idx="4">
                  <c:v>Слободзей    ский р-н</c:v>
                </c:pt>
                <c:pt idx="5">
                  <c:v>Григориопо      льский р-н</c:v>
                </c:pt>
                <c:pt idx="6">
                  <c:v>Каменский     р-н</c:v>
                </c:pt>
              </c:strCache>
            </c:strRef>
          </c:cat>
          <c:val>
            <c:numRef>
              <c:f>Лист1!$B$2:$B$8</c:f>
              <c:numCache>
                <c:formatCode>General</c:formatCode>
                <c:ptCount val="7"/>
                <c:pt idx="0">
                  <c:v>27.8</c:v>
                </c:pt>
                <c:pt idx="1">
                  <c:v>25.7</c:v>
                </c:pt>
                <c:pt idx="2">
                  <c:v>41.5</c:v>
                </c:pt>
                <c:pt idx="3">
                  <c:v>32.300000000000004</c:v>
                </c:pt>
                <c:pt idx="4">
                  <c:v>33.4</c:v>
                </c:pt>
                <c:pt idx="5">
                  <c:v>36.300000000000004</c:v>
                </c:pt>
                <c:pt idx="6">
                  <c:v>36.1</c:v>
                </c:pt>
              </c:numCache>
            </c:numRef>
          </c:val>
        </c:ser>
        <c:ser>
          <c:idx val="1"/>
          <c:order val="1"/>
          <c:tx>
            <c:strRef>
              <c:f>Лист1!$C$1</c:f>
              <c:strCache>
                <c:ptCount val="1"/>
                <c:pt idx="0">
                  <c:v>на 14.08. 2014 г.</c:v>
                </c:pt>
              </c:strCache>
            </c:strRef>
          </c:tx>
          <c:spPr>
            <a:solidFill>
              <a:schemeClr val="accent3">
                <a:lumMod val="40000"/>
                <a:lumOff val="60000"/>
              </a:schemeClr>
            </a:solidFill>
          </c:spPr>
          <c:dLbls>
            <c:dLbl>
              <c:idx val="0"/>
              <c:layout>
                <c:manualLayout>
                  <c:x val="2.1381227282446617E-3"/>
                  <c:y val="-9.040827191974668E-2"/>
                </c:manualLayout>
              </c:layout>
              <c:tx>
                <c:rich>
                  <a:bodyPr/>
                  <a:lstStyle/>
                  <a:p>
                    <a:r>
                      <a:rPr lang="ru-RU" b="1">
                        <a:latin typeface="Times New Roman" pitchFamily="18" charset="0"/>
                        <a:cs typeface="Times New Roman" pitchFamily="18" charset="0"/>
                      </a:rPr>
                      <a:t>+16,9%*</a:t>
                    </a:r>
                    <a:endParaRPr lang="en-US" b="1">
                      <a:latin typeface="Times New Roman" pitchFamily="18" charset="0"/>
                      <a:cs typeface="Times New Roman" pitchFamily="18" charset="0"/>
                    </a:endParaRPr>
                  </a:p>
                </c:rich>
              </c:tx>
              <c:dLblPos val="inEnd"/>
              <c:showVal val="1"/>
            </c:dLbl>
            <c:dLbl>
              <c:idx val="1"/>
              <c:layout>
                <c:manualLayout>
                  <c:x val="6.5880947573860957E-3"/>
                  <c:y val="-0.10988451443569559"/>
                </c:manualLayout>
              </c:layout>
              <c:tx>
                <c:rich>
                  <a:bodyPr/>
                  <a:lstStyle/>
                  <a:p>
                    <a:r>
                      <a:rPr lang="ru-RU" b="1">
                        <a:latin typeface="Times New Roman" pitchFamily="18" charset="0"/>
                        <a:cs typeface="Times New Roman" pitchFamily="18" charset="0"/>
                      </a:rPr>
                      <a:t>-12,5%*</a:t>
                    </a:r>
                    <a:endParaRPr lang="en-US" b="1">
                      <a:latin typeface="Times New Roman" pitchFamily="18" charset="0"/>
                      <a:cs typeface="Times New Roman" pitchFamily="18" charset="0"/>
                    </a:endParaRPr>
                  </a:p>
                </c:rich>
              </c:tx>
              <c:dLblPos val="inEnd"/>
              <c:showVal val="1"/>
            </c:dLbl>
            <c:dLbl>
              <c:idx val="2"/>
              <c:layout>
                <c:manualLayout>
                  <c:x val="4.4570630594252683E-3"/>
                  <c:y val="-9.171414936769387E-2"/>
                </c:manualLayout>
              </c:layout>
              <c:tx>
                <c:rich>
                  <a:bodyPr/>
                  <a:lstStyle/>
                  <a:p>
                    <a:r>
                      <a:rPr lang="ru-RU" b="1">
                        <a:latin typeface="Times New Roman" pitchFamily="18" charset="0"/>
                        <a:cs typeface="Times New Roman" pitchFamily="18" charset="0"/>
                      </a:rPr>
                      <a:t>+0,2%*</a:t>
                    </a:r>
                    <a:endParaRPr lang="en-US" b="1">
                      <a:latin typeface="Times New Roman" pitchFamily="18" charset="0"/>
                      <a:cs typeface="Times New Roman" pitchFamily="18" charset="0"/>
                    </a:endParaRPr>
                  </a:p>
                </c:rich>
              </c:tx>
              <c:dLblPos val="inEnd"/>
              <c:showVal val="1"/>
            </c:dLbl>
            <c:dLbl>
              <c:idx val="3"/>
              <c:layout>
                <c:manualLayout>
                  <c:x val="4.8076923076923114E-3"/>
                  <c:y val="-8.9610594130280274E-2"/>
                </c:manualLayout>
              </c:layout>
              <c:tx>
                <c:rich>
                  <a:bodyPr/>
                  <a:lstStyle/>
                  <a:p>
                    <a:r>
                      <a:rPr lang="ru-RU" b="1">
                        <a:latin typeface="Times New Roman" pitchFamily="18" charset="0"/>
                        <a:cs typeface="Times New Roman" pitchFamily="18" charset="0"/>
                      </a:rPr>
                      <a:t>+11,1%*</a:t>
                    </a:r>
                    <a:endParaRPr lang="en-US" b="1">
                      <a:latin typeface="Times New Roman" pitchFamily="18" charset="0"/>
                      <a:cs typeface="Times New Roman" pitchFamily="18" charset="0"/>
                    </a:endParaRPr>
                  </a:p>
                </c:rich>
              </c:tx>
              <c:dLblPos val="inEnd"/>
              <c:showVal val="1"/>
            </c:dLbl>
            <c:dLbl>
              <c:idx val="4"/>
              <c:layout>
                <c:manualLayout>
                  <c:x val="6.4129483814523896E-3"/>
                  <c:y val="-9.9099976139347068E-2"/>
                </c:manualLayout>
              </c:layout>
              <c:tx>
                <c:rich>
                  <a:bodyPr/>
                  <a:lstStyle/>
                  <a:p>
                    <a:r>
                      <a:rPr lang="ru-RU" b="1">
                        <a:latin typeface="Times New Roman" pitchFamily="18" charset="0"/>
                        <a:cs typeface="Times New Roman" pitchFamily="18" charset="0"/>
                      </a:rPr>
                      <a:t>-6,3%*</a:t>
                    </a:r>
                    <a:endParaRPr lang="en-US" b="1">
                      <a:latin typeface="Times New Roman" pitchFamily="18" charset="0"/>
                      <a:cs typeface="Times New Roman" pitchFamily="18" charset="0"/>
                    </a:endParaRPr>
                  </a:p>
                </c:rich>
              </c:tx>
              <c:dLblPos val="inEnd"/>
              <c:showVal val="1"/>
            </c:dLbl>
            <c:dLbl>
              <c:idx val="5"/>
              <c:layout>
                <c:manualLayout>
                  <c:x val="4.2735042735042739E-3"/>
                  <c:y val="-0.11385301837270276"/>
                </c:manualLayout>
              </c:layout>
              <c:tx>
                <c:rich>
                  <a:bodyPr/>
                  <a:lstStyle/>
                  <a:p>
                    <a:r>
                      <a:rPr lang="ru-RU" b="1">
                        <a:latin typeface="Times New Roman" pitchFamily="18" charset="0"/>
                        <a:cs typeface="Times New Roman" pitchFamily="18" charset="0"/>
                      </a:rPr>
                      <a:t>+5,8%*</a:t>
                    </a:r>
                    <a:endParaRPr lang="en-US" b="1">
                      <a:latin typeface="Times New Roman" pitchFamily="18" charset="0"/>
                      <a:cs typeface="Times New Roman" pitchFamily="18" charset="0"/>
                    </a:endParaRPr>
                  </a:p>
                </c:rich>
              </c:tx>
              <c:dLblPos val="inEnd"/>
              <c:showVal val="1"/>
            </c:dLbl>
            <c:dLbl>
              <c:idx val="6"/>
              <c:layout>
                <c:manualLayout>
                  <c:x val="6.9444444444444909E-3"/>
                  <c:y val="-9.5671200190885264E-2"/>
                </c:manualLayout>
              </c:layout>
              <c:tx>
                <c:rich>
                  <a:bodyPr/>
                  <a:lstStyle/>
                  <a:p>
                    <a:r>
                      <a:rPr lang="ru-RU" b="1">
                        <a:latin typeface="Times New Roman" pitchFamily="18" charset="0"/>
                        <a:cs typeface="Times New Roman" pitchFamily="18" charset="0"/>
                      </a:rPr>
                      <a:t>+37,7%*</a:t>
                    </a:r>
                    <a:endParaRPr lang="en-US" b="1">
                      <a:latin typeface="Times New Roman" pitchFamily="18" charset="0"/>
                      <a:cs typeface="Times New Roman" pitchFamily="18" charset="0"/>
                    </a:endParaRPr>
                  </a:p>
                </c:rich>
              </c:tx>
              <c:dLblPos val="inEnd"/>
              <c:showVal val="1"/>
            </c:dLbl>
            <c:dLblPos val="inEnd"/>
            <c:showVal val="1"/>
          </c:dLbls>
          <c:cat>
            <c:strRef>
              <c:f>Лист1!$A$2:$A$8</c:f>
              <c:strCache>
                <c:ptCount val="7"/>
                <c:pt idx="0">
                  <c:v>г. Тирасполь</c:v>
                </c:pt>
                <c:pt idx="1">
                  <c:v>г.Бендеры</c:v>
                </c:pt>
                <c:pt idx="2">
                  <c:v>Рыбницкий    р-н</c:v>
                </c:pt>
                <c:pt idx="3">
                  <c:v>Дубоссар     ский р-н</c:v>
                </c:pt>
                <c:pt idx="4">
                  <c:v>Слободзей    ский р-н</c:v>
                </c:pt>
                <c:pt idx="5">
                  <c:v>Григориопо      льский р-н</c:v>
                </c:pt>
                <c:pt idx="6">
                  <c:v>Каменский     р-н</c:v>
                </c:pt>
              </c:strCache>
            </c:strRef>
          </c:cat>
          <c:val>
            <c:numRef>
              <c:f>Лист1!$C$2:$C$8</c:f>
              <c:numCache>
                <c:formatCode>General</c:formatCode>
                <c:ptCount val="7"/>
                <c:pt idx="0">
                  <c:v>32.5</c:v>
                </c:pt>
                <c:pt idx="1">
                  <c:v>22.5</c:v>
                </c:pt>
                <c:pt idx="2">
                  <c:v>41.6</c:v>
                </c:pt>
                <c:pt idx="3">
                  <c:v>35.9</c:v>
                </c:pt>
                <c:pt idx="4">
                  <c:v>31.3</c:v>
                </c:pt>
                <c:pt idx="5">
                  <c:v>38.4</c:v>
                </c:pt>
                <c:pt idx="6">
                  <c:v>49.7</c:v>
                </c:pt>
              </c:numCache>
            </c:numRef>
          </c:val>
        </c:ser>
        <c:axId val="218211072"/>
        <c:axId val="218212992"/>
      </c:barChart>
      <c:catAx>
        <c:axId val="218211072"/>
        <c:scaling>
          <c:orientation val="minMax"/>
        </c:scaling>
        <c:axPos val="b"/>
        <c:title>
          <c:tx>
            <c:rich>
              <a:bodyPr/>
              <a:lstStyle/>
              <a:p>
                <a:pPr>
                  <a:defRPr/>
                </a:pPr>
                <a:r>
                  <a:rPr lang="ru-RU"/>
                  <a:t>           * - темп роста(спада) к соответствующей дате  прошлого года, %</a:t>
                </a:r>
              </a:p>
            </c:rich>
          </c:tx>
          <c:layout>
            <c:manualLayout>
              <c:xMode val="edge"/>
              <c:yMode val="edge"/>
              <c:x val="1.2230323061469171E-2"/>
              <c:y val="0.93226840497396846"/>
            </c:manualLayout>
          </c:layout>
        </c:title>
        <c:tickLblPos val="nextTo"/>
        <c:crossAx val="218212992"/>
        <c:crosses val="autoZero"/>
        <c:auto val="1"/>
        <c:lblAlgn val="ctr"/>
        <c:lblOffset val="100"/>
      </c:catAx>
      <c:valAx>
        <c:axId val="218212992"/>
        <c:scaling>
          <c:orientation val="minMax"/>
        </c:scaling>
        <c:axPos val="l"/>
        <c:numFmt formatCode="General" sourceLinked="1"/>
        <c:tickLblPos val="nextTo"/>
        <c:crossAx val="218211072"/>
        <c:crosses val="autoZero"/>
        <c:crossBetween val="between"/>
      </c:valAx>
      <c:dTable>
        <c:showHorzBorder val="1"/>
        <c:showVertBorder val="1"/>
        <c:showOutline val="1"/>
        <c:showKeys val="1"/>
      </c:dTable>
      <c:spPr>
        <a:noFill/>
        <a:ln w="25400">
          <a:noFill/>
        </a:ln>
      </c:spPr>
    </c:plotArea>
    <c:plotVisOnly val="1"/>
  </c:chart>
  <c:spPr>
    <a:ln>
      <a:noFill/>
    </a:ln>
  </c:spPr>
  <c:txPr>
    <a:bodyPr/>
    <a:lstStyle/>
    <a:p>
      <a:pPr>
        <a:defRPr sz="750" b="1">
          <a:latin typeface="Times New Roman" pitchFamily="18" charset="0"/>
          <a:cs typeface="Times New Roman" pitchFamily="18" charset="0"/>
        </a:defRPr>
      </a:pPr>
      <a:endParaRPr lang="ru-RU"/>
    </a:p>
  </c:txPr>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u-RU"/>
  <c:style val="28"/>
  <c:chart>
    <c:title>
      <c:tx>
        <c:rich>
          <a:bodyPr/>
          <a:lstStyle/>
          <a:p>
            <a:pPr>
              <a:defRPr/>
            </a:pPr>
            <a:r>
              <a:rPr lang="ru-RU"/>
              <a:t>Валовой сбор  озимой пшеницы, тонн </a:t>
            </a:r>
          </a:p>
          <a:p>
            <a:pPr>
              <a:defRPr/>
            </a:pPr>
            <a:r>
              <a:rPr lang="ru-RU"/>
              <a:t>(по оперативным данным МСХ и ПР ПМР)</a:t>
            </a:r>
          </a:p>
        </c:rich>
      </c:tx>
      <c:layout>
        <c:manualLayout>
          <c:xMode val="edge"/>
          <c:yMode val="edge"/>
          <c:x val="0.33148994011829641"/>
          <c:y val="0"/>
        </c:manualLayout>
      </c:layout>
    </c:title>
    <c:plotArea>
      <c:layout>
        <c:manualLayout>
          <c:layoutTarget val="inner"/>
          <c:xMode val="edge"/>
          <c:yMode val="edge"/>
          <c:x val="0.15593473832878199"/>
          <c:y val="2.2727376469245983E-2"/>
          <c:w val="0.83379250937238392"/>
          <c:h val="0.67581332821202222"/>
        </c:manualLayout>
      </c:layout>
      <c:barChart>
        <c:barDir val="col"/>
        <c:grouping val="clustered"/>
        <c:ser>
          <c:idx val="0"/>
          <c:order val="0"/>
          <c:tx>
            <c:strRef>
              <c:f>Лист1!$B$1</c:f>
              <c:strCache>
                <c:ptCount val="1"/>
                <c:pt idx="0">
                  <c:v>на 20.08.2013 г. </c:v>
                </c:pt>
              </c:strCache>
            </c:strRef>
          </c:tx>
          <c:spPr>
            <a:solidFill>
              <a:schemeClr val="tx2">
                <a:lumMod val="40000"/>
                <a:lumOff val="60000"/>
              </a:schemeClr>
            </a:solidFill>
          </c:spPr>
          <c:cat>
            <c:strRef>
              <c:f>Лист1!$A$2:$A$8</c:f>
              <c:strCache>
                <c:ptCount val="7"/>
                <c:pt idx="0">
                  <c:v>г. Тирасполь</c:v>
                </c:pt>
                <c:pt idx="1">
                  <c:v>г. Бендеры</c:v>
                </c:pt>
                <c:pt idx="2">
                  <c:v>Рыбницкий     р-н</c:v>
                </c:pt>
                <c:pt idx="3">
                  <c:v>Дубоссарский        р-н</c:v>
                </c:pt>
                <c:pt idx="4">
                  <c:v>Слободзейский р-н</c:v>
                </c:pt>
                <c:pt idx="5">
                  <c:v>Григориополь-ский р-н</c:v>
                </c:pt>
                <c:pt idx="6">
                  <c:v>Каменский р-н</c:v>
                </c:pt>
              </c:strCache>
            </c:strRef>
          </c:cat>
          <c:val>
            <c:numRef>
              <c:f>Лист1!$B$2:$B$8</c:f>
              <c:numCache>
                <c:formatCode>#,##0.0</c:formatCode>
                <c:ptCount val="7"/>
                <c:pt idx="0">
                  <c:v>1034.5</c:v>
                </c:pt>
                <c:pt idx="1">
                  <c:v>2386.3000000000002</c:v>
                </c:pt>
                <c:pt idx="2">
                  <c:v>60647</c:v>
                </c:pt>
                <c:pt idx="3">
                  <c:v>22678</c:v>
                </c:pt>
                <c:pt idx="4">
                  <c:v>70041.8</c:v>
                </c:pt>
                <c:pt idx="5">
                  <c:v>81149.7</c:v>
                </c:pt>
                <c:pt idx="6">
                  <c:v>24693.200000000001</c:v>
                </c:pt>
              </c:numCache>
            </c:numRef>
          </c:val>
        </c:ser>
        <c:ser>
          <c:idx val="1"/>
          <c:order val="1"/>
          <c:tx>
            <c:strRef>
              <c:f>Лист1!$C$1</c:f>
              <c:strCache>
                <c:ptCount val="1"/>
                <c:pt idx="0">
                  <c:v>на 14.08.2014 г.</c:v>
                </c:pt>
              </c:strCache>
            </c:strRef>
          </c:tx>
          <c:dLbls>
            <c:dLbl>
              <c:idx val="0"/>
              <c:tx>
                <c:rich>
                  <a:bodyPr/>
                  <a:lstStyle/>
                  <a:p>
                    <a:r>
                      <a:rPr lang="ru-RU" b="1">
                        <a:latin typeface="Times New Roman" pitchFamily="18" charset="0"/>
                        <a:cs typeface="Times New Roman" pitchFamily="18" charset="0"/>
                      </a:rPr>
                      <a:t>+17,6%*</a:t>
                    </a:r>
                    <a:endParaRPr lang="en-US" b="1">
                      <a:latin typeface="Times New Roman" pitchFamily="18" charset="0"/>
                      <a:cs typeface="Times New Roman" pitchFamily="18" charset="0"/>
                    </a:endParaRPr>
                  </a:p>
                </c:rich>
              </c:tx>
              <c:dLblPos val="inEnd"/>
              <c:showVal val="1"/>
            </c:dLbl>
            <c:dLbl>
              <c:idx val="1"/>
              <c:layout>
                <c:manualLayout>
                  <c:x val="4.6296296296297014E-3"/>
                  <c:y val="-7.9365079365078823E-3"/>
                </c:manualLayout>
              </c:layout>
              <c:tx>
                <c:rich>
                  <a:bodyPr/>
                  <a:lstStyle/>
                  <a:p>
                    <a:r>
                      <a:rPr lang="ru-RU" b="1">
                        <a:latin typeface="Times New Roman" pitchFamily="18" charset="0"/>
                        <a:cs typeface="Times New Roman" pitchFamily="18" charset="0"/>
                      </a:rPr>
                      <a:t>-3,7%*</a:t>
                    </a:r>
                    <a:endParaRPr lang="en-US" b="1">
                      <a:latin typeface="Times New Roman" pitchFamily="18" charset="0"/>
                      <a:cs typeface="Times New Roman" pitchFamily="18" charset="0"/>
                    </a:endParaRPr>
                  </a:p>
                </c:rich>
              </c:tx>
              <c:dLblPos val="inEnd"/>
              <c:showVal val="1"/>
            </c:dLbl>
            <c:dLbl>
              <c:idx val="2"/>
              <c:layout>
                <c:manualLayout>
                  <c:x val="8.3481193810049769E-3"/>
                  <c:y val="-8.6966101068352397E-2"/>
                </c:manualLayout>
              </c:layout>
              <c:tx>
                <c:rich>
                  <a:bodyPr/>
                  <a:lstStyle/>
                  <a:p>
                    <a:r>
                      <a:rPr lang="ru-RU" b="1">
                        <a:latin typeface="Times New Roman" pitchFamily="18" charset="0"/>
                        <a:cs typeface="Times New Roman" pitchFamily="18" charset="0"/>
                      </a:rPr>
                      <a:t>+7,0%*</a:t>
                    </a:r>
                    <a:endParaRPr lang="en-US" b="1">
                      <a:latin typeface="Times New Roman" pitchFamily="18" charset="0"/>
                      <a:cs typeface="Times New Roman" pitchFamily="18" charset="0"/>
                    </a:endParaRPr>
                  </a:p>
                </c:rich>
              </c:tx>
              <c:dLblPos val="inEnd"/>
              <c:showVal val="1"/>
            </c:dLbl>
            <c:dLbl>
              <c:idx val="3"/>
              <c:layout>
                <c:manualLayout>
                  <c:x val="4.6296212973378414E-3"/>
                  <c:y val="-7.6618841617129868E-2"/>
                </c:manualLayout>
              </c:layout>
              <c:tx>
                <c:rich>
                  <a:bodyPr/>
                  <a:lstStyle/>
                  <a:p>
                    <a:r>
                      <a:rPr lang="ru-RU" b="1">
                        <a:latin typeface="Times New Roman" pitchFamily="18" charset="0"/>
                        <a:cs typeface="Times New Roman" pitchFamily="18" charset="0"/>
                      </a:rPr>
                      <a:t>+14,1%*</a:t>
                    </a:r>
                    <a:endParaRPr lang="en-US" b="1">
                      <a:latin typeface="Times New Roman" pitchFamily="18" charset="0"/>
                      <a:cs typeface="Times New Roman" pitchFamily="18" charset="0"/>
                    </a:endParaRPr>
                  </a:p>
                </c:rich>
              </c:tx>
              <c:dLblPos val="inEnd"/>
              <c:showVal val="1"/>
            </c:dLbl>
            <c:dLbl>
              <c:idx val="4"/>
              <c:layout>
                <c:manualLayout>
                  <c:x val="1.605025654841364E-2"/>
                  <c:y val="-8.7135693404178136E-2"/>
                </c:manualLayout>
              </c:layout>
              <c:tx>
                <c:rich>
                  <a:bodyPr/>
                  <a:lstStyle/>
                  <a:p>
                    <a:r>
                      <a:rPr lang="ru-RU" b="1">
                        <a:latin typeface="Times New Roman" pitchFamily="18" charset="0"/>
                        <a:cs typeface="Times New Roman" pitchFamily="18" charset="0"/>
                      </a:rPr>
                      <a:t>-13,2%*</a:t>
                    </a:r>
                    <a:endParaRPr lang="en-US" b="1">
                      <a:latin typeface="Times New Roman" pitchFamily="18" charset="0"/>
                      <a:cs typeface="Times New Roman" pitchFamily="18" charset="0"/>
                    </a:endParaRPr>
                  </a:p>
                </c:rich>
              </c:tx>
              <c:dLblPos val="inEnd"/>
              <c:showVal val="1"/>
            </c:dLbl>
            <c:dLbl>
              <c:idx val="5"/>
              <c:layout>
                <c:manualLayout>
                  <c:x val="2.2659167604050299E-3"/>
                  <c:y val="-7.8622306599026873E-2"/>
                </c:manualLayout>
              </c:layout>
              <c:tx>
                <c:rich>
                  <a:bodyPr/>
                  <a:lstStyle/>
                  <a:p>
                    <a:r>
                      <a:rPr lang="ru-RU" b="1">
                        <a:latin typeface="Times New Roman" pitchFamily="18" charset="0"/>
                        <a:cs typeface="Times New Roman" pitchFamily="18" charset="0"/>
                      </a:rPr>
                      <a:t> - 2,8%*</a:t>
                    </a:r>
                    <a:endParaRPr lang="en-US" b="1">
                      <a:latin typeface="Times New Roman" pitchFamily="18" charset="0"/>
                      <a:cs typeface="Times New Roman" pitchFamily="18" charset="0"/>
                    </a:endParaRPr>
                  </a:p>
                </c:rich>
              </c:tx>
              <c:dLblPos val="inEnd"/>
              <c:showVal val="1"/>
            </c:dLbl>
            <c:dLbl>
              <c:idx val="6"/>
              <c:layout>
                <c:manualLayout>
                  <c:x val="4.2878140232470866E-3"/>
                  <c:y val="-9.2223709190501379E-2"/>
                </c:manualLayout>
              </c:layout>
              <c:tx>
                <c:rich>
                  <a:bodyPr/>
                  <a:lstStyle/>
                  <a:p>
                    <a:r>
                      <a:rPr lang="ru-RU" b="1">
                        <a:latin typeface="Times New Roman" pitchFamily="18" charset="0"/>
                        <a:cs typeface="Times New Roman" pitchFamily="18" charset="0"/>
                      </a:rPr>
                      <a:t>+23,7%*</a:t>
                    </a:r>
                    <a:endParaRPr lang="en-US" b="1">
                      <a:latin typeface="Times New Roman" pitchFamily="18" charset="0"/>
                      <a:cs typeface="Times New Roman" pitchFamily="18" charset="0"/>
                    </a:endParaRPr>
                  </a:p>
                </c:rich>
              </c:tx>
              <c:dLblPos val="inEnd"/>
              <c:showVal val="1"/>
            </c:dLbl>
            <c:dLblPos val="inEnd"/>
            <c:showVal val="1"/>
          </c:dLbls>
          <c:cat>
            <c:strRef>
              <c:f>Лист1!$A$2:$A$8</c:f>
              <c:strCache>
                <c:ptCount val="7"/>
                <c:pt idx="0">
                  <c:v>г. Тирасполь</c:v>
                </c:pt>
                <c:pt idx="1">
                  <c:v>г. Бендеры</c:v>
                </c:pt>
                <c:pt idx="2">
                  <c:v>Рыбницкий     р-н</c:v>
                </c:pt>
                <c:pt idx="3">
                  <c:v>Дубоссарский        р-н</c:v>
                </c:pt>
                <c:pt idx="4">
                  <c:v>Слободзейский р-н</c:v>
                </c:pt>
                <c:pt idx="5">
                  <c:v>Григориополь-ский р-н</c:v>
                </c:pt>
                <c:pt idx="6">
                  <c:v>Каменский р-н</c:v>
                </c:pt>
              </c:strCache>
            </c:strRef>
          </c:cat>
          <c:val>
            <c:numRef>
              <c:f>Лист1!$C$2:$C$8</c:f>
              <c:numCache>
                <c:formatCode>#,##0.0</c:formatCode>
                <c:ptCount val="7"/>
                <c:pt idx="0">
                  <c:v>1216.9000000000001</c:v>
                </c:pt>
                <c:pt idx="1">
                  <c:v>2297.1</c:v>
                </c:pt>
                <c:pt idx="2">
                  <c:v>64864</c:v>
                </c:pt>
                <c:pt idx="3">
                  <c:v>25882.6</c:v>
                </c:pt>
                <c:pt idx="4">
                  <c:v>60804</c:v>
                </c:pt>
                <c:pt idx="5">
                  <c:v>78845.2</c:v>
                </c:pt>
                <c:pt idx="6">
                  <c:v>30541</c:v>
                </c:pt>
              </c:numCache>
            </c:numRef>
          </c:val>
        </c:ser>
        <c:axId val="218129152"/>
        <c:axId val="218131072"/>
      </c:barChart>
      <c:catAx>
        <c:axId val="218129152"/>
        <c:scaling>
          <c:orientation val="minMax"/>
        </c:scaling>
        <c:axPos val="b"/>
        <c:title>
          <c:tx>
            <c:rich>
              <a:bodyPr/>
              <a:lstStyle/>
              <a:p>
                <a:pPr>
                  <a:defRPr/>
                </a:pPr>
                <a:endParaRPr lang="ru-RU"/>
              </a:p>
              <a:p>
                <a:pPr>
                  <a:defRPr/>
                </a:pPr>
                <a:endParaRPr lang="ru-RU"/>
              </a:p>
              <a:p>
                <a:pPr>
                  <a:defRPr/>
                </a:pPr>
                <a:endParaRPr lang="ru-RU"/>
              </a:p>
            </c:rich>
          </c:tx>
          <c:layout>
            <c:manualLayout>
              <c:xMode val="edge"/>
              <c:yMode val="edge"/>
              <c:x val="1.9146544875234497E-2"/>
              <c:y val="0.50197628458498023"/>
            </c:manualLayout>
          </c:layout>
        </c:title>
        <c:tickLblPos val="nextTo"/>
        <c:crossAx val="218131072"/>
        <c:crosses val="autoZero"/>
        <c:auto val="1"/>
        <c:lblAlgn val="ctr"/>
        <c:lblOffset val="100"/>
      </c:catAx>
      <c:valAx>
        <c:axId val="218131072"/>
        <c:scaling>
          <c:orientation val="minMax"/>
        </c:scaling>
        <c:axPos val="l"/>
        <c:numFmt formatCode="#,##0.0" sourceLinked="1"/>
        <c:tickLblPos val="nextTo"/>
        <c:crossAx val="218129152"/>
        <c:crosses val="autoZero"/>
        <c:crossBetween val="between"/>
      </c:valAx>
      <c:dTable>
        <c:showHorzBorder val="1"/>
        <c:showVertBorder val="1"/>
        <c:showOutline val="1"/>
        <c:showKeys val="1"/>
      </c:dTable>
    </c:plotArea>
    <c:plotVisOnly val="1"/>
  </c:chart>
  <c:spPr>
    <a:ln>
      <a:noFill/>
    </a:ln>
  </c:spPr>
  <c:txPr>
    <a:bodyPr/>
    <a:lstStyle/>
    <a:p>
      <a:pPr>
        <a:defRPr sz="750" b="1">
          <a:latin typeface="Times New Roman" pitchFamily="18" charset="0"/>
          <a:cs typeface="Times New Roman" pitchFamily="18" charset="0"/>
        </a:defRPr>
      </a:pPr>
      <a:endParaRPr lang="ru-RU"/>
    </a:p>
  </c:txPr>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u-RU"/>
  <c:style val="25"/>
  <c:chart>
    <c:title>
      <c:tx>
        <c:rich>
          <a:bodyPr/>
          <a:lstStyle/>
          <a:p>
            <a:pPr>
              <a:defRPr/>
            </a:pPr>
            <a:r>
              <a:rPr lang="ru-RU"/>
              <a:t>Урожайность озимой пшеницы, ц/га</a:t>
            </a:r>
          </a:p>
          <a:p>
            <a:pPr>
              <a:defRPr/>
            </a:pPr>
            <a:r>
              <a:rPr lang="ru-RU"/>
              <a:t>(по  оперативным данным МСХ и ПР ПМР)</a:t>
            </a:r>
          </a:p>
        </c:rich>
      </c:tx>
      <c:layout>
        <c:manualLayout>
          <c:xMode val="edge"/>
          <c:yMode val="edge"/>
          <c:x val="0.30861315102815656"/>
          <c:y val="2.2478697012188612E-3"/>
        </c:manualLayout>
      </c:layout>
    </c:title>
    <c:plotArea>
      <c:layout>
        <c:manualLayout>
          <c:layoutTarget val="inner"/>
          <c:xMode val="edge"/>
          <c:yMode val="edge"/>
          <c:x val="0.1431419974406567"/>
          <c:y val="4.2773882716715214E-2"/>
          <c:w val="0.7978012704488151"/>
          <c:h val="0.6638507172904855"/>
        </c:manualLayout>
      </c:layout>
      <c:barChart>
        <c:barDir val="col"/>
        <c:grouping val="clustered"/>
        <c:ser>
          <c:idx val="0"/>
          <c:order val="0"/>
          <c:tx>
            <c:strRef>
              <c:f>Лист1!$B$1</c:f>
              <c:strCache>
                <c:ptCount val="1"/>
                <c:pt idx="0">
                  <c:v>на 20.08.2013 г.</c:v>
                </c:pt>
              </c:strCache>
            </c:strRef>
          </c:tx>
          <c:spPr>
            <a:solidFill>
              <a:schemeClr val="accent3"/>
            </a:solidFill>
          </c:spPr>
          <c:cat>
            <c:strRef>
              <c:f>Лист1!$A$2:$A$8</c:f>
              <c:strCache>
                <c:ptCount val="7"/>
                <c:pt idx="0">
                  <c:v>г. Тирасполь</c:v>
                </c:pt>
                <c:pt idx="1">
                  <c:v>г. Бендеры</c:v>
                </c:pt>
                <c:pt idx="2">
                  <c:v>Рыбницкий р-н</c:v>
                </c:pt>
                <c:pt idx="3">
                  <c:v>Дубоссарский р-н</c:v>
                </c:pt>
                <c:pt idx="4">
                  <c:v>Слободзей     ский р-н</c:v>
                </c:pt>
                <c:pt idx="5">
                  <c:v>Григорио    польский р-н</c:v>
                </c:pt>
                <c:pt idx="6">
                  <c:v>Каменский       р-н</c:v>
                </c:pt>
              </c:strCache>
            </c:strRef>
          </c:cat>
          <c:val>
            <c:numRef>
              <c:f>Лист1!$B$2:$B$8</c:f>
              <c:numCache>
                <c:formatCode>General</c:formatCode>
                <c:ptCount val="7"/>
                <c:pt idx="0">
                  <c:v>32.700000000000003</c:v>
                </c:pt>
                <c:pt idx="1">
                  <c:v>27.8</c:v>
                </c:pt>
                <c:pt idx="2">
                  <c:v>46.1</c:v>
                </c:pt>
                <c:pt idx="3">
                  <c:v>33.200000000000003</c:v>
                </c:pt>
                <c:pt idx="4">
                  <c:v>37.1</c:v>
                </c:pt>
                <c:pt idx="5">
                  <c:v>41.4</c:v>
                </c:pt>
                <c:pt idx="6" formatCode="0.0">
                  <c:v>38</c:v>
                </c:pt>
              </c:numCache>
            </c:numRef>
          </c:val>
        </c:ser>
        <c:ser>
          <c:idx val="1"/>
          <c:order val="1"/>
          <c:tx>
            <c:strRef>
              <c:f>Лист1!$C$1</c:f>
              <c:strCache>
                <c:ptCount val="1"/>
                <c:pt idx="0">
                  <c:v>на 14.08.2014 г.</c:v>
                </c:pt>
              </c:strCache>
            </c:strRef>
          </c:tx>
          <c:spPr>
            <a:solidFill>
              <a:schemeClr val="bg2">
                <a:lumMod val="90000"/>
              </a:schemeClr>
            </a:solidFill>
          </c:spPr>
          <c:dLbls>
            <c:dLbl>
              <c:idx val="0"/>
              <c:layout>
                <c:manualLayout>
                  <c:x val="4.244234360987008E-3"/>
                  <c:y val="-7.2992529779931925E-2"/>
                </c:manualLayout>
              </c:layout>
              <c:tx>
                <c:rich>
                  <a:bodyPr/>
                  <a:lstStyle/>
                  <a:p>
                    <a:r>
                      <a:rPr lang="ru-RU"/>
                      <a:t>-2,4%*</a:t>
                    </a:r>
                    <a:endParaRPr lang="en-US"/>
                  </a:p>
                </c:rich>
              </c:tx>
              <c:dLblPos val="inEnd"/>
              <c:showVal val="1"/>
            </c:dLbl>
            <c:dLbl>
              <c:idx val="1"/>
              <c:layout>
                <c:manualLayout>
                  <c:x val="2.0572820246998907E-3"/>
                  <c:y val="-0.10428588734100552"/>
                </c:manualLayout>
              </c:layout>
              <c:tx>
                <c:rich>
                  <a:bodyPr/>
                  <a:lstStyle/>
                  <a:p>
                    <a:r>
                      <a:rPr lang="ru-RU"/>
                      <a:t>-12,6%*</a:t>
                    </a:r>
                    <a:endParaRPr lang="en-US"/>
                  </a:p>
                </c:rich>
              </c:tx>
              <c:dLblPos val="inEnd"/>
              <c:showVal val="1"/>
            </c:dLbl>
            <c:dLbl>
              <c:idx val="2"/>
              <c:layout>
                <c:manualLayout>
                  <c:x val="1.282051282051282E-2"/>
                  <c:y val="-7.4302107585389063E-2"/>
                </c:manualLayout>
              </c:layout>
              <c:tx>
                <c:rich>
                  <a:bodyPr/>
                  <a:lstStyle/>
                  <a:p>
                    <a:r>
                      <a:rPr lang="ru-RU"/>
                      <a:t>-1,7%*</a:t>
                    </a:r>
                    <a:endParaRPr lang="en-US"/>
                  </a:p>
                </c:rich>
              </c:tx>
              <c:dLblPos val="inEnd"/>
              <c:showVal val="1"/>
            </c:dLbl>
            <c:dLbl>
              <c:idx val="3"/>
              <c:layout>
                <c:manualLayout>
                  <c:x val="8.4679318931289889E-3"/>
                  <c:y val="-6.9436087930871068E-2"/>
                </c:manualLayout>
              </c:layout>
              <c:tx>
                <c:rich>
                  <a:bodyPr/>
                  <a:lstStyle/>
                  <a:p>
                    <a:r>
                      <a:rPr lang="ru-RU"/>
                      <a:t>+11,7%*</a:t>
                    </a:r>
                    <a:endParaRPr lang="en-US"/>
                  </a:p>
                </c:rich>
              </c:tx>
              <c:dLblPos val="inEnd"/>
              <c:showVal val="1"/>
            </c:dLbl>
            <c:dLbl>
              <c:idx val="4"/>
              <c:layout>
                <c:manualLayout>
                  <c:x val="8.4063551617176505E-3"/>
                  <c:y val="-0.12071794871794871"/>
                </c:manualLayout>
              </c:layout>
              <c:tx>
                <c:rich>
                  <a:bodyPr/>
                  <a:lstStyle/>
                  <a:p>
                    <a:r>
                      <a:rPr lang="ru-RU"/>
                      <a:t>-11,6%*</a:t>
                    </a:r>
                    <a:endParaRPr lang="en-US"/>
                  </a:p>
                </c:rich>
              </c:tx>
              <c:dLblPos val="inEnd"/>
              <c:showVal val="1"/>
            </c:dLbl>
            <c:dLbl>
              <c:idx val="5"/>
              <c:layout>
                <c:manualLayout>
                  <c:x val="4.2735042735042739E-3"/>
                  <c:y val="-7.8295794421047032E-2"/>
                </c:manualLayout>
              </c:layout>
              <c:tx>
                <c:rich>
                  <a:bodyPr/>
                  <a:lstStyle/>
                  <a:p>
                    <a:r>
                      <a:rPr lang="ru-RU"/>
                      <a:t>+3,6%*</a:t>
                    </a:r>
                    <a:endParaRPr lang="en-US"/>
                  </a:p>
                </c:rich>
              </c:tx>
              <c:dLblPos val="inEnd"/>
              <c:showVal val="1"/>
            </c:dLbl>
            <c:dLbl>
              <c:idx val="6"/>
              <c:layout>
                <c:manualLayout>
                  <c:x val="2.136752136752137E-3"/>
                  <c:y val="-7.9168476033519133E-2"/>
                </c:manualLayout>
              </c:layout>
              <c:tx>
                <c:rich>
                  <a:bodyPr/>
                  <a:lstStyle/>
                  <a:p>
                    <a:r>
                      <a:rPr lang="ru-RU"/>
                      <a:t>+42,4%*</a:t>
                    </a:r>
                    <a:endParaRPr lang="en-US"/>
                  </a:p>
                </c:rich>
              </c:tx>
              <c:dLblPos val="inEnd"/>
              <c:showVal val="1"/>
            </c:dLbl>
            <c:dLblPos val="inEnd"/>
            <c:showVal val="1"/>
          </c:dLbls>
          <c:cat>
            <c:strRef>
              <c:f>Лист1!$A$2:$A$8</c:f>
              <c:strCache>
                <c:ptCount val="7"/>
                <c:pt idx="0">
                  <c:v>г. Тирасполь</c:v>
                </c:pt>
                <c:pt idx="1">
                  <c:v>г. Бендеры</c:v>
                </c:pt>
                <c:pt idx="2">
                  <c:v>Рыбницкий р-н</c:v>
                </c:pt>
                <c:pt idx="3">
                  <c:v>Дубоссарский р-н</c:v>
                </c:pt>
                <c:pt idx="4">
                  <c:v>Слободзей     ский р-н</c:v>
                </c:pt>
                <c:pt idx="5">
                  <c:v>Григорио    польский р-н</c:v>
                </c:pt>
                <c:pt idx="6">
                  <c:v>Каменский       р-н</c:v>
                </c:pt>
              </c:strCache>
            </c:strRef>
          </c:cat>
          <c:val>
            <c:numRef>
              <c:f>Лист1!$C$2:$C$8</c:f>
              <c:numCache>
                <c:formatCode>General</c:formatCode>
                <c:ptCount val="7"/>
                <c:pt idx="0">
                  <c:v>31.9</c:v>
                </c:pt>
                <c:pt idx="1">
                  <c:v>24.3</c:v>
                </c:pt>
                <c:pt idx="2" formatCode="0.0">
                  <c:v>45.3</c:v>
                </c:pt>
                <c:pt idx="3">
                  <c:v>37.1</c:v>
                </c:pt>
                <c:pt idx="4" formatCode="0.0">
                  <c:v>32.800000000000004</c:v>
                </c:pt>
                <c:pt idx="5">
                  <c:v>42.9</c:v>
                </c:pt>
                <c:pt idx="6" formatCode="0.0">
                  <c:v>54.1</c:v>
                </c:pt>
              </c:numCache>
            </c:numRef>
          </c:val>
        </c:ser>
        <c:axId val="233026304"/>
        <c:axId val="233027840"/>
      </c:barChart>
      <c:catAx>
        <c:axId val="233026304"/>
        <c:scaling>
          <c:orientation val="minMax"/>
        </c:scaling>
        <c:axPos val="b"/>
        <c:tickLblPos val="nextTo"/>
        <c:crossAx val="233027840"/>
        <c:crosses val="autoZero"/>
        <c:auto val="1"/>
        <c:lblAlgn val="ctr"/>
        <c:lblOffset val="100"/>
      </c:catAx>
      <c:valAx>
        <c:axId val="233027840"/>
        <c:scaling>
          <c:orientation val="minMax"/>
        </c:scaling>
        <c:axPos val="l"/>
        <c:numFmt formatCode="General" sourceLinked="1"/>
        <c:tickLblPos val="nextTo"/>
        <c:crossAx val="233026304"/>
        <c:crosses val="autoZero"/>
        <c:crossBetween val="between"/>
      </c:valAx>
      <c:dTable>
        <c:showHorzBorder val="1"/>
        <c:showVertBorder val="1"/>
        <c:showOutline val="1"/>
        <c:showKeys val="1"/>
      </c:dTable>
    </c:plotArea>
    <c:plotVisOnly val="1"/>
  </c:chart>
  <c:spPr>
    <a:ln>
      <a:noFill/>
    </a:ln>
  </c:spPr>
  <c:txPr>
    <a:bodyPr/>
    <a:lstStyle/>
    <a:p>
      <a:pPr>
        <a:defRPr sz="750" b="1">
          <a:latin typeface="Times New Roman" pitchFamily="18" charset="0"/>
          <a:cs typeface="Times New Roman" pitchFamily="18" charset="0"/>
        </a:defRPr>
      </a:pPr>
      <a:endParaRPr lang="ru-RU"/>
    </a:p>
  </c:txPr>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u-RU"/>
  <c:style val="25"/>
  <c:chart>
    <c:title>
      <c:tx>
        <c:rich>
          <a:bodyPr/>
          <a:lstStyle/>
          <a:p>
            <a:pPr>
              <a:defRPr/>
            </a:pPr>
            <a:r>
              <a:rPr lang="ru-RU"/>
              <a:t>Поголовье крупного рогатого скота в разрезе городов и районов ПМР, голов</a:t>
            </a:r>
          </a:p>
        </c:rich>
      </c:tx>
      <c:layout>
        <c:manualLayout>
          <c:xMode val="edge"/>
          <c:yMode val="edge"/>
          <c:x val="0.20447837150127346"/>
          <c:y val="0"/>
        </c:manualLayout>
      </c:layout>
    </c:title>
    <c:plotArea>
      <c:layout>
        <c:manualLayout>
          <c:layoutTarget val="inner"/>
          <c:xMode val="edge"/>
          <c:yMode val="edge"/>
          <c:x val="0.14156167781787676"/>
          <c:y val="0.1300784547537934"/>
          <c:w val="0.84012622052640862"/>
          <c:h val="0.6004963259268995"/>
        </c:manualLayout>
      </c:layout>
      <c:barChart>
        <c:barDir val="col"/>
        <c:grouping val="clustered"/>
        <c:ser>
          <c:idx val="0"/>
          <c:order val="0"/>
          <c:tx>
            <c:strRef>
              <c:f>Лист1!$B$1</c:f>
              <c:strCache>
                <c:ptCount val="1"/>
                <c:pt idx="0">
                  <c:v>на 1.07.2013 г.</c:v>
                </c:pt>
              </c:strCache>
            </c:strRef>
          </c:tx>
          <c:spPr>
            <a:solidFill>
              <a:schemeClr val="accent2">
                <a:lumMod val="40000"/>
                <a:lumOff val="60000"/>
              </a:schemeClr>
            </a:solidFill>
          </c:spPr>
          <c:cat>
            <c:strRef>
              <c:f>Лист1!$A$2:$A$8</c:f>
              <c:strCache>
                <c:ptCount val="7"/>
                <c:pt idx="0">
                  <c:v>г. Тирасполь</c:v>
                </c:pt>
                <c:pt idx="1">
                  <c:v>г. Бендеры</c:v>
                </c:pt>
                <c:pt idx="2">
                  <c:v>Рыбницкий р-н</c:v>
                </c:pt>
                <c:pt idx="3">
                  <c:v>Дубоссарский     р-н</c:v>
                </c:pt>
                <c:pt idx="4">
                  <c:v>Слободзей     ский р-н</c:v>
                </c:pt>
                <c:pt idx="5">
                  <c:v>Григорио    польский р-н</c:v>
                </c:pt>
                <c:pt idx="6">
                  <c:v>Каменский       р-н</c:v>
                </c:pt>
              </c:strCache>
            </c:strRef>
          </c:cat>
          <c:val>
            <c:numRef>
              <c:f>Лист1!$B$2:$B$8</c:f>
              <c:numCache>
                <c:formatCode>General</c:formatCode>
                <c:ptCount val="7"/>
                <c:pt idx="1">
                  <c:v>71</c:v>
                </c:pt>
                <c:pt idx="2" formatCode="#,##0">
                  <c:v>3182</c:v>
                </c:pt>
                <c:pt idx="3">
                  <c:v>137</c:v>
                </c:pt>
                <c:pt idx="4" formatCode="#,##0">
                  <c:v>2354</c:v>
                </c:pt>
                <c:pt idx="5">
                  <c:v>555</c:v>
                </c:pt>
                <c:pt idx="6" formatCode="0">
                  <c:v>757</c:v>
                </c:pt>
              </c:numCache>
            </c:numRef>
          </c:val>
        </c:ser>
        <c:ser>
          <c:idx val="1"/>
          <c:order val="1"/>
          <c:tx>
            <c:strRef>
              <c:f>Лист1!$C$1</c:f>
              <c:strCache>
                <c:ptCount val="1"/>
                <c:pt idx="0">
                  <c:v>на 1.07.2014 г.</c:v>
                </c:pt>
              </c:strCache>
            </c:strRef>
          </c:tx>
          <c:spPr>
            <a:solidFill>
              <a:srgbClr val="00B0F0"/>
            </a:solidFill>
          </c:spPr>
          <c:dLbls>
            <c:dLbl>
              <c:idx val="1"/>
              <c:layout>
                <c:manualLayout>
                  <c:x val="8.3594566353188699E-3"/>
                  <c:y val="0"/>
                </c:manualLayout>
              </c:layout>
              <c:tx>
                <c:rich>
                  <a:bodyPr/>
                  <a:lstStyle/>
                  <a:p>
                    <a:r>
                      <a:rPr lang="ru-RU"/>
                      <a:t>-33,8%*</a:t>
                    </a:r>
                    <a:endParaRPr lang="en-US"/>
                  </a:p>
                </c:rich>
              </c:tx>
              <c:showVal val="1"/>
            </c:dLbl>
            <c:dLbl>
              <c:idx val="2"/>
              <c:layout>
                <c:manualLayout>
                  <c:x val="1.0449320794148381E-2"/>
                  <c:y val="1.0335917312661499E-2"/>
                </c:manualLayout>
              </c:layout>
              <c:tx>
                <c:rich>
                  <a:bodyPr/>
                  <a:lstStyle/>
                  <a:p>
                    <a:r>
                      <a:rPr lang="ru-RU"/>
                      <a:t>-5,6%*</a:t>
                    </a:r>
                    <a:endParaRPr lang="en-US"/>
                  </a:p>
                </c:rich>
              </c:tx>
              <c:showVal val="1"/>
            </c:dLbl>
            <c:dLbl>
              <c:idx val="3"/>
              <c:layout>
                <c:manualLayout>
                  <c:x val="6.2695924764890314E-3"/>
                  <c:y val="6.8906115417743524E-3"/>
                </c:manualLayout>
              </c:layout>
              <c:tx>
                <c:rich>
                  <a:bodyPr/>
                  <a:lstStyle/>
                  <a:p>
                    <a:r>
                      <a:rPr lang="ru-RU"/>
                      <a:t>+5,8%*</a:t>
                    </a:r>
                    <a:endParaRPr lang="en-US"/>
                  </a:p>
                </c:rich>
              </c:tx>
              <c:showVal val="1"/>
            </c:dLbl>
            <c:dLbl>
              <c:idx val="4"/>
              <c:layout>
                <c:manualLayout>
                  <c:x val="4.1795637614264088E-3"/>
                  <c:y val="1.0335917312661499E-2"/>
                </c:manualLayout>
              </c:layout>
              <c:tx>
                <c:rich>
                  <a:bodyPr/>
                  <a:lstStyle/>
                  <a:p>
                    <a:r>
                      <a:rPr lang="ru-RU"/>
                      <a:t>-7,5%*</a:t>
                    </a:r>
                    <a:endParaRPr lang="en-US"/>
                  </a:p>
                </c:rich>
              </c:tx>
              <c:showVal val="1"/>
            </c:dLbl>
            <c:dLbl>
              <c:idx val="5"/>
              <c:layout>
                <c:manualLayout>
                  <c:x val="0"/>
                  <c:y val="6.8906115417743524E-3"/>
                </c:manualLayout>
              </c:layout>
              <c:tx>
                <c:rich>
                  <a:bodyPr/>
                  <a:lstStyle/>
                  <a:p>
                    <a:r>
                      <a:rPr lang="ru-RU"/>
                      <a:t>+11,9%*</a:t>
                    </a:r>
                    <a:endParaRPr lang="en-US"/>
                  </a:p>
                </c:rich>
              </c:tx>
              <c:showVal val="1"/>
            </c:dLbl>
            <c:dLbl>
              <c:idx val="6"/>
              <c:layout>
                <c:manualLayout>
                  <c:x val="-8.3594566353188699E-3"/>
                  <c:y val="6.8906115417743524E-3"/>
                </c:manualLayout>
              </c:layout>
              <c:tx>
                <c:rich>
                  <a:bodyPr/>
                  <a:lstStyle/>
                  <a:p>
                    <a:r>
                      <a:rPr lang="ru-RU"/>
                      <a:t>-2,9%*</a:t>
                    </a:r>
                    <a:endParaRPr lang="en-US"/>
                  </a:p>
                </c:rich>
              </c:tx>
              <c:showVal val="1"/>
            </c:dLbl>
            <c:showVal val="1"/>
          </c:dLbls>
          <c:cat>
            <c:strRef>
              <c:f>Лист1!$A$2:$A$8</c:f>
              <c:strCache>
                <c:ptCount val="7"/>
                <c:pt idx="0">
                  <c:v>г. Тирасполь</c:v>
                </c:pt>
                <c:pt idx="1">
                  <c:v>г. Бендеры</c:v>
                </c:pt>
                <c:pt idx="2">
                  <c:v>Рыбницкий р-н</c:v>
                </c:pt>
                <c:pt idx="3">
                  <c:v>Дубоссарский     р-н</c:v>
                </c:pt>
                <c:pt idx="4">
                  <c:v>Слободзей     ский р-н</c:v>
                </c:pt>
                <c:pt idx="5">
                  <c:v>Григорио    польский р-н</c:v>
                </c:pt>
                <c:pt idx="6">
                  <c:v>Каменский       р-н</c:v>
                </c:pt>
              </c:strCache>
            </c:strRef>
          </c:cat>
          <c:val>
            <c:numRef>
              <c:f>Лист1!$C$2:$C$8</c:f>
              <c:numCache>
                <c:formatCode>General</c:formatCode>
                <c:ptCount val="7"/>
                <c:pt idx="1">
                  <c:v>47</c:v>
                </c:pt>
                <c:pt idx="2" formatCode="0">
                  <c:v>3004</c:v>
                </c:pt>
                <c:pt idx="3">
                  <c:v>145</c:v>
                </c:pt>
                <c:pt idx="4" formatCode="0">
                  <c:v>2177</c:v>
                </c:pt>
                <c:pt idx="5">
                  <c:v>621</c:v>
                </c:pt>
                <c:pt idx="6" formatCode="0">
                  <c:v>735</c:v>
                </c:pt>
              </c:numCache>
            </c:numRef>
          </c:val>
        </c:ser>
        <c:gapWidth val="75"/>
        <c:axId val="233329024"/>
        <c:axId val="233330560"/>
      </c:barChart>
      <c:catAx>
        <c:axId val="233329024"/>
        <c:scaling>
          <c:orientation val="minMax"/>
        </c:scaling>
        <c:delete val="1"/>
        <c:axPos val="b"/>
        <c:majorTickMark val="none"/>
        <c:tickLblPos val="nextTo"/>
        <c:crossAx val="233330560"/>
        <c:crosses val="autoZero"/>
        <c:auto val="1"/>
        <c:lblAlgn val="ctr"/>
        <c:lblOffset val="100"/>
      </c:catAx>
      <c:valAx>
        <c:axId val="233330560"/>
        <c:scaling>
          <c:orientation val="minMax"/>
        </c:scaling>
        <c:axPos val="l"/>
        <c:numFmt formatCode="General" sourceLinked="1"/>
        <c:majorTickMark val="none"/>
        <c:tickLblPos val="nextTo"/>
        <c:spPr>
          <a:ln w="9525">
            <a:solidFill>
              <a:sysClr val="windowText" lastClr="000000"/>
            </a:solidFill>
          </a:ln>
        </c:spPr>
        <c:crossAx val="233329024"/>
        <c:crosses val="autoZero"/>
        <c:crossBetween val="between"/>
      </c:valAx>
      <c:dTable>
        <c:showHorzBorder val="1"/>
        <c:showVertBorder val="1"/>
        <c:showOutline val="1"/>
        <c:showKeys val="1"/>
      </c:dTable>
      <c:spPr>
        <a:ln w="0">
          <a:noFill/>
        </a:ln>
      </c:spPr>
    </c:plotArea>
    <c:plotVisOnly val="1"/>
  </c:chart>
  <c:spPr>
    <a:ln>
      <a:noFill/>
    </a:ln>
  </c:spPr>
  <c:txPr>
    <a:bodyPr/>
    <a:lstStyle/>
    <a:p>
      <a:pPr>
        <a:defRPr sz="750" b="1">
          <a:latin typeface="Times New Roman" pitchFamily="18" charset="0"/>
          <a:cs typeface="Times New Roman" pitchFamily="18" charset="0"/>
        </a:defRPr>
      </a:pPr>
      <a:endParaRPr lang="ru-RU"/>
    </a:p>
  </c:txPr>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u-RU"/>
  <c:style val="25"/>
  <c:chart>
    <c:title>
      <c:tx>
        <c:rich>
          <a:bodyPr/>
          <a:lstStyle/>
          <a:p>
            <a:pPr>
              <a:defRPr/>
            </a:pPr>
            <a:r>
              <a:rPr lang="ru-RU"/>
              <a:t>Поголовье свиней в разрезе городов и районов ПМР, голов</a:t>
            </a:r>
          </a:p>
        </c:rich>
      </c:tx>
      <c:layout>
        <c:manualLayout>
          <c:xMode val="edge"/>
          <c:yMode val="edge"/>
          <c:x val="0.23783399624066601"/>
          <c:y val="1.8098173371534981E-3"/>
        </c:manualLayout>
      </c:layout>
    </c:title>
    <c:plotArea>
      <c:layout>
        <c:manualLayout>
          <c:layoutTarget val="inner"/>
          <c:xMode val="edge"/>
          <c:yMode val="edge"/>
          <c:x val="0.14283536597686924"/>
          <c:y val="0.1185889397171143"/>
          <c:w val="0.83868777091922797"/>
          <c:h val="0.65422033686368775"/>
        </c:manualLayout>
      </c:layout>
      <c:barChart>
        <c:barDir val="col"/>
        <c:grouping val="clustered"/>
        <c:ser>
          <c:idx val="0"/>
          <c:order val="0"/>
          <c:tx>
            <c:strRef>
              <c:f>Лист1!$B$1</c:f>
              <c:strCache>
                <c:ptCount val="1"/>
                <c:pt idx="0">
                  <c:v>на 1.07.2013 г.</c:v>
                </c:pt>
              </c:strCache>
            </c:strRef>
          </c:tx>
          <c:spPr>
            <a:solidFill>
              <a:schemeClr val="accent5">
                <a:lumMod val="40000"/>
                <a:lumOff val="60000"/>
              </a:schemeClr>
            </a:solidFill>
          </c:spPr>
          <c:cat>
            <c:strRef>
              <c:f>Лист1!$A$2:$A$8</c:f>
              <c:strCache>
                <c:ptCount val="7"/>
                <c:pt idx="0">
                  <c:v>г. Тирасполь</c:v>
                </c:pt>
                <c:pt idx="1">
                  <c:v>г. Бендеры</c:v>
                </c:pt>
                <c:pt idx="2">
                  <c:v>Рыбницкий р-н</c:v>
                </c:pt>
                <c:pt idx="3">
                  <c:v>Дубоссарский     р-н</c:v>
                </c:pt>
                <c:pt idx="4">
                  <c:v>Слободзей     ский р-н</c:v>
                </c:pt>
                <c:pt idx="5">
                  <c:v>Григорио    польский р-н</c:v>
                </c:pt>
                <c:pt idx="6">
                  <c:v>Каменский       р-н</c:v>
                </c:pt>
              </c:strCache>
            </c:strRef>
          </c:cat>
          <c:val>
            <c:numRef>
              <c:f>Лист1!$B$2:$B$8</c:f>
              <c:numCache>
                <c:formatCode>General</c:formatCode>
                <c:ptCount val="7"/>
                <c:pt idx="1">
                  <c:v>252</c:v>
                </c:pt>
                <c:pt idx="2" formatCode="#,##0">
                  <c:v>4347</c:v>
                </c:pt>
                <c:pt idx="4" formatCode="#,##0">
                  <c:v>5352</c:v>
                </c:pt>
                <c:pt idx="5">
                  <c:v>418</c:v>
                </c:pt>
                <c:pt idx="6" formatCode="0">
                  <c:v>848</c:v>
                </c:pt>
              </c:numCache>
            </c:numRef>
          </c:val>
        </c:ser>
        <c:ser>
          <c:idx val="1"/>
          <c:order val="1"/>
          <c:tx>
            <c:strRef>
              <c:f>Лист1!$C$1</c:f>
              <c:strCache>
                <c:ptCount val="1"/>
                <c:pt idx="0">
                  <c:v>на 1.07.2014 г.</c:v>
                </c:pt>
              </c:strCache>
            </c:strRef>
          </c:tx>
          <c:spPr>
            <a:solidFill>
              <a:schemeClr val="accent3">
                <a:lumMod val="60000"/>
                <a:lumOff val="40000"/>
              </a:schemeClr>
            </a:solidFill>
          </c:spPr>
          <c:dLbls>
            <c:dLbl>
              <c:idx val="1"/>
              <c:layout>
                <c:manualLayout>
                  <c:x val="8.3594566353188821E-3"/>
                  <c:y val="0"/>
                </c:manualLayout>
              </c:layout>
              <c:tx>
                <c:rich>
                  <a:bodyPr/>
                  <a:lstStyle/>
                  <a:p>
                    <a:r>
                      <a:rPr lang="ru-RU"/>
                      <a:t>+83,3%*</a:t>
                    </a:r>
                    <a:endParaRPr lang="en-US"/>
                  </a:p>
                </c:rich>
              </c:tx>
              <c:showVal val="1"/>
            </c:dLbl>
            <c:dLbl>
              <c:idx val="2"/>
              <c:layout>
                <c:manualLayout>
                  <c:x val="1.0449320794148381E-2"/>
                  <c:y val="1.0335917312661499E-2"/>
                </c:manualLayout>
              </c:layout>
              <c:tx>
                <c:rich>
                  <a:bodyPr/>
                  <a:lstStyle/>
                  <a:p>
                    <a:r>
                      <a:rPr lang="ru-RU"/>
                      <a:t>-32,7%*</a:t>
                    </a:r>
                    <a:endParaRPr lang="en-US"/>
                  </a:p>
                </c:rich>
              </c:tx>
              <c:showVal val="1"/>
            </c:dLbl>
            <c:dLbl>
              <c:idx val="3"/>
              <c:layout>
                <c:manualLayout>
                  <c:x val="6.2695924764890314E-3"/>
                  <c:y val="6.8906115417743524E-3"/>
                </c:manualLayout>
              </c:layout>
              <c:tx>
                <c:rich>
                  <a:bodyPr/>
                  <a:lstStyle/>
                  <a:p>
                    <a:r>
                      <a:rPr lang="ru-RU"/>
                      <a:t>+5,8%*</a:t>
                    </a:r>
                    <a:endParaRPr lang="en-US"/>
                  </a:p>
                </c:rich>
              </c:tx>
              <c:showVal val="1"/>
            </c:dLbl>
            <c:dLbl>
              <c:idx val="4"/>
              <c:layout>
                <c:manualLayout>
                  <c:x val="4.1795429166126656E-3"/>
                  <c:y val="2.4110049619941981E-2"/>
                </c:manualLayout>
              </c:layout>
              <c:tx>
                <c:rich>
                  <a:bodyPr/>
                  <a:lstStyle/>
                  <a:p>
                    <a:r>
                      <a:rPr lang="ru-RU"/>
                      <a:t>+3,4%*</a:t>
                    </a:r>
                    <a:endParaRPr lang="en-US"/>
                  </a:p>
                </c:rich>
              </c:tx>
              <c:showVal val="1"/>
            </c:dLbl>
            <c:dLbl>
              <c:idx val="5"/>
              <c:layout>
                <c:manualLayout>
                  <c:x val="0"/>
                  <c:y val="6.8906115417743524E-3"/>
                </c:manualLayout>
              </c:layout>
              <c:tx>
                <c:rich>
                  <a:bodyPr/>
                  <a:lstStyle/>
                  <a:p>
                    <a:r>
                      <a:rPr lang="ru-RU"/>
                      <a:t>-28,9%*</a:t>
                    </a:r>
                    <a:endParaRPr lang="en-US"/>
                  </a:p>
                </c:rich>
              </c:tx>
              <c:showVal val="1"/>
            </c:dLbl>
            <c:dLbl>
              <c:idx val="6"/>
              <c:layout>
                <c:manualLayout>
                  <c:x val="-8.3594566353188821E-3"/>
                  <c:y val="6.8906115417743524E-3"/>
                </c:manualLayout>
              </c:layout>
              <c:tx>
                <c:rich>
                  <a:bodyPr/>
                  <a:lstStyle/>
                  <a:p>
                    <a:r>
                      <a:rPr lang="ru-RU"/>
                      <a:t>+68,3%*</a:t>
                    </a:r>
                    <a:endParaRPr lang="en-US"/>
                  </a:p>
                </c:rich>
              </c:tx>
              <c:showVal val="1"/>
            </c:dLbl>
            <c:showVal val="1"/>
          </c:dLbls>
          <c:cat>
            <c:strRef>
              <c:f>Лист1!$A$2:$A$8</c:f>
              <c:strCache>
                <c:ptCount val="7"/>
                <c:pt idx="0">
                  <c:v>г. Тирасполь</c:v>
                </c:pt>
                <c:pt idx="1">
                  <c:v>г. Бендеры</c:v>
                </c:pt>
                <c:pt idx="2">
                  <c:v>Рыбницкий р-н</c:v>
                </c:pt>
                <c:pt idx="3">
                  <c:v>Дубоссарский     р-н</c:v>
                </c:pt>
                <c:pt idx="4">
                  <c:v>Слободзей     ский р-н</c:v>
                </c:pt>
                <c:pt idx="5">
                  <c:v>Григорио    польский р-н</c:v>
                </c:pt>
                <c:pt idx="6">
                  <c:v>Каменский       р-н</c:v>
                </c:pt>
              </c:strCache>
            </c:strRef>
          </c:cat>
          <c:val>
            <c:numRef>
              <c:f>Лист1!$C$2:$C$8</c:f>
              <c:numCache>
                <c:formatCode>General</c:formatCode>
                <c:ptCount val="7"/>
                <c:pt idx="1">
                  <c:v>462</c:v>
                </c:pt>
                <c:pt idx="2" formatCode="#,##0">
                  <c:v>2927</c:v>
                </c:pt>
                <c:pt idx="4" formatCode="#,##0">
                  <c:v>5534</c:v>
                </c:pt>
                <c:pt idx="5" formatCode="#,##0">
                  <c:v>297</c:v>
                </c:pt>
                <c:pt idx="6" formatCode="#,##0">
                  <c:v>1427</c:v>
                </c:pt>
              </c:numCache>
            </c:numRef>
          </c:val>
        </c:ser>
        <c:gapWidth val="75"/>
        <c:axId val="237632896"/>
        <c:axId val="237700224"/>
      </c:barChart>
      <c:catAx>
        <c:axId val="237632896"/>
        <c:scaling>
          <c:orientation val="minMax"/>
        </c:scaling>
        <c:delete val="1"/>
        <c:axPos val="b"/>
        <c:majorTickMark val="none"/>
        <c:tickLblPos val="nextTo"/>
        <c:crossAx val="237700224"/>
        <c:crosses val="autoZero"/>
        <c:auto val="1"/>
        <c:lblAlgn val="ctr"/>
        <c:lblOffset val="100"/>
      </c:catAx>
      <c:valAx>
        <c:axId val="237700224"/>
        <c:scaling>
          <c:orientation val="minMax"/>
        </c:scaling>
        <c:axPos val="l"/>
        <c:numFmt formatCode="General" sourceLinked="1"/>
        <c:majorTickMark val="none"/>
        <c:tickLblPos val="nextTo"/>
        <c:spPr>
          <a:ln w="9525">
            <a:solidFill>
              <a:sysClr val="windowText" lastClr="000000"/>
            </a:solidFill>
          </a:ln>
        </c:spPr>
        <c:crossAx val="237632896"/>
        <c:crosses val="autoZero"/>
        <c:crossBetween val="between"/>
      </c:valAx>
      <c:dTable>
        <c:showHorzBorder val="1"/>
        <c:showVertBorder val="1"/>
        <c:showOutline val="1"/>
        <c:showKeys val="1"/>
      </c:dTable>
    </c:plotArea>
    <c:plotVisOnly val="1"/>
  </c:chart>
  <c:spPr>
    <a:ln>
      <a:noFill/>
    </a:ln>
  </c:spPr>
  <c:txPr>
    <a:bodyPr/>
    <a:lstStyle/>
    <a:p>
      <a:pPr>
        <a:defRPr sz="750" b="1">
          <a:latin typeface="Times New Roman" pitchFamily="18" charset="0"/>
          <a:cs typeface="Times New Roman" pitchFamily="18" charset="0"/>
        </a:defRPr>
      </a:pPr>
      <a:endParaRPr lang="ru-RU"/>
    </a:p>
  </c:tx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ru-RU"/>
  <c:style val="25"/>
  <c:chart>
    <c:title>
      <c:tx>
        <c:rich>
          <a:bodyPr/>
          <a:lstStyle/>
          <a:p>
            <a:pPr algn="ctr">
              <a:defRPr/>
            </a:pPr>
            <a:r>
              <a:rPr lang="ru-RU"/>
              <a:t>                                    Поголовье птицы всех возрастов в разрезе городов и районов           ПМР, голов</a:t>
            </a:r>
          </a:p>
          <a:p>
            <a:pPr algn="ctr">
              <a:defRPr/>
            </a:pPr>
            <a:r>
              <a:rPr lang="ru-RU"/>
              <a:t> </a:t>
            </a:r>
          </a:p>
        </c:rich>
      </c:tx>
      <c:layout>
        <c:manualLayout>
          <c:xMode val="edge"/>
          <c:yMode val="edge"/>
          <c:x val="0.13751834147360387"/>
          <c:y val="1.8096262534548092E-3"/>
        </c:manualLayout>
      </c:layout>
    </c:title>
    <c:plotArea>
      <c:layout>
        <c:manualLayout>
          <c:layoutTarget val="inner"/>
          <c:xMode val="edge"/>
          <c:yMode val="edge"/>
          <c:x val="0.15002672104842896"/>
          <c:y val="1.8222360778721535E-2"/>
          <c:w val="0.84158891045131334"/>
          <c:h val="0.76387247238082734"/>
        </c:manualLayout>
      </c:layout>
      <c:barChart>
        <c:barDir val="col"/>
        <c:grouping val="clustered"/>
        <c:ser>
          <c:idx val="0"/>
          <c:order val="0"/>
          <c:tx>
            <c:strRef>
              <c:f>Лист1!$B$1</c:f>
              <c:strCache>
                <c:ptCount val="1"/>
                <c:pt idx="0">
                  <c:v>на 1.07.2013 г.</c:v>
                </c:pt>
              </c:strCache>
            </c:strRef>
          </c:tx>
          <c:spPr>
            <a:solidFill>
              <a:schemeClr val="tx2">
                <a:lumMod val="60000"/>
                <a:lumOff val="40000"/>
              </a:schemeClr>
            </a:solidFill>
          </c:spPr>
          <c:cat>
            <c:strRef>
              <c:f>Лист1!$A$2:$A$8</c:f>
              <c:strCache>
                <c:ptCount val="7"/>
                <c:pt idx="0">
                  <c:v>г. Тирасполь</c:v>
                </c:pt>
                <c:pt idx="1">
                  <c:v>г. Бендеры</c:v>
                </c:pt>
                <c:pt idx="2">
                  <c:v>Рыбницкий р-н</c:v>
                </c:pt>
                <c:pt idx="3">
                  <c:v>Дубоссарский     р-н</c:v>
                </c:pt>
                <c:pt idx="4">
                  <c:v>Слободзей     ский р-н</c:v>
                </c:pt>
                <c:pt idx="5">
                  <c:v>Григорио    польский р-н</c:v>
                </c:pt>
                <c:pt idx="6">
                  <c:v>Каменский       р-н</c:v>
                </c:pt>
              </c:strCache>
            </c:strRef>
          </c:cat>
          <c:val>
            <c:numRef>
              <c:f>Лист1!$B$2:$B$8</c:f>
              <c:numCache>
                <c:formatCode>#,##0</c:formatCode>
                <c:ptCount val="7"/>
                <c:pt idx="1">
                  <c:v>14000</c:v>
                </c:pt>
                <c:pt idx="2">
                  <c:v>3325</c:v>
                </c:pt>
                <c:pt idx="3">
                  <c:v>232389</c:v>
                </c:pt>
                <c:pt idx="4">
                  <c:v>1665</c:v>
                </c:pt>
                <c:pt idx="6" formatCode="0">
                  <c:v>6557</c:v>
                </c:pt>
              </c:numCache>
            </c:numRef>
          </c:val>
        </c:ser>
        <c:ser>
          <c:idx val="1"/>
          <c:order val="1"/>
          <c:tx>
            <c:strRef>
              <c:f>Лист1!$C$1</c:f>
              <c:strCache>
                <c:ptCount val="1"/>
                <c:pt idx="0">
                  <c:v>на 1.07.2014 г.</c:v>
                </c:pt>
              </c:strCache>
            </c:strRef>
          </c:tx>
          <c:spPr>
            <a:solidFill>
              <a:schemeClr val="accent6">
                <a:lumMod val="40000"/>
                <a:lumOff val="60000"/>
              </a:schemeClr>
            </a:solidFill>
          </c:spPr>
          <c:dLbls>
            <c:dLbl>
              <c:idx val="1"/>
              <c:layout>
                <c:manualLayout>
                  <c:x val="8.3594566353188925E-3"/>
                  <c:y val="0"/>
                </c:manualLayout>
              </c:layout>
              <c:tx>
                <c:rich>
                  <a:bodyPr/>
                  <a:lstStyle/>
                  <a:p>
                    <a:r>
                      <a:rPr lang="ru-RU"/>
                      <a:t>+28,6%*</a:t>
                    </a:r>
                    <a:endParaRPr lang="en-US"/>
                  </a:p>
                </c:rich>
              </c:tx>
              <c:showVal val="1"/>
            </c:dLbl>
            <c:dLbl>
              <c:idx val="2"/>
              <c:layout>
                <c:manualLayout>
                  <c:x val="1.0449347426342938E-2"/>
                  <c:y val="-3.4385083287388945E-3"/>
                </c:manualLayout>
              </c:layout>
              <c:tx>
                <c:rich>
                  <a:bodyPr/>
                  <a:lstStyle/>
                  <a:p>
                    <a:r>
                      <a:rPr lang="ru-RU"/>
                      <a:t>-38,6%*</a:t>
                    </a:r>
                    <a:endParaRPr lang="en-US"/>
                  </a:p>
                </c:rich>
              </c:tx>
              <c:showVal val="1"/>
            </c:dLbl>
            <c:dLbl>
              <c:idx val="3"/>
              <c:layout>
                <c:manualLayout>
                  <c:x val="6.2695924764890314E-3"/>
                  <c:y val="6.8906115417743524E-3"/>
                </c:manualLayout>
              </c:layout>
              <c:tx>
                <c:rich>
                  <a:bodyPr/>
                  <a:lstStyle/>
                  <a:p>
                    <a:r>
                      <a:rPr lang="ru-RU"/>
                      <a:t>+12,1%*</a:t>
                    </a:r>
                    <a:endParaRPr lang="en-US"/>
                  </a:p>
                </c:rich>
              </c:tx>
              <c:showVal val="1"/>
            </c:dLbl>
            <c:dLbl>
              <c:idx val="4"/>
              <c:layout>
                <c:manualLayout>
                  <c:x val="4.1793106134551984E-3"/>
                  <c:y val="1.1999295979196118E-2"/>
                </c:manualLayout>
              </c:layout>
              <c:tx>
                <c:rich>
                  <a:bodyPr/>
                  <a:lstStyle/>
                  <a:p>
                    <a:r>
                      <a:rPr lang="ru-RU"/>
                      <a:t>-61,4%*</a:t>
                    </a:r>
                    <a:endParaRPr lang="en-US"/>
                  </a:p>
                </c:rich>
              </c:tx>
              <c:showVal val="1"/>
            </c:dLbl>
            <c:dLbl>
              <c:idx val="5"/>
              <c:layout>
                <c:manualLayout>
                  <c:x val="0"/>
                  <c:y val="6.8906115417743524E-3"/>
                </c:manualLayout>
              </c:layout>
              <c:tx>
                <c:rich>
                  <a:bodyPr/>
                  <a:lstStyle/>
                  <a:p>
                    <a:r>
                      <a:rPr lang="ru-RU"/>
                      <a:t>-28,9%*</a:t>
                    </a:r>
                    <a:endParaRPr lang="en-US"/>
                  </a:p>
                </c:rich>
              </c:tx>
              <c:showVal val="1"/>
            </c:dLbl>
            <c:dLbl>
              <c:idx val="6"/>
              <c:layout>
                <c:manualLayout>
                  <c:x val="-8.3594566353188925E-3"/>
                  <c:y val="6.8906115417743524E-3"/>
                </c:manualLayout>
              </c:layout>
              <c:tx>
                <c:rich>
                  <a:bodyPr/>
                  <a:lstStyle/>
                  <a:p>
                    <a:r>
                      <a:rPr lang="ru-RU"/>
                      <a:t>-9,8%*</a:t>
                    </a:r>
                    <a:endParaRPr lang="en-US"/>
                  </a:p>
                </c:rich>
              </c:tx>
              <c:showVal val="1"/>
            </c:dLbl>
            <c:showVal val="1"/>
          </c:dLbls>
          <c:cat>
            <c:strRef>
              <c:f>Лист1!$A$2:$A$8</c:f>
              <c:strCache>
                <c:ptCount val="7"/>
                <c:pt idx="0">
                  <c:v>г. Тирасполь</c:v>
                </c:pt>
                <c:pt idx="1">
                  <c:v>г. Бендеры</c:v>
                </c:pt>
                <c:pt idx="2">
                  <c:v>Рыбницкий р-н</c:v>
                </c:pt>
                <c:pt idx="3">
                  <c:v>Дубоссарский     р-н</c:v>
                </c:pt>
                <c:pt idx="4">
                  <c:v>Слободзей     ский р-н</c:v>
                </c:pt>
                <c:pt idx="5">
                  <c:v>Григорио    польский р-н</c:v>
                </c:pt>
                <c:pt idx="6">
                  <c:v>Каменский       р-н</c:v>
                </c:pt>
              </c:strCache>
            </c:strRef>
          </c:cat>
          <c:val>
            <c:numRef>
              <c:f>Лист1!$C$2:$C$8</c:f>
              <c:numCache>
                <c:formatCode>#,##0</c:formatCode>
                <c:ptCount val="7"/>
                <c:pt idx="1">
                  <c:v>18000</c:v>
                </c:pt>
                <c:pt idx="2">
                  <c:v>2041</c:v>
                </c:pt>
                <c:pt idx="3">
                  <c:v>260525</c:v>
                </c:pt>
                <c:pt idx="4">
                  <c:v>642</c:v>
                </c:pt>
                <c:pt idx="6">
                  <c:v>5912</c:v>
                </c:pt>
              </c:numCache>
            </c:numRef>
          </c:val>
        </c:ser>
        <c:gapWidth val="75"/>
        <c:axId val="237734912"/>
        <c:axId val="237757184"/>
      </c:barChart>
      <c:catAx>
        <c:axId val="237734912"/>
        <c:scaling>
          <c:orientation val="minMax"/>
        </c:scaling>
        <c:delete val="1"/>
        <c:axPos val="b"/>
        <c:majorTickMark val="none"/>
        <c:tickLblPos val="nextTo"/>
        <c:crossAx val="237757184"/>
        <c:crosses val="autoZero"/>
        <c:auto val="1"/>
        <c:lblAlgn val="ctr"/>
        <c:lblOffset val="100"/>
      </c:catAx>
      <c:valAx>
        <c:axId val="237757184"/>
        <c:scaling>
          <c:orientation val="minMax"/>
        </c:scaling>
        <c:axPos val="l"/>
        <c:numFmt formatCode="General" sourceLinked="1"/>
        <c:tickLblPos val="nextTo"/>
        <c:spPr>
          <a:ln>
            <a:solidFill>
              <a:sysClr val="windowText" lastClr="000000"/>
            </a:solidFill>
          </a:ln>
        </c:spPr>
        <c:crossAx val="237734912"/>
        <c:crosses val="autoZero"/>
        <c:crossBetween val="between"/>
      </c:valAx>
      <c:dTable>
        <c:showHorzBorder val="1"/>
        <c:showVertBorder val="1"/>
        <c:showOutline val="1"/>
        <c:showKeys val="1"/>
      </c:dTable>
    </c:plotArea>
    <c:plotVisOnly val="1"/>
  </c:chart>
  <c:spPr>
    <a:ln>
      <a:noFill/>
    </a:ln>
  </c:spPr>
  <c:txPr>
    <a:bodyPr/>
    <a:lstStyle/>
    <a:p>
      <a:pPr>
        <a:defRPr sz="750" b="1">
          <a:latin typeface="Times New Roman" pitchFamily="18" charset="0"/>
          <a:cs typeface="Times New Roman" pitchFamily="18" charset="0"/>
        </a:defRPr>
      </a:pPr>
      <a:endParaRPr lang="ru-RU"/>
    </a:p>
  </c:txPr>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ru-RU"/>
  <c:style val="27"/>
  <c:chart>
    <c:title>
      <c:tx>
        <c:rich>
          <a:bodyPr/>
          <a:lstStyle/>
          <a:p>
            <a:pPr>
              <a:defRPr/>
            </a:pPr>
            <a:r>
              <a:rPr lang="ru-RU"/>
              <a:t>                    Реализация скота и птицы на убой (в живом весе) в разрезе городов и районов ПМР, тонн	</a:t>
            </a:r>
          </a:p>
        </c:rich>
      </c:tx>
      <c:layout>
        <c:manualLayout>
          <c:xMode val="edge"/>
          <c:yMode val="edge"/>
          <c:x val="0.10385556945568719"/>
          <c:y val="0"/>
        </c:manualLayout>
      </c:layout>
    </c:title>
    <c:plotArea>
      <c:layout>
        <c:manualLayout>
          <c:layoutTarget val="inner"/>
          <c:xMode val="edge"/>
          <c:yMode val="edge"/>
          <c:x val="0.18840742978011063"/>
          <c:y val="0.14277143279232815"/>
          <c:w val="0.78692504763551574"/>
          <c:h val="0.49241939700600701"/>
        </c:manualLayout>
      </c:layout>
      <c:barChart>
        <c:barDir val="col"/>
        <c:grouping val="clustered"/>
        <c:ser>
          <c:idx val="0"/>
          <c:order val="0"/>
          <c:tx>
            <c:strRef>
              <c:f>Лист1!$B$1</c:f>
              <c:strCache>
                <c:ptCount val="1"/>
                <c:pt idx="0">
                  <c:v>январь-июнь 2013 г.</c:v>
                </c:pt>
              </c:strCache>
            </c:strRef>
          </c:tx>
          <c:spPr>
            <a:solidFill>
              <a:srgbClr val="00B050"/>
            </a:solidFill>
          </c:spPr>
          <c:cat>
            <c:strRef>
              <c:f>Лист1!$A$2:$A$8</c:f>
              <c:strCache>
                <c:ptCount val="7"/>
                <c:pt idx="0">
                  <c:v>г. Тирасполь</c:v>
                </c:pt>
                <c:pt idx="1">
                  <c:v>г. Бендеры</c:v>
                </c:pt>
                <c:pt idx="2">
                  <c:v>Рыбницкий    р-н</c:v>
                </c:pt>
                <c:pt idx="3">
                  <c:v>Дубоссар     ский р-н</c:v>
                </c:pt>
                <c:pt idx="4">
                  <c:v>Слободзей    ский р-н</c:v>
                </c:pt>
                <c:pt idx="5">
                  <c:v>Григориопо      льский р-н</c:v>
                </c:pt>
                <c:pt idx="6">
                  <c:v>Каменский     р-н</c:v>
                </c:pt>
              </c:strCache>
            </c:strRef>
          </c:cat>
          <c:val>
            <c:numRef>
              <c:f>Лист1!$B$2:$B$8</c:f>
              <c:numCache>
                <c:formatCode>General</c:formatCode>
                <c:ptCount val="7"/>
                <c:pt idx="1">
                  <c:v>121.4</c:v>
                </c:pt>
                <c:pt idx="2">
                  <c:v>468.7</c:v>
                </c:pt>
                <c:pt idx="3">
                  <c:v>370.9</c:v>
                </c:pt>
                <c:pt idx="4">
                  <c:v>527.6</c:v>
                </c:pt>
                <c:pt idx="5">
                  <c:v>34.800000000000004</c:v>
                </c:pt>
                <c:pt idx="6">
                  <c:v>159.4</c:v>
                </c:pt>
              </c:numCache>
            </c:numRef>
          </c:val>
        </c:ser>
        <c:ser>
          <c:idx val="1"/>
          <c:order val="1"/>
          <c:tx>
            <c:strRef>
              <c:f>Лист1!$C$1</c:f>
              <c:strCache>
                <c:ptCount val="1"/>
                <c:pt idx="0">
                  <c:v>январь-июнь 2014 г.</c:v>
                </c:pt>
              </c:strCache>
            </c:strRef>
          </c:tx>
          <c:spPr>
            <a:solidFill>
              <a:schemeClr val="accent3">
                <a:lumMod val="40000"/>
                <a:lumOff val="60000"/>
              </a:schemeClr>
            </a:solidFill>
          </c:spPr>
          <c:dLbls>
            <c:dLbl>
              <c:idx val="0"/>
              <c:layout>
                <c:manualLayout>
                  <c:x val="2.1381227282446626E-3"/>
                  <c:y val="-9.040827191974668E-2"/>
                </c:manualLayout>
              </c:layout>
              <c:tx>
                <c:rich>
                  <a:bodyPr/>
                  <a:lstStyle/>
                  <a:p>
                    <a:r>
                      <a:rPr lang="ru-RU" b="1">
                        <a:latin typeface="Times New Roman" pitchFamily="18" charset="0"/>
                        <a:cs typeface="Times New Roman" pitchFamily="18" charset="0"/>
                      </a:rPr>
                      <a:t>+16,9%*</a:t>
                    </a:r>
                    <a:endParaRPr lang="en-US" b="1">
                      <a:latin typeface="Times New Roman" pitchFamily="18" charset="0"/>
                      <a:cs typeface="Times New Roman" pitchFamily="18" charset="0"/>
                    </a:endParaRPr>
                  </a:p>
                </c:rich>
              </c:tx>
              <c:dLblPos val="inEnd"/>
              <c:showVal val="1"/>
            </c:dLbl>
            <c:dLbl>
              <c:idx val="1"/>
              <c:layout>
                <c:manualLayout>
                  <c:x val="6.5880947573860957E-3"/>
                  <c:y val="-0.10988451443569559"/>
                </c:manualLayout>
              </c:layout>
              <c:tx>
                <c:rich>
                  <a:bodyPr/>
                  <a:lstStyle/>
                  <a:p>
                    <a:r>
                      <a:rPr lang="ru-RU" b="1">
                        <a:latin typeface="Times New Roman" pitchFamily="18" charset="0"/>
                        <a:cs typeface="Times New Roman" pitchFamily="18" charset="0"/>
                      </a:rPr>
                      <a:t>-38,2%*</a:t>
                    </a:r>
                    <a:endParaRPr lang="en-US" b="1">
                      <a:latin typeface="Times New Roman" pitchFamily="18" charset="0"/>
                      <a:cs typeface="Times New Roman" pitchFamily="18" charset="0"/>
                    </a:endParaRPr>
                  </a:p>
                </c:rich>
              </c:tx>
              <c:dLblPos val="inEnd"/>
              <c:showVal val="1"/>
            </c:dLbl>
            <c:dLbl>
              <c:idx val="2"/>
              <c:layout>
                <c:manualLayout>
                  <c:x val="1.4841252320095498E-2"/>
                  <c:y val="-9.1714211953014074E-2"/>
                </c:manualLayout>
              </c:layout>
              <c:tx>
                <c:rich>
                  <a:bodyPr/>
                  <a:lstStyle/>
                  <a:p>
                    <a:r>
                      <a:rPr lang="ru-RU" b="1">
                        <a:latin typeface="Times New Roman" pitchFamily="18" charset="0"/>
                        <a:cs typeface="Times New Roman" pitchFamily="18" charset="0"/>
                      </a:rPr>
                      <a:t>-29,3%*</a:t>
                    </a:r>
                    <a:endParaRPr lang="en-US" b="1">
                      <a:latin typeface="Times New Roman" pitchFamily="18" charset="0"/>
                      <a:cs typeface="Times New Roman" pitchFamily="18" charset="0"/>
                    </a:endParaRPr>
                  </a:p>
                </c:rich>
              </c:tx>
              <c:dLblPos val="inEnd"/>
              <c:showVal val="1"/>
            </c:dLbl>
            <c:dLbl>
              <c:idx val="3"/>
              <c:layout>
                <c:manualLayout>
                  <c:x val="4.8076923076923114E-3"/>
                  <c:y val="-8.9610594130280316E-2"/>
                </c:manualLayout>
              </c:layout>
              <c:tx>
                <c:rich>
                  <a:bodyPr/>
                  <a:lstStyle/>
                  <a:p>
                    <a:r>
                      <a:rPr lang="ru-RU" b="1">
                        <a:latin typeface="Times New Roman" pitchFamily="18" charset="0"/>
                        <a:cs typeface="Times New Roman" pitchFamily="18" charset="0"/>
                      </a:rPr>
                      <a:t>+38,9%*</a:t>
                    </a:r>
                    <a:endParaRPr lang="en-US" b="1">
                      <a:latin typeface="Times New Roman" pitchFamily="18" charset="0"/>
                      <a:cs typeface="Times New Roman" pitchFamily="18" charset="0"/>
                    </a:endParaRPr>
                  </a:p>
                </c:rich>
              </c:tx>
              <c:dLblPos val="inEnd"/>
              <c:showVal val="1"/>
            </c:dLbl>
            <c:dLbl>
              <c:idx val="4"/>
              <c:layout>
                <c:manualLayout>
                  <c:x val="1.6797246138625196E-2"/>
                  <c:y val="-9.9099866615034268E-2"/>
                </c:manualLayout>
              </c:layout>
              <c:tx>
                <c:rich>
                  <a:bodyPr/>
                  <a:lstStyle/>
                  <a:p>
                    <a:r>
                      <a:rPr lang="ru-RU" b="1">
                        <a:latin typeface="Times New Roman" pitchFamily="18" charset="0"/>
                        <a:cs typeface="Times New Roman" pitchFamily="18" charset="0"/>
                      </a:rPr>
                      <a:t>-24,6%*</a:t>
                    </a:r>
                    <a:endParaRPr lang="en-US" b="1">
                      <a:latin typeface="Times New Roman" pitchFamily="18" charset="0"/>
                      <a:cs typeface="Times New Roman" pitchFamily="18" charset="0"/>
                    </a:endParaRPr>
                  </a:p>
                </c:rich>
              </c:tx>
              <c:dLblPos val="inEnd"/>
              <c:showVal val="1"/>
            </c:dLbl>
            <c:dLbl>
              <c:idx val="5"/>
              <c:layout>
                <c:manualLayout>
                  <c:x val="4.2735545907228913E-3"/>
                  <c:y val="-2.6421410438449477E-2"/>
                </c:manualLayout>
              </c:layout>
              <c:tx>
                <c:rich>
                  <a:bodyPr/>
                  <a:lstStyle/>
                  <a:p>
                    <a:r>
                      <a:rPr lang="ru-RU" b="1">
                        <a:latin typeface="Times New Roman" pitchFamily="18" charset="0"/>
                        <a:cs typeface="Times New Roman" pitchFamily="18" charset="0"/>
                      </a:rPr>
                      <a:t>+2,3%*</a:t>
                    </a:r>
                    <a:endParaRPr lang="en-US" b="1">
                      <a:latin typeface="Times New Roman" pitchFamily="18" charset="0"/>
                      <a:cs typeface="Times New Roman" pitchFamily="18" charset="0"/>
                    </a:endParaRPr>
                  </a:p>
                </c:rich>
              </c:tx>
              <c:dLblPos val="inEnd"/>
              <c:showVal val="1"/>
            </c:dLbl>
            <c:dLbl>
              <c:idx val="6"/>
              <c:layout>
                <c:manualLayout>
                  <c:x val="6.9445057685546523E-3"/>
                  <c:y val="-0.12299384708059106"/>
                </c:manualLayout>
              </c:layout>
              <c:tx>
                <c:rich>
                  <a:bodyPr/>
                  <a:lstStyle/>
                  <a:p>
                    <a:r>
                      <a:rPr lang="ru-RU" b="1">
                        <a:latin typeface="Times New Roman" pitchFamily="18" charset="0"/>
                        <a:cs typeface="Times New Roman" pitchFamily="18" charset="0"/>
                      </a:rPr>
                      <a:t>-61,6%*</a:t>
                    </a:r>
                    <a:endParaRPr lang="en-US" b="1">
                      <a:latin typeface="Times New Roman" pitchFamily="18" charset="0"/>
                      <a:cs typeface="Times New Roman" pitchFamily="18" charset="0"/>
                    </a:endParaRPr>
                  </a:p>
                </c:rich>
              </c:tx>
              <c:dLblPos val="inEnd"/>
              <c:showVal val="1"/>
            </c:dLbl>
            <c:dLblPos val="inEnd"/>
            <c:showVal val="1"/>
          </c:dLbls>
          <c:cat>
            <c:strRef>
              <c:f>Лист1!$A$2:$A$8</c:f>
              <c:strCache>
                <c:ptCount val="7"/>
                <c:pt idx="0">
                  <c:v>г. Тирасполь</c:v>
                </c:pt>
                <c:pt idx="1">
                  <c:v>г. Бендеры</c:v>
                </c:pt>
                <c:pt idx="2">
                  <c:v>Рыбницкий    р-н</c:v>
                </c:pt>
                <c:pt idx="3">
                  <c:v>Дубоссар     ский р-н</c:v>
                </c:pt>
                <c:pt idx="4">
                  <c:v>Слободзей    ский р-н</c:v>
                </c:pt>
                <c:pt idx="5">
                  <c:v>Григориопо      льский р-н</c:v>
                </c:pt>
                <c:pt idx="6">
                  <c:v>Каменский     р-н</c:v>
                </c:pt>
              </c:strCache>
            </c:strRef>
          </c:cat>
          <c:val>
            <c:numRef>
              <c:f>Лист1!$C$2:$C$8</c:f>
              <c:numCache>
                <c:formatCode>0.0</c:formatCode>
                <c:ptCount val="7"/>
                <c:pt idx="1">
                  <c:v>75</c:v>
                </c:pt>
                <c:pt idx="2" formatCode="General">
                  <c:v>331.2</c:v>
                </c:pt>
                <c:pt idx="3" formatCode="General">
                  <c:v>515.29999999999995</c:v>
                </c:pt>
                <c:pt idx="4" formatCode="General">
                  <c:v>397.7</c:v>
                </c:pt>
                <c:pt idx="5" formatCode="General">
                  <c:v>35.6</c:v>
                </c:pt>
                <c:pt idx="6" formatCode="General">
                  <c:v>61.1</c:v>
                </c:pt>
              </c:numCache>
            </c:numRef>
          </c:val>
        </c:ser>
        <c:axId val="237771392"/>
        <c:axId val="237785856"/>
      </c:barChart>
      <c:catAx>
        <c:axId val="237771392"/>
        <c:scaling>
          <c:orientation val="minMax"/>
        </c:scaling>
        <c:axPos val="b"/>
        <c:title>
          <c:tx>
            <c:rich>
              <a:bodyPr/>
              <a:lstStyle/>
              <a:p>
                <a:pPr>
                  <a:defRPr/>
                </a:pPr>
                <a:r>
                  <a:rPr lang="ru-RU"/>
                  <a:t>       * - темп роста(спада) к соответствующему периоду  прошлого года, %</a:t>
                </a:r>
              </a:p>
            </c:rich>
          </c:tx>
          <c:layout>
            <c:manualLayout>
              <c:xMode val="edge"/>
              <c:yMode val="edge"/>
              <c:x val="1.8461010130743061E-3"/>
              <c:y val="0.93226840497396846"/>
            </c:manualLayout>
          </c:layout>
        </c:title>
        <c:tickLblPos val="nextTo"/>
        <c:crossAx val="237785856"/>
        <c:crosses val="autoZero"/>
        <c:auto val="1"/>
        <c:lblAlgn val="ctr"/>
        <c:lblOffset val="100"/>
      </c:catAx>
      <c:valAx>
        <c:axId val="237785856"/>
        <c:scaling>
          <c:orientation val="minMax"/>
        </c:scaling>
        <c:axPos val="l"/>
        <c:numFmt formatCode="General" sourceLinked="1"/>
        <c:tickLblPos val="nextTo"/>
        <c:crossAx val="237771392"/>
        <c:crosses val="autoZero"/>
        <c:crossBetween val="between"/>
      </c:valAx>
      <c:dTable>
        <c:showHorzBorder val="1"/>
        <c:showVertBorder val="1"/>
        <c:showOutline val="1"/>
        <c:showKeys val="1"/>
      </c:dTable>
      <c:spPr>
        <a:noFill/>
        <a:ln w="25400">
          <a:noFill/>
        </a:ln>
      </c:spPr>
    </c:plotArea>
    <c:plotVisOnly val="1"/>
  </c:chart>
  <c:spPr>
    <a:ln>
      <a:noFill/>
    </a:ln>
  </c:spPr>
  <c:txPr>
    <a:bodyPr/>
    <a:lstStyle/>
    <a:p>
      <a:pPr>
        <a:defRPr sz="750" b="1">
          <a:latin typeface="Times New Roman" pitchFamily="18" charset="0"/>
          <a:cs typeface="Times New Roman" pitchFamily="18" charset="0"/>
        </a:defRPr>
      </a:pPr>
      <a:endParaRPr lang="ru-RU"/>
    </a:p>
  </c:txPr>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ru-RU"/>
  <c:style val="27"/>
  <c:chart>
    <c:title>
      <c:tx>
        <c:rich>
          <a:bodyPr/>
          <a:lstStyle/>
          <a:p>
            <a:pPr>
              <a:defRPr/>
            </a:pPr>
            <a:r>
              <a:rPr lang="ru-RU"/>
              <a:t>                            Производство молока коровьего в разрезе городов и районов ПМР, тонн	</a:t>
            </a:r>
          </a:p>
        </c:rich>
      </c:tx>
      <c:layout>
        <c:manualLayout>
          <c:xMode val="edge"/>
          <c:yMode val="edge"/>
          <c:x val="0.10385556945568719"/>
          <c:y val="0"/>
        </c:manualLayout>
      </c:layout>
    </c:title>
    <c:plotArea>
      <c:layout>
        <c:manualLayout>
          <c:layoutTarget val="inner"/>
          <c:xMode val="edge"/>
          <c:yMode val="edge"/>
          <c:x val="0.19035200039247441"/>
          <c:y val="0.15919753883223775"/>
          <c:w val="0.7930332540208177"/>
          <c:h val="0.49241943117766379"/>
        </c:manualLayout>
      </c:layout>
      <c:barChart>
        <c:barDir val="col"/>
        <c:grouping val="clustered"/>
        <c:ser>
          <c:idx val="0"/>
          <c:order val="0"/>
          <c:tx>
            <c:strRef>
              <c:f>Лист1!$B$1</c:f>
              <c:strCache>
                <c:ptCount val="1"/>
                <c:pt idx="0">
                  <c:v>январь-июнь 2013 г.</c:v>
                </c:pt>
              </c:strCache>
            </c:strRef>
          </c:tx>
          <c:spPr>
            <a:solidFill>
              <a:schemeClr val="accent2">
                <a:lumMod val="40000"/>
                <a:lumOff val="60000"/>
              </a:schemeClr>
            </a:solidFill>
          </c:spPr>
          <c:cat>
            <c:strRef>
              <c:f>Лист1!$A$2:$A$8</c:f>
              <c:strCache>
                <c:ptCount val="7"/>
                <c:pt idx="0">
                  <c:v>г. Тирасполь</c:v>
                </c:pt>
                <c:pt idx="1">
                  <c:v>г.Бендеры</c:v>
                </c:pt>
                <c:pt idx="2">
                  <c:v>Рыбницкий    р-н</c:v>
                </c:pt>
                <c:pt idx="3">
                  <c:v>Дубоссар     ский р-н</c:v>
                </c:pt>
                <c:pt idx="4">
                  <c:v>Слободзей    ский р-н</c:v>
                </c:pt>
                <c:pt idx="5">
                  <c:v>Григориопо      льский р-н</c:v>
                </c:pt>
                <c:pt idx="6">
                  <c:v>Каменский     р-н</c:v>
                </c:pt>
              </c:strCache>
            </c:strRef>
          </c:cat>
          <c:val>
            <c:numRef>
              <c:f>Лист1!$B$2:$B$8</c:f>
              <c:numCache>
                <c:formatCode>General</c:formatCode>
                <c:ptCount val="7"/>
                <c:pt idx="1">
                  <c:v>5.6</c:v>
                </c:pt>
                <c:pt idx="2" formatCode="#,##0.0">
                  <c:v>1597.4</c:v>
                </c:pt>
                <c:pt idx="3">
                  <c:v>81.3</c:v>
                </c:pt>
                <c:pt idx="4">
                  <c:v>1140.5</c:v>
                </c:pt>
                <c:pt idx="5">
                  <c:v>231.9</c:v>
                </c:pt>
              </c:numCache>
            </c:numRef>
          </c:val>
        </c:ser>
        <c:ser>
          <c:idx val="1"/>
          <c:order val="1"/>
          <c:tx>
            <c:strRef>
              <c:f>Лист1!$C$1</c:f>
              <c:strCache>
                <c:ptCount val="1"/>
                <c:pt idx="0">
                  <c:v>январь-июнь 2014 г.</c:v>
                </c:pt>
              </c:strCache>
            </c:strRef>
          </c:tx>
          <c:spPr>
            <a:solidFill>
              <a:schemeClr val="accent3">
                <a:lumMod val="40000"/>
                <a:lumOff val="60000"/>
              </a:schemeClr>
            </a:solidFill>
          </c:spPr>
          <c:dLbls>
            <c:dLbl>
              <c:idx val="0"/>
              <c:layout>
                <c:manualLayout>
                  <c:x val="2.1381227282446635E-3"/>
                  <c:y val="-9.040827191974668E-2"/>
                </c:manualLayout>
              </c:layout>
              <c:tx>
                <c:rich>
                  <a:bodyPr/>
                  <a:lstStyle/>
                  <a:p>
                    <a:r>
                      <a:rPr lang="ru-RU" b="1">
                        <a:latin typeface="Times New Roman" pitchFamily="18" charset="0"/>
                        <a:cs typeface="Times New Roman" pitchFamily="18" charset="0"/>
                      </a:rPr>
                      <a:t>+16,9%*</a:t>
                    </a:r>
                    <a:endParaRPr lang="en-US" b="1">
                      <a:latin typeface="Times New Roman" pitchFamily="18" charset="0"/>
                      <a:cs typeface="Times New Roman" pitchFamily="18" charset="0"/>
                    </a:endParaRPr>
                  </a:p>
                </c:rich>
              </c:tx>
              <c:dLblPos val="inEnd"/>
              <c:showVal val="1"/>
            </c:dLbl>
            <c:dLbl>
              <c:idx val="1"/>
              <c:layout>
                <c:manualLayout>
                  <c:x val="-1.7193645186875004E-3"/>
                  <c:y val="2.6727335312594202E-2"/>
                </c:manualLayout>
              </c:layout>
              <c:tx>
                <c:rich>
                  <a:bodyPr/>
                  <a:lstStyle/>
                  <a:p>
                    <a:r>
                      <a:rPr lang="ru-RU" b="1">
                        <a:latin typeface="Times New Roman" pitchFamily="18" charset="0"/>
                        <a:cs typeface="Times New Roman" pitchFamily="18" charset="0"/>
                      </a:rPr>
                      <a:t>в 2,1 р.*</a:t>
                    </a:r>
                    <a:endParaRPr lang="en-US" b="1">
                      <a:latin typeface="Times New Roman" pitchFamily="18" charset="0"/>
                      <a:cs typeface="Times New Roman" pitchFamily="18" charset="0"/>
                    </a:endParaRPr>
                  </a:p>
                </c:rich>
              </c:tx>
              <c:dLblPos val="inEnd"/>
              <c:showVal val="1"/>
            </c:dLbl>
            <c:dLbl>
              <c:idx val="2"/>
              <c:layout>
                <c:manualLayout>
                  <c:x val="1.4841252320095498E-2"/>
                  <c:y val="-9.1714211953014074E-2"/>
                </c:manualLayout>
              </c:layout>
              <c:tx>
                <c:rich>
                  <a:bodyPr/>
                  <a:lstStyle/>
                  <a:p>
                    <a:r>
                      <a:rPr lang="ru-RU" b="1">
                        <a:latin typeface="Times New Roman" pitchFamily="18" charset="0"/>
                        <a:cs typeface="Times New Roman" pitchFamily="18" charset="0"/>
                      </a:rPr>
                      <a:t>+26,5%*</a:t>
                    </a:r>
                    <a:endParaRPr lang="en-US" b="1">
                      <a:latin typeface="Times New Roman" pitchFamily="18" charset="0"/>
                      <a:cs typeface="Times New Roman" pitchFamily="18" charset="0"/>
                    </a:endParaRPr>
                  </a:p>
                </c:rich>
              </c:tx>
              <c:dLblPos val="inEnd"/>
              <c:showVal val="1"/>
            </c:dLbl>
            <c:dLbl>
              <c:idx val="3"/>
              <c:layout>
                <c:manualLayout>
                  <c:x val="1.1038176302728521E-2"/>
                  <c:y val="-3.4965793210274945E-2"/>
                </c:manualLayout>
              </c:layout>
              <c:tx>
                <c:rich>
                  <a:bodyPr/>
                  <a:lstStyle/>
                  <a:p>
                    <a:r>
                      <a:rPr lang="ru-RU" b="1">
                        <a:latin typeface="Times New Roman" pitchFamily="18" charset="0"/>
                        <a:cs typeface="Times New Roman" pitchFamily="18" charset="0"/>
                      </a:rPr>
                      <a:t>+7,6%*</a:t>
                    </a:r>
                    <a:endParaRPr lang="en-US" b="1">
                      <a:latin typeface="Times New Roman" pitchFamily="18" charset="0"/>
                      <a:cs typeface="Times New Roman" pitchFamily="18" charset="0"/>
                    </a:endParaRPr>
                  </a:p>
                </c:rich>
              </c:tx>
              <c:dLblPos val="inEnd"/>
              <c:showVal val="1"/>
            </c:dLbl>
            <c:dLbl>
              <c:idx val="4"/>
              <c:layout>
                <c:manualLayout>
                  <c:x val="1.6797246138625196E-2"/>
                  <c:y val="-9.9099866615034268E-2"/>
                </c:manualLayout>
              </c:layout>
              <c:tx>
                <c:rich>
                  <a:bodyPr/>
                  <a:lstStyle/>
                  <a:p>
                    <a:r>
                      <a:rPr lang="ru-RU" b="1">
                        <a:latin typeface="Times New Roman" pitchFamily="18" charset="0"/>
                        <a:cs typeface="Times New Roman" pitchFamily="18" charset="0"/>
                      </a:rPr>
                      <a:t>-7,2%*</a:t>
                    </a:r>
                    <a:endParaRPr lang="en-US" b="1">
                      <a:latin typeface="Times New Roman" pitchFamily="18" charset="0"/>
                      <a:cs typeface="Times New Roman" pitchFamily="18" charset="0"/>
                    </a:endParaRPr>
                  </a:p>
                </c:rich>
              </c:tx>
              <c:dLblPos val="inEnd"/>
              <c:showVal val="1"/>
            </c:dLbl>
            <c:dLbl>
              <c:idx val="5"/>
              <c:layout>
                <c:manualLayout>
                  <c:x val="4.2735545907228913E-3"/>
                  <c:y val="-2.6421410438449488E-2"/>
                </c:manualLayout>
              </c:layout>
              <c:tx>
                <c:rich>
                  <a:bodyPr/>
                  <a:lstStyle/>
                  <a:p>
                    <a:r>
                      <a:rPr lang="ru-RU" b="1">
                        <a:latin typeface="Times New Roman" pitchFamily="18" charset="0"/>
                        <a:cs typeface="Times New Roman" pitchFamily="18" charset="0"/>
                      </a:rPr>
                      <a:t>+44,5%*</a:t>
                    </a:r>
                    <a:endParaRPr lang="en-US" b="1">
                      <a:latin typeface="Times New Roman" pitchFamily="18" charset="0"/>
                      <a:cs typeface="Times New Roman" pitchFamily="18" charset="0"/>
                    </a:endParaRPr>
                  </a:p>
                </c:rich>
              </c:tx>
              <c:dLblPos val="inEnd"/>
              <c:showVal val="1"/>
            </c:dLbl>
            <c:dLbl>
              <c:idx val="6"/>
              <c:layout>
                <c:manualLayout>
                  <c:x val="6.9445057685546523E-3"/>
                  <c:y val="-0.12299384708059111"/>
                </c:manualLayout>
              </c:layout>
              <c:tx>
                <c:rich>
                  <a:bodyPr/>
                  <a:lstStyle/>
                  <a:p>
                    <a:r>
                      <a:rPr lang="ru-RU" b="1">
                        <a:latin typeface="Times New Roman" pitchFamily="18" charset="0"/>
                        <a:cs typeface="Times New Roman" pitchFamily="18" charset="0"/>
                      </a:rPr>
                      <a:t>-61,6%*</a:t>
                    </a:r>
                    <a:endParaRPr lang="en-US" b="1">
                      <a:latin typeface="Times New Roman" pitchFamily="18" charset="0"/>
                      <a:cs typeface="Times New Roman" pitchFamily="18" charset="0"/>
                    </a:endParaRPr>
                  </a:p>
                </c:rich>
              </c:tx>
              <c:dLblPos val="inEnd"/>
              <c:showVal val="1"/>
            </c:dLbl>
            <c:dLblPos val="inEnd"/>
            <c:showVal val="1"/>
          </c:dLbls>
          <c:cat>
            <c:strRef>
              <c:f>Лист1!$A$2:$A$8</c:f>
              <c:strCache>
                <c:ptCount val="7"/>
                <c:pt idx="0">
                  <c:v>г. Тирасполь</c:v>
                </c:pt>
                <c:pt idx="1">
                  <c:v>г.Бендеры</c:v>
                </c:pt>
                <c:pt idx="2">
                  <c:v>Рыбницкий    р-н</c:v>
                </c:pt>
                <c:pt idx="3">
                  <c:v>Дубоссар     ский р-н</c:v>
                </c:pt>
                <c:pt idx="4">
                  <c:v>Слободзей    ский р-н</c:v>
                </c:pt>
                <c:pt idx="5">
                  <c:v>Григориопо      льский р-н</c:v>
                </c:pt>
                <c:pt idx="6">
                  <c:v>Каменский     р-н</c:v>
                </c:pt>
              </c:strCache>
            </c:strRef>
          </c:cat>
          <c:val>
            <c:numRef>
              <c:f>Лист1!$C$2:$C$8</c:f>
              <c:numCache>
                <c:formatCode>0.0</c:formatCode>
                <c:ptCount val="7"/>
                <c:pt idx="1">
                  <c:v>11.6</c:v>
                </c:pt>
                <c:pt idx="2" formatCode="#,##0.0">
                  <c:v>2021</c:v>
                </c:pt>
                <c:pt idx="3" formatCode="General">
                  <c:v>87.5</c:v>
                </c:pt>
                <c:pt idx="4" formatCode="#,##0.0">
                  <c:v>1058.7</c:v>
                </c:pt>
                <c:pt idx="5">
                  <c:v>335</c:v>
                </c:pt>
              </c:numCache>
            </c:numRef>
          </c:val>
        </c:ser>
        <c:axId val="237927040"/>
        <c:axId val="237941504"/>
      </c:barChart>
      <c:catAx>
        <c:axId val="237927040"/>
        <c:scaling>
          <c:orientation val="minMax"/>
        </c:scaling>
        <c:axPos val="b"/>
        <c:title>
          <c:tx>
            <c:rich>
              <a:bodyPr/>
              <a:lstStyle/>
              <a:p>
                <a:pPr>
                  <a:defRPr/>
                </a:pPr>
                <a:r>
                  <a:rPr lang="ru-RU"/>
                  <a:t>       * - темп роста(спада) к соответствующему периоду  прошлого года, %</a:t>
                </a:r>
              </a:p>
            </c:rich>
          </c:tx>
          <c:layout>
            <c:manualLayout>
              <c:xMode val="edge"/>
              <c:yMode val="edge"/>
              <c:x val="1.8461010130743061E-3"/>
              <c:y val="0.93226840497396846"/>
            </c:manualLayout>
          </c:layout>
        </c:title>
        <c:tickLblPos val="nextTo"/>
        <c:crossAx val="237941504"/>
        <c:crosses val="autoZero"/>
        <c:auto val="1"/>
        <c:lblAlgn val="ctr"/>
        <c:lblOffset val="100"/>
      </c:catAx>
      <c:valAx>
        <c:axId val="237941504"/>
        <c:scaling>
          <c:orientation val="minMax"/>
        </c:scaling>
        <c:axPos val="l"/>
        <c:numFmt formatCode="General" sourceLinked="1"/>
        <c:tickLblPos val="nextTo"/>
        <c:crossAx val="237927040"/>
        <c:crosses val="autoZero"/>
        <c:crossBetween val="between"/>
        <c:majorUnit val="500"/>
      </c:valAx>
      <c:dTable>
        <c:showHorzBorder val="1"/>
        <c:showVertBorder val="1"/>
        <c:showOutline val="1"/>
        <c:showKeys val="1"/>
      </c:dTable>
      <c:spPr>
        <a:noFill/>
        <a:ln w="25400">
          <a:noFill/>
        </a:ln>
      </c:spPr>
    </c:plotArea>
    <c:plotVisOnly val="1"/>
  </c:chart>
  <c:spPr>
    <a:ln>
      <a:noFill/>
    </a:ln>
  </c:spPr>
  <c:txPr>
    <a:bodyPr/>
    <a:lstStyle/>
    <a:p>
      <a:pPr>
        <a:defRPr sz="750" b="1">
          <a:latin typeface="Times New Roman" pitchFamily="18" charset="0"/>
          <a:cs typeface="Times New Roman" pitchFamily="18" charset="0"/>
        </a:defRPr>
      </a:pPr>
      <a:endParaRPr lang="ru-RU"/>
    </a:p>
  </c:txPr>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b="1" i="0" u="none" strike="noStrike" baseline="0">
                <a:solidFill>
                  <a:srgbClr val="000000"/>
                </a:solidFill>
                <a:latin typeface="Times New Roman"/>
                <a:ea typeface="Times New Roman"/>
                <a:cs typeface="Times New Roman"/>
              </a:defRPr>
            </a:pPr>
            <a:r>
              <a:rPr lang="ru-RU" sz="1000"/>
              <a:t>Доля городов и районов ПМР 
 в объеме розничного товарооборота в январе-июне 2014 года
</a:t>
            </a:r>
          </a:p>
        </c:rich>
      </c:tx>
      <c:layout>
        <c:manualLayout>
          <c:xMode val="edge"/>
          <c:yMode val="edge"/>
          <c:x val="0.23818678915135624"/>
          <c:y val="2.3284798897344592E-4"/>
        </c:manualLayout>
      </c:layout>
      <c:spPr>
        <a:solidFill>
          <a:srgbClr val="FFFFFF"/>
        </a:solidFill>
        <a:ln w="25400">
          <a:noFill/>
        </a:ln>
      </c:spPr>
    </c:title>
    <c:view3D>
      <c:rotX val="35"/>
      <c:hPercent val="50"/>
      <c:rotY val="250"/>
      <c:perspective val="0"/>
    </c:view3D>
    <c:plotArea>
      <c:layout>
        <c:manualLayout>
          <c:layoutTarget val="inner"/>
          <c:xMode val="edge"/>
          <c:yMode val="edge"/>
          <c:x val="0.30372400565313951"/>
          <c:y val="0.27088256426047763"/>
          <c:w val="0.33809523809523812"/>
          <c:h val="0.46391752577319589"/>
        </c:manualLayout>
      </c:layout>
      <c:pie3DChart>
        <c:varyColors val="1"/>
        <c:ser>
          <c:idx val="0"/>
          <c:order val="0"/>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Lbls>
            <c:dLbl>
              <c:idx val="0"/>
              <c:layout>
                <c:manualLayout>
                  <c:x val="-0.1412924826704377"/>
                  <c:y val="6.963386559920233E-2"/>
                </c:manualLayout>
              </c:layout>
              <c:tx>
                <c:rich>
                  <a:bodyPr/>
                  <a:lstStyle/>
                  <a:p>
                    <a:r>
                      <a:rPr lang="ru-RU" b="1">
                        <a:latin typeface="Times New Roman" pitchFamily="18" charset="0"/>
                        <a:cs typeface="Times New Roman" pitchFamily="18" charset="0"/>
                      </a:rPr>
                      <a:t>г. Тирасполь
46,7%</a:t>
                    </a:r>
                  </a:p>
                </c:rich>
              </c:tx>
              <c:showCatName val="1"/>
              <c:showPercent val="1"/>
            </c:dLbl>
            <c:dLbl>
              <c:idx val="1"/>
              <c:layout>
                <c:manualLayout>
                  <c:x val="9.1104717679520789E-2"/>
                  <c:y val="-2.2477162421736797E-2"/>
                </c:manualLayout>
              </c:layout>
              <c:tx>
                <c:rich>
                  <a:bodyPr/>
                  <a:lstStyle/>
                  <a:p>
                    <a:r>
                      <a:rPr lang="ru-RU" b="1"/>
                      <a:t>г.Днестровск
2,0%</a:t>
                    </a:r>
                  </a:p>
                </c:rich>
              </c:tx>
              <c:showCatName val="1"/>
              <c:showPercent val="1"/>
            </c:dLbl>
            <c:dLbl>
              <c:idx val="2"/>
              <c:layout>
                <c:manualLayout>
                  <c:x val="6.7761121206003694E-2"/>
                  <c:y val="0.16770568483408849"/>
                </c:manualLayout>
              </c:layout>
              <c:tx>
                <c:rich>
                  <a:bodyPr/>
                  <a:lstStyle/>
                  <a:p>
                    <a:r>
                      <a:rPr lang="ru-RU" b="1"/>
                      <a:t>Григориопольский р-н
2,8%</a:t>
                    </a:r>
                  </a:p>
                </c:rich>
              </c:tx>
              <c:showCatName val="1"/>
              <c:showPercent val="1"/>
            </c:dLbl>
            <c:dLbl>
              <c:idx val="3"/>
              <c:layout>
                <c:manualLayout>
                  <c:x val="8.6000067299280267E-2"/>
                  <c:y val="0.16023929969647818"/>
                </c:manualLayout>
              </c:layout>
              <c:tx>
                <c:rich>
                  <a:bodyPr/>
                  <a:lstStyle/>
                  <a:p>
                    <a:r>
                      <a:rPr lang="ru-RU" b="1"/>
                      <a:t>г. Бендеры
16,1%</a:t>
                    </a:r>
                  </a:p>
                </c:rich>
              </c:tx>
              <c:showCatName val="1"/>
              <c:showPercent val="1"/>
            </c:dLbl>
            <c:dLbl>
              <c:idx val="4"/>
              <c:layout>
                <c:manualLayout>
                  <c:x val="4.3406689548422452E-2"/>
                  <c:y val="0.19031540051907042"/>
                </c:manualLayout>
              </c:layout>
              <c:tx>
                <c:rich>
                  <a:bodyPr/>
                  <a:lstStyle/>
                  <a:p>
                    <a:r>
                      <a:rPr lang="ru-RU" b="1"/>
                      <a:t>Каменский р-н
1,7%</a:t>
                    </a:r>
                  </a:p>
                </c:rich>
              </c:tx>
              <c:showCatName val="1"/>
              <c:showPercent val="1"/>
            </c:dLbl>
            <c:dLbl>
              <c:idx val="5"/>
              <c:layout>
                <c:manualLayout>
                  <c:x val="-7.4445622181842724E-2"/>
                  <c:y val="0.1039528438833414"/>
                </c:manualLayout>
              </c:layout>
              <c:tx>
                <c:rich>
                  <a:bodyPr/>
                  <a:lstStyle/>
                  <a:p>
                    <a:r>
                      <a:rPr lang="ru-RU" b="1"/>
                      <a:t>Рыбницкий р-н
15,9%</a:t>
                    </a:r>
                  </a:p>
                </c:rich>
              </c:tx>
              <c:showCatName val="1"/>
              <c:showPercent val="1"/>
            </c:dLbl>
            <c:dLbl>
              <c:idx val="6"/>
              <c:layout>
                <c:manualLayout>
                  <c:x val="-8.8724342149541363E-2"/>
                  <c:y val="-2.2186835584099788E-2"/>
                </c:manualLayout>
              </c:layout>
              <c:tx>
                <c:rich>
                  <a:bodyPr/>
                  <a:lstStyle/>
                  <a:p>
                    <a:r>
                      <a:rPr lang="ru-RU" b="1"/>
                      <a:t>Слободзейский р-н
7,8%</a:t>
                    </a:r>
                  </a:p>
                </c:rich>
              </c:tx>
              <c:showCatName val="1"/>
              <c:showPercent val="1"/>
            </c:dLbl>
            <c:dLbl>
              <c:idx val="7"/>
              <c:layout>
                <c:manualLayout>
                  <c:x val="-5.2041355407496867E-2"/>
                  <c:y val="-0.16312379946920039"/>
                </c:manualLayout>
              </c:layout>
              <c:tx>
                <c:rich>
                  <a:bodyPr/>
                  <a:lstStyle/>
                  <a:p>
                    <a:r>
                      <a:rPr lang="ru-RU" b="1"/>
                      <a:t>Дубоссарский р-н
7,0%</a:t>
                    </a:r>
                  </a:p>
                </c:rich>
              </c:tx>
              <c:showCatName val="1"/>
              <c:showPercent val="1"/>
            </c:dLbl>
            <c:txPr>
              <a:bodyPr/>
              <a:lstStyle/>
              <a:p>
                <a:pPr>
                  <a:defRPr b="1">
                    <a:latin typeface="Times New Roman" pitchFamily="18" charset="0"/>
                    <a:cs typeface="Times New Roman" pitchFamily="18" charset="0"/>
                  </a:defRPr>
                </a:pPr>
                <a:endParaRPr lang="ru-RU"/>
              </a:p>
            </c:txPr>
            <c:showCatName val="1"/>
            <c:showPercent val="1"/>
            <c:showLeaderLines val="1"/>
          </c:dLbls>
          <c:cat>
            <c:strRef>
              <c:f>Лист1!$A$2:$A$9</c:f>
              <c:strCache>
                <c:ptCount val="8"/>
                <c:pt idx="0">
                  <c:v>г. Тирасполь</c:v>
                </c:pt>
                <c:pt idx="1">
                  <c:v>г.Днестровск</c:v>
                </c:pt>
                <c:pt idx="2">
                  <c:v>Григориопольский р-н</c:v>
                </c:pt>
                <c:pt idx="3">
                  <c:v>г. Бендеры</c:v>
                </c:pt>
                <c:pt idx="4">
                  <c:v>Каменский р-н</c:v>
                </c:pt>
                <c:pt idx="5">
                  <c:v>Рыбницкий р-н</c:v>
                </c:pt>
                <c:pt idx="6">
                  <c:v>Слободзейский р-н</c:v>
                </c:pt>
                <c:pt idx="7">
                  <c:v>Дубоссарский р-н</c:v>
                </c:pt>
              </c:strCache>
            </c:strRef>
          </c:cat>
          <c:val>
            <c:numRef>
              <c:f>Лист1!$B$2:$B$9</c:f>
              <c:numCache>
                <c:formatCode>0.0</c:formatCode>
                <c:ptCount val="8"/>
                <c:pt idx="0" formatCode="General">
                  <c:v>46.7</c:v>
                </c:pt>
                <c:pt idx="1">
                  <c:v>2</c:v>
                </c:pt>
                <c:pt idx="2">
                  <c:v>2.8</c:v>
                </c:pt>
                <c:pt idx="3" formatCode="General">
                  <c:v>16.100000000000001</c:v>
                </c:pt>
                <c:pt idx="4" formatCode="General">
                  <c:v>1.7</c:v>
                </c:pt>
                <c:pt idx="5">
                  <c:v>15.9</c:v>
                </c:pt>
                <c:pt idx="6" formatCode="General">
                  <c:v>7.8</c:v>
                </c:pt>
                <c:pt idx="7">
                  <c:v>7</c:v>
                </c:pt>
              </c:numCache>
            </c:numRef>
          </c:val>
        </c:ser>
        <c:dLbls>
          <c:showCatName val="1"/>
        </c:dLbls>
      </c:pie3DChart>
      <c:spPr>
        <a:noFill/>
        <a:ln w="25400">
          <a:noFill/>
        </a:ln>
      </c:spPr>
    </c:plotArea>
    <c:plotVisOnly val="1"/>
    <c:dispBlanksAs val="zero"/>
  </c:chart>
  <c:spPr>
    <a:noFill/>
    <a:ln w="3175">
      <a:noFill/>
      <a:prstDash val="solid"/>
    </a:ln>
  </c:spPr>
  <c:txPr>
    <a:bodyPr/>
    <a:lstStyle/>
    <a:p>
      <a:pPr>
        <a:defRPr sz="800" b="0" i="0" u="none" strike="noStrike" baseline="0">
          <a:solidFill>
            <a:srgbClr val="000000"/>
          </a:solidFill>
          <a:latin typeface="Arial"/>
          <a:ea typeface="Arial"/>
          <a:cs typeface="Arial"/>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162">
                <a:latin typeface="Times New Roman" pitchFamily="18" charset="0"/>
                <a:cs typeface="Times New Roman" pitchFamily="18" charset="0"/>
              </a:defRPr>
            </a:pPr>
            <a:r>
              <a:rPr lang="ru-RU" sz="1162">
                <a:latin typeface="Times New Roman" pitchFamily="18" charset="0"/>
                <a:cs typeface="Times New Roman" pitchFamily="18" charset="0"/>
              </a:rPr>
              <a:t>Динамика валовой продукции сельского хозяйства</a:t>
            </a:r>
          </a:p>
        </c:rich>
      </c:tx>
      <c:layout>
        <c:manualLayout>
          <c:xMode val="edge"/>
          <c:yMode val="edge"/>
          <c:x val="0.30687436428170223"/>
          <c:y val="5.2500285290425733E-2"/>
        </c:manualLayout>
      </c:layout>
    </c:title>
    <c:plotArea>
      <c:layout/>
      <c:barChart>
        <c:barDir val="col"/>
        <c:grouping val="clustered"/>
        <c:ser>
          <c:idx val="0"/>
          <c:order val="0"/>
          <c:tx>
            <c:strRef>
              <c:f>Лист1!$B$1</c:f>
              <c:strCache>
                <c:ptCount val="1"/>
                <c:pt idx="0">
                  <c:v>Валовая продукция сельского хозяйства (во всез категориях хозяйств), млн. руб.</c:v>
                </c:pt>
              </c:strCache>
            </c:strRef>
          </c:tx>
          <c:dLbls>
            <c:dLbl>
              <c:idx val="0"/>
              <c:tx>
                <c:rich>
                  <a:bodyPr/>
                  <a:lstStyle/>
                  <a:p>
                    <a:r>
                      <a:rPr lang="ru-RU" sz="872" b="1">
                        <a:latin typeface="Times New Roman" pitchFamily="18" charset="0"/>
                        <a:cs typeface="Times New Roman" pitchFamily="18" charset="0"/>
                      </a:rPr>
                      <a:t>+2,5%*</a:t>
                    </a:r>
                    <a:endParaRPr lang="en-US" sz="900" b="1">
                      <a:latin typeface="Times New Roman" pitchFamily="18" charset="0"/>
                      <a:cs typeface="Times New Roman" pitchFamily="18" charset="0"/>
                    </a:endParaRPr>
                  </a:p>
                </c:rich>
              </c:tx>
              <c:dLblPos val="outEnd"/>
            </c:dLbl>
            <c:dLbl>
              <c:idx val="1"/>
              <c:tx>
                <c:rich>
                  <a:bodyPr/>
                  <a:lstStyle/>
                  <a:p>
                    <a:r>
                      <a:rPr lang="ru-RU" sz="872" b="1">
                        <a:latin typeface="Times New Roman" pitchFamily="18" charset="0"/>
                        <a:cs typeface="Times New Roman" pitchFamily="18" charset="0"/>
                      </a:rPr>
                      <a:t>+5,0%*</a:t>
                    </a:r>
                    <a:endParaRPr lang="en-US" sz="900" b="1">
                      <a:latin typeface="Times New Roman" pitchFamily="18" charset="0"/>
                      <a:cs typeface="Times New Roman" pitchFamily="18" charset="0"/>
                    </a:endParaRPr>
                  </a:p>
                </c:rich>
              </c:tx>
              <c:dLblPos val="outEnd"/>
            </c:dLbl>
            <c:txPr>
              <a:bodyPr/>
              <a:lstStyle/>
              <a:p>
                <a:pPr>
                  <a:defRPr sz="872" b="1">
                    <a:latin typeface="Times New Roman" pitchFamily="18" charset="0"/>
                    <a:cs typeface="Times New Roman" pitchFamily="18" charset="0"/>
                  </a:defRPr>
                </a:pPr>
                <a:endParaRPr lang="ru-RU"/>
              </a:p>
            </c:txPr>
            <c:dLblPos val="outEnd"/>
            <c:showVal val="1"/>
          </c:dLbls>
          <c:cat>
            <c:strRef>
              <c:f>Лист1!$A$2:$A$3</c:f>
              <c:strCache>
                <c:ptCount val="2"/>
                <c:pt idx="0">
                  <c:v>январь-июнь 2013 года</c:v>
                </c:pt>
                <c:pt idx="1">
                  <c:v>январь-июнь 2014 года</c:v>
                </c:pt>
              </c:strCache>
            </c:strRef>
          </c:cat>
          <c:val>
            <c:numRef>
              <c:f>Лист1!$B$2:$B$3</c:f>
              <c:numCache>
                <c:formatCode>General</c:formatCode>
                <c:ptCount val="2"/>
                <c:pt idx="0">
                  <c:v>392.2</c:v>
                </c:pt>
                <c:pt idx="1">
                  <c:v>415.3</c:v>
                </c:pt>
              </c:numCache>
            </c:numRef>
          </c:val>
        </c:ser>
        <c:dLbls>
          <c:showVal val="1"/>
        </c:dLbls>
        <c:axId val="149437056"/>
        <c:axId val="149635456"/>
      </c:barChart>
      <c:catAx>
        <c:axId val="149437056"/>
        <c:scaling>
          <c:orientation val="minMax"/>
        </c:scaling>
        <c:axPos val="b"/>
        <c:numFmt formatCode="General" sourceLinked="1"/>
        <c:tickLblPos val="nextTo"/>
        <c:crossAx val="149635456"/>
        <c:crosses val="autoZero"/>
        <c:auto val="1"/>
        <c:lblAlgn val="ctr"/>
        <c:lblOffset val="100"/>
      </c:catAx>
      <c:valAx>
        <c:axId val="149635456"/>
        <c:scaling>
          <c:orientation val="minMax"/>
        </c:scaling>
        <c:axPos val="l"/>
        <c:title>
          <c:tx>
            <c:rich>
              <a:bodyPr rot="0" vert="horz"/>
              <a:lstStyle/>
              <a:p>
                <a:pPr algn="ctr">
                  <a:defRPr sz="939" b="0" i="0" u="none" strike="noStrike" baseline="0">
                    <a:solidFill>
                      <a:srgbClr val="000000"/>
                    </a:solidFill>
                    <a:latin typeface="Calibri"/>
                    <a:ea typeface="Calibri"/>
                    <a:cs typeface="Calibri"/>
                  </a:defRPr>
                </a:pPr>
                <a:r>
                  <a:rPr lang="ru-RU" sz="969" b="1" i="0" strike="noStrike">
                    <a:solidFill>
                      <a:srgbClr val="000000"/>
                    </a:solidFill>
                    <a:latin typeface="Times New Roman"/>
                    <a:cs typeface="Times New Roman"/>
                  </a:rPr>
                  <a:t>Темп прироста</a:t>
                </a:r>
              </a:p>
              <a:p>
                <a:pPr algn="ctr">
                  <a:defRPr sz="939" b="0" i="0" u="none" strike="noStrike" baseline="0">
                    <a:solidFill>
                      <a:srgbClr val="000000"/>
                    </a:solidFill>
                    <a:latin typeface="Calibri"/>
                    <a:ea typeface="Calibri"/>
                    <a:cs typeface="Calibri"/>
                  </a:defRPr>
                </a:pPr>
                <a:r>
                  <a:rPr lang="ru-RU" sz="969" b="1" i="0" strike="noStrike">
                    <a:solidFill>
                      <a:srgbClr val="000000"/>
                    </a:solidFill>
                    <a:latin typeface="Times New Roman"/>
                    <a:cs typeface="Times New Roman"/>
                  </a:rPr>
                  <a:t> (в текущих ценах)</a:t>
                </a:r>
              </a:p>
            </c:rich>
          </c:tx>
          <c:layout>
            <c:manualLayout>
              <c:xMode val="edge"/>
              <c:yMode val="edge"/>
              <c:x val="5.3447282504321104E-2"/>
              <c:y val="0.32934097911674309"/>
            </c:manualLayout>
          </c:layout>
        </c:title>
        <c:numFmt formatCode="General" sourceLinked="1"/>
        <c:tickLblPos val="nextTo"/>
        <c:txPr>
          <a:bodyPr/>
          <a:lstStyle/>
          <a:p>
            <a:pPr>
              <a:defRPr b="1">
                <a:latin typeface="Times New Roman" pitchFamily="18" charset="0"/>
                <a:cs typeface="Times New Roman" pitchFamily="18" charset="0"/>
              </a:defRPr>
            </a:pPr>
            <a:endParaRPr lang="ru-RU"/>
          </a:p>
        </c:txPr>
        <c:crossAx val="149437056"/>
        <c:crosses val="autoZero"/>
        <c:crossBetween val="between"/>
        <c:majorUnit val="50"/>
      </c:valAx>
      <c:dTable>
        <c:showHorzBorder val="1"/>
        <c:showVertBorder val="1"/>
        <c:showOutline val="1"/>
        <c:txPr>
          <a:bodyPr/>
          <a:lstStyle/>
          <a:p>
            <a:pPr rtl="0">
              <a:defRPr b="1">
                <a:latin typeface="Times New Roman" pitchFamily="18" charset="0"/>
                <a:cs typeface="Times New Roman" pitchFamily="18" charset="0"/>
              </a:defRPr>
            </a:pPr>
            <a:endParaRPr lang="ru-RU"/>
          </a:p>
        </c:txPr>
      </c:dTable>
    </c:plotArea>
    <c:plotVisOnly val="1"/>
    <c:dispBlanksAs val="gap"/>
  </c:chart>
  <c:spPr>
    <a:ln>
      <a:noFill/>
    </a:ln>
  </c:spPr>
  <c:externalData r:id="rId2"/>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ru-RU"/>
  <c:style val="27"/>
  <c:chart>
    <c:title>
      <c:tx>
        <c:rich>
          <a:bodyPr/>
          <a:lstStyle/>
          <a:p>
            <a:pPr>
              <a:defRPr/>
            </a:pPr>
            <a:r>
              <a:rPr lang="ru-RU"/>
              <a:t>Чистая прибыль (убыток) в разрезе городов и районов ПМР,</a:t>
            </a:r>
          </a:p>
          <a:p>
            <a:pPr>
              <a:defRPr/>
            </a:pPr>
            <a:r>
              <a:rPr lang="ru-RU"/>
              <a:t> млн. руб.</a:t>
            </a:r>
          </a:p>
        </c:rich>
      </c:tx>
      <c:layout>
        <c:manualLayout>
          <c:xMode val="edge"/>
          <c:yMode val="edge"/>
          <c:x val="0.2954467698592983"/>
          <c:y val="2.1584081213249704E-2"/>
        </c:manualLayout>
      </c:layout>
    </c:title>
    <c:plotArea>
      <c:layout>
        <c:manualLayout>
          <c:layoutTarget val="inner"/>
          <c:xMode val="edge"/>
          <c:yMode val="edge"/>
          <c:x val="0.13069589453560881"/>
          <c:y val="1.8254051576886223E-2"/>
          <c:w val="0.85344283006950228"/>
          <c:h val="0.64178005107439884"/>
        </c:manualLayout>
      </c:layout>
      <c:barChart>
        <c:barDir val="col"/>
        <c:grouping val="clustered"/>
        <c:ser>
          <c:idx val="0"/>
          <c:order val="0"/>
          <c:tx>
            <c:strRef>
              <c:f>Лист1!$B$1</c:f>
              <c:strCache>
                <c:ptCount val="1"/>
                <c:pt idx="0">
                  <c:v>январь-июнь 2013 г.</c:v>
                </c:pt>
              </c:strCache>
            </c:strRef>
          </c:tx>
          <c:spPr>
            <a:solidFill>
              <a:schemeClr val="accent2">
                <a:lumMod val="40000"/>
                <a:lumOff val="60000"/>
              </a:schemeClr>
            </a:solidFill>
          </c:spPr>
          <c:dLbls>
            <c:delete val="1"/>
          </c:dLbls>
          <c:cat>
            <c:strRef>
              <c:f>Лист1!$A$2:$A$9</c:f>
              <c:strCache>
                <c:ptCount val="8"/>
                <c:pt idx="0">
                  <c:v>г. Тирасполь</c:v>
                </c:pt>
                <c:pt idx="1">
                  <c:v>г. Днестровск</c:v>
                </c:pt>
                <c:pt idx="2">
                  <c:v>г. Бендеры</c:v>
                </c:pt>
                <c:pt idx="3">
                  <c:v> Рыбницкий   р-н</c:v>
                </c:pt>
                <c:pt idx="4">
                  <c:v> Дубоссар     ский р-н</c:v>
                </c:pt>
                <c:pt idx="5">
                  <c:v> Слободзей    ский р-н</c:v>
                </c:pt>
                <c:pt idx="6">
                  <c:v> Григориопо льский  р-н</c:v>
                </c:pt>
                <c:pt idx="7">
                  <c:v>Каменский р-н</c:v>
                </c:pt>
              </c:strCache>
            </c:strRef>
          </c:cat>
          <c:val>
            <c:numRef>
              <c:f>Лист1!$B$2:$B$9</c:f>
              <c:numCache>
                <c:formatCode>General</c:formatCode>
                <c:ptCount val="8"/>
                <c:pt idx="0">
                  <c:v>204.5</c:v>
                </c:pt>
                <c:pt idx="1">
                  <c:v>-112.6</c:v>
                </c:pt>
                <c:pt idx="2">
                  <c:v>46.2</c:v>
                </c:pt>
                <c:pt idx="3">
                  <c:v>-313.89999999999969</c:v>
                </c:pt>
                <c:pt idx="4">
                  <c:v>-14.7</c:v>
                </c:pt>
                <c:pt idx="5">
                  <c:v>14.5</c:v>
                </c:pt>
                <c:pt idx="6">
                  <c:v>1.3</c:v>
                </c:pt>
                <c:pt idx="7">
                  <c:v>12.5</c:v>
                </c:pt>
              </c:numCache>
            </c:numRef>
          </c:val>
        </c:ser>
        <c:ser>
          <c:idx val="1"/>
          <c:order val="1"/>
          <c:tx>
            <c:strRef>
              <c:f>Лист1!$C$1</c:f>
              <c:strCache>
                <c:ptCount val="1"/>
                <c:pt idx="0">
                  <c:v>январь-июнь 2014 г.</c:v>
                </c:pt>
              </c:strCache>
            </c:strRef>
          </c:tx>
          <c:dLbls>
            <c:delete val="1"/>
          </c:dLbls>
          <c:cat>
            <c:strRef>
              <c:f>Лист1!$A$2:$A$9</c:f>
              <c:strCache>
                <c:ptCount val="8"/>
                <c:pt idx="0">
                  <c:v>г. Тирасполь</c:v>
                </c:pt>
                <c:pt idx="1">
                  <c:v>г. Днестровск</c:v>
                </c:pt>
                <c:pt idx="2">
                  <c:v>г. Бендеры</c:v>
                </c:pt>
                <c:pt idx="3">
                  <c:v> Рыбницкий   р-н</c:v>
                </c:pt>
                <c:pt idx="4">
                  <c:v> Дубоссар     ский р-н</c:v>
                </c:pt>
                <c:pt idx="5">
                  <c:v> Слободзей    ский р-н</c:v>
                </c:pt>
                <c:pt idx="6">
                  <c:v> Григориопо льский  р-н</c:v>
                </c:pt>
                <c:pt idx="7">
                  <c:v>Каменский р-н</c:v>
                </c:pt>
              </c:strCache>
            </c:strRef>
          </c:cat>
          <c:val>
            <c:numRef>
              <c:f>Лист1!$C$2:$C$9</c:f>
              <c:numCache>
                <c:formatCode>General</c:formatCode>
                <c:ptCount val="8"/>
                <c:pt idx="0">
                  <c:v>186.9</c:v>
                </c:pt>
                <c:pt idx="1">
                  <c:v>32.6</c:v>
                </c:pt>
                <c:pt idx="2" formatCode="0.0">
                  <c:v>12.5</c:v>
                </c:pt>
                <c:pt idx="3">
                  <c:v>-161.6</c:v>
                </c:pt>
                <c:pt idx="4">
                  <c:v>-9.3000000000000007</c:v>
                </c:pt>
                <c:pt idx="5">
                  <c:v>3.9</c:v>
                </c:pt>
                <c:pt idx="6" formatCode="0.0">
                  <c:v>9.1</c:v>
                </c:pt>
                <c:pt idx="7">
                  <c:v>18.8</c:v>
                </c:pt>
              </c:numCache>
            </c:numRef>
          </c:val>
        </c:ser>
        <c:dLbls>
          <c:showVal val="1"/>
        </c:dLbls>
        <c:axId val="238357120"/>
        <c:axId val="238375296"/>
      </c:barChart>
      <c:catAx>
        <c:axId val="238357120"/>
        <c:scaling>
          <c:orientation val="minMax"/>
        </c:scaling>
        <c:axPos val="b"/>
        <c:tickLblPos val="nextTo"/>
        <c:crossAx val="238375296"/>
        <c:crosses val="autoZero"/>
        <c:auto val="1"/>
        <c:lblAlgn val="ctr"/>
        <c:lblOffset val="100"/>
      </c:catAx>
      <c:valAx>
        <c:axId val="238375296"/>
        <c:scaling>
          <c:orientation val="minMax"/>
          <c:min val="-400"/>
        </c:scaling>
        <c:axPos val="l"/>
        <c:numFmt formatCode="General" sourceLinked="1"/>
        <c:tickLblPos val="nextTo"/>
        <c:crossAx val="238357120"/>
        <c:crosses val="autoZero"/>
        <c:crossBetween val="midCat"/>
        <c:majorUnit val="100"/>
      </c:valAx>
      <c:dTable>
        <c:showHorzBorder val="1"/>
        <c:showVertBorder val="1"/>
        <c:showOutline val="1"/>
        <c:showKeys val="1"/>
      </c:dTable>
    </c:plotArea>
    <c:plotVisOnly val="1"/>
  </c:chart>
  <c:spPr>
    <a:ln>
      <a:noFill/>
    </a:ln>
  </c:spPr>
  <c:txPr>
    <a:bodyPr/>
    <a:lstStyle/>
    <a:p>
      <a:pPr>
        <a:defRPr sz="750" b="1">
          <a:latin typeface="Times New Roman" pitchFamily="18" charset="0"/>
          <a:cs typeface="Times New Roman" pitchFamily="18" charset="0"/>
        </a:defRPr>
      </a:pPr>
      <a:endParaRPr lang="ru-RU"/>
    </a:p>
  </c:txPr>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Динамика среднмесячной номинальной заработной платы одного работника в разрезе городов и районов </a:t>
            </a:r>
          </a:p>
        </c:rich>
      </c:tx>
      <c:layout>
        <c:manualLayout>
          <c:xMode val="edge"/>
          <c:yMode val="edge"/>
          <c:x val="0.12821037967793594"/>
          <c:y val="1.7099520018561342E-3"/>
        </c:manualLayout>
      </c:layout>
    </c:title>
    <c:plotArea>
      <c:layout>
        <c:manualLayout>
          <c:layoutTarget val="inner"/>
          <c:xMode val="edge"/>
          <c:yMode val="edge"/>
          <c:x val="8.7254366835987265E-2"/>
          <c:y val="0.16330911674714693"/>
          <c:w val="0.8824639706106342"/>
          <c:h val="0.23812618726526591"/>
        </c:manualLayout>
      </c:layout>
      <c:lineChart>
        <c:grouping val="standard"/>
        <c:ser>
          <c:idx val="0"/>
          <c:order val="0"/>
          <c:tx>
            <c:strRef>
              <c:f>Лист1!$B$1</c:f>
              <c:strCache>
                <c:ptCount val="1"/>
                <c:pt idx="0">
                  <c:v>январь-июнь 2013 г.</c:v>
                </c:pt>
              </c:strCache>
            </c:strRef>
          </c:tx>
          <c:marker>
            <c:spPr>
              <a:solidFill>
                <a:schemeClr val="tx2"/>
              </a:solidFill>
            </c:spPr>
          </c:marker>
          <c:dLbls>
            <c:dLbl>
              <c:idx val="0"/>
              <c:layout>
                <c:manualLayout>
                  <c:x val="-7.6710237091011033E-2"/>
                  <c:y val="1.9782485752817047E-2"/>
                </c:manualLayout>
              </c:layout>
              <c:showVal val="1"/>
            </c:dLbl>
            <c:dLbl>
              <c:idx val="1"/>
              <c:layout>
                <c:manualLayout>
                  <c:x val="-5.5754858410712718E-2"/>
                  <c:y val="3.6417105320398491E-2"/>
                </c:manualLayout>
              </c:layout>
              <c:showVal val="1"/>
            </c:dLbl>
            <c:dLbl>
              <c:idx val="2"/>
              <c:layout>
                <c:manualLayout>
                  <c:x val="-3.9351851851851853E-2"/>
                  <c:y val="3.6758563074352546E-2"/>
                </c:manualLayout>
              </c:layout>
              <c:showVal val="1"/>
            </c:dLbl>
            <c:dLbl>
              <c:idx val="3"/>
              <c:layout>
                <c:manualLayout>
                  <c:x val="-3.9144609411385776E-2"/>
                  <c:y val="5.4150026826757194E-2"/>
                </c:manualLayout>
              </c:layout>
              <c:showVal val="1"/>
            </c:dLbl>
            <c:dLbl>
              <c:idx val="4"/>
              <c:layout>
                <c:manualLayout>
                  <c:x val="-4.3566942191927499E-2"/>
                  <c:y val="4.0100346572700445E-2"/>
                </c:manualLayout>
              </c:layout>
              <c:showVal val="1"/>
            </c:dLbl>
            <c:dLbl>
              <c:idx val="5"/>
              <c:layout>
                <c:manualLayout>
                  <c:x val="-4.4123825470849497E-2"/>
                  <c:y val="4.6783544322153099E-2"/>
                </c:manualLayout>
              </c:layout>
              <c:showVal val="1"/>
            </c:dLbl>
            <c:dLbl>
              <c:idx val="6"/>
              <c:layout>
                <c:manualLayout>
                  <c:x val="-4.1752118419292487E-2"/>
                  <c:y val="4.0783341308855726E-2"/>
                </c:manualLayout>
              </c:layout>
              <c:showVal val="1"/>
            </c:dLbl>
            <c:dLbl>
              <c:idx val="7"/>
              <c:layout>
                <c:manualLayout>
                  <c:x val="-3.511436692304009E-2"/>
                  <c:y val="4.7882136279926886E-2"/>
                </c:manualLayout>
              </c:layout>
              <c:showVal val="1"/>
            </c:dLbl>
            <c:txPr>
              <a:bodyPr/>
              <a:lstStyle/>
              <a:p>
                <a:pPr>
                  <a:defRPr b="1"/>
                </a:pPr>
                <a:endParaRPr lang="ru-RU"/>
              </a:p>
            </c:txPr>
            <c:showVal val="1"/>
          </c:dLbls>
          <c:cat>
            <c:strRef>
              <c:f>Лист1!$A$2:$A$9</c:f>
              <c:strCache>
                <c:ptCount val="8"/>
                <c:pt idx="0">
                  <c:v>г. Тирасполь </c:v>
                </c:pt>
                <c:pt idx="1">
                  <c:v>г.  Днестровск</c:v>
                </c:pt>
                <c:pt idx="2">
                  <c:v>г. Бендеры</c:v>
                </c:pt>
                <c:pt idx="3">
                  <c:v>Рыбницкий р-н и  г. Рыбница</c:v>
                </c:pt>
                <c:pt idx="4">
                  <c:v>Дубоссарсикй р-н и г. Дубоссары</c:v>
                </c:pt>
                <c:pt idx="5">
                  <c:v>Слободзейский р-н и г. Слободзея</c:v>
                </c:pt>
                <c:pt idx="6">
                  <c:v>Григориопольский р-н и г. Григориополь</c:v>
                </c:pt>
                <c:pt idx="7">
                  <c:v>Каменский р-н и г. Каменка</c:v>
                </c:pt>
              </c:strCache>
            </c:strRef>
          </c:cat>
          <c:val>
            <c:numRef>
              <c:f>Лист1!$B$2:$B$9</c:f>
              <c:numCache>
                <c:formatCode>#,##0</c:formatCode>
                <c:ptCount val="8"/>
                <c:pt idx="0">
                  <c:v>4309</c:v>
                </c:pt>
                <c:pt idx="1">
                  <c:v>5162</c:v>
                </c:pt>
                <c:pt idx="2">
                  <c:v>3315</c:v>
                </c:pt>
                <c:pt idx="3">
                  <c:v>3404</c:v>
                </c:pt>
                <c:pt idx="4">
                  <c:v>3272</c:v>
                </c:pt>
                <c:pt idx="5">
                  <c:v>2678</c:v>
                </c:pt>
                <c:pt idx="6">
                  <c:v>2710</c:v>
                </c:pt>
                <c:pt idx="7">
                  <c:v>2527</c:v>
                </c:pt>
              </c:numCache>
            </c:numRef>
          </c:val>
        </c:ser>
        <c:ser>
          <c:idx val="1"/>
          <c:order val="1"/>
          <c:tx>
            <c:strRef>
              <c:f>Лист1!$C$1</c:f>
              <c:strCache>
                <c:ptCount val="1"/>
                <c:pt idx="0">
                  <c:v>январь-июнь 2014 г.</c:v>
                </c:pt>
              </c:strCache>
            </c:strRef>
          </c:tx>
          <c:dPt>
            <c:idx val="0"/>
            <c:marker>
              <c:spPr>
                <a:solidFill>
                  <a:srgbClr val="C00000"/>
                </a:solidFill>
              </c:spPr>
            </c:marker>
          </c:dPt>
          <c:dLbls>
            <c:dLbl>
              <c:idx val="0"/>
              <c:layout>
                <c:manualLayout>
                  <c:x val="-5.3354736633316788E-2"/>
                  <c:y val="-4.1466336045011591E-2"/>
                </c:manualLayout>
              </c:layout>
              <c:showVal val="1"/>
            </c:dLbl>
            <c:dLbl>
              <c:idx val="1"/>
              <c:layout>
                <c:manualLayout>
                  <c:x val="-4.8639552744834766E-2"/>
                  <c:y val="-3.8392424703817978E-2"/>
                </c:manualLayout>
              </c:layout>
              <c:showVal val="1"/>
            </c:dLbl>
            <c:dLbl>
              <c:idx val="2"/>
              <c:layout>
                <c:manualLayout>
                  <c:x val="-4.3981567330445732E-2"/>
                  <c:y val="-4.8149823813459766E-2"/>
                </c:manualLayout>
              </c:layout>
              <c:showVal val="1"/>
            </c:dLbl>
            <c:dLbl>
              <c:idx val="3"/>
              <c:layout>
                <c:manualLayout>
                  <c:x val="-4.3981481481481503E-2"/>
                  <c:y val="-4.3441938178780275E-2"/>
                </c:manualLayout>
              </c:layout>
              <c:showVal val="1"/>
            </c:dLbl>
            <c:dLbl>
              <c:idx val="4"/>
              <c:layout>
                <c:manualLayout>
                  <c:x val="-4.6410288344888424E-2"/>
                  <c:y val="-5.3199634576064726E-2"/>
                </c:manualLayout>
              </c:layout>
              <c:showVal val="1"/>
            </c:dLbl>
            <c:dLbl>
              <c:idx val="5"/>
              <c:layout>
                <c:manualLayout>
                  <c:x val="-3.4722222222222238E-2"/>
                  <c:y val="-2.6733500417711723E-2"/>
                </c:manualLayout>
              </c:layout>
              <c:showVal val="1"/>
            </c:dLbl>
            <c:dLbl>
              <c:idx val="6"/>
              <c:layout>
                <c:manualLayout>
                  <c:x val="-4.1666666666666692E-2"/>
                  <c:y val="-3.3416875522138692E-2"/>
                </c:manualLayout>
              </c:layout>
              <c:showVal val="1"/>
            </c:dLbl>
            <c:dLbl>
              <c:idx val="7"/>
              <c:layout>
                <c:manualLayout>
                  <c:x val="-6.633499170812681E-3"/>
                  <c:y val="-3.37626547837004E-17"/>
                </c:manualLayout>
              </c:layout>
              <c:showVal val="1"/>
            </c:dLbl>
            <c:txPr>
              <a:bodyPr/>
              <a:lstStyle/>
              <a:p>
                <a:pPr>
                  <a:defRPr b="1"/>
                </a:pPr>
                <a:endParaRPr lang="ru-RU"/>
              </a:p>
            </c:txPr>
            <c:showVal val="1"/>
          </c:dLbls>
          <c:cat>
            <c:strRef>
              <c:f>Лист1!$A$2:$A$9</c:f>
              <c:strCache>
                <c:ptCount val="8"/>
                <c:pt idx="0">
                  <c:v>г. Тирасполь </c:v>
                </c:pt>
                <c:pt idx="1">
                  <c:v>г.  Днестровск</c:v>
                </c:pt>
                <c:pt idx="2">
                  <c:v>г. Бендеры</c:v>
                </c:pt>
                <c:pt idx="3">
                  <c:v>Рыбницкий р-н и  г. Рыбница</c:v>
                </c:pt>
                <c:pt idx="4">
                  <c:v>Дубоссарсикй р-н и г. Дубоссары</c:v>
                </c:pt>
                <c:pt idx="5">
                  <c:v>Слободзейский р-н и г. Слободзея</c:v>
                </c:pt>
                <c:pt idx="6">
                  <c:v>Григориопольский р-н и г. Григориополь</c:v>
                </c:pt>
                <c:pt idx="7">
                  <c:v>Каменский р-н и г. Каменка</c:v>
                </c:pt>
              </c:strCache>
            </c:strRef>
          </c:cat>
          <c:val>
            <c:numRef>
              <c:f>Лист1!$C$2:$C$9</c:f>
              <c:numCache>
                <c:formatCode>#,##0</c:formatCode>
                <c:ptCount val="8"/>
                <c:pt idx="0">
                  <c:v>4611</c:v>
                </c:pt>
                <c:pt idx="1">
                  <c:v>5241</c:v>
                </c:pt>
                <c:pt idx="2">
                  <c:v>3591</c:v>
                </c:pt>
                <c:pt idx="3">
                  <c:v>4025</c:v>
                </c:pt>
                <c:pt idx="4">
                  <c:v>3581</c:v>
                </c:pt>
                <c:pt idx="5">
                  <c:v>3059</c:v>
                </c:pt>
                <c:pt idx="6">
                  <c:v>3029</c:v>
                </c:pt>
                <c:pt idx="7">
                  <c:v>2976</c:v>
                </c:pt>
              </c:numCache>
            </c:numRef>
          </c:val>
        </c:ser>
        <c:ser>
          <c:idx val="2"/>
          <c:order val="2"/>
          <c:tx>
            <c:strRef>
              <c:f>Лист1!$D$1</c:f>
              <c:strCache>
                <c:ptCount val="1"/>
                <c:pt idx="0">
                  <c:v>Средняя заработная плата по республике в январе-июне 2014 г.</c:v>
                </c:pt>
              </c:strCache>
            </c:strRef>
          </c:tx>
          <c:cat>
            <c:strRef>
              <c:f>Лист1!$A$2:$A$9</c:f>
              <c:strCache>
                <c:ptCount val="8"/>
                <c:pt idx="0">
                  <c:v>г. Тирасполь </c:v>
                </c:pt>
                <c:pt idx="1">
                  <c:v>г.  Днестровск</c:v>
                </c:pt>
                <c:pt idx="2">
                  <c:v>г. Бендеры</c:v>
                </c:pt>
                <c:pt idx="3">
                  <c:v>Рыбницкий р-н и  г. Рыбница</c:v>
                </c:pt>
                <c:pt idx="4">
                  <c:v>Дубоссарсикй р-н и г. Дубоссары</c:v>
                </c:pt>
                <c:pt idx="5">
                  <c:v>Слободзейский р-н и г. Слободзея</c:v>
                </c:pt>
                <c:pt idx="6">
                  <c:v>Григориопольский р-н и г. Григориополь</c:v>
                </c:pt>
                <c:pt idx="7">
                  <c:v>Каменский р-н и г. Каменка</c:v>
                </c:pt>
              </c:strCache>
            </c:strRef>
          </c:cat>
          <c:val>
            <c:numRef>
              <c:f>Лист1!$D$2:$D$9</c:f>
              <c:numCache>
                <c:formatCode>#,##0</c:formatCode>
                <c:ptCount val="8"/>
                <c:pt idx="0">
                  <c:v>4020</c:v>
                </c:pt>
                <c:pt idx="1">
                  <c:v>4020</c:v>
                </c:pt>
                <c:pt idx="2">
                  <c:v>4020</c:v>
                </c:pt>
                <c:pt idx="3">
                  <c:v>4020</c:v>
                </c:pt>
                <c:pt idx="4">
                  <c:v>4020</c:v>
                </c:pt>
                <c:pt idx="5">
                  <c:v>4020</c:v>
                </c:pt>
                <c:pt idx="6">
                  <c:v>4020</c:v>
                </c:pt>
                <c:pt idx="7">
                  <c:v>4020</c:v>
                </c:pt>
              </c:numCache>
            </c:numRef>
          </c:val>
        </c:ser>
        <c:marker val="1"/>
        <c:axId val="238395392"/>
        <c:axId val="238396928"/>
      </c:lineChart>
      <c:catAx>
        <c:axId val="238395392"/>
        <c:scaling>
          <c:orientation val="minMax"/>
        </c:scaling>
        <c:axPos val="b"/>
        <c:tickLblPos val="nextTo"/>
        <c:txPr>
          <a:bodyPr rot="-5400000" vert="horz"/>
          <a:lstStyle/>
          <a:p>
            <a:pPr>
              <a:defRPr b="1"/>
            </a:pPr>
            <a:endParaRPr lang="ru-RU"/>
          </a:p>
        </c:txPr>
        <c:crossAx val="238396928"/>
        <c:crosses val="autoZero"/>
        <c:auto val="1"/>
        <c:lblAlgn val="ctr"/>
        <c:lblOffset val="100"/>
      </c:catAx>
      <c:valAx>
        <c:axId val="238396928"/>
        <c:scaling>
          <c:orientation val="minMax"/>
          <c:max val="5500"/>
          <c:min val="1000"/>
        </c:scaling>
        <c:axPos val="l"/>
        <c:numFmt formatCode="#,##0" sourceLinked="1"/>
        <c:tickLblPos val="nextTo"/>
        <c:txPr>
          <a:bodyPr/>
          <a:lstStyle/>
          <a:p>
            <a:pPr>
              <a:defRPr b="1"/>
            </a:pPr>
            <a:endParaRPr lang="ru-RU"/>
          </a:p>
        </c:txPr>
        <c:crossAx val="238395392"/>
        <c:crosses val="autoZero"/>
        <c:crossBetween val="between"/>
        <c:majorUnit val="1000"/>
      </c:valAx>
    </c:plotArea>
    <c:legend>
      <c:legendPos val="b"/>
      <c:layout>
        <c:manualLayout>
          <c:xMode val="edge"/>
          <c:yMode val="edge"/>
          <c:x val="0.15365395245992294"/>
          <c:y val="0.81070895143631905"/>
          <c:w val="0.7811387506909897"/>
          <c:h val="0.11930946476994241"/>
        </c:manualLayout>
      </c:layout>
      <c:txPr>
        <a:bodyPr/>
        <a:lstStyle/>
        <a:p>
          <a:pPr>
            <a:defRPr b="1"/>
          </a:pPr>
          <a:endParaRPr lang="ru-RU"/>
        </a:p>
      </c:txPr>
    </c:legend>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8.png"/></Relationships>
</file>

<file path=word/drawings/drawing1.xml><?xml version="1.0" encoding="utf-8"?>
<c:userShapes xmlns:c="http://schemas.openxmlformats.org/drawingml/2006/chart">
  <cdr:relSizeAnchor xmlns:cdr="http://schemas.openxmlformats.org/drawingml/2006/chartDrawing">
    <cdr:from>
      <cdr:x>0</cdr:x>
      <cdr:y>0</cdr:y>
    </cdr:from>
    <cdr:to>
      <cdr:x>0.00397</cdr:x>
      <cdr:y>0.00889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0.12708</cdr:x>
      <cdr:y>0</cdr:y>
    </cdr:from>
    <cdr:to>
      <cdr:x>0.95208</cdr:x>
      <cdr:y>0.09709</cdr:y>
    </cdr:to>
    <cdr:sp macro="" textlink="">
      <cdr:nvSpPr>
        <cdr:cNvPr id="3" name="TextBox 2"/>
        <cdr:cNvSpPr txBox="1"/>
      </cdr:nvSpPr>
      <cdr:spPr>
        <a:xfrm xmlns:a="http://schemas.openxmlformats.org/drawingml/2006/main">
          <a:off x="413969" y="0"/>
          <a:ext cx="2687479" cy="274654"/>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pPr algn="ctr"/>
          <a:r>
            <a:rPr lang="ru-RU" sz="1000" b="1">
              <a:latin typeface="Times New Roman" pitchFamily="18" charset="0"/>
              <a:cs typeface="Times New Roman" pitchFamily="18" charset="0"/>
            </a:rPr>
            <a:t>Инвестиции</a:t>
          </a:r>
          <a:r>
            <a:rPr lang="ru-RU" sz="1000" b="1" baseline="0">
              <a:latin typeface="Times New Roman" pitchFamily="18" charset="0"/>
              <a:cs typeface="Times New Roman" pitchFamily="18" charset="0"/>
            </a:rPr>
            <a:t> в основной капитал  </a:t>
          </a:r>
          <a:endParaRPr lang="ru-RU" sz="1000" b="1">
            <a:latin typeface="Times New Roman" pitchFamily="18" charset="0"/>
            <a:cs typeface="Times New Roman" pitchFamily="18" charset="0"/>
          </a:endParaRPr>
        </a:p>
      </cdr:txBody>
    </cdr:sp>
  </cdr:relSizeAnchor>
  <cdr:relSizeAnchor xmlns:cdr="http://schemas.openxmlformats.org/drawingml/2006/chartDrawing">
    <cdr:from>
      <cdr:x>0</cdr:x>
      <cdr:y>0.77994</cdr:y>
    </cdr:from>
    <cdr:to>
      <cdr:x>1</cdr:x>
      <cdr:y>1</cdr:y>
    </cdr:to>
    <cdr:sp macro="" textlink="">
      <cdr:nvSpPr>
        <cdr:cNvPr id="4" name="TextBox 3"/>
        <cdr:cNvSpPr txBox="1"/>
      </cdr:nvSpPr>
      <cdr:spPr>
        <a:xfrm xmlns:a="http://schemas.openxmlformats.org/drawingml/2006/main">
          <a:off x="0" y="2295525"/>
          <a:ext cx="3257550" cy="6477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 </a:t>
          </a:r>
          <a:r>
            <a:rPr lang="ru-RU" sz="1000">
              <a:latin typeface="Times New Roman" pitchFamily="18" charset="0"/>
              <a:ea typeface="+mn-ea"/>
              <a:cs typeface="Times New Roman" pitchFamily="18" charset="0"/>
            </a:rPr>
            <a:t>доля к общей сумме инвестиций в основной капитал (в части новых и </a:t>
          </a:r>
          <a:r>
            <a:rPr lang="ru-RU" sz="900">
              <a:latin typeface="Times New Roman" pitchFamily="18" charset="0"/>
              <a:ea typeface="+mn-ea"/>
              <a:cs typeface="Times New Roman" pitchFamily="18" charset="0"/>
            </a:rPr>
            <a:t>приобретенных</a:t>
          </a:r>
          <a:r>
            <a:rPr lang="ru-RU" sz="1000">
              <a:latin typeface="Times New Roman" pitchFamily="18" charset="0"/>
              <a:ea typeface="+mn-ea"/>
              <a:cs typeface="Times New Roman" pitchFamily="18" charset="0"/>
            </a:rPr>
            <a:t> по импорту основных средст</a:t>
          </a:r>
          <a:r>
            <a:rPr lang="ru-RU" sz="1000" baseline="0">
              <a:latin typeface="Times New Roman" pitchFamily="18" charset="0"/>
              <a:ea typeface="+mn-ea"/>
              <a:cs typeface="Times New Roman" pitchFamily="18" charset="0"/>
            </a:rPr>
            <a:t>в)</a:t>
          </a:r>
          <a:r>
            <a:rPr lang="ru-RU" sz="1000">
              <a:latin typeface="Times New Roman" pitchFamily="18" charset="0"/>
              <a:cs typeface="Times New Roman" pitchFamily="18" charset="0"/>
            </a:rPr>
            <a:t> </a:t>
          </a:r>
        </a:p>
      </cdr:txBody>
    </cdr:sp>
  </cdr:relSizeAnchor>
</c:userShapes>
</file>

<file path=word/drawings/drawing3.xml><?xml version="1.0" encoding="utf-8"?>
<c:userShapes xmlns:c="http://schemas.openxmlformats.org/drawingml/2006/chart">
  <cdr:relSizeAnchor xmlns:cdr="http://schemas.openxmlformats.org/drawingml/2006/chartDrawing">
    <cdr:from>
      <cdr:x>0.09167</cdr:x>
      <cdr:y>0.0295</cdr:y>
    </cdr:from>
    <cdr:to>
      <cdr:x>0.92083</cdr:x>
      <cdr:y>0.09091</cdr:y>
    </cdr:to>
    <cdr:sp macro="" textlink="">
      <cdr:nvSpPr>
        <cdr:cNvPr id="2" name="TextBox 1"/>
        <cdr:cNvSpPr txBox="1"/>
      </cdr:nvSpPr>
      <cdr:spPr>
        <a:xfrm xmlns:a="http://schemas.openxmlformats.org/drawingml/2006/main">
          <a:off x="323068" y="89636"/>
          <a:ext cx="2922167" cy="18659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000" b="1">
              <a:latin typeface="Times New Roman" pitchFamily="18" charset="0"/>
              <a:cs typeface="Times New Roman" pitchFamily="18" charset="0"/>
            </a:rPr>
            <a:t>Инвестиции</a:t>
          </a:r>
          <a:r>
            <a:rPr lang="ru-RU" sz="1000" b="1" baseline="0">
              <a:latin typeface="Times New Roman" pitchFamily="18" charset="0"/>
              <a:cs typeface="Times New Roman" pitchFamily="18" charset="0"/>
            </a:rPr>
            <a:t> в основной капитал</a:t>
          </a:r>
          <a:endParaRPr lang="ru-RU" sz="1000" b="1">
            <a:latin typeface="Times New Roman" pitchFamily="18" charset="0"/>
            <a:cs typeface="Times New Roman" pitchFamily="18" charset="0"/>
          </a:endParaRPr>
        </a:p>
      </cdr:txBody>
    </cdr:sp>
  </cdr:relSizeAnchor>
  <cdr:relSizeAnchor xmlns:cdr="http://schemas.openxmlformats.org/drawingml/2006/chartDrawing">
    <cdr:from>
      <cdr:x>0.08958</cdr:x>
      <cdr:y>0.74295</cdr:y>
    </cdr:from>
    <cdr:to>
      <cdr:x>0.86458</cdr:x>
      <cdr:y>0.79012</cdr:y>
    </cdr:to>
    <cdr:sp macro="" textlink="">
      <cdr:nvSpPr>
        <cdr:cNvPr id="3" name="TextBox 2"/>
        <cdr:cNvSpPr txBox="1"/>
      </cdr:nvSpPr>
      <cdr:spPr>
        <a:xfrm xmlns:a="http://schemas.openxmlformats.org/drawingml/2006/main">
          <a:off x="315703" y="2257424"/>
          <a:ext cx="2731293" cy="14334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 </a:t>
          </a:r>
          <a:r>
            <a:rPr lang="ru-RU" sz="1000">
              <a:latin typeface="Times New Roman" pitchFamily="18" charset="0"/>
              <a:ea typeface="+mn-ea"/>
              <a:cs typeface="Times New Roman" pitchFamily="18" charset="0"/>
            </a:rPr>
            <a:t>доля к общей сумме инвестиций в основной капитал (в части новых и приобретенных по импорту основных средст</a:t>
          </a:r>
          <a:r>
            <a:rPr lang="ru-RU" sz="1000" baseline="0">
              <a:latin typeface="Times New Roman" pitchFamily="18" charset="0"/>
              <a:ea typeface="+mn-ea"/>
              <a:cs typeface="Times New Roman" pitchFamily="18" charset="0"/>
            </a:rPr>
            <a:t>в)</a:t>
          </a:r>
          <a:r>
            <a:rPr lang="ru-RU" sz="1000">
              <a:latin typeface="Times New Roman" pitchFamily="18" charset="0"/>
              <a:ea typeface="+mn-ea"/>
              <a:cs typeface="Times New Roman" pitchFamily="18" charset="0"/>
            </a:rPr>
            <a:t> </a:t>
          </a:r>
          <a:r>
            <a:rPr lang="ru-RU" sz="1000">
              <a:latin typeface="Times New Roman" pitchFamily="18" charset="0"/>
              <a:cs typeface="Times New Roman" pitchFamily="18" charset="0"/>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794A5-DDA1-43DF-8DF9-B14E367E9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Pages>
  <Words>31017</Words>
  <Characters>176797</Characters>
  <Application>Microsoft Office Word</Application>
  <DocSecurity>0</DocSecurity>
  <Lines>1473</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207400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rosovskaya</dc:creator>
  <cp:keywords/>
  <dc:description/>
  <cp:lastModifiedBy>gosharova-s</cp:lastModifiedBy>
  <cp:revision>17</cp:revision>
  <cp:lastPrinted>2014-09-09T13:51:00Z</cp:lastPrinted>
  <dcterms:created xsi:type="dcterms:W3CDTF">2014-09-08T13:33:00Z</dcterms:created>
  <dcterms:modified xsi:type="dcterms:W3CDTF">2014-09-09T14:05:00Z</dcterms:modified>
</cp:coreProperties>
</file>