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Default Extension="png" ContentType="image/png"/>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844" w:rsidRDefault="00335844" w:rsidP="00335844">
      <w:pPr>
        <w:spacing w:after="0" w:line="240" w:lineRule="auto"/>
        <w:ind w:firstLine="851"/>
        <w:jc w:val="both"/>
        <w:rPr>
          <w:rFonts w:ascii="Times New Roman" w:hAnsi="Times New Roman"/>
          <w:b/>
          <w:sz w:val="28"/>
          <w:szCs w:val="28"/>
        </w:rPr>
      </w:pPr>
    </w:p>
    <w:p w:rsidR="00335844" w:rsidRPr="00A05477" w:rsidRDefault="00335844" w:rsidP="00335844">
      <w:pPr>
        <w:spacing w:after="0" w:line="240" w:lineRule="auto"/>
        <w:ind w:firstLine="851"/>
        <w:jc w:val="both"/>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FB2DB2">
        <w:rPr>
          <w:rFonts w:ascii="Times New Roman" w:hAnsi="Times New Roman"/>
          <w:b/>
          <w:bCs/>
          <w:sz w:val="28"/>
          <w:szCs w:val="28"/>
        </w:rPr>
        <w:t>МИНИСТЕРСТВО ЭКОНОМИ</w:t>
      </w:r>
      <w:r>
        <w:rPr>
          <w:rFonts w:ascii="Times New Roman" w:hAnsi="Times New Roman"/>
          <w:b/>
          <w:bCs/>
          <w:sz w:val="28"/>
          <w:szCs w:val="28"/>
        </w:rPr>
        <w:t>ЧЕСКОГО РАЗВИТИЯ</w:t>
      </w: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bCs/>
          <w:sz w:val="28"/>
          <w:szCs w:val="28"/>
        </w:rPr>
        <w:t>ПРИДНЕСТРОВСКОЙ МОЛДАВСКОЙ РЕСПУБЛИКИ</w:t>
      </w: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FB2DB2">
        <w:rPr>
          <w:rFonts w:ascii="Times New Roman" w:hAnsi="Times New Roman"/>
          <w:b/>
          <w:bCs/>
          <w:sz w:val="44"/>
          <w:szCs w:val="44"/>
        </w:rPr>
        <w:t>ДОКЛАД</w:t>
      </w: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«О социально-экономическом развитии</w:t>
      </w: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FB2DB2">
        <w:rPr>
          <w:rFonts w:ascii="Times New Roman" w:hAnsi="Times New Roman"/>
          <w:b/>
          <w:bCs/>
          <w:sz w:val="48"/>
          <w:szCs w:val="48"/>
        </w:rPr>
        <w:t>Приднестровской Молдавской Республики</w:t>
      </w:r>
      <w:r>
        <w:rPr>
          <w:rFonts w:ascii="Times New Roman" w:hAnsi="Times New Roman"/>
          <w:b/>
          <w:bCs/>
          <w:sz w:val="48"/>
          <w:szCs w:val="48"/>
        </w:rPr>
        <w:t xml:space="preserve"> в январе–июне 2015 года</w:t>
      </w:r>
      <w:r w:rsidRPr="00FB2DB2">
        <w:rPr>
          <w:rFonts w:ascii="Times New Roman" w:hAnsi="Times New Roman"/>
          <w:b/>
          <w:bCs/>
          <w:sz w:val="48"/>
          <w:szCs w:val="48"/>
        </w:rPr>
        <w:t>»</w:t>
      </w: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sz w:val="28"/>
          <w:szCs w:val="28"/>
        </w:rPr>
        <w:t>г. Тирасполь</w:t>
      </w:r>
    </w:p>
    <w:p w:rsidR="00335844"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FB2DB2">
        <w:rPr>
          <w:rFonts w:ascii="Times New Roman" w:hAnsi="Times New Roman"/>
          <w:b/>
          <w:sz w:val="28"/>
          <w:szCs w:val="28"/>
        </w:rPr>
        <w:t>201</w:t>
      </w:r>
      <w:r>
        <w:rPr>
          <w:rFonts w:ascii="Times New Roman" w:hAnsi="Times New Roman"/>
          <w:b/>
          <w:sz w:val="28"/>
          <w:szCs w:val="28"/>
        </w:rPr>
        <w:t>5</w:t>
      </w:r>
      <w:r w:rsidRPr="00FB2DB2">
        <w:rPr>
          <w:rFonts w:ascii="Times New Roman" w:hAnsi="Times New Roman"/>
          <w:b/>
          <w:sz w:val="28"/>
          <w:szCs w:val="28"/>
        </w:rPr>
        <w:t xml:space="preserve"> год</w:t>
      </w:r>
    </w:p>
    <w:p w:rsidR="00335844" w:rsidRPr="00FB2DB2"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Default="00335844" w:rsidP="00335844">
      <w:pPr>
        <w:spacing w:after="0" w:line="240" w:lineRule="auto"/>
        <w:jc w:val="center"/>
        <w:rPr>
          <w:rFonts w:ascii="Times New Roman" w:hAnsi="Times New Roman"/>
          <w:b/>
          <w:sz w:val="24"/>
          <w:szCs w:val="24"/>
        </w:rPr>
      </w:pPr>
    </w:p>
    <w:p w:rsidR="00335844" w:rsidRDefault="00335844" w:rsidP="00335844">
      <w:pPr>
        <w:spacing w:after="0" w:line="240" w:lineRule="auto"/>
        <w:jc w:val="center"/>
        <w:rPr>
          <w:rFonts w:ascii="Times New Roman" w:hAnsi="Times New Roman"/>
          <w:b/>
          <w:sz w:val="24"/>
          <w:szCs w:val="24"/>
        </w:rPr>
      </w:pPr>
    </w:p>
    <w:p w:rsidR="00335844" w:rsidRDefault="00335844" w:rsidP="00335844">
      <w:pPr>
        <w:spacing w:after="0" w:line="240" w:lineRule="auto"/>
        <w:jc w:val="center"/>
        <w:rPr>
          <w:rFonts w:ascii="Times New Roman" w:hAnsi="Times New Roman"/>
          <w:b/>
          <w:sz w:val="24"/>
          <w:szCs w:val="24"/>
        </w:rPr>
      </w:pPr>
    </w:p>
    <w:p w:rsidR="00335844" w:rsidRDefault="00335844" w:rsidP="00335844">
      <w:pPr>
        <w:spacing w:after="0" w:line="240" w:lineRule="auto"/>
        <w:jc w:val="center"/>
        <w:rPr>
          <w:rFonts w:ascii="Times New Roman" w:hAnsi="Times New Roman"/>
          <w:b/>
          <w:sz w:val="24"/>
          <w:szCs w:val="24"/>
        </w:rPr>
      </w:pPr>
    </w:p>
    <w:p w:rsidR="00335844" w:rsidRDefault="00335844" w:rsidP="00335844">
      <w:pPr>
        <w:spacing w:after="0" w:line="240" w:lineRule="auto"/>
        <w:jc w:val="center"/>
        <w:rPr>
          <w:rFonts w:ascii="Times New Roman" w:hAnsi="Times New Roman"/>
          <w:b/>
          <w:sz w:val="24"/>
          <w:szCs w:val="24"/>
        </w:rPr>
      </w:pPr>
    </w:p>
    <w:p w:rsidR="00335844" w:rsidRDefault="00335844" w:rsidP="00335844">
      <w:pPr>
        <w:spacing w:after="0" w:line="240" w:lineRule="auto"/>
        <w:jc w:val="center"/>
        <w:rPr>
          <w:rFonts w:ascii="Times New Roman" w:hAnsi="Times New Roman"/>
          <w:b/>
          <w:sz w:val="24"/>
          <w:szCs w:val="24"/>
        </w:rPr>
      </w:pPr>
    </w:p>
    <w:p w:rsidR="00335844" w:rsidRPr="00E030E3" w:rsidRDefault="00335844" w:rsidP="00335844">
      <w:pPr>
        <w:spacing w:after="0" w:line="240" w:lineRule="auto"/>
        <w:jc w:val="center"/>
        <w:rPr>
          <w:rFonts w:ascii="Times New Roman" w:hAnsi="Times New Roman"/>
          <w:b/>
          <w:sz w:val="24"/>
          <w:szCs w:val="24"/>
        </w:rPr>
      </w:pPr>
      <w:r w:rsidRPr="00E030E3">
        <w:rPr>
          <w:rFonts w:ascii="Times New Roman" w:hAnsi="Times New Roman"/>
          <w:b/>
          <w:sz w:val="24"/>
          <w:szCs w:val="24"/>
        </w:rPr>
        <w:t>Содержание</w:t>
      </w:r>
    </w:p>
    <w:p w:rsidR="00335844" w:rsidRDefault="00335844" w:rsidP="00335844">
      <w:pPr>
        <w:spacing w:after="0" w:line="240" w:lineRule="auto"/>
        <w:ind w:firstLine="851"/>
        <w:jc w:val="both"/>
        <w:rPr>
          <w:rFonts w:ascii="Times New Roman" w:hAnsi="Times New Roman"/>
          <w:b/>
          <w:sz w:val="24"/>
          <w:szCs w:val="24"/>
        </w:rPr>
      </w:pPr>
    </w:p>
    <w:p w:rsidR="00335844" w:rsidRDefault="00335844" w:rsidP="00335844">
      <w:pPr>
        <w:spacing w:after="0" w:line="240" w:lineRule="auto"/>
        <w:ind w:firstLine="851"/>
        <w:jc w:val="both"/>
        <w:rPr>
          <w:rFonts w:ascii="Times New Roman" w:hAnsi="Times New Roman"/>
          <w:b/>
          <w:sz w:val="24"/>
          <w:szCs w:val="24"/>
        </w:rPr>
      </w:pPr>
    </w:p>
    <w:p w:rsidR="00335844" w:rsidRDefault="00335844" w:rsidP="00335844">
      <w:pPr>
        <w:spacing w:after="0" w:line="240" w:lineRule="auto"/>
        <w:ind w:firstLine="851"/>
        <w:jc w:val="both"/>
        <w:rPr>
          <w:rFonts w:ascii="Times New Roman" w:hAnsi="Times New Roman"/>
          <w:b/>
          <w:sz w:val="24"/>
          <w:szCs w:val="24"/>
        </w:rPr>
      </w:pPr>
    </w:p>
    <w:p w:rsidR="00335844" w:rsidRPr="00E030E3" w:rsidRDefault="00335844" w:rsidP="00335844">
      <w:pPr>
        <w:spacing w:after="0" w:line="240" w:lineRule="auto"/>
        <w:ind w:firstLine="851"/>
        <w:jc w:val="both"/>
        <w:rPr>
          <w:rFonts w:ascii="Times New Roman" w:hAnsi="Times New Roman"/>
          <w:b/>
          <w:sz w:val="24"/>
          <w:szCs w:val="24"/>
        </w:rPr>
      </w:pPr>
    </w:p>
    <w:tbl>
      <w:tblPr>
        <w:tblW w:w="9434" w:type="dxa"/>
        <w:tblLook w:val="01E0"/>
      </w:tblPr>
      <w:tblGrid>
        <w:gridCol w:w="8798"/>
        <w:gridCol w:w="636"/>
      </w:tblGrid>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 xml:space="preserve">Основные тенденции развития экономики Приднестровской Молдавской Республики в </w:t>
            </w:r>
            <w:r>
              <w:rPr>
                <w:rFonts w:ascii="Times New Roman" w:hAnsi="Times New Roman"/>
                <w:b/>
                <w:sz w:val="24"/>
                <w:szCs w:val="24"/>
              </w:rPr>
              <w:t xml:space="preserve">январе – декабре </w:t>
            </w:r>
            <w:r w:rsidRPr="004B6A68">
              <w:rPr>
                <w:rFonts w:ascii="Times New Roman" w:hAnsi="Times New Roman"/>
                <w:b/>
                <w:sz w:val="24"/>
                <w:szCs w:val="24"/>
              </w:rPr>
              <w:t>2014 год</w:t>
            </w:r>
            <w:r>
              <w:rPr>
                <w:rFonts w:ascii="Times New Roman" w:hAnsi="Times New Roman"/>
                <w:b/>
                <w:sz w:val="24"/>
                <w:szCs w:val="24"/>
              </w:rPr>
              <w:t>а</w:t>
            </w:r>
          </w:p>
        </w:tc>
        <w:tc>
          <w:tcPr>
            <w:tcW w:w="636" w:type="dxa"/>
            <w:vAlign w:val="bottom"/>
          </w:tcPr>
          <w:p w:rsidR="00335844" w:rsidRPr="00E030E3" w:rsidRDefault="00E26FAD" w:rsidP="00E26FAD">
            <w:pPr>
              <w:spacing w:before="100" w:beforeAutospacing="1" w:after="0" w:afterAutospacing="1" w:line="240" w:lineRule="auto"/>
              <w:rPr>
                <w:rFonts w:ascii="Times New Roman" w:hAnsi="Times New Roman"/>
                <w:b/>
                <w:sz w:val="24"/>
                <w:szCs w:val="24"/>
                <w:highlight w:val="cyan"/>
              </w:rPr>
            </w:pPr>
            <w:r>
              <w:rPr>
                <w:rFonts w:ascii="Times New Roman" w:hAnsi="Times New Roman"/>
                <w:b/>
                <w:sz w:val="24"/>
                <w:szCs w:val="24"/>
              </w:rPr>
              <w:t xml:space="preserve">  </w:t>
            </w:r>
            <w:r w:rsidR="00335844" w:rsidRPr="00E030E3">
              <w:rPr>
                <w:rFonts w:ascii="Times New Roman" w:hAnsi="Times New Roman"/>
                <w:b/>
                <w:sz w:val="24"/>
                <w:szCs w:val="24"/>
              </w:rPr>
              <w:t>3</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Объем и структура ВВП……………………………………………………</w:t>
            </w:r>
          </w:p>
        </w:tc>
        <w:tc>
          <w:tcPr>
            <w:tcW w:w="636" w:type="dxa"/>
          </w:tcPr>
          <w:p w:rsidR="00335844" w:rsidRPr="00E030E3" w:rsidRDefault="00335844" w:rsidP="00B3408A">
            <w:pPr>
              <w:spacing w:before="100" w:beforeAutospacing="1" w:after="100" w:afterAutospacing="1" w:line="240" w:lineRule="auto"/>
              <w:rPr>
                <w:rFonts w:ascii="Times New Roman" w:hAnsi="Times New Roman"/>
                <w:sz w:val="24"/>
                <w:szCs w:val="24"/>
              </w:rPr>
            </w:pPr>
            <w:r w:rsidRPr="00E030E3">
              <w:rPr>
                <w:rFonts w:ascii="Times New Roman" w:hAnsi="Times New Roman"/>
                <w:sz w:val="24"/>
                <w:szCs w:val="24"/>
              </w:rPr>
              <w:t>1</w:t>
            </w:r>
            <w:r w:rsidR="00B3408A">
              <w:rPr>
                <w:rFonts w:ascii="Times New Roman" w:hAnsi="Times New Roman"/>
                <w:sz w:val="24"/>
                <w:szCs w:val="24"/>
              </w:rPr>
              <w:t>2</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Денежно-кредитная политика……………………………………………..</w:t>
            </w:r>
          </w:p>
        </w:tc>
        <w:tc>
          <w:tcPr>
            <w:tcW w:w="636" w:type="dxa"/>
          </w:tcPr>
          <w:p w:rsidR="00335844" w:rsidRPr="00E030E3" w:rsidRDefault="00335844" w:rsidP="003613E3">
            <w:pPr>
              <w:spacing w:before="100" w:beforeAutospacing="1" w:after="0" w:afterAutospacing="1" w:line="240" w:lineRule="auto"/>
              <w:rPr>
                <w:rFonts w:ascii="Times New Roman" w:hAnsi="Times New Roman"/>
                <w:sz w:val="24"/>
                <w:szCs w:val="24"/>
              </w:rPr>
            </w:pPr>
            <w:r w:rsidRPr="00E030E3">
              <w:rPr>
                <w:rFonts w:ascii="Times New Roman" w:hAnsi="Times New Roman"/>
                <w:sz w:val="24"/>
                <w:szCs w:val="24"/>
              </w:rPr>
              <w:t>1</w:t>
            </w:r>
            <w:r w:rsidR="003613E3">
              <w:rPr>
                <w:rFonts w:ascii="Times New Roman" w:hAnsi="Times New Roman"/>
                <w:sz w:val="24"/>
                <w:szCs w:val="24"/>
              </w:rPr>
              <w:t>5</w:t>
            </w:r>
          </w:p>
        </w:tc>
      </w:tr>
      <w:tr w:rsidR="00335844" w:rsidRPr="00E030E3" w:rsidTr="003F67B2">
        <w:tc>
          <w:tcPr>
            <w:tcW w:w="8798" w:type="dxa"/>
          </w:tcPr>
          <w:p w:rsidR="00335844" w:rsidRPr="004B6A68"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Исполнение Консолидированного бюджета……………………………...</w:t>
            </w:r>
          </w:p>
        </w:tc>
        <w:tc>
          <w:tcPr>
            <w:tcW w:w="636" w:type="dxa"/>
          </w:tcPr>
          <w:p w:rsidR="00335844" w:rsidRPr="00E030E3" w:rsidRDefault="00B830EB" w:rsidP="003F67B2">
            <w:pPr>
              <w:spacing w:before="100" w:beforeAutospacing="1" w:after="0" w:afterAutospacing="1" w:line="240" w:lineRule="auto"/>
              <w:rPr>
                <w:rFonts w:ascii="Times New Roman" w:hAnsi="Times New Roman"/>
                <w:sz w:val="24"/>
                <w:szCs w:val="24"/>
              </w:rPr>
            </w:pPr>
            <w:r>
              <w:rPr>
                <w:rFonts w:ascii="Times New Roman" w:hAnsi="Times New Roman"/>
                <w:sz w:val="24"/>
                <w:szCs w:val="24"/>
              </w:rPr>
              <w:t>19</w:t>
            </w:r>
          </w:p>
        </w:tc>
      </w:tr>
      <w:tr w:rsidR="00335844" w:rsidRPr="00E030E3" w:rsidTr="003F67B2">
        <w:tc>
          <w:tcPr>
            <w:tcW w:w="8798" w:type="dxa"/>
          </w:tcPr>
          <w:p w:rsidR="00335844" w:rsidRPr="004B6A68"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Внешнеэкономическая деятельность……………………………………...</w:t>
            </w:r>
          </w:p>
        </w:tc>
        <w:tc>
          <w:tcPr>
            <w:tcW w:w="636" w:type="dxa"/>
          </w:tcPr>
          <w:p w:rsidR="00335844" w:rsidRPr="00E030E3" w:rsidRDefault="00335844" w:rsidP="00B830EB">
            <w:pPr>
              <w:spacing w:before="100" w:beforeAutospacing="1" w:after="0" w:afterAutospacing="1" w:line="240" w:lineRule="auto"/>
              <w:rPr>
                <w:rFonts w:ascii="Times New Roman" w:hAnsi="Times New Roman"/>
                <w:sz w:val="24"/>
                <w:szCs w:val="24"/>
              </w:rPr>
            </w:pPr>
            <w:r>
              <w:rPr>
                <w:rFonts w:ascii="Times New Roman" w:hAnsi="Times New Roman"/>
                <w:sz w:val="24"/>
                <w:szCs w:val="24"/>
              </w:rPr>
              <w:t>2</w:t>
            </w:r>
            <w:r w:rsidR="00B830EB">
              <w:rPr>
                <w:rFonts w:ascii="Times New Roman" w:hAnsi="Times New Roman"/>
                <w:sz w:val="24"/>
                <w:szCs w:val="24"/>
              </w:rPr>
              <w:t>5</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Состояние реального сектора экономики……………………………...</w:t>
            </w:r>
          </w:p>
        </w:tc>
        <w:tc>
          <w:tcPr>
            <w:tcW w:w="636" w:type="dxa"/>
          </w:tcPr>
          <w:p w:rsidR="00335844" w:rsidRPr="00E030E3" w:rsidRDefault="00B830EB" w:rsidP="003F67B2">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28</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Промышленность……………………………………………………………</w:t>
            </w:r>
          </w:p>
        </w:tc>
        <w:tc>
          <w:tcPr>
            <w:tcW w:w="636" w:type="dxa"/>
          </w:tcPr>
          <w:p w:rsidR="00335844" w:rsidRPr="00E030E3" w:rsidRDefault="00B830EB"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28</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Агропромышленный комплекс…………………………………………….</w:t>
            </w:r>
          </w:p>
        </w:tc>
        <w:tc>
          <w:tcPr>
            <w:tcW w:w="636" w:type="dxa"/>
          </w:tcPr>
          <w:p w:rsidR="00335844" w:rsidRPr="00E030E3" w:rsidRDefault="00335844" w:rsidP="003613E3">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w:t>
            </w:r>
            <w:r w:rsidR="003613E3">
              <w:rPr>
                <w:rFonts w:ascii="Times New Roman" w:hAnsi="Times New Roman"/>
                <w:sz w:val="24"/>
                <w:szCs w:val="24"/>
              </w:rPr>
              <w:t>1</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Инвестиционная деятельность……………………………………………..</w:t>
            </w:r>
          </w:p>
        </w:tc>
        <w:tc>
          <w:tcPr>
            <w:tcW w:w="636" w:type="dxa"/>
          </w:tcPr>
          <w:p w:rsidR="00335844" w:rsidRPr="00E030E3" w:rsidRDefault="00B830EB"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36</w:t>
            </w:r>
          </w:p>
        </w:tc>
      </w:tr>
      <w:tr w:rsidR="00335844" w:rsidRPr="00E030E3" w:rsidTr="003F67B2">
        <w:tc>
          <w:tcPr>
            <w:tcW w:w="8798" w:type="dxa"/>
          </w:tcPr>
          <w:p w:rsidR="00335844" w:rsidRPr="004B6A68"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Транспорт…………………………………………………………………….</w:t>
            </w:r>
          </w:p>
        </w:tc>
        <w:tc>
          <w:tcPr>
            <w:tcW w:w="636" w:type="dxa"/>
          </w:tcPr>
          <w:p w:rsidR="00335844" w:rsidRPr="00E030E3" w:rsidRDefault="00335844" w:rsidP="00B830EB">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B830EB">
              <w:rPr>
                <w:rFonts w:ascii="Times New Roman" w:hAnsi="Times New Roman"/>
                <w:sz w:val="24"/>
                <w:szCs w:val="24"/>
              </w:rPr>
              <w:t>0</w:t>
            </w:r>
          </w:p>
        </w:tc>
      </w:tr>
      <w:tr w:rsidR="00335844" w:rsidRPr="00E030E3" w:rsidTr="003F67B2">
        <w:tc>
          <w:tcPr>
            <w:tcW w:w="8798" w:type="dxa"/>
          </w:tcPr>
          <w:p w:rsidR="00335844" w:rsidRPr="004B6A68"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Связь…………………………………………………………………………</w:t>
            </w:r>
          </w:p>
        </w:tc>
        <w:tc>
          <w:tcPr>
            <w:tcW w:w="636" w:type="dxa"/>
          </w:tcPr>
          <w:p w:rsidR="00335844" w:rsidRPr="00E030E3" w:rsidRDefault="00335844" w:rsidP="00B830EB">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B830EB">
              <w:rPr>
                <w:rFonts w:ascii="Times New Roman" w:hAnsi="Times New Roman"/>
                <w:sz w:val="24"/>
                <w:szCs w:val="24"/>
              </w:rPr>
              <w:t>3</w:t>
            </w:r>
          </w:p>
        </w:tc>
      </w:tr>
      <w:tr w:rsidR="00335844" w:rsidRPr="00E030E3" w:rsidTr="003F67B2">
        <w:tc>
          <w:tcPr>
            <w:tcW w:w="8798" w:type="dxa"/>
          </w:tcPr>
          <w:p w:rsidR="00335844" w:rsidRPr="004B6A68"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Потребительский рынок……………………………………………………</w:t>
            </w:r>
          </w:p>
        </w:tc>
        <w:tc>
          <w:tcPr>
            <w:tcW w:w="636" w:type="dxa"/>
          </w:tcPr>
          <w:p w:rsidR="00335844" w:rsidRPr="00E030E3" w:rsidRDefault="006C3634"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46</w:t>
            </w:r>
          </w:p>
        </w:tc>
      </w:tr>
      <w:tr w:rsidR="00335844" w:rsidRPr="00E030E3" w:rsidTr="003F67B2">
        <w:tc>
          <w:tcPr>
            <w:tcW w:w="8798" w:type="dxa"/>
          </w:tcPr>
          <w:p w:rsidR="00335844" w:rsidRPr="004B6A68" w:rsidRDefault="00335844"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Ценовая и тарифная политика……………………………………………...</w:t>
            </w:r>
          </w:p>
        </w:tc>
        <w:tc>
          <w:tcPr>
            <w:tcW w:w="636" w:type="dxa"/>
          </w:tcPr>
          <w:p w:rsidR="00335844" w:rsidRPr="00E030E3" w:rsidRDefault="006C3634"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49</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Малое предпринимательство………………………………………………</w:t>
            </w:r>
          </w:p>
        </w:tc>
        <w:tc>
          <w:tcPr>
            <w:tcW w:w="636" w:type="dxa"/>
          </w:tcPr>
          <w:p w:rsidR="00335844" w:rsidRPr="00E030E3" w:rsidRDefault="00335844" w:rsidP="006C3634">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5</w:t>
            </w:r>
            <w:r w:rsidR="006C3634">
              <w:rPr>
                <w:rFonts w:ascii="Times New Roman" w:hAnsi="Times New Roman"/>
                <w:sz w:val="24"/>
                <w:szCs w:val="24"/>
              </w:rPr>
              <w:t>5</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Экология……………………………………………………………………..</w:t>
            </w:r>
          </w:p>
        </w:tc>
        <w:tc>
          <w:tcPr>
            <w:tcW w:w="636" w:type="dxa"/>
          </w:tcPr>
          <w:p w:rsidR="00335844" w:rsidRPr="00E030E3" w:rsidRDefault="00E27A44"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60</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b/>
                <w:sz w:val="24"/>
                <w:szCs w:val="24"/>
              </w:rPr>
            </w:pPr>
            <w:r w:rsidRPr="004B6A68">
              <w:rPr>
                <w:rFonts w:ascii="Times New Roman" w:hAnsi="Times New Roman"/>
                <w:b/>
                <w:sz w:val="24"/>
                <w:szCs w:val="24"/>
              </w:rPr>
              <w:t>Состояние социальной сферы……………………………………………</w:t>
            </w:r>
          </w:p>
        </w:tc>
        <w:tc>
          <w:tcPr>
            <w:tcW w:w="636" w:type="dxa"/>
          </w:tcPr>
          <w:p w:rsidR="00335844" w:rsidRPr="00E030E3" w:rsidRDefault="00335844" w:rsidP="00E27A44">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6</w:t>
            </w:r>
            <w:r w:rsidR="00E27A44">
              <w:rPr>
                <w:rFonts w:ascii="Times New Roman" w:hAnsi="Times New Roman"/>
                <w:b/>
                <w:sz w:val="24"/>
                <w:szCs w:val="24"/>
              </w:rPr>
              <w:t>3</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Уровень жизни населения………………………………………………….</w:t>
            </w:r>
          </w:p>
        </w:tc>
        <w:tc>
          <w:tcPr>
            <w:tcW w:w="636" w:type="dxa"/>
          </w:tcPr>
          <w:p w:rsidR="00335844" w:rsidRPr="00E030E3" w:rsidRDefault="00335844" w:rsidP="00E27A44">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6</w:t>
            </w:r>
            <w:r w:rsidR="00E27A44">
              <w:rPr>
                <w:rFonts w:ascii="Times New Roman" w:hAnsi="Times New Roman"/>
                <w:sz w:val="24"/>
                <w:szCs w:val="24"/>
              </w:rPr>
              <w:t>3</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sz w:val="24"/>
                <w:szCs w:val="24"/>
              </w:rPr>
            </w:pPr>
            <w:r w:rsidRPr="004B6A68">
              <w:rPr>
                <w:rFonts w:ascii="Times New Roman" w:hAnsi="Times New Roman"/>
                <w:sz w:val="24"/>
                <w:szCs w:val="24"/>
              </w:rPr>
              <w:t>Рынок труда и сфера занятости…………………………………………….</w:t>
            </w:r>
          </w:p>
        </w:tc>
        <w:tc>
          <w:tcPr>
            <w:tcW w:w="636" w:type="dxa"/>
          </w:tcPr>
          <w:p w:rsidR="00335844" w:rsidRPr="00E030E3" w:rsidRDefault="00E27A44"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70</w:t>
            </w:r>
          </w:p>
        </w:tc>
      </w:tr>
      <w:tr w:rsidR="00335844" w:rsidRPr="00E030E3" w:rsidTr="003F67B2">
        <w:tc>
          <w:tcPr>
            <w:tcW w:w="8798" w:type="dxa"/>
          </w:tcPr>
          <w:p w:rsidR="00335844" w:rsidRPr="004B6A68"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c>
          <w:tcPr>
            <w:tcW w:w="8798" w:type="dxa"/>
          </w:tcPr>
          <w:p w:rsidR="00335844" w:rsidRPr="004B6A68" w:rsidRDefault="00335844" w:rsidP="003F67B2">
            <w:pPr>
              <w:spacing w:after="0" w:line="240" w:lineRule="auto"/>
              <w:jc w:val="both"/>
              <w:rPr>
                <w:rFonts w:ascii="Times New Roman" w:hAnsi="Times New Roman"/>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sz w:val="24"/>
                <w:szCs w:val="24"/>
              </w:rPr>
            </w:pPr>
          </w:p>
        </w:tc>
      </w:tr>
      <w:tr w:rsidR="00335844" w:rsidRPr="00E030E3" w:rsidTr="003F67B2">
        <w:tc>
          <w:tcPr>
            <w:tcW w:w="8798" w:type="dxa"/>
          </w:tcPr>
          <w:p w:rsidR="00335844" w:rsidRPr="004B6A68" w:rsidRDefault="00335844" w:rsidP="003F67B2">
            <w:pPr>
              <w:spacing w:after="0" w:line="240" w:lineRule="auto"/>
              <w:rPr>
                <w:rFonts w:ascii="Times New Roman" w:hAnsi="Times New Roman"/>
                <w:sz w:val="24"/>
                <w:szCs w:val="24"/>
              </w:rPr>
            </w:pPr>
            <w:r w:rsidRPr="004B6A68">
              <w:rPr>
                <w:rFonts w:ascii="Times New Roman" w:hAnsi="Times New Roman"/>
                <w:b/>
                <w:sz w:val="24"/>
                <w:szCs w:val="24"/>
              </w:rPr>
              <w:t>Приложение №1</w:t>
            </w:r>
            <w:r w:rsidRPr="004B6A68">
              <w:rPr>
                <w:rFonts w:ascii="Times New Roman" w:hAnsi="Times New Roman"/>
                <w:b/>
                <w:bCs/>
                <w:color w:val="000000"/>
                <w:sz w:val="24"/>
                <w:szCs w:val="24"/>
              </w:rPr>
              <w:t xml:space="preserve"> </w:t>
            </w:r>
            <w:r w:rsidRPr="004B6A68">
              <w:rPr>
                <w:rFonts w:ascii="Times New Roman" w:hAnsi="Times New Roman"/>
                <w:bCs/>
                <w:color w:val="000000"/>
                <w:sz w:val="24"/>
                <w:szCs w:val="24"/>
              </w:rPr>
              <w:t xml:space="preserve">Основные макроэкономические показатели Приднестровской Молдавской Республики за </w:t>
            </w:r>
            <w:r>
              <w:rPr>
                <w:rFonts w:ascii="Times New Roman" w:hAnsi="Times New Roman"/>
                <w:bCs/>
                <w:color w:val="000000"/>
                <w:sz w:val="24"/>
                <w:szCs w:val="24"/>
              </w:rPr>
              <w:t xml:space="preserve">январь-июнь </w:t>
            </w:r>
            <w:r w:rsidRPr="004B6A68">
              <w:rPr>
                <w:rFonts w:ascii="Times New Roman" w:hAnsi="Times New Roman"/>
                <w:bCs/>
                <w:color w:val="000000"/>
                <w:sz w:val="24"/>
                <w:szCs w:val="24"/>
              </w:rPr>
              <w:t>201</w:t>
            </w:r>
            <w:r>
              <w:rPr>
                <w:rFonts w:ascii="Times New Roman" w:hAnsi="Times New Roman"/>
                <w:bCs/>
                <w:color w:val="000000"/>
                <w:sz w:val="24"/>
                <w:szCs w:val="24"/>
              </w:rPr>
              <w:t>5 года</w:t>
            </w:r>
            <w:r w:rsidRPr="004B6A68">
              <w:rPr>
                <w:rFonts w:ascii="Times New Roman" w:hAnsi="Times New Roman"/>
                <w:bCs/>
                <w:color w:val="000000"/>
                <w:sz w:val="24"/>
                <w:szCs w:val="24"/>
              </w:rPr>
              <w:t>....................................................</w:t>
            </w:r>
          </w:p>
        </w:tc>
        <w:tc>
          <w:tcPr>
            <w:tcW w:w="636" w:type="dxa"/>
            <w:vAlign w:val="bottom"/>
          </w:tcPr>
          <w:p w:rsidR="00335844" w:rsidRPr="00E030E3" w:rsidRDefault="00335844" w:rsidP="00E27A44">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7</w:t>
            </w:r>
            <w:r w:rsidR="00E27A44">
              <w:rPr>
                <w:rFonts w:ascii="Times New Roman" w:hAnsi="Times New Roman"/>
                <w:sz w:val="24"/>
                <w:szCs w:val="24"/>
              </w:rPr>
              <w:t>4</w:t>
            </w:r>
          </w:p>
        </w:tc>
      </w:tr>
      <w:tr w:rsidR="00335844" w:rsidRPr="00E030E3" w:rsidTr="003F67B2">
        <w:tc>
          <w:tcPr>
            <w:tcW w:w="8798" w:type="dxa"/>
          </w:tcPr>
          <w:p w:rsidR="00335844" w:rsidRPr="004B6A68" w:rsidRDefault="00335844" w:rsidP="003F67B2">
            <w:pPr>
              <w:spacing w:after="0" w:line="240" w:lineRule="auto"/>
              <w:jc w:val="both"/>
              <w:rPr>
                <w:rFonts w:ascii="Times New Roman" w:hAnsi="Times New Roman"/>
                <w:sz w:val="24"/>
                <w:szCs w:val="24"/>
              </w:rPr>
            </w:pPr>
            <w:r w:rsidRPr="004B6A68">
              <w:rPr>
                <w:rFonts w:ascii="Times New Roman" w:hAnsi="Times New Roman"/>
                <w:b/>
                <w:sz w:val="24"/>
                <w:szCs w:val="24"/>
              </w:rPr>
              <w:t xml:space="preserve">Приложение №2 </w:t>
            </w:r>
            <w:r w:rsidRPr="004B6A68">
              <w:rPr>
                <w:rFonts w:ascii="Times New Roman" w:hAnsi="Times New Roman"/>
                <w:sz w:val="24"/>
                <w:szCs w:val="24"/>
              </w:rPr>
              <w:t xml:space="preserve">Динамика и структура промышленного производства и реализации продукции по отраслям промышленности </w:t>
            </w:r>
            <w:r>
              <w:rPr>
                <w:rFonts w:ascii="Times New Roman" w:hAnsi="Times New Roman"/>
                <w:sz w:val="24"/>
                <w:szCs w:val="24"/>
              </w:rPr>
              <w:t>в январе-июне                                              2015 года</w:t>
            </w:r>
            <w:r w:rsidRPr="004B6A68">
              <w:rPr>
                <w:rFonts w:ascii="Times New Roman" w:hAnsi="Times New Roman"/>
                <w:sz w:val="24"/>
                <w:szCs w:val="24"/>
              </w:rPr>
              <w:t>……………………</w:t>
            </w:r>
            <w:r w:rsidR="00B96ECC">
              <w:rPr>
                <w:rFonts w:ascii="Times New Roman" w:hAnsi="Times New Roman"/>
                <w:sz w:val="24"/>
                <w:szCs w:val="24"/>
              </w:rPr>
              <w:t>…………………………………………………………...</w:t>
            </w:r>
          </w:p>
        </w:tc>
        <w:tc>
          <w:tcPr>
            <w:tcW w:w="636" w:type="dxa"/>
            <w:vAlign w:val="bottom"/>
          </w:tcPr>
          <w:p w:rsidR="00335844" w:rsidRPr="00E030E3" w:rsidRDefault="00335844" w:rsidP="00E27A44">
            <w:pPr>
              <w:spacing w:before="100" w:beforeAutospacing="1" w:after="0" w:afterAutospacing="1" w:line="240" w:lineRule="auto"/>
              <w:rPr>
                <w:rFonts w:ascii="Times New Roman" w:hAnsi="Times New Roman"/>
                <w:sz w:val="24"/>
                <w:szCs w:val="24"/>
              </w:rPr>
            </w:pPr>
            <w:r>
              <w:rPr>
                <w:rFonts w:ascii="Times New Roman" w:hAnsi="Times New Roman"/>
                <w:sz w:val="24"/>
                <w:szCs w:val="24"/>
              </w:rPr>
              <w:t>7</w:t>
            </w:r>
            <w:r w:rsidR="00E27A44">
              <w:rPr>
                <w:rFonts w:ascii="Times New Roman" w:hAnsi="Times New Roman"/>
                <w:sz w:val="24"/>
                <w:szCs w:val="24"/>
              </w:rPr>
              <w:t>6</w:t>
            </w:r>
          </w:p>
        </w:tc>
      </w:tr>
      <w:tr w:rsidR="00335844" w:rsidRPr="00E030E3" w:rsidTr="003F67B2">
        <w:tc>
          <w:tcPr>
            <w:tcW w:w="8798" w:type="dxa"/>
          </w:tcPr>
          <w:p w:rsidR="00335844" w:rsidRPr="004B6A68" w:rsidRDefault="00335844" w:rsidP="003F67B2">
            <w:pPr>
              <w:spacing w:after="0" w:line="240" w:lineRule="auto"/>
              <w:rPr>
                <w:rFonts w:ascii="Times New Roman" w:hAnsi="Times New Roman"/>
                <w:sz w:val="24"/>
                <w:szCs w:val="24"/>
              </w:rPr>
            </w:pPr>
            <w:r w:rsidRPr="004B6A68">
              <w:rPr>
                <w:rFonts w:ascii="Times New Roman" w:hAnsi="Times New Roman"/>
                <w:b/>
                <w:sz w:val="24"/>
                <w:szCs w:val="24"/>
              </w:rPr>
              <w:t>Приложение №3</w:t>
            </w:r>
            <w:r w:rsidRPr="004B6A68">
              <w:rPr>
                <w:rFonts w:ascii="Times New Roman" w:hAnsi="Times New Roman"/>
                <w:sz w:val="24"/>
                <w:szCs w:val="24"/>
              </w:rPr>
              <w:t xml:space="preserve"> Основные показатели развития малого предпринимательства за </w:t>
            </w:r>
            <w:r>
              <w:rPr>
                <w:rFonts w:ascii="Times New Roman" w:hAnsi="Times New Roman"/>
                <w:sz w:val="24"/>
                <w:szCs w:val="24"/>
              </w:rPr>
              <w:t xml:space="preserve">январь-июнь 2015 </w:t>
            </w:r>
            <w:r>
              <w:rPr>
                <w:rFonts w:ascii="Times New Roman" w:hAnsi="Times New Roman"/>
                <w:bCs/>
                <w:color w:val="000000"/>
                <w:sz w:val="24"/>
                <w:szCs w:val="24"/>
              </w:rPr>
              <w:t>года</w:t>
            </w:r>
            <w:r w:rsidRPr="004B6A68">
              <w:rPr>
                <w:rFonts w:ascii="Times New Roman" w:hAnsi="Times New Roman"/>
                <w:sz w:val="24"/>
                <w:szCs w:val="24"/>
              </w:rPr>
              <w:t xml:space="preserve"> …………………………………………</w:t>
            </w:r>
            <w:r w:rsidR="00B96ECC">
              <w:rPr>
                <w:rFonts w:ascii="Times New Roman" w:hAnsi="Times New Roman"/>
                <w:sz w:val="24"/>
                <w:szCs w:val="24"/>
              </w:rPr>
              <w:t>………………………</w:t>
            </w:r>
          </w:p>
        </w:tc>
        <w:tc>
          <w:tcPr>
            <w:tcW w:w="636" w:type="dxa"/>
            <w:vAlign w:val="bottom"/>
          </w:tcPr>
          <w:p w:rsidR="00335844" w:rsidRPr="00E030E3" w:rsidRDefault="00335844" w:rsidP="00E27A44">
            <w:pPr>
              <w:spacing w:before="100" w:beforeAutospacing="1" w:after="0" w:afterAutospacing="1" w:line="240" w:lineRule="auto"/>
              <w:rPr>
                <w:rFonts w:ascii="Times New Roman" w:hAnsi="Times New Roman"/>
                <w:sz w:val="24"/>
                <w:szCs w:val="24"/>
              </w:rPr>
            </w:pPr>
            <w:r>
              <w:rPr>
                <w:rFonts w:ascii="Times New Roman" w:hAnsi="Times New Roman"/>
                <w:sz w:val="24"/>
                <w:szCs w:val="24"/>
              </w:rPr>
              <w:t>7</w:t>
            </w:r>
            <w:r w:rsidR="00E27A44">
              <w:rPr>
                <w:rFonts w:ascii="Times New Roman" w:hAnsi="Times New Roman"/>
                <w:sz w:val="24"/>
                <w:szCs w:val="24"/>
              </w:rPr>
              <w:t>7</w:t>
            </w:r>
          </w:p>
        </w:tc>
      </w:tr>
      <w:tr w:rsidR="00335844" w:rsidRPr="00E030E3" w:rsidTr="003F67B2">
        <w:tc>
          <w:tcPr>
            <w:tcW w:w="8798" w:type="dxa"/>
          </w:tcPr>
          <w:p w:rsidR="00335844" w:rsidRPr="004B6A68" w:rsidRDefault="00335844" w:rsidP="003F67B2">
            <w:pPr>
              <w:spacing w:after="0" w:line="240" w:lineRule="auto"/>
              <w:rPr>
                <w:rFonts w:ascii="Times New Roman" w:hAnsi="Times New Roman"/>
                <w:sz w:val="24"/>
                <w:szCs w:val="24"/>
              </w:rPr>
            </w:pPr>
          </w:p>
        </w:tc>
        <w:tc>
          <w:tcPr>
            <w:tcW w:w="636" w:type="dxa"/>
            <w:vAlign w:val="bottom"/>
          </w:tcPr>
          <w:p w:rsidR="00335844" w:rsidRPr="00E030E3" w:rsidRDefault="00335844" w:rsidP="003F67B2">
            <w:pPr>
              <w:spacing w:before="100" w:beforeAutospacing="1" w:after="0" w:afterAutospacing="1" w:line="240" w:lineRule="auto"/>
              <w:rPr>
                <w:rFonts w:ascii="Times New Roman" w:hAnsi="Times New Roman"/>
                <w:sz w:val="24"/>
                <w:szCs w:val="24"/>
              </w:rPr>
            </w:pPr>
          </w:p>
        </w:tc>
      </w:tr>
      <w:tr w:rsidR="00335844" w:rsidRPr="00E030E3" w:rsidTr="003F67B2">
        <w:tc>
          <w:tcPr>
            <w:tcW w:w="8798" w:type="dxa"/>
          </w:tcPr>
          <w:p w:rsidR="00335844" w:rsidRPr="004B6A68" w:rsidRDefault="00335844" w:rsidP="003F67B2">
            <w:pPr>
              <w:spacing w:after="0" w:line="240" w:lineRule="auto"/>
              <w:rPr>
                <w:rFonts w:ascii="Times New Roman" w:hAnsi="Times New Roman"/>
                <w:sz w:val="24"/>
                <w:szCs w:val="24"/>
              </w:rPr>
            </w:pPr>
          </w:p>
        </w:tc>
        <w:tc>
          <w:tcPr>
            <w:tcW w:w="636" w:type="dxa"/>
            <w:vAlign w:val="bottom"/>
          </w:tcPr>
          <w:p w:rsidR="00335844" w:rsidRPr="00E030E3" w:rsidRDefault="00335844" w:rsidP="003F67B2">
            <w:pPr>
              <w:spacing w:before="100" w:beforeAutospacing="1" w:after="0" w:afterAutospacing="1" w:line="240" w:lineRule="auto"/>
              <w:rPr>
                <w:rFonts w:ascii="Times New Roman" w:hAnsi="Times New Roman"/>
                <w:sz w:val="24"/>
                <w:szCs w:val="24"/>
              </w:rPr>
            </w:pPr>
          </w:p>
        </w:tc>
      </w:tr>
      <w:tr w:rsidR="00335844" w:rsidRPr="00E030E3" w:rsidTr="003F67B2">
        <w:tblPrEx>
          <w:tblLook w:val="00A0"/>
        </w:tblPrEx>
        <w:tc>
          <w:tcPr>
            <w:tcW w:w="8798" w:type="dxa"/>
          </w:tcPr>
          <w:p w:rsidR="00335844" w:rsidRPr="004B6A68" w:rsidRDefault="00335844" w:rsidP="003F67B2">
            <w:pPr>
              <w:spacing w:after="0" w:line="240" w:lineRule="auto"/>
              <w:rPr>
                <w:rFonts w:ascii="Times New Roman" w:hAnsi="Times New Roman"/>
                <w:sz w:val="24"/>
                <w:szCs w:val="24"/>
              </w:rPr>
            </w:pPr>
          </w:p>
        </w:tc>
        <w:tc>
          <w:tcPr>
            <w:tcW w:w="636" w:type="dxa"/>
            <w:vAlign w:val="bottom"/>
          </w:tcPr>
          <w:p w:rsidR="00335844" w:rsidRPr="00E030E3" w:rsidRDefault="00335844" w:rsidP="003F67B2">
            <w:pPr>
              <w:spacing w:before="100" w:beforeAutospacing="1" w:after="100" w:afterAutospacing="1" w:line="240" w:lineRule="auto"/>
              <w:rPr>
                <w:rFonts w:ascii="Times New Roman" w:hAnsi="Times New Roman"/>
                <w:sz w:val="24"/>
                <w:szCs w:val="24"/>
              </w:rPr>
            </w:pPr>
          </w:p>
        </w:tc>
      </w:tr>
      <w:tr w:rsidR="00335844" w:rsidRPr="00E030E3" w:rsidTr="003F67B2">
        <w:tblPrEx>
          <w:tblLook w:val="00A0"/>
        </w:tblPrEx>
        <w:tc>
          <w:tcPr>
            <w:tcW w:w="8798" w:type="dxa"/>
          </w:tcPr>
          <w:p w:rsidR="00335844" w:rsidRPr="001030EC" w:rsidRDefault="00335844" w:rsidP="003F67B2">
            <w:pPr>
              <w:pStyle w:val="4"/>
              <w:spacing w:before="0"/>
              <w:rPr>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blPrEx>
          <w:tblLook w:val="00A0"/>
        </w:tblPrEx>
        <w:tc>
          <w:tcPr>
            <w:tcW w:w="8798"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rPr>
          <w:trHeight w:val="87"/>
        </w:trPr>
        <w:tc>
          <w:tcPr>
            <w:tcW w:w="8798"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c>
          <w:tcPr>
            <w:tcW w:w="8798"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r w:rsidR="00335844" w:rsidRPr="00E030E3" w:rsidTr="003F67B2">
        <w:trPr>
          <w:trHeight w:val="87"/>
        </w:trPr>
        <w:tc>
          <w:tcPr>
            <w:tcW w:w="8798"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c>
          <w:tcPr>
            <w:tcW w:w="636" w:type="dxa"/>
          </w:tcPr>
          <w:p w:rsidR="00335844" w:rsidRPr="00E030E3" w:rsidRDefault="00335844" w:rsidP="003F67B2">
            <w:pPr>
              <w:spacing w:before="100" w:beforeAutospacing="1" w:after="0" w:afterAutospacing="1" w:line="240" w:lineRule="auto"/>
              <w:jc w:val="both"/>
              <w:rPr>
                <w:rFonts w:ascii="Times New Roman" w:hAnsi="Times New Roman"/>
                <w:b/>
                <w:sz w:val="24"/>
                <w:szCs w:val="24"/>
              </w:rPr>
            </w:pPr>
          </w:p>
        </w:tc>
      </w:tr>
    </w:tbl>
    <w:p w:rsidR="00335844" w:rsidRPr="00E030E3" w:rsidRDefault="00335844" w:rsidP="00335844">
      <w:pPr>
        <w:spacing w:after="0" w:line="240" w:lineRule="auto"/>
        <w:ind w:firstLine="851"/>
        <w:rPr>
          <w:rFonts w:ascii="Times New Roman" w:hAnsi="Times New Roman"/>
          <w:sz w:val="24"/>
          <w:szCs w:val="24"/>
        </w:rPr>
      </w:pPr>
    </w:p>
    <w:p w:rsidR="00335844" w:rsidRPr="00E030E3" w:rsidRDefault="00335844" w:rsidP="00335844">
      <w:pPr>
        <w:spacing w:after="0" w:line="240" w:lineRule="auto"/>
        <w:ind w:firstLine="851"/>
        <w:rPr>
          <w:rFonts w:ascii="Times New Roman" w:hAnsi="Times New Roman"/>
          <w:sz w:val="24"/>
          <w:szCs w:val="24"/>
        </w:rPr>
      </w:pPr>
    </w:p>
    <w:p w:rsidR="00335844" w:rsidRPr="00E030E3" w:rsidRDefault="00335844" w:rsidP="00335844">
      <w:pPr>
        <w:spacing w:after="0" w:line="240" w:lineRule="auto"/>
        <w:ind w:firstLine="851"/>
        <w:rPr>
          <w:rFonts w:ascii="Times New Roman" w:hAnsi="Times New Roman"/>
          <w:sz w:val="24"/>
          <w:szCs w:val="24"/>
        </w:rPr>
      </w:pPr>
    </w:p>
    <w:p w:rsidR="00335844" w:rsidRPr="00E030E3" w:rsidRDefault="00335844" w:rsidP="00335844">
      <w:pPr>
        <w:spacing w:after="0" w:line="240" w:lineRule="auto"/>
        <w:ind w:firstLine="851"/>
        <w:rPr>
          <w:rFonts w:ascii="Times New Roman" w:hAnsi="Times New Roman"/>
          <w:sz w:val="24"/>
          <w:szCs w:val="24"/>
        </w:rPr>
      </w:pPr>
    </w:p>
    <w:p w:rsidR="00335844" w:rsidRDefault="00335844" w:rsidP="00335844">
      <w:pPr>
        <w:spacing w:after="0" w:line="240" w:lineRule="auto"/>
        <w:ind w:firstLine="851"/>
        <w:rPr>
          <w:rFonts w:ascii="Times New Roman" w:hAnsi="Times New Roman"/>
          <w:sz w:val="24"/>
          <w:szCs w:val="24"/>
        </w:rPr>
        <w:sectPr w:rsidR="00335844" w:rsidSect="003F67B2">
          <w:footerReference w:type="even" r:id="rId8"/>
          <w:footerReference w:type="default" r:id="rId9"/>
          <w:pgSz w:w="11906" w:h="16838" w:code="9"/>
          <w:pgMar w:top="993" w:right="851" w:bottom="1134" w:left="1701" w:header="709" w:footer="709" w:gutter="0"/>
          <w:cols w:space="708"/>
          <w:titlePg/>
          <w:docGrid w:linePitch="360"/>
        </w:sectPr>
      </w:pPr>
    </w:p>
    <w:p w:rsidR="00335844" w:rsidRDefault="00335844" w:rsidP="008F70F5">
      <w:pPr>
        <w:pStyle w:val="a6"/>
        <w:spacing w:after="0" w:line="240" w:lineRule="atLeast"/>
        <w:ind w:left="0" w:firstLine="709"/>
        <w:jc w:val="center"/>
        <w:rPr>
          <w:rFonts w:ascii="Times New Roman" w:hAnsi="Times New Roman"/>
          <w:b/>
          <w:sz w:val="24"/>
          <w:szCs w:val="24"/>
        </w:rPr>
      </w:pPr>
      <w:r>
        <w:rPr>
          <w:rFonts w:ascii="Times New Roman" w:hAnsi="Times New Roman"/>
          <w:b/>
          <w:sz w:val="24"/>
          <w:szCs w:val="24"/>
        </w:rPr>
        <w:lastRenderedPageBreak/>
        <w:t xml:space="preserve">Основные тенденции развития экономики Приднестровской Молдавской Республики </w:t>
      </w:r>
      <w:r w:rsidRPr="00075270">
        <w:rPr>
          <w:rFonts w:ascii="Times New Roman" w:hAnsi="Times New Roman"/>
          <w:b/>
          <w:sz w:val="24"/>
          <w:szCs w:val="24"/>
        </w:rPr>
        <w:t>в январе-</w:t>
      </w:r>
      <w:r>
        <w:rPr>
          <w:rFonts w:ascii="Times New Roman" w:hAnsi="Times New Roman"/>
          <w:b/>
          <w:sz w:val="24"/>
          <w:szCs w:val="24"/>
        </w:rPr>
        <w:t>июн</w:t>
      </w:r>
      <w:r w:rsidRPr="00075270">
        <w:rPr>
          <w:rFonts w:ascii="Times New Roman" w:hAnsi="Times New Roman"/>
          <w:b/>
          <w:sz w:val="24"/>
          <w:szCs w:val="24"/>
        </w:rPr>
        <w:t>е 201</w:t>
      </w:r>
      <w:r>
        <w:rPr>
          <w:rFonts w:ascii="Times New Roman" w:hAnsi="Times New Roman"/>
          <w:b/>
          <w:sz w:val="24"/>
          <w:szCs w:val="24"/>
        </w:rPr>
        <w:t>5</w:t>
      </w:r>
      <w:r w:rsidRPr="00075270">
        <w:rPr>
          <w:rFonts w:ascii="Times New Roman" w:hAnsi="Times New Roman"/>
          <w:b/>
          <w:sz w:val="24"/>
          <w:szCs w:val="24"/>
        </w:rPr>
        <w:t xml:space="preserve"> года</w:t>
      </w:r>
    </w:p>
    <w:p w:rsidR="008F70F5" w:rsidRPr="00075270" w:rsidRDefault="008F70F5" w:rsidP="008F70F5">
      <w:pPr>
        <w:pStyle w:val="a6"/>
        <w:spacing w:after="0" w:line="240" w:lineRule="atLeast"/>
        <w:ind w:left="0" w:firstLine="709"/>
        <w:jc w:val="center"/>
        <w:rPr>
          <w:rFonts w:ascii="Times New Roman" w:hAnsi="Times New Roman"/>
          <w:b/>
          <w:sz w:val="24"/>
          <w:szCs w:val="24"/>
        </w:rPr>
      </w:pPr>
    </w:p>
    <w:p w:rsidR="003F67B2" w:rsidRPr="003F67B2" w:rsidRDefault="003F67B2" w:rsidP="008F70F5">
      <w:pPr>
        <w:tabs>
          <w:tab w:val="left" w:pos="851"/>
          <w:tab w:val="left" w:pos="993"/>
        </w:tabs>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В январе-июне текущего года макроэкономическая ситуация в республике  продолжала ухудшаться. В результате усиления санкционного давления на Приднестровье со стороны сопредельных государств при осуществлении внешнеэкономической деятельности в совокупности с потерей рынков сбыта вследствии приостановки деятельности внешних заказчиков продукции и торгово-закупочных предприятий возросла скорость падения основных макроэкономических показателей:</w:t>
      </w:r>
    </w:p>
    <w:p w:rsidR="003F67B2" w:rsidRPr="003F67B2" w:rsidRDefault="003F67B2" w:rsidP="003F67B2">
      <w:pPr>
        <w:numPr>
          <w:ilvl w:val="0"/>
          <w:numId w:val="3"/>
        </w:numPr>
        <w:tabs>
          <w:tab w:val="left" w:pos="851"/>
          <w:tab w:val="left" w:pos="993"/>
        </w:tabs>
        <w:spacing w:after="0" w:line="240" w:lineRule="auto"/>
        <w:ind w:left="0" w:firstLine="709"/>
        <w:contextualSpacing/>
        <w:jc w:val="both"/>
        <w:rPr>
          <w:rFonts w:ascii="Times New Roman" w:hAnsi="Times New Roman"/>
          <w:sz w:val="24"/>
          <w:szCs w:val="24"/>
        </w:rPr>
      </w:pPr>
      <w:r w:rsidRPr="003F67B2">
        <w:rPr>
          <w:rFonts w:ascii="Times New Roman" w:hAnsi="Times New Roman"/>
          <w:sz w:val="24"/>
          <w:szCs w:val="24"/>
        </w:rPr>
        <w:t>Объем промышленного производства по итогам первых шести месяцев текущего года по отношению к базисному уровню 2014 года снизился на 12,5% (в сопоставимых ценах), величина экспорта и импорта соответственно - на 20,5% и 25,2%;</w:t>
      </w:r>
    </w:p>
    <w:p w:rsidR="003F67B2" w:rsidRPr="003F67B2" w:rsidRDefault="003F67B2" w:rsidP="003F67B2">
      <w:pPr>
        <w:numPr>
          <w:ilvl w:val="0"/>
          <w:numId w:val="3"/>
        </w:numPr>
        <w:tabs>
          <w:tab w:val="left" w:pos="851"/>
          <w:tab w:val="left" w:pos="993"/>
        </w:tabs>
        <w:spacing w:after="0" w:line="240" w:lineRule="auto"/>
        <w:ind w:left="0" w:firstLine="709"/>
        <w:contextualSpacing/>
        <w:jc w:val="both"/>
        <w:rPr>
          <w:rFonts w:ascii="Times New Roman" w:hAnsi="Times New Roman"/>
          <w:sz w:val="24"/>
          <w:szCs w:val="24"/>
        </w:rPr>
      </w:pPr>
      <w:r w:rsidRPr="003F67B2">
        <w:rPr>
          <w:rFonts w:ascii="Times New Roman" w:hAnsi="Times New Roman"/>
          <w:sz w:val="24"/>
          <w:szCs w:val="24"/>
        </w:rPr>
        <w:t xml:space="preserve">Напряжённая макроэкономическая обстановка, падение внутреннего и внешнего спроса на продукцию и услуги ключевых отраслей реального сектора экономики определили сдержанное поведение экономических агентов в сфере инвестиций в основной капитал («-»41,1%); </w:t>
      </w:r>
    </w:p>
    <w:p w:rsidR="003F67B2" w:rsidRPr="003F67B2" w:rsidRDefault="003F67B2" w:rsidP="003F67B2">
      <w:pPr>
        <w:numPr>
          <w:ilvl w:val="0"/>
          <w:numId w:val="3"/>
        </w:numPr>
        <w:tabs>
          <w:tab w:val="left" w:pos="851"/>
          <w:tab w:val="left" w:pos="993"/>
        </w:tabs>
        <w:spacing w:after="0" w:line="240" w:lineRule="auto"/>
        <w:ind w:left="0" w:firstLine="709"/>
        <w:contextualSpacing/>
        <w:jc w:val="both"/>
        <w:rPr>
          <w:rFonts w:ascii="Times New Roman" w:hAnsi="Times New Roman"/>
          <w:sz w:val="24"/>
          <w:szCs w:val="24"/>
        </w:rPr>
      </w:pPr>
      <w:r w:rsidRPr="003F67B2">
        <w:rPr>
          <w:rFonts w:ascii="Times New Roman" w:hAnsi="Times New Roman"/>
          <w:sz w:val="24"/>
          <w:szCs w:val="24"/>
        </w:rPr>
        <w:t>Уменьшение объема внутренней торговли товарами и услугами по оценке составило 18,8%;</w:t>
      </w:r>
    </w:p>
    <w:p w:rsidR="003F67B2" w:rsidRPr="003F67B2" w:rsidRDefault="003F67B2" w:rsidP="003F67B2">
      <w:pPr>
        <w:numPr>
          <w:ilvl w:val="0"/>
          <w:numId w:val="3"/>
        </w:numPr>
        <w:tabs>
          <w:tab w:val="left" w:pos="851"/>
          <w:tab w:val="left" w:pos="993"/>
        </w:tabs>
        <w:spacing w:after="0" w:line="240" w:lineRule="auto"/>
        <w:ind w:left="0" w:firstLine="709"/>
        <w:contextualSpacing/>
        <w:jc w:val="both"/>
        <w:rPr>
          <w:rFonts w:ascii="Times New Roman" w:hAnsi="Times New Roman"/>
          <w:sz w:val="24"/>
          <w:szCs w:val="24"/>
        </w:rPr>
      </w:pPr>
      <w:r w:rsidRPr="003F67B2">
        <w:rPr>
          <w:rFonts w:ascii="Times New Roman" w:hAnsi="Times New Roman"/>
          <w:sz w:val="24"/>
          <w:szCs w:val="24"/>
        </w:rPr>
        <w:t xml:space="preserve">Спад деловой активности хозяйствующих субъектов повлек за собой и снижение поступлений в бюджет и внебюджетные фонды, что в свою очередь негативно отразилось на социальной сфере. За </w:t>
      </w:r>
      <w:r w:rsidRPr="003F67B2">
        <w:rPr>
          <w:rFonts w:ascii="Times New Roman" w:hAnsi="Times New Roman"/>
          <w:sz w:val="24"/>
          <w:szCs w:val="24"/>
          <w:lang w:val="en-US"/>
        </w:rPr>
        <w:t>I</w:t>
      </w:r>
      <w:r w:rsidRPr="003F67B2">
        <w:rPr>
          <w:rFonts w:ascii="Times New Roman" w:hAnsi="Times New Roman"/>
          <w:sz w:val="24"/>
          <w:szCs w:val="24"/>
        </w:rPr>
        <w:t xml:space="preserve"> полугодие 2015 года в доходную часть бюджетов всех уровней республики (в том числе бюджета Единого государственного фонда социального страхования) поступило 1 824,6 млн. руб., что на 323,9 млн. руб. или на 15,1% меньше поступлений в доход бюджета за аналогичный период 2014 года (без учета средств гуманитарной помощи, государственных казначейских обязательств). При этом налоговые платежи составили 1 459,1 млн. руб., снизившись по сравнению с показателем </w:t>
      </w:r>
      <w:r w:rsidRPr="003F67B2">
        <w:rPr>
          <w:rFonts w:ascii="Times New Roman" w:hAnsi="Times New Roman"/>
          <w:sz w:val="24"/>
          <w:szCs w:val="24"/>
          <w:lang w:val="en-US"/>
        </w:rPr>
        <w:t>I</w:t>
      </w:r>
      <w:r w:rsidRPr="003F67B2">
        <w:rPr>
          <w:rFonts w:ascii="Times New Roman" w:hAnsi="Times New Roman"/>
          <w:sz w:val="24"/>
          <w:szCs w:val="24"/>
        </w:rPr>
        <w:t xml:space="preserve"> полугодия 2014 года на 346,1 млн. руб. или на 19,2%.</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Фактические расходы бюджетов всех уровней за </w:t>
      </w:r>
      <w:r w:rsidRPr="003F67B2">
        <w:rPr>
          <w:rFonts w:ascii="Times New Roman" w:hAnsi="Times New Roman"/>
          <w:sz w:val="24"/>
          <w:szCs w:val="24"/>
          <w:lang w:val="en-US"/>
        </w:rPr>
        <w:t>I</w:t>
      </w:r>
      <w:r w:rsidRPr="003F67B2">
        <w:rPr>
          <w:rFonts w:ascii="Times New Roman" w:hAnsi="Times New Roman"/>
          <w:sz w:val="24"/>
          <w:szCs w:val="24"/>
        </w:rPr>
        <w:t xml:space="preserve"> полугодие 2015 года составили 2 556,4 млн. руб., превысив доходы республики на 41%. Таким образом, только 72% фактически оплаченных бюджетных расходов за данный период были обеспечены собственными доходами.</w:t>
      </w:r>
    </w:p>
    <w:p w:rsidR="003F67B2" w:rsidRPr="003F67B2" w:rsidRDefault="003F67B2" w:rsidP="003F67B2">
      <w:pPr>
        <w:tabs>
          <w:tab w:val="left" w:pos="851"/>
          <w:tab w:val="left" w:pos="993"/>
        </w:tabs>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По состоянию на 1 июля 2015 года сформировалась задолженность бюджета по социально защищенным статьям в сумме 445,7 млн. руб., в том числе задолженность по оплате труда и пенсиям составила 396,7 млн. руб. Данная задолженность образовалась в связи с резким уменьшением поступлений в бюджет республики, в результате чего финансирование заработных плат и пенсий с марта 2015 года производится в размере 70% от начисленных сумм;</w:t>
      </w:r>
    </w:p>
    <w:p w:rsidR="003F67B2" w:rsidRPr="002524A9" w:rsidRDefault="003F67B2" w:rsidP="003F67B2">
      <w:pPr>
        <w:numPr>
          <w:ilvl w:val="0"/>
          <w:numId w:val="3"/>
        </w:numPr>
        <w:tabs>
          <w:tab w:val="left" w:pos="851"/>
          <w:tab w:val="left" w:pos="993"/>
        </w:tabs>
        <w:spacing w:after="0" w:line="240" w:lineRule="auto"/>
        <w:ind w:left="0" w:firstLine="709"/>
        <w:contextualSpacing/>
        <w:jc w:val="both"/>
        <w:rPr>
          <w:rFonts w:ascii="Times New Roman" w:hAnsi="Times New Roman"/>
          <w:sz w:val="24"/>
          <w:szCs w:val="24"/>
        </w:rPr>
      </w:pPr>
      <w:r w:rsidRPr="003F67B2">
        <w:rPr>
          <w:rFonts w:ascii="Times New Roman" w:hAnsi="Times New Roman"/>
          <w:sz w:val="24"/>
          <w:szCs w:val="24"/>
        </w:rPr>
        <w:t xml:space="preserve">Усиление внутренних и внешних экономических проблем не могло не затронуть и социальную сферу. Снижение деловой </w:t>
      </w:r>
      <w:r w:rsidRPr="00641EB5">
        <w:rPr>
          <w:rFonts w:ascii="Times New Roman" w:hAnsi="Times New Roman"/>
          <w:sz w:val="24"/>
          <w:szCs w:val="24"/>
        </w:rPr>
        <w:t xml:space="preserve">активности привело к сокращению доходов населения и уменьшению платежеспособности. Так, среднемесячная номинальная </w:t>
      </w:r>
      <w:r w:rsidRPr="002524A9">
        <w:rPr>
          <w:rFonts w:ascii="Times New Roman" w:hAnsi="Times New Roman"/>
          <w:sz w:val="24"/>
          <w:szCs w:val="24"/>
        </w:rPr>
        <w:t xml:space="preserve">начисленная заработная плата одного работника с учетом субъектов малого предпринимательства, некоммерческих и религиозных организаций сократилась на 3,5% до 3 776 руб. ПМР и обеспечивала 2,7 набора прожиточного минимума трудоспособного населения, против 2,8 таких наборов в аналогичном периоде 2014 года. </w:t>
      </w:r>
    </w:p>
    <w:p w:rsidR="003F67B2" w:rsidRPr="002524A9" w:rsidRDefault="003F67B2" w:rsidP="003F67B2">
      <w:pPr>
        <w:spacing w:after="0" w:line="240" w:lineRule="auto"/>
        <w:ind w:firstLine="709"/>
        <w:jc w:val="both"/>
        <w:rPr>
          <w:rFonts w:ascii="Times New Roman" w:hAnsi="Times New Roman"/>
          <w:sz w:val="24"/>
          <w:szCs w:val="24"/>
        </w:rPr>
      </w:pPr>
    </w:p>
    <w:p w:rsidR="003F67B2" w:rsidRPr="008F70F5" w:rsidRDefault="003F67B2" w:rsidP="008F70F5">
      <w:pPr>
        <w:spacing w:after="0" w:line="240" w:lineRule="auto"/>
        <w:ind w:firstLine="709"/>
        <w:jc w:val="both"/>
        <w:rPr>
          <w:rFonts w:ascii="Times New Roman" w:hAnsi="Times New Roman"/>
          <w:b/>
          <w:sz w:val="24"/>
          <w:szCs w:val="24"/>
        </w:rPr>
      </w:pPr>
      <w:r w:rsidRPr="008F70F5">
        <w:rPr>
          <w:rFonts w:ascii="Times New Roman" w:hAnsi="Times New Roman"/>
          <w:b/>
          <w:sz w:val="24"/>
          <w:szCs w:val="24"/>
          <w:u w:val="single"/>
        </w:rPr>
        <w:t>Валовой внутренний продукт (ВВП)</w:t>
      </w:r>
      <w:r w:rsidRPr="008F70F5">
        <w:rPr>
          <w:rFonts w:ascii="Times New Roman" w:hAnsi="Times New Roman"/>
          <w:b/>
          <w:sz w:val="24"/>
          <w:szCs w:val="24"/>
        </w:rPr>
        <w:t xml:space="preserve"> </w:t>
      </w:r>
    </w:p>
    <w:p w:rsidR="00F83CB3" w:rsidRDefault="00F83CB3" w:rsidP="00F83CB3">
      <w:pPr>
        <w:pStyle w:val="a4"/>
      </w:pPr>
      <w:r>
        <w:rPr>
          <w:szCs w:val="24"/>
        </w:rPr>
        <w:t xml:space="preserve">На фоне осложнения политической ситуации и углубления внутренних и внешнеэкономических проблем номинальный объем созданного в республике валового внутреннего продукта за 6 месяцев текущего года составил 3 753,0 млн. руб. </w:t>
      </w:r>
      <w:r>
        <w:t>и соответствовал 338,1 млн. долл., сократившись по отношению к базовому показателю 2014 года соответственно на 18,7%.</w:t>
      </w:r>
    </w:p>
    <w:p w:rsidR="00F83CB3" w:rsidRDefault="00F83CB3" w:rsidP="00F83CB3">
      <w:pPr>
        <w:pStyle w:val="37"/>
        <w:ind w:firstLine="709"/>
        <w:jc w:val="both"/>
        <w:rPr>
          <w:rFonts w:ascii="Times New Roman" w:hAnsi="Times New Roman"/>
          <w:sz w:val="24"/>
          <w:szCs w:val="24"/>
        </w:rPr>
      </w:pPr>
      <w:r>
        <w:rPr>
          <w:rFonts w:ascii="Times New Roman" w:hAnsi="Times New Roman"/>
          <w:sz w:val="24"/>
          <w:szCs w:val="24"/>
        </w:rPr>
        <w:t xml:space="preserve"> </w:t>
      </w:r>
    </w:p>
    <w:p w:rsidR="00F83CB3" w:rsidRDefault="00F83CB3" w:rsidP="00F83CB3">
      <w:pPr>
        <w:pStyle w:val="37"/>
        <w:ind w:firstLine="709"/>
        <w:jc w:val="both"/>
        <w:rPr>
          <w:rFonts w:ascii="Times New Roman" w:hAnsi="Times New Roman"/>
          <w:b/>
          <w:sz w:val="24"/>
          <w:szCs w:val="24"/>
        </w:rPr>
      </w:pPr>
      <w:r>
        <w:rPr>
          <w:rFonts w:ascii="Times New Roman" w:hAnsi="Times New Roman"/>
          <w:sz w:val="24"/>
          <w:szCs w:val="24"/>
        </w:rPr>
        <w:lastRenderedPageBreak/>
        <w:t>Реальный размер совокупного показателя развития экономики (ВВП в сопоставимых ценах) с учетом корректировки на инфляционный фактор к базисному показателю 2014 года понизился на 19,2%.</w:t>
      </w:r>
    </w:p>
    <w:p w:rsidR="00F83CB3" w:rsidRDefault="00F83CB3" w:rsidP="00F83CB3">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Динамика изменения объема ВВП </w:t>
      </w:r>
    </w:p>
    <w:p w:rsidR="00F83CB3" w:rsidRDefault="00F83CB3" w:rsidP="00F83CB3">
      <w:pPr>
        <w:pStyle w:val="37"/>
        <w:jc w:val="both"/>
        <w:rPr>
          <w:rFonts w:ascii="Times New Roman" w:hAnsi="Times New Roman"/>
          <w:b/>
          <w:sz w:val="24"/>
          <w:szCs w:val="24"/>
        </w:rPr>
      </w:pPr>
      <w:r>
        <w:rPr>
          <w:b/>
          <w:noProof/>
        </w:rPr>
        <w:drawing>
          <wp:inline distT="0" distB="0" distL="0" distR="0">
            <wp:extent cx="6477000" cy="15906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83CB3" w:rsidRDefault="00F83CB3" w:rsidP="00F83CB3">
      <w:pPr>
        <w:spacing w:after="0" w:line="240" w:lineRule="auto"/>
        <w:ind w:firstLine="709"/>
        <w:jc w:val="both"/>
        <w:rPr>
          <w:rFonts w:ascii="Times New Roman" w:hAnsi="Times New Roman"/>
          <w:sz w:val="24"/>
          <w:szCs w:val="24"/>
        </w:rPr>
      </w:pPr>
      <w:r>
        <w:rPr>
          <w:rFonts w:ascii="Times New Roman" w:hAnsi="Times New Roman"/>
          <w:sz w:val="24"/>
          <w:szCs w:val="24"/>
        </w:rPr>
        <w:t>В структуре валового внутреннего продукта в результате сокращения налогов на внешнюю торговлю и внешнеэкономические операции в 2,5 раза до 136,6 млн. руб. и субсидий на продукты на 34,4% до 107,2 млн. руб. отмечалось существенное сокращение удельного веса фискальной составляющей «чистые налоги на продукты и импорт» («-»3,1 процентных пункта до 2,56%), на этом фоне, несмотря на сокращение вновь созданной добавленной стоимости в сфере материального производства (на 17,0%) и в секторе услуг (на 15,8%) определилось повышение их вклада в формирование совокупного показателя функционирования экономики (ВВП) соответственно на 0,36 процентных пункта до 17,67% и на 2,74 процентных пункта до 79,77%.</w:t>
      </w:r>
    </w:p>
    <w:p w:rsidR="002524A9" w:rsidRPr="002524A9" w:rsidRDefault="002524A9" w:rsidP="002524A9">
      <w:pPr>
        <w:spacing w:after="0" w:line="240" w:lineRule="auto"/>
        <w:ind w:hanging="284"/>
        <w:jc w:val="center"/>
        <w:rPr>
          <w:rFonts w:ascii="Times New Roman" w:hAnsi="Times New Roman"/>
          <w:b/>
          <w:sz w:val="24"/>
          <w:szCs w:val="24"/>
        </w:rPr>
      </w:pPr>
      <w:r w:rsidRPr="002524A9">
        <w:rPr>
          <w:b/>
          <w:noProof/>
        </w:rPr>
        <w:drawing>
          <wp:inline distT="0" distB="0" distL="0" distR="0">
            <wp:extent cx="6362700" cy="2581275"/>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24A9" w:rsidRPr="002524A9" w:rsidRDefault="002524A9" w:rsidP="003F67B2">
      <w:pPr>
        <w:spacing w:after="0" w:line="240" w:lineRule="auto"/>
        <w:ind w:firstLine="709"/>
        <w:jc w:val="both"/>
        <w:rPr>
          <w:rFonts w:ascii="Times New Roman" w:hAnsi="Times New Roman"/>
          <w:sz w:val="24"/>
          <w:szCs w:val="24"/>
        </w:rPr>
      </w:pPr>
    </w:p>
    <w:p w:rsidR="003F67B2" w:rsidRPr="008F70F5" w:rsidRDefault="003F67B2" w:rsidP="008F70F5">
      <w:pPr>
        <w:autoSpaceDE w:val="0"/>
        <w:autoSpaceDN w:val="0"/>
        <w:adjustRightInd w:val="0"/>
        <w:spacing w:after="0" w:line="240" w:lineRule="auto"/>
        <w:ind w:firstLine="709"/>
        <w:jc w:val="both"/>
        <w:rPr>
          <w:rFonts w:ascii="Times New Roman" w:hAnsi="Times New Roman"/>
          <w:b/>
          <w:sz w:val="24"/>
          <w:szCs w:val="24"/>
        </w:rPr>
      </w:pPr>
      <w:r w:rsidRPr="008F70F5">
        <w:rPr>
          <w:rFonts w:ascii="Times New Roman" w:hAnsi="Times New Roman"/>
          <w:b/>
          <w:sz w:val="24"/>
          <w:szCs w:val="24"/>
          <w:u w:val="single"/>
        </w:rPr>
        <w:t>Промышленный сектор</w:t>
      </w:r>
      <w:r w:rsidRPr="008F70F5">
        <w:rPr>
          <w:rFonts w:ascii="Times New Roman" w:hAnsi="Times New Roman"/>
          <w:b/>
          <w:sz w:val="24"/>
          <w:szCs w:val="24"/>
        </w:rPr>
        <w:t xml:space="preserve"> </w:t>
      </w:r>
    </w:p>
    <w:p w:rsidR="003F67B2" w:rsidRPr="002524A9" w:rsidRDefault="003F67B2" w:rsidP="003F67B2">
      <w:pPr>
        <w:tabs>
          <w:tab w:val="left" w:pos="851"/>
          <w:tab w:val="left" w:pos="993"/>
        </w:tabs>
        <w:spacing w:after="0" w:line="240" w:lineRule="auto"/>
        <w:ind w:firstLine="709"/>
        <w:jc w:val="both"/>
        <w:rPr>
          <w:rFonts w:ascii="Times New Roman" w:hAnsi="Times New Roman"/>
          <w:sz w:val="24"/>
          <w:szCs w:val="24"/>
        </w:rPr>
      </w:pPr>
      <w:r w:rsidRPr="002524A9">
        <w:rPr>
          <w:rFonts w:ascii="Times New Roman" w:hAnsi="Times New Roman"/>
          <w:sz w:val="24"/>
          <w:szCs w:val="24"/>
        </w:rPr>
        <w:t>В складывающейся ситуации в январе-июне текущего года большинству предприятий индустрии не удалось достичь объемов выпуска базового периода 2014 года. Так, товарный выпуск промышленных предприятий за январь-июнь 2015 года снизился на 12,5% по отношению к сопоставимому уровню 2014 года.</w:t>
      </w:r>
    </w:p>
    <w:p w:rsidR="003F67B2" w:rsidRPr="002524A9" w:rsidRDefault="003F67B2" w:rsidP="003F67B2">
      <w:pPr>
        <w:tabs>
          <w:tab w:val="left" w:pos="851"/>
          <w:tab w:val="left" w:pos="993"/>
        </w:tabs>
        <w:spacing w:after="0" w:line="240" w:lineRule="auto"/>
        <w:ind w:firstLine="709"/>
        <w:contextualSpacing/>
        <w:jc w:val="both"/>
        <w:rPr>
          <w:rFonts w:ascii="Times New Roman" w:hAnsi="Times New Roman"/>
          <w:sz w:val="24"/>
          <w:szCs w:val="24"/>
        </w:rPr>
      </w:pPr>
      <w:r w:rsidRPr="002524A9">
        <w:rPr>
          <w:rFonts w:ascii="Times New Roman" w:hAnsi="Times New Roman"/>
          <w:sz w:val="24"/>
          <w:szCs w:val="24"/>
        </w:rPr>
        <w:t>Помесячная динамика объема промышленного производства свидетельствует о нижеследующем:</w:t>
      </w:r>
    </w:p>
    <w:p w:rsidR="003F67B2" w:rsidRPr="003F67B2" w:rsidRDefault="003F67B2" w:rsidP="003F67B2">
      <w:pPr>
        <w:tabs>
          <w:tab w:val="left" w:pos="851"/>
          <w:tab w:val="left" w:pos="993"/>
        </w:tabs>
        <w:spacing w:after="0" w:line="240" w:lineRule="auto"/>
        <w:ind w:firstLine="709"/>
        <w:jc w:val="both"/>
        <w:rPr>
          <w:rFonts w:ascii="Times New Roman" w:hAnsi="Times New Roman"/>
          <w:sz w:val="24"/>
          <w:szCs w:val="24"/>
        </w:rPr>
      </w:pPr>
      <w:r w:rsidRPr="002524A9">
        <w:rPr>
          <w:rFonts w:ascii="Times New Roman" w:hAnsi="Times New Roman"/>
          <w:sz w:val="24"/>
          <w:szCs w:val="24"/>
        </w:rPr>
        <w:t>1) в течении всего периода объем промышленного производства ниже уровня соответствующего месяца 2014 года (в январе на 18%, в феврале на 23%, в марте на 8%, в апре</w:t>
      </w:r>
      <w:r w:rsidRPr="003F67B2">
        <w:rPr>
          <w:rFonts w:ascii="Times New Roman" w:hAnsi="Times New Roman"/>
          <w:sz w:val="24"/>
          <w:szCs w:val="24"/>
        </w:rPr>
        <w:t>ле на 18,8%, в мае на 2,6%, в июне на 5,7%);</w:t>
      </w:r>
    </w:p>
    <w:p w:rsidR="003F67B2" w:rsidRPr="003F67B2" w:rsidRDefault="003F67B2" w:rsidP="003F67B2">
      <w:pPr>
        <w:tabs>
          <w:tab w:val="left" w:pos="851"/>
          <w:tab w:val="left" w:pos="993"/>
        </w:tabs>
        <w:spacing w:after="0" w:line="240" w:lineRule="auto"/>
        <w:ind w:firstLine="709"/>
        <w:jc w:val="both"/>
        <w:rPr>
          <w:rFonts w:ascii="Times New Roman" w:eastAsiaTheme="minorEastAsia" w:hAnsi="Times New Roman" w:cstheme="minorBidi"/>
          <w:sz w:val="24"/>
          <w:szCs w:val="24"/>
        </w:rPr>
      </w:pPr>
      <w:r w:rsidRPr="003F67B2">
        <w:rPr>
          <w:rFonts w:ascii="Times New Roman" w:hAnsi="Times New Roman"/>
          <w:sz w:val="24"/>
          <w:szCs w:val="24"/>
        </w:rPr>
        <w:t>2) по отношению к предыдущему месяцу снижение объемов промышленного производства отмечено в январе 2015 года на 25,4% и в апреле 2015 года на 3,1%, в иные месяцы наблюдается положительная динамика от 1,6% прироста в феврале 2015 года к январю 2015 года до 11,9% в июне 2015 года к апрелю 2015 года.</w:t>
      </w:r>
    </w:p>
    <w:p w:rsidR="003F67B2" w:rsidRPr="003F67B2" w:rsidRDefault="003F67B2" w:rsidP="003F67B2">
      <w:pPr>
        <w:spacing w:line="240" w:lineRule="auto"/>
        <w:ind w:firstLine="709"/>
        <w:jc w:val="both"/>
        <w:rPr>
          <w:rFonts w:ascii="Times New Roman" w:eastAsiaTheme="minorEastAsia" w:hAnsi="Times New Roman" w:cstheme="minorBidi"/>
          <w:sz w:val="24"/>
          <w:szCs w:val="24"/>
        </w:rPr>
      </w:pPr>
      <w:r w:rsidRPr="003F67B2">
        <w:rPr>
          <w:rFonts w:ascii="Times New Roman" w:eastAsiaTheme="minorEastAsia" w:hAnsi="Times New Roman" w:cstheme="minorBidi"/>
          <w:sz w:val="24"/>
          <w:szCs w:val="24"/>
        </w:rPr>
        <w:lastRenderedPageBreak/>
        <w:t xml:space="preserve">В разрезе отраслей динамика промышленного производства в 2014 году выглядела следующим образом: </w:t>
      </w:r>
    </w:p>
    <w:p w:rsidR="003F67B2" w:rsidRPr="003F67B2" w:rsidRDefault="003F67B2" w:rsidP="003F67B2">
      <w:pPr>
        <w:spacing w:after="0"/>
        <w:ind w:firstLine="709"/>
        <w:jc w:val="center"/>
        <w:rPr>
          <w:rFonts w:ascii="Times New Roman" w:eastAsiaTheme="minorEastAsia" w:hAnsi="Times New Roman" w:cstheme="minorBidi"/>
          <w:b/>
          <w:snapToGrid w:val="0"/>
          <w:sz w:val="24"/>
          <w:szCs w:val="24"/>
        </w:rPr>
      </w:pPr>
      <w:r w:rsidRPr="003F67B2">
        <w:rPr>
          <w:rFonts w:ascii="Times New Roman" w:eastAsiaTheme="minorEastAsia" w:hAnsi="Times New Roman" w:cstheme="minorBidi"/>
          <w:b/>
          <w:snapToGrid w:val="0"/>
          <w:sz w:val="24"/>
          <w:szCs w:val="24"/>
        </w:rPr>
        <w:t>Динамика промышленного производства, %</w:t>
      </w:r>
    </w:p>
    <w:p w:rsidR="003F67B2" w:rsidRPr="003F67B2" w:rsidRDefault="003F67B2" w:rsidP="003F67B2">
      <w:pPr>
        <w:tabs>
          <w:tab w:val="left" w:pos="851"/>
          <w:tab w:val="left" w:pos="993"/>
        </w:tabs>
        <w:spacing w:after="0" w:line="240" w:lineRule="auto"/>
        <w:jc w:val="both"/>
        <w:rPr>
          <w:rFonts w:ascii="Times New Roman" w:eastAsiaTheme="minorEastAsia" w:hAnsi="Times New Roman" w:cstheme="minorBidi"/>
          <w:sz w:val="24"/>
          <w:szCs w:val="24"/>
        </w:rPr>
      </w:pPr>
      <w:r w:rsidRPr="003F67B2">
        <w:rPr>
          <w:rFonts w:asciiTheme="minorHAnsi" w:eastAsiaTheme="minorEastAsia" w:hAnsiTheme="minorHAnsi" w:cstheme="minorBidi"/>
          <w:noProof/>
          <w:sz w:val="16"/>
          <w:szCs w:val="16"/>
        </w:rPr>
        <w:drawing>
          <wp:inline distT="0" distB="0" distL="0" distR="0">
            <wp:extent cx="6057900" cy="3305175"/>
            <wp:effectExtent l="19050" t="0" r="0" b="0"/>
            <wp:docPr id="3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70F5" w:rsidRDefault="008F70F5" w:rsidP="003F67B2">
      <w:pPr>
        <w:tabs>
          <w:tab w:val="left" w:pos="851"/>
          <w:tab w:val="left" w:pos="993"/>
        </w:tabs>
        <w:spacing w:after="0" w:line="240" w:lineRule="auto"/>
        <w:ind w:firstLine="709"/>
        <w:jc w:val="both"/>
        <w:rPr>
          <w:rFonts w:ascii="Times New Roman" w:eastAsiaTheme="minorEastAsia" w:hAnsi="Times New Roman"/>
          <w:sz w:val="24"/>
          <w:szCs w:val="24"/>
        </w:rPr>
      </w:pPr>
    </w:p>
    <w:p w:rsidR="003F67B2" w:rsidRPr="003F67B2" w:rsidRDefault="003F67B2" w:rsidP="003F67B2">
      <w:pPr>
        <w:tabs>
          <w:tab w:val="left" w:pos="851"/>
          <w:tab w:val="left" w:pos="993"/>
        </w:tabs>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Практически во всех ключевых отраслях индустрии параметры выпуска были существенно ниже базисных.</w:t>
      </w:r>
    </w:p>
    <w:p w:rsidR="003F67B2" w:rsidRPr="003F67B2" w:rsidRDefault="003F67B2" w:rsidP="003F67B2">
      <w:pPr>
        <w:tabs>
          <w:tab w:val="left" w:pos="851"/>
          <w:tab w:val="left" w:pos="993"/>
        </w:tabs>
        <w:spacing w:after="0" w:line="240" w:lineRule="auto"/>
        <w:ind w:firstLine="709"/>
        <w:jc w:val="both"/>
        <w:rPr>
          <w:rFonts w:ascii="Times New Roman" w:hAnsi="Times New Roman"/>
          <w:sz w:val="24"/>
          <w:szCs w:val="24"/>
        </w:rPr>
      </w:pPr>
      <w:r w:rsidRPr="003F67B2">
        <w:rPr>
          <w:rFonts w:ascii="Times New Roman" w:hAnsi="Times New Roman"/>
          <w:sz w:val="24"/>
          <w:szCs w:val="24"/>
        </w:rPr>
        <w:t>Отрицательная динамика показателя промышленного производства за январь-июнь текущего года отмечена в таких отраслях промышленности, как черная металлургия                 (-30,5%), промышленных и строительных материалов (-35,4%), химическая промышленность (-27,9%), пищевая промышленность (-26,5%), электротехническая промышленность (-22,2%), легкая промышленность (-17,4%), мукомольно-крупяная                         (-18,1%), лесная и деревообрабатывающая промышленность (-16,0%).</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Спад промышленного производства допущен на 60 предприятиях, что со</w:t>
      </w:r>
      <w:r w:rsidR="00D25279">
        <w:rPr>
          <w:rFonts w:ascii="Times New Roman" w:hAnsi="Times New Roman"/>
          <w:sz w:val="24"/>
          <w:szCs w:val="24"/>
        </w:rPr>
        <w:t>ставляет 63,2% от общего числа.</w:t>
      </w:r>
    </w:p>
    <w:p w:rsidR="003F67B2" w:rsidRPr="003F67B2" w:rsidRDefault="003F67B2" w:rsidP="003F67B2">
      <w:pPr>
        <w:spacing w:after="0" w:line="240" w:lineRule="auto"/>
        <w:ind w:firstLine="709"/>
        <w:jc w:val="both"/>
        <w:rPr>
          <w:rFonts w:ascii="Times New Roman" w:eastAsiaTheme="minorEastAsia" w:hAnsi="Times New Roman" w:cstheme="minorBidi"/>
          <w:sz w:val="24"/>
          <w:szCs w:val="24"/>
        </w:rPr>
      </w:pPr>
      <w:r w:rsidRPr="003F67B2">
        <w:rPr>
          <w:rFonts w:ascii="Times New Roman" w:eastAsiaTheme="minorEastAsia" w:hAnsi="Times New Roman" w:cstheme="minorBidi"/>
          <w:sz w:val="24"/>
          <w:szCs w:val="24"/>
        </w:rPr>
        <w:t>Находясь в сложных условиях в текущем году, государство продолжало оказывать государственную поддержку предприятиям в рамках принятого Закона ПМР «О некоторых государственных мерах, направленных на повышение макроэкономической и социально-экономической устойчивости Приднестровской Молдавской Республики» в части снижения налога на доходы, а также в рамках полномочий Правительства ПМР предоставление господдержки по установлению льготных тарифов на услуги естественных монополий.</w:t>
      </w:r>
    </w:p>
    <w:p w:rsidR="003F67B2" w:rsidRPr="003F67B2" w:rsidRDefault="003F67B2" w:rsidP="003F67B2">
      <w:pPr>
        <w:spacing w:after="0" w:line="240" w:lineRule="auto"/>
        <w:ind w:firstLine="425"/>
        <w:jc w:val="both"/>
        <w:rPr>
          <w:rFonts w:ascii="Times New Roman" w:eastAsiaTheme="minorEastAsia" w:hAnsi="Times New Roman"/>
          <w:sz w:val="24"/>
          <w:szCs w:val="24"/>
        </w:rPr>
      </w:pPr>
      <w:r w:rsidRPr="003F67B2">
        <w:rPr>
          <w:rFonts w:ascii="Times New Roman" w:eastAsiaTheme="minorEastAsia" w:hAnsi="Times New Roman"/>
          <w:sz w:val="24"/>
          <w:szCs w:val="24"/>
        </w:rPr>
        <w:t>В целом объем промышленного производства по полному кругу предприятий (с учетом субъектов малого предпринимательства, промышленных подразделений при непромышленных организациях) в январе-июне 2015 года сложился на 16,3% ниже</w:t>
      </w:r>
      <w:r w:rsidR="00D25279">
        <w:rPr>
          <w:rFonts w:ascii="Times New Roman" w:eastAsiaTheme="minorEastAsia" w:hAnsi="Times New Roman"/>
          <w:sz w:val="24"/>
          <w:szCs w:val="24"/>
        </w:rPr>
        <w:t xml:space="preserve"> базового показателя 2014 года.</w:t>
      </w:r>
    </w:p>
    <w:p w:rsidR="003F67B2" w:rsidRDefault="003F67B2" w:rsidP="008F70F5">
      <w:pPr>
        <w:spacing w:after="0" w:line="240" w:lineRule="auto"/>
        <w:ind w:firstLine="425"/>
        <w:jc w:val="both"/>
        <w:rPr>
          <w:rFonts w:ascii="Times New Roman" w:eastAsiaTheme="minorEastAsia" w:hAnsi="Times New Roman"/>
          <w:sz w:val="24"/>
          <w:szCs w:val="24"/>
        </w:rPr>
      </w:pPr>
      <w:r w:rsidRPr="003F67B2">
        <w:rPr>
          <w:rFonts w:ascii="Times New Roman" w:eastAsiaTheme="minorEastAsia" w:hAnsi="Times New Roman"/>
          <w:sz w:val="24"/>
          <w:szCs w:val="24"/>
        </w:rPr>
        <w:t>Индекс физического объёма выпуска важнейших видов продукции составил  87,3% к уровню января-июня 2014 года.</w:t>
      </w:r>
    </w:p>
    <w:p w:rsidR="008F70F5" w:rsidRPr="008F70F5" w:rsidRDefault="008F70F5" w:rsidP="008F70F5">
      <w:pPr>
        <w:spacing w:after="0" w:line="240" w:lineRule="auto"/>
        <w:ind w:firstLine="425"/>
        <w:jc w:val="both"/>
        <w:rPr>
          <w:rFonts w:ascii="Times New Roman" w:eastAsiaTheme="minorEastAsia" w:hAnsi="Times New Roman"/>
          <w:sz w:val="24"/>
          <w:szCs w:val="24"/>
        </w:rPr>
      </w:pPr>
    </w:p>
    <w:p w:rsidR="003F67B2" w:rsidRPr="008F70F5" w:rsidRDefault="003F67B2" w:rsidP="003F67B2">
      <w:pPr>
        <w:spacing w:after="0" w:line="240" w:lineRule="auto"/>
        <w:ind w:firstLine="709"/>
        <w:jc w:val="both"/>
        <w:rPr>
          <w:rFonts w:ascii="Times New Roman" w:hAnsi="Times New Roman"/>
          <w:b/>
          <w:sz w:val="24"/>
        </w:rPr>
      </w:pPr>
      <w:r w:rsidRPr="008F70F5">
        <w:rPr>
          <w:rFonts w:ascii="Times New Roman" w:hAnsi="Times New Roman"/>
          <w:b/>
          <w:sz w:val="24"/>
          <w:u w:val="single"/>
        </w:rPr>
        <w:t>Внешнеэкономическая деятельность</w:t>
      </w:r>
      <w:r w:rsidRPr="008F70F5">
        <w:rPr>
          <w:rFonts w:ascii="Times New Roman" w:hAnsi="Times New Roman"/>
          <w:b/>
          <w:sz w:val="24"/>
        </w:rPr>
        <w:t xml:space="preserve"> </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Складывающаяся нестабильная ситуация в сопредельных государствах в совокупности со структурными проблемами в реальном секторе экономики не могли не сказаться на объёмах внешнеэкономической деятельности резидентов республики.</w:t>
      </w:r>
    </w:p>
    <w:p w:rsidR="003F67B2" w:rsidRPr="003F67B2" w:rsidRDefault="003F67B2" w:rsidP="003F67B2">
      <w:pPr>
        <w:spacing w:after="0" w:line="240" w:lineRule="auto"/>
        <w:ind w:firstLine="709"/>
        <w:jc w:val="both"/>
        <w:rPr>
          <w:rFonts w:ascii="Times New Roman" w:hAnsi="Times New Roman"/>
          <w:sz w:val="24"/>
          <w:szCs w:val="24"/>
        </w:rPr>
      </w:pPr>
    </w:p>
    <w:p w:rsidR="003F67B2" w:rsidRPr="003F67B2" w:rsidRDefault="003F67B2" w:rsidP="003F67B2">
      <w:pPr>
        <w:widowControl w:val="0"/>
        <w:tabs>
          <w:tab w:val="left" w:pos="7920"/>
        </w:tabs>
        <w:spacing w:after="0" w:line="240" w:lineRule="auto"/>
        <w:ind w:firstLine="709"/>
        <w:jc w:val="center"/>
        <w:rPr>
          <w:rFonts w:ascii="Times New Roman" w:hAnsi="Times New Roman"/>
          <w:b/>
          <w:sz w:val="24"/>
          <w:szCs w:val="24"/>
        </w:rPr>
      </w:pPr>
      <w:r w:rsidRPr="003F67B2">
        <w:rPr>
          <w:rFonts w:ascii="Times New Roman" w:hAnsi="Times New Roman"/>
          <w:b/>
          <w:sz w:val="24"/>
          <w:szCs w:val="24"/>
        </w:rPr>
        <w:lastRenderedPageBreak/>
        <w:t xml:space="preserve">Динамика внешнеторгового оборота в январе-июне 2014 - 2015 г.г., </w:t>
      </w:r>
    </w:p>
    <w:p w:rsidR="003F67B2" w:rsidRPr="003F67B2" w:rsidRDefault="003F67B2" w:rsidP="003F67B2">
      <w:pPr>
        <w:widowControl w:val="0"/>
        <w:tabs>
          <w:tab w:val="left" w:pos="7920"/>
        </w:tabs>
        <w:spacing w:after="0" w:line="240" w:lineRule="auto"/>
        <w:ind w:firstLine="709"/>
        <w:jc w:val="center"/>
        <w:rPr>
          <w:rFonts w:ascii="Times New Roman" w:hAnsi="Times New Roman"/>
          <w:b/>
          <w:sz w:val="24"/>
          <w:szCs w:val="24"/>
        </w:rPr>
      </w:pPr>
      <w:r w:rsidRPr="003F67B2">
        <w:rPr>
          <w:rFonts w:ascii="Times New Roman" w:hAnsi="Times New Roman"/>
          <w:b/>
          <w:sz w:val="24"/>
          <w:szCs w:val="24"/>
        </w:rPr>
        <w:t>млн. долл. США</w:t>
      </w:r>
    </w:p>
    <w:p w:rsidR="003F67B2" w:rsidRPr="008F70F5" w:rsidRDefault="003F67B2" w:rsidP="008F70F5">
      <w:pPr>
        <w:widowControl w:val="0"/>
        <w:tabs>
          <w:tab w:val="left" w:pos="7920"/>
        </w:tabs>
        <w:spacing w:after="0" w:line="240" w:lineRule="auto"/>
        <w:jc w:val="center"/>
        <w:rPr>
          <w:rFonts w:ascii="Times New Roman" w:hAnsi="Times New Roman"/>
          <w:b/>
          <w:sz w:val="24"/>
          <w:szCs w:val="24"/>
        </w:rPr>
      </w:pPr>
      <w:r w:rsidRPr="003F67B2">
        <w:rPr>
          <w:rFonts w:ascii="Times New Roman" w:hAnsi="Times New Roman"/>
          <w:b/>
          <w:noProof/>
          <w:sz w:val="24"/>
          <w:szCs w:val="24"/>
        </w:rPr>
        <w:drawing>
          <wp:inline distT="0" distB="0" distL="0" distR="0">
            <wp:extent cx="5905500" cy="1752600"/>
            <wp:effectExtent l="0" t="0" r="0" b="0"/>
            <wp:docPr id="4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В январе-июне 2015 года на фоне продолжающейся мировой экономической нестабильности и слабой конъюнктуры рынка для приднестровских товаров совокупный объем внешнеторгового оборота хозяйствующих субъектов Республики по отношению к базовому показателю 2014 года снизился на 23,8%, при этом объем экспортных и импортных поставок сократился на 20,5% и 25,2% соответственно.</w:t>
      </w:r>
    </w:p>
    <w:p w:rsidR="003F67B2" w:rsidRPr="003F67B2" w:rsidRDefault="003F67B2" w:rsidP="003F67B2">
      <w:pPr>
        <w:spacing w:after="0" w:line="240" w:lineRule="auto"/>
        <w:ind w:firstLine="709"/>
        <w:jc w:val="both"/>
        <w:rPr>
          <w:rFonts w:ascii="Times New Roman" w:hAnsi="Times New Roman"/>
          <w:sz w:val="24"/>
        </w:rPr>
      </w:pPr>
      <w:r w:rsidRPr="003F67B2">
        <w:rPr>
          <w:rFonts w:ascii="Times New Roman" w:hAnsi="Times New Roman"/>
          <w:sz w:val="24"/>
        </w:rPr>
        <w:t>Товарная структура экспорта в январе-июне текущего года, на фоне неблагоприятной ценовой конъюнктуры на мировых рынках и недостаточном уровне спроса на отечественную продукцию, характеризовалась следующим образом:</w:t>
      </w:r>
    </w:p>
    <w:p w:rsidR="003F67B2" w:rsidRPr="003F67B2" w:rsidRDefault="003F67B2" w:rsidP="003F67B2">
      <w:pPr>
        <w:spacing w:after="0" w:line="240" w:lineRule="auto"/>
        <w:ind w:firstLine="709"/>
        <w:jc w:val="center"/>
        <w:rPr>
          <w:rFonts w:ascii="Times New Roman" w:hAnsi="Times New Roman"/>
          <w:b/>
          <w:sz w:val="24"/>
        </w:rPr>
      </w:pPr>
    </w:p>
    <w:p w:rsidR="003F67B2" w:rsidRPr="003F67B2" w:rsidRDefault="003F67B2" w:rsidP="003F67B2">
      <w:pPr>
        <w:spacing w:after="0" w:line="240" w:lineRule="auto"/>
        <w:ind w:firstLine="709"/>
        <w:jc w:val="center"/>
        <w:rPr>
          <w:rFonts w:ascii="Times New Roman" w:hAnsi="Times New Roman"/>
          <w:b/>
          <w:sz w:val="24"/>
        </w:rPr>
      </w:pPr>
      <w:r w:rsidRPr="003F67B2">
        <w:rPr>
          <w:rFonts w:ascii="Times New Roman" w:hAnsi="Times New Roman"/>
          <w:b/>
          <w:sz w:val="24"/>
        </w:rPr>
        <w:t>Товарная структура экспорта, млн. долл. США</w:t>
      </w:r>
    </w:p>
    <w:p w:rsidR="003F67B2" w:rsidRPr="003F67B2" w:rsidRDefault="003F67B2" w:rsidP="003F67B2">
      <w:pPr>
        <w:spacing w:after="0" w:line="240" w:lineRule="auto"/>
        <w:jc w:val="both"/>
        <w:rPr>
          <w:rFonts w:ascii="Times New Roman" w:hAnsi="Times New Roman"/>
          <w:b/>
          <w:noProof/>
          <w:sz w:val="24"/>
        </w:rPr>
      </w:pPr>
      <w:r w:rsidRPr="003F67B2">
        <w:rPr>
          <w:rFonts w:ascii="Times New Roman" w:hAnsi="Times New Roman"/>
          <w:b/>
          <w:noProof/>
          <w:sz w:val="24"/>
        </w:rPr>
        <w:drawing>
          <wp:inline distT="0" distB="0" distL="0" distR="0">
            <wp:extent cx="6038850" cy="2647950"/>
            <wp:effectExtent l="0" t="0" r="0" b="0"/>
            <wp:docPr id="4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67B2" w:rsidRPr="003F67B2" w:rsidRDefault="003F67B2" w:rsidP="003F67B2">
      <w:pPr>
        <w:widowControl w:val="0"/>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 xml:space="preserve">Товарная структура проданной за рубежом продукции в январе-июне текущего года несколько изменилась. Так, экспорт доминировавших в базисном периоде металлов и изделий из них сократился в 1,9 раза, составив 64,1 млн. долл., или 22,2% совокупного значения. В то же время рост продаж топливно-энергетических товаров (+32,4% до 107,4 млн. долл.) обеспечил более трети (37,2%) суммарного экспорта. В части других укрупнённых статей преимущественно фиксировалось отставание от параметров продаж в базовом периоде минувшего года. В частности, поставки товаров лёгкой промышленности снизились на 25,78% (до 51,0 млн. долл.), продовольствия и сырья – на 26,0% (до 34,2 млн. долл.), минеральных продуктов (включая цемент) – на 45,1% (до 11,2 млн. долл.). </w:t>
      </w:r>
    </w:p>
    <w:p w:rsidR="003F67B2" w:rsidRPr="003F67B2" w:rsidRDefault="003F67B2" w:rsidP="003F67B2">
      <w:pPr>
        <w:spacing w:after="0" w:line="240" w:lineRule="auto"/>
        <w:ind w:firstLine="709"/>
        <w:jc w:val="both"/>
        <w:rPr>
          <w:rFonts w:ascii="Times New Roman" w:hAnsi="Times New Roman"/>
          <w:sz w:val="24"/>
        </w:rPr>
      </w:pPr>
      <w:r w:rsidRPr="003F67B2">
        <w:rPr>
          <w:rFonts w:ascii="Times New Roman" w:hAnsi="Times New Roman"/>
          <w:sz w:val="24"/>
        </w:rPr>
        <w:t>Большая часть товаров была адресована экономическим агентам Республики Молдова (49,7% совокупного экспорта, «+»6,5% к уровню января-июня 2014 года), Румыния (15,3%, «-»3,9% к уровню января-июня 2014 года), Российская Федерация (8,2%, «-»52,7% к уровню января-июня 2014 года), Италия (7,5%, «-»18,2% к уровню января-июня 2014 года), Украина (6,2%, «-»1,1% к уровню января-июня 2014 года).</w:t>
      </w:r>
    </w:p>
    <w:p w:rsidR="003F67B2" w:rsidRPr="003F67B2" w:rsidRDefault="003F67B2" w:rsidP="008F70F5">
      <w:pPr>
        <w:widowControl w:val="0"/>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 xml:space="preserve">Таможенная стоимость импорта на территорию республики составила </w:t>
      </w:r>
      <w:r w:rsidRPr="003F67B2">
        <w:rPr>
          <w:rFonts w:ascii="Times New Roman" w:eastAsiaTheme="minorEastAsia" w:hAnsi="Times New Roman"/>
          <w:sz w:val="24"/>
          <w:szCs w:val="24"/>
        </w:rPr>
        <w:br/>
        <w:t xml:space="preserve">616,6 млн. долл., что на 25,2% ниже базисного показателя. </w:t>
      </w:r>
    </w:p>
    <w:p w:rsidR="003F67B2" w:rsidRPr="003F67B2" w:rsidRDefault="003F67B2" w:rsidP="00F83CB3">
      <w:pPr>
        <w:widowControl w:val="0"/>
        <w:jc w:val="both"/>
        <w:rPr>
          <w:rFonts w:asciiTheme="minorHAnsi" w:eastAsiaTheme="minorEastAsia" w:hAnsiTheme="minorHAnsi" w:cstheme="minorBidi"/>
          <w:sz w:val="24"/>
          <w:szCs w:val="24"/>
        </w:rPr>
      </w:pPr>
      <w:r w:rsidRPr="003F67B2">
        <w:rPr>
          <w:rFonts w:asciiTheme="minorHAnsi" w:eastAsiaTheme="minorEastAsia" w:hAnsiTheme="minorHAnsi" w:cstheme="minorBidi"/>
          <w:noProof/>
          <w:sz w:val="24"/>
          <w:szCs w:val="24"/>
        </w:rPr>
        <w:lastRenderedPageBreak/>
        <w:drawing>
          <wp:inline distT="0" distB="0" distL="0" distR="0">
            <wp:extent cx="5943600" cy="2705100"/>
            <wp:effectExtent l="0" t="0" r="0" b="0"/>
            <wp:docPr id="4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67B2" w:rsidRPr="003F67B2" w:rsidRDefault="003F67B2" w:rsidP="003F67B2">
      <w:pPr>
        <w:spacing w:after="0" w:line="240" w:lineRule="auto"/>
        <w:ind w:firstLine="709"/>
        <w:jc w:val="both"/>
        <w:rPr>
          <w:rFonts w:ascii="Times New Roman" w:hAnsi="Times New Roman"/>
          <w:sz w:val="24"/>
        </w:rPr>
      </w:pPr>
      <w:r w:rsidRPr="003F67B2">
        <w:rPr>
          <w:rFonts w:ascii="Times New Roman" w:hAnsi="Times New Roman"/>
          <w:sz w:val="24"/>
          <w:szCs w:val="24"/>
        </w:rPr>
        <w:t xml:space="preserve">Ведущей позицией в структуре совокупного показателя традиционно оставались топливно-энергетические товары и несмотря на то что их закупки сократились на 8,4% до 351,6 млн. долл. </w:t>
      </w:r>
      <w:r w:rsidRPr="003F67B2">
        <w:rPr>
          <w:rFonts w:ascii="Times New Roman" w:hAnsi="Times New Roman"/>
          <w:sz w:val="24"/>
        </w:rPr>
        <w:t xml:space="preserve">при этом их доля в общей структуре импорта выросла до 57,0% против 46,6% в январе – июне 2014 года. </w:t>
      </w:r>
    </w:p>
    <w:p w:rsidR="003F67B2" w:rsidRPr="003F67B2" w:rsidRDefault="003F67B2" w:rsidP="003F67B2">
      <w:pPr>
        <w:widowControl w:val="0"/>
        <w:spacing w:after="0" w:line="240" w:lineRule="auto"/>
        <w:ind w:firstLine="425"/>
        <w:jc w:val="both"/>
        <w:rPr>
          <w:rFonts w:ascii="Times New Roman" w:eastAsiaTheme="minorEastAsia" w:hAnsi="Times New Roman"/>
          <w:sz w:val="24"/>
          <w:szCs w:val="24"/>
        </w:rPr>
      </w:pPr>
      <w:r w:rsidRPr="003F67B2">
        <w:rPr>
          <w:rFonts w:ascii="Times New Roman" w:eastAsiaTheme="minorEastAsia" w:hAnsi="Times New Roman"/>
          <w:sz w:val="24"/>
          <w:szCs w:val="24"/>
        </w:rPr>
        <w:t>Среди статей, также характеризовавшихся понижательной динамикой, были отмечены металлы и изделия из них (- 31,9% до 63,2 млн. долл.), сузившие долевое представительство в товарной структуре до 10,2% против 11,3% в базовом периоде 2014 года., «продовольственные товары и сырьё» (спад в 1,8 раза до 46,6 млн. долл.), обеспечившие 7,6% импортных поставок против 10,2% в базовом периоде минувшего года и «товары лёгкой промышленности» (-33,2 до 20,4 млн. долл.), составившие 3,3% от ввезенных товаров против 3,7% в январе-июне 2014 года.</w:t>
      </w:r>
    </w:p>
    <w:p w:rsidR="003F67B2" w:rsidRPr="003F67B2" w:rsidRDefault="003F67B2" w:rsidP="003F67B2">
      <w:pPr>
        <w:spacing w:line="240" w:lineRule="auto"/>
        <w:rPr>
          <w:rFonts w:ascii="Times New Roman" w:eastAsiaTheme="minorEastAsia" w:hAnsi="Times New Roman"/>
        </w:rPr>
      </w:pPr>
      <w:r w:rsidRPr="003F67B2">
        <w:rPr>
          <w:rFonts w:ascii="Times New Roman" w:eastAsiaTheme="minorEastAsia" w:hAnsi="Times New Roman"/>
          <w:noProof/>
        </w:rPr>
        <w:drawing>
          <wp:inline distT="0" distB="0" distL="0" distR="0">
            <wp:extent cx="6010275" cy="3028950"/>
            <wp:effectExtent l="0" t="0" r="0" b="0"/>
            <wp:docPr id="4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67B2" w:rsidRPr="003F67B2" w:rsidRDefault="003F67B2" w:rsidP="003F67B2">
      <w:pPr>
        <w:spacing w:after="0" w:line="240" w:lineRule="auto"/>
        <w:ind w:firstLine="709"/>
        <w:jc w:val="both"/>
        <w:rPr>
          <w:rFonts w:ascii="Times New Roman" w:hAnsi="Times New Roman"/>
          <w:sz w:val="24"/>
        </w:rPr>
      </w:pPr>
      <w:r w:rsidRPr="003F67B2">
        <w:rPr>
          <w:rFonts w:ascii="Times New Roman" w:hAnsi="Times New Roman"/>
          <w:sz w:val="24"/>
          <w:szCs w:val="24"/>
        </w:rPr>
        <w:t xml:space="preserve">Основными торговыми партнерами </w:t>
      </w:r>
      <w:r w:rsidRPr="003F67B2">
        <w:rPr>
          <w:rFonts w:ascii="Times New Roman" w:hAnsi="Times New Roman"/>
          <w:color w:val="000000"/>
          <w:sz w:val="24"/>
          <w:szCs w:val="24"/>
        </w:rPr>
        <w:t xml:space="preserve">по импортным поставкам были </w:t>
      </w:r>
      <w:r w:rsidRPr="003F67B2">
        <w:rPr>
          <w:rFonts w:ascii="Times New Roman" w:hAnsi="Times New Roman"/>
          <w:sz w:val="24"/>
          <w:szCs w:val="24"/>
        </w:rPr>
        <w:t xml:space="preserve">Российская Федерация </w:t>
      </w:r>
      <w:r w:rsidRPr="003F67B2">
        <w:rPr>
          <w:rFonts w:ascii="Times New Roman" w:hAnsi="Times New Roman"/>
          <w:sz w:val="24"/>
        </w:rPr>
        <w:t xml:space="preserve">(58,5% совокупного импорта, «-»6,3% к уровню базового показателя 2014 года), Украина (11,0%, «-»38,7%), Республика Молдова (6,7%, «-»26,0%), Германия (3,9%, </w:t>
      </w:r>
      <w:r w:rsidRPr="003F67B2">
        <w:rPr>
          <w:rFonts w:ascii="Times New Roman" w:hAnsi="Times New Roman"/>
          <w:sz w:val="24"/>
        </w:rPr>
        <w:br/>
        <w:t>«-»45,4%), Республика Беларусь (3,7%, «-»64,8%).</w:t>
      </w:r>
    </w:p>
    <w:p w:rsidR="003F67B2" w:rsidRPr="003F67B2" w:rsidRDefault="003F67B2" w:rsidP="003F67B2">
      <w:pPr>
        <w:spacing w:after="0" w:line="240" w:lineRule="auto"/>
        <w:ind w:firstLine="709"/>
        <w:jc w:val="both"/>
        <w:rPr>
          <w:rFonts w:ascii="Times New Roman" w:hAnsi="Times New Roman"/>
          <w:sz w:val="24"/>
          <w:u w:val="single"/>
        </w:rPr>
      </w:pPr>
    </w:p>
    <w:p w:rsidR="003F67B2" w:rsidRPr="008F70F5" w:rsidRDefault="003F67B2" w:rsidP="003F67B2">
      <w:pPr>
        <w:spacing w:after="0" w:line="240" w:lineRule="auto"/>
        <w:ind w:firstLine="709"/>
        <w:jc w:val="both"/>
        <w:rPr>
          <w:rFonts w:ascii="Times New Roman" w:hAnsi="Times New Roman"/>
          <w:b/>
          <w:sz w:val="24"/>
        </w:rPr>
      </w:pPr>
      <w:r w:rsidRPr="008F70F5">
        <w:rPr>
          <w:rFonts w:ascii="Times New Roman" w:hAnsi="Times New Roman"/>
          <w:b/>
          <w:sz w:val="24"/>
          <w:u w:val="single"/>
        </w:rPr>
        <w:t>Инвестиционная сфера</w:t>
      </w:r>
      <w:r w:rsidRPr="008F70F5">
        <w:rPr>
          <w:rFonts w:ascii="Times New Roman" w:hAnsi="Times New Roman"/>
          <w:b/>
          <w:sz w:val="24"/>
        </w:rPr>
        <w:t xml:space="preserve"> </w:t>
      </w:r>
    </w:p>
    <w:p w:rsidR="003F67B2" w:rsidRPr="003F67B2" w:rsidRDefault="003F67B2" w:rsidP="008F70F5">
      <w:pPr>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 xml:space="preserve">Напряжённая макроэкономическая обстановка, падение внутреннего и внешнего спроса на продукцию и услуги ключевых отраслей реального сектора экономики </w:t>
      </w:r>
      <w:r w:rsidRPr="003F67B2">
        <w:rPr>
          <w:rFonts w:ascii="Times New Roman" w:eastAsiaTheme="minorEastAsia" w:hAnsi="Times New Roman"/>
          <w:sz w:val="24"/>
          <w:szCs w:val="24"/>
        </w:rPr>
        <w:lastRenderedPageBreak/>
        <w:t xml:space="preserve">определило сдержанное поведение экономических агентов в сфере инвестиций в основной капитал. В результате в январе-июне 2015 года объём долгосрочных вложений сложился на 36,3% ниже базовой величины минувшего года и составил 400,7 млн. руб., из которых 229,8 млн. руб. («-»38,7) было затрачено на </w:t>
      </w:r>
      <w:r w:rsidRPr="003F67B2">
        <w:rPr>
          <w:rFonts w:ascii="Times New Roman" w:eastAsiaTheme="minorEastAsia" w:hAnsi="Times New Roman"/>
          <w:spacing w:val="4"/>
          <w:sz w:val="24"/>
          <w:szCs w:val="24"/>
        </w:rPr>
        <w:t xml:space="preserve">обновление машин, оборудования, транспортных средств, на </w:t>
      </w:r>
      <w:r w:rsidRPr="003F67B2">
        <w:rPr>
          <w:rFonts w:ascii="Times New Roman" w:eastAsiaTheme="minorEastAsia" w:hAnsi="Times New Roman"/>
          <w:sz w:val="24"/>
          <w:szCs w:val="24"/>
        </w:rPr>
        <w:t xml:space="preserve">финансирование строительно-монтажных работ было направленно 153,2 </w:t>
      </w:r>
      <w:r w:rsidRPr="003F67B2">
        <w:rPr>
          <w:rFonts w:ascii="Times New Roman" w:eastAsiaTheme="minorEastAsia" w:hAnsi="Times New Roman"/>
          <w:spacing w:val="4"/>
          <w:sz w:val="24"/>
          <w:szCs w:val="24"/>
        </w:rPr>
        <w:t>млн. руб. («-»</w:t>
      </w:r>
      <w:r w:rsidRPr="003F67B2">
        <w:rPr>
          <w:rFonts w:ascii="Times New Roman" w:eastAsiaTheme="minorEastAsia" w:hAnsi="Times New Roman"/>
          <w:sz w:val="24"/>
          <w:szCs w:val="24"/>
        </w:rPr>
        <w:t xml:space="preserve">33,1%). </w:t>
      </w:r>
    </w:p>
    <w:p w:rsidR="003F67B2" w:rsidRPr="003F67B2" w:rsidRDefault="003F67B2" w:rsidP="008F70F5">
      <w:pPr>
        <w:spacing w:after="0" w:line="240" w:lineRule="auto"/>
        <w:rPr>
          <w:rFonts w:ascii="Times New Roman" w:eastAsiaTheme="minorEastAsia" w:hAnsi="Times New Roman"/>
        </w:rPr>
      </w:pPr>
      <w:r w:rsidRPr="003F67B2">
        <w:rPr>
          <w:rFonts w:asciiTheme="minorHAnsi" w:eastAsiaTheme="minorEastAsia" w:hAnsiTheme="minorHAnsi" w:cstheme="minorBidi"/>
          <w:noProof/>
        </w:rPr>
        <w:drawing>
          <wp:inline distT="0" distB="0" distL="0" distR="0">
            <wp:extent cx="5943600" cy="2200275"/>
            <wp:effectExtent l="0" t="0" r="0" b="0"/>
            <wp:docPr id="4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67B2" w:rsidRPr="003F67B2" w:rsidRDefault="003F67B2" w:rsidP="008F70F5">
      <w:pPr>
        <w:spacing w:after="0" w:line="240" w:lineRule="auto"/>
        <w:ind w:firstLine="708"/>
        <w:jc w:val="both"/>
        <w:rPr>
          <w:rFonts w:ascii="Times New Roman" w:hAnsi="Times New Roman"/>
          <w:sz w:val="24"/>
        </w:rPr>
      </w:pPr>
      <w:r w:rsidRPr="003F67B2">
        <w:rPr>
          <w:rFonts w:ascii="Times New Roman" w:hAnsi="Times New Roman"/>
          <w:sz w:val="24"/>
        </w:rPr>
        <w:t>На строительство, расширение, реконструкцию и техническое перевооружение объектов производственного назначения направленно 87,2% всех инвестиций                 (349,6 млн. руб.), объем которых сократился к уровню базового показателя 2014 года на 39,0%.</w:t>
      </w:r>
    </w:p>
    <w:p w:rsidR="003F67B2" w:rsidRPr="003F67B2" w:rsidRDefault="003F67B2" w:rsidP="008F70F5">
      <w:pPr>
        <w:spacing w:after="0" w:line="240" w:lineRule="auto"/>
        <w:ind w:firstLine="708"/>
        <w:jc w:val="both"/>
        <w:rPr>
          <w:rFonts w:ascii="Times New Roman" w:hAnsi="Times New Roman"/>
          <w:sz w:val="24"/>
        </w:rPr>
      </w:pPr>
      <w:r w:rsidRPr="003F67B2">
        <w:rPr>
          <w:rFonts w:ascii="Times New Roman" w:hAnsi="Times New Roman"/>
          <w:sz w:val="24"/>
        </w:rPr>
        <w:t>Традиционно большая часть инвестиций финансировалась за счет собственных средств организаций, доля которых расширилась до 90,0% («+»9,1 процентных пункта). Также возросла роль бюджетных источников в осуществлении капитальных вложений («+»0,8 процентных пункта до 3,6%). В тоже время доля прочих источников финансирования программ долгосрочного развития и кредитов (займов) банков сузилась соответственно на 12,1 процентных пункта до 2,0% и на 2,0 процентных пункта до 0,2%.</w:t>
      </w:r>
    </w:p>
    <w:p w:rsidR="003F67B2" w:rsidRPr="003F67B2" w:rsidRDefault="003F67B2" w:rsidP="008F70F5">
      <w:pPr>
        <w:spacing w:after="0" w:line="240" w:lineRule="auto"/>
        <w:ind w:firstLine="708"/>
        <w:jc w:val="both"/>
        <w:rPr>
          <w:rFonts w:ascii="Times New Roman" w:hAnsi="Times New Roman"/>
          <w:sz w:val="24"/>
        </w:rPr>
      </w:pPr>
      <w:r w:rsidRPr="003F67B2">
        <w:rPr>
          <w:rFonts w:ascii="Times New Roman" w:hAnsi="Times New Roman"/>
          <w:sz w:val="24"/>
        </w:rPr>
        <w:t xml:space="preserve">Отраслевой анализ инвестиций в январе-июне 2015 года показывает, что набольший объем инвестирования долгосрочного развития был освоен в промышленности (151,1 млн. руб., или 37,7% всех инвестиций) и в сельском хозяйстве (73,0 млн. руб., или  18,2% всех инвестиций), абсолютная величина которых сократилась к уровню показателей первой половины 2014 года соответственно на 43,5% и на 34,9% и обеспечившие 55,9% совокупного показателя. </w:t>
      </w:r>
    </w:p>
    <w:p w:rsidR="003F67B2" w:rsidRPr="003F67B2" w:rsidRDefault="003F67B2" w:rsidP="008F70F5">
      <w:pPr>
        <w:spacing w:after="0" w:line="240" w:lineRule="auto"/>
        <w:rPr>
          <w:rFonts w:ascii="Times New Roman" w:eastAsiaTheme="minorEastAsia" w:hAnsi="Times New Roman"/>
        </w:rPr>
      </w:pPr>
      <w:r w:rsidRPr="003F67B2">
        <w:rPr>
          <w:rFonts w:ascii="Times New Roman" w:eastAsiaTheme="minorEastAsia" w:hAnsi="Times New Roman" w:cstheme="minorBidi"/>
          <w:noProof/>
          <w:sz w:val="24"/>
          <w:szCs w:val="24"/>
        </w:rPr>
        <w:drawing>
          <wp:inline distT="0" distB="0" distL="0" distR="0">
            <wp:extent cx="5991225" cy="2809875"/>
            <wp:effectExtent l="0" t="0" r="0" b="0"/>
            <wp:docPr id="4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67B2" w:rsidRPr="003F67B2" w:rsidRDefault="003F67B2" w:rsidP="008F70F5">
      <w:pPr>
        <w:spacing w:after="0" w:line="240" w:lineRule="auto"/>
        <w:ind w:firstLine="708"/>
        <w:jc w:val="both"/>
        <w:rPr>
          <w:rFonts w:ascii="Times New Roman" w:hAnsi="Times New Roman"/>
          <w:sz w:val="24"/>
        </w:rPr>
      </w:pPr>
      <w:r w:rsidRPr="003F67B2">
        <w:rPr>
          <w:rFonts w:ascii="Times New Roman" w:hAnsi="Times New Roman"/>
          <w:sz w:val="24"/>
        </w:rPr>
        <w:t xml:space="preserve">Для остальных секторов экономики в рассматриваемом периоде также была характерна тенденция сужения вложений в основной капитал. </w:t>
      </w:r>
      <w:r w:rsidRPr="003F67B2">
        <w:rPr>
          <w:rFonts w:ascii="Times New Roman" w:hAnsi="Times New Roman"/>
          <w:sz w:val="24"/>
          <w:szCs w:val="24"/>
        </w:rPr>
        <w:t xml:space="preserve">В наиболее развитых в технологичном плане отраслях торговли и связи для обновления и модернизации </w:t>
      </w:r>
      <w:r w:rsidRPr="003F67B2">
        <w:rPr>
          <w:rFonts w:ascii="Times New Roman" w:hAnsi="Times New Roman"/>
          <w:sz w:val="24"/>
          <w:szCs w:val="24"/>
        </w:rPr>
        <w:lastRenderedPageBreak/>
        <w:t>основных средств было освоено ресурсов в пределах 41,2 млн. руб. («-»3</w:t>
      </w:r>
      <w:r w:rsidR="00D25279">
        <w:rPr>
          <w:rFonts w:ascii="Times New Roman" w:hAnsi="Times New Roman"/>
          <w:sz w:val="24"/>
          <w:szCs w:val="24"/>
        </w:rPr>
        <w:t xml:space="preserve">0,5%) и                      26,8 млн. руб. </w:t>
      </w:r>
      <w:r w:rsidRPr="003F67B2">
        <w:rPr>
          <w:rFonts w:ascii="Times New Roman" w:hAnsi="Times New Roman"/>
          <w:sz w:val="24"/>
          <w:szCs w:val="24"/>
        </w:rPr>
        <w:t xml:space="preserve">(«-»23,4%) соответственно. </w:t>
      </w:r>
    </w:p>
    <w:p w:rsidR="003F67B2" w:rsidRPr="003F67B2" w:rsidRDefault="003F67B2" w:rsidP="003F67B2">
      <w:pPr>
        <w:spacing w:after="0" w:line="240" w:lineRule="auto"/>
        <w:ind w:firstLine="708"/>
        <w:jc w:val="both"/>
        <w:rPr>
          <w:rFonts w:ascii="Times New Roman" w:hAnsi="Times New Roman"/>
          <w:sz w:val="24"/>
        </w:rPr>
      </w:pPr>
      <w:r w:rsidRPr="003F67B2">
        <w:rPr>
          <w:rFonts w:ascii="Times New Roman" w:hAnsi="Times New Roman"/>
          <w:sz w:val="24"/>
        </w:rPr>
        <w:t xml:space="preserve">Существенно меньшим по сравнению с базисным показателем, сложился объем средств, направленных на обновление и модернизацию объектов транспорта («-»79,8%), жилищного строительства («-»53,6%), образования («-»67,1%), здравоохранения </w:t>
      </w:r>
      <w:r w:rsidRPr="003F67B2">
        <w:rPr>
          <w:rFonts w:ascii="Times New Roman" w:hAnsi="Times New Roman"/>
          <w:sz w:val="24"/>
        </w:rPr>
        <w:br/>
        <w:t>(«-»49,9%), коммунального хозяйства («-»52,9%), строительства  («-»21,9%).</w:t>
      </w:r>
    </w:p>
    <w:p w:rsidR="003F67B2" w:rsidRPr="003F67B2" w:rsidRDefault="003F67B2" w:rsidP="003F67B2">
      <w:pPr>
        <w:spacing w:after="0" w:line="240" w:lineRule="auto"/>
        <w:ind w:firstLine="709"/>
        <w:jc w:val="both"/>
        <w:rPr>
          <w:rFonts w:ascii="Times New Roman" w:eastAsiaTheme="minorEastAsia" w:hAnsi="Times New Roman" w:cstheme="minorBidi"/>
          <w:sz w:val="24"/>
          <w:szCs w:val="24"/>
          <w:u w:val="single"/>
        </w:rPr>
      </w:pPr>
    </w:p>
    <w:p w:rsidR="003F67B2" w:rsidRPr="008F70F5" w:rsidRDefault="003F67B2" w:rsidP="003F67B2">
      <w:pPr>
        <w:spacing w:after="0" w:line="240" w:lineRule="auto"/>
        <w:ind w:firstLine="709"/>
        <w:jc w:val="both"/>
        <w:rPr>
          <w:rFonts w:asciiTheme="minorHAnsi" w:eastAsiaTheme="minorEastAsia" w:hAnsiTheme="minorHAnsi" w:cstheme="minorBidi"/>
          <w:b/>
          <w:sz w:val="24"/>
          <w:szCs w:val="24"/>
        </w:rPr>
      </w:pPr>
      <w:r w:rsidRPr="008F70F5">
        <w:rPr>
          <w:rFonts w:ascii="Times New Roman" w:eastAsiaTheme="minorEastAsia" w:hAnsi="Times New Roman" w:cstheme="minorBidi"/>
          <w:b/>
          <w:sz w:val="24"/>
          <w:szCs w:val="24"/>
          <w:u w:val="single"/>
        </w:rPr>
        <w:t>Агропромышленный комплекс</w:t>
      </w:r>
      <w:r w:rsidRPr="008F70F5">
        <w:rPr>
          <w:rFonts w:asciiTheme="minorHAnsi" w:eastAsiaTheme="minorEastAsia" w:hAnsiTheme="minorHAnsi" w:cstheme="minorBidi"/>
          <w:b/>
          <w:sz w:val="24"/>
          <w:szCs w:val="24"/>
        </w:rPr>
        <w:t xml:space="preserve"> </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Общий объем </w:t>
      </w:r>
      <w:r w:rsidRPr="003F67B2">
        <w:rPr>
          <w:rFonts w:ascii="Times New Roman" w:eastAsiaTheme="minorEastAsia" w:hAnsi="Times New Roman" w:cstheme="minorBidi"/>
          <w:sz w:val="24"/>
          <w:szCs w:val="24"/>
        </w:rPr>
        <w:t>валовой продукции сельского хозяйства в</w:t>
      </w:r>
      <w:r w:rsidRPr="003F67B2">
        <w:rPr>
          <w:rFonts w:ascii="Times New Roman" w:hAnsi="Times New Roman"/>
          <w:sz w:val="24"/>
          <w:szCs w:val="24"/>
        </w:rPr>
        <w:t xml:space="preserve"> первом полугодии 2015 года в хозяйствах всех категорий, по оценке составил в действующих ценах </w:t>
      </w:r>
      <w:r w:rsidRPr="003F67B2">
        <w:rPr>
          <w:rFonts w:ascii="Times New Roman" w:eastAsiaTheme="minorEastAsia" w:hAnsi="Times New Roman" w:cstheme="minorBidi"/>
          <w:sz w:val="24"/>
          <w:szCs w:val="24"/>
        </w:rPr>
        <w:t>438,9 млн. руб. или 112,1% к уровню соответствующего показателя 2014 года.</w:t>
      </w:r>
      <w:r w:rsidRPr="003F67B2">
        <w:rPr>
          <w:rFonts w:ascii="Times New Roman" w:hAnsi="Times New Roman"/>
          <w:sz w:val="24"/>
          <w:szCs w:val="24"/>
        </w:rPr>
        <w:t xml:space="preserve"> </w:t>
      </w:r>
    </w:p>
    <w:p w:rsidR="003F67B2" w:rsidRPr="003F67B2" w:rsidRDefault="003F67B2" w:rsidP="003F67B2">
      <w:pPr>
        <w:spacing w:after="0" w:line="240" w:lineRule="auto"/>
        <w:ind w:left="-284"/>
        <w:jc w:val="both"/>
        <w:rPr>
          <w:rFonts w:asciiTheme="minorHAnsi" w:eastAsiaTheme="minorEastAsia" w:hAnsiTheme="minorHAnsi" w:cstheme="minorBidi"/>
          <w:b/>
          <w:sz w:val="24"/>
          <w:szCs w:val="24"/>
          <w:highlight w:val="yellow"/>
        </w:rPr>
      </w:pPr>
      <w:r w:rsidRPr="003F67B2">
        <w:rPr>
          <w:rFonts w:asciiTheme="minorHAnsi" w:eastAsiaTheme="minorEastAsia" w:hAnsiTheme="minorHAnsi" w:cstheme="minorBidi"/>
          <w:b/>
          <w:noProof/>
          <w:sz w:val="24"/>
          <w:szCs w:val="24"/>
          <w:highlight w:val="yellow"/>
        </w:rPr>
        <w:drawing>
          <wp:inline distT="0" distB="0" distL="0" distR="0">
            <wp:extent cx="6438900" cy="1609725"/>
            <wp:effectExtent l="0" t="0" r="0" b="0"/>
            <wp:docPr id="4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67B2" w:rsidRPr="003F67B2" w:rsidRDefault="003F67B2" w:rsidP="003F67B2">
      <w:pPr>
        <w:spacing w:after="0" w:line="240" w:lineRule="auto"/>
        <w:ind w:firstLine="709"/>
        <w:jc w:val="both"/>
        <w:rPr>
          <w:rFonts w:ascii="Times New Roman" w:eastAsiaTheme="minorEastAsia" w:hAnsi="Times New Roman" w:cstheme="minorBidi"/>
          <w:sz w:val="24"/>
          <w:szCs w:val="24"/>
        </w:rPr>
      </w:pPr>
      <w:r w:rsidRPr="003F67B2">
        <w:rPr>
          <w:rFonts w:ascii="Times New Roman" w:hAnsi="Times New Roman"/>
          <w:sz w:val="24"/>
          <w:szCs w:val="24"/>
        </w:rPr>
        <w:t>И</w:t>
      </w:r>
      <w:r w:rsidRPr="003F67B2">
        <w:rPr>
          <w:rFonts w:ascii="Times New Roman" w:eastAsiaTheme="minorEastAsia" w:hAnsi="Times New Roman" w:cstheme="minorBidi"/>
          <w:sz w:val="24"/>
          <w:szCs w:val="24"/>
        </w:rPr>
        <w:t>ндекс физического объема сельскохозяйственных товаров составил 93,0% к уровню января-июня 2014 года, в том числе по продукции растениеводства – 52,4%, в животноводстве - 149,0%.</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В связи с тем, что в настоящее время в отрасли растениеводства идут работы по уборке урожая</w:t>
      </w:r>
      <w:r w:rsidRPr="003F67B2">
        <w:rPr>
          <w:rFonts w:ascii="Times New Roman" w:eastAsiaTheme="minorEastAsia" w:hAnsi="Times New Roman"/>
          <w:sz w:val="24"/>
          <w:szCs w:val="24"/>
        </w:rPr>
        <w:t>,</w:t>
      </w:r>
      <w:r w:rsidRPr="003F67B2">
        <w:rPr>
          <w:rFonts w:ascii="Times New Roman" w:hAnsi="Times New Roman"/>
          <w:sz w:val="24"/>
          <w:szCs w:val="24"/>
        </w:rPr>
        <w:t xml:space="preserve"> динамика прироста производства продукции сельского хозяйства в рассматриваемом периоде формировалась за счет увеличения показателей по произво</w:t>
      </w:r>
      <w:r w:rsidR="00D25279">
        <w:rPr>
          <w:rFonts w:ascii="Times New Roman" w:hAnsi="Times New Roman"/>
          <w:sz w:val="24"/>
          <w:szCs w:val="24"/>
        </w:rPr>
        <w:t>дству продукции животноводства.</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В соответствии со сложившимися климатическими условиями в текущем году весенние полевые работы начаты ранее средних многолетних сроков. В целом по республике посевная кампания семенами, ГСМ и удобрениями была обеспечена в полном объеме.</w:t>
      </w:r>
    </w:p>
    <w:p w:rsidR="003F67B2" w:rsidRPr="003F67B2" w:rsidRDefault="003F67B2" w:rsidP="003F67B2">
      <w:pPr>
        <w:spacing w:after="0" w:line="240" w:lineRule="auto"/>
        <w:ind w:firstLine="709"/>
        <w:jc w:val="both"/>
        <w:rPr>
          <w:rFonts w:ascii="Times New Roman" w:eastAsiaTheme="minorEastAsia" w:hAnsi="Times New Roman" w:cstheme="minorBidi"/>
          <w:sz w:val="24"/>
          <w:szCs w:val="24"/>
        </w:rPr>
      </w:pPr>
      <w:r w:rsidRPr="003F67B2">
        <w:rPr>
          <w:rFonts w:ascii="Times New Roman" w:eastAsiaTheme="minorEastAsia" w:hAnsi="Times New Roman" w:cstheme="minorBidi"/>
          <w:sz w:val="24"/>
          <w:szCs w:val="24"/>
        </w:rPr>
        <w:t xml:space="preserve">По оперативным данным Министерства сельского хозяйства и природных ресурсов Приднестровской Молдавской Республики, валовой сбор зерновых и зернобобовых культур первой группы по состоянию на 14 августа 2015 года достиг 328,4 тыс. тонн, в том числе озимой пшеницы – 263,2 тыс. тонн, что составляет 96,8% и 99,5% к аналогичной дате 2014 года. Средняя урожайность зерновых и зернобобовых культур первой группы составила 35,4 ц/га, озимой пшеницы – 37,8 ц/га против 37,5 ц/га и 40,6 ц/га в 2014 году соответственно. Полученный объем продовольственной пшеницы позволит полностью удовлетворить потребность республики в хлебе и обеспечить наличие переходящих запасов зерна. </w:t>
      </w:r>
    </w:p>
    <w:p w:rsidR="003F67B2" w:rsidRPr="003F67B2" w:rsidRDefault="003F67B2" w:rsidP="003F67B2">
      <w:pPr>
        <w:spacing w:after="0" w:line="240" w:lineRule="auto"/>
        <w:ind w:firstLine="709"/>
        <w:jc w:val="right"/>
        <w:rPr>
          <w:rFonts w:ascii="Times New Roman" w:eastAsiaTheme="minorEastAsia" w:hAnsi="Times New Roman" w:cstheme="minorBidi"/>
          <w:sz w:val="24"/>
          <w:szCs w:val="24"/>
        </w:rPr>
      </w:pPr>
      <w:r w:rsidRPr="003F67B2">
        <w:rPr>
          <w:rFonts w:ascii="Times New Roman" w:eastAsiaTheme="minorEastAsia" w:hAnsi="Times New Roman" w:cstheme="minorBidi"/>
          <w:sz w:val="24"/>
          <w:szCs w:val="24"/>
        </w:rPr>
        <w:t>Таблица №</w:t>
      </w:r>
      <w:r w:rsidR="00B3408A">
        <w:rPr>
          <w:rFonts w:ascii="Times New Roman" w:eastAsiaTheme="minorEastAsia" w:hAnsi="Times New Roman" w:cstheme="minorBidi"/>
          <w:sz w:val="24"/>
          <w:szCs w:val="24"/>
        </w:rPr>
        <w:t>1</w:t>
      </w:r>
    </w:p>
    <w:p w:rsidR="003F67B2" w:rsidRPr="003F67B2" w:rsidRDefault="003F67B2" w:rsidP="003F67B2">
      <w:pPr>
        <w:suppressAutoHyphens/>
        <w:spacing w:after="0" w:line="240" w:lineRule="auto"/>
        <w:jc w:val="center"/>
        <w:rPr>
          <w:rFonts w:ascii="Times New Roman" w:eastAsiaTheme="minorEastAsia" w:hAnsi="Times New Roman" w:cstheme="minorBidi"/>
          <w:b/>
          <w:sz w:val="24"/>
          <w:szCs w:val="24"/>
        </w:rPr>
      </w:pPr>
      <w:r w:rsidRPr="003F67B2">
        <w:rPr>
          <w:rFonts w:ascii="Times New Roman" w:eastAsiaTheme="minorEastAsia" w:hAnsi="Times New Roman" w:cstheme="minorBidi"/>
          <w:b/>
          <w:sz w:val="24"/>
          <w:szCs w:val="24"/>
        </w:rPr>
        <w:t>Оперативная информация о валовом сборе зерновых и зернобобовых культур первой группы всеми категориями хозяйств ПМР</w:t>
      </w:r>
      <w:r w:rsidR="00747D66">
        <w:rPr>
          <w:rFonts w:ascii="Times New Roman" w:eastAsiaTheme="minorEastAsia" w:hAnsi="Times New Roman" w:cstheme="minorBidi"/>
          <w:b/>
          <w:sz w:val="24"/>
          <w:szCs w:val="24"/>
        </w:rPr>
        <w:t xml:space="preserve"> по состоянию на 14 августа 2015</w:t>
      </w:r>
      <w:r w:rsidRPr="003F67B2">
        <w:rPr>
          <w:rFonts w:ascii="Times New Roman" w:eastAsiaTheme="minorEastAsia" w:hAnsi="Times New Roman" w:cstheme="minorBidi"/>
          <w:b/>
          <w:sz w:val="24"/>
          <w:szCs w:val="24"/>
        </w:rPr>
        <w:t xml:space="preserve"> года</w:t>
      </w:r>
    </w:p>
    <w:tbl>
      <w:tblPr>
        <w:tblW w:w="9356" w:type="dxa"/>
        <w:tblInd w:w="250" w:type="dxa"/>
        <w:tblLayout w:type="fixed"/>
        <w:tblLook w:val="0000"/>
      </w:tblPr>
      <w:tblGrid>
        <w:gridCol w:w="2753"/>
        <w:gridCol w:w="1216"/>
        <w:gridCol w:w="992"/>
        <w:gridCol w:w="1134"/>
        <w:gridCol w:w="1134"/>
        <w:gridCol w:w="992"/>
        <w:gridCol w:w="1135"/>
      </w:tblGrid>
      <w:tr w:rsidR="003F67B2" w:rsidRPr="003F67B2" w:rsidTr="003F67B2">
        <w:trPr>
          <w:trHeight w:val="285"/>
        </w:trPr>
        <w:tc>
          <w:tcPr>
            <w:tcW w:w="27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F67B2" w:rsidRPr="00CE11FA" w:rsidRDefault="003F67B2" w:rsidP="003F67B2">
            <w:pPr>
              <w:spacing w:after="0" w:line="240" w:lineRule="auto"/>
              <w:jc w:val="center"/>
              <w:rPr>
                <w:rFonts w:ascii="Times New Roman" w:eastAsiaTheme="minorEastAsia" w:hAnsi="Times New Roman" w:cstheme="minorBidi"/>
                <w:b/>
                <w:bCs/>
              </w:rPr>
            </w:pPr>
            <w:r w:rsidRPr="00CE11FA">
              <w:rPr>
                <w:rFonts w:ascii="Times New Roman" w:eastAsiaTheme="minorEastAsia" w:hAnsi="Times New Roman" w:cstheme="minorBidi"/>
                <w:b/>
                <w:bCs/>
              </w:rPr>
              <w:t>Культуры</w:t>
            </w:r>
          </w:p>
        </w:tc>
        <w:tc>
          <w:tcPr>
            <w:tcW w:w="3342" w:type="dxa"/>
            <w:gridSpan w:val="3"/>
            <w:tcBorders>
              <w:top w:val="single" w:sz="4" w:space="0" w:color="auto"/>
              <w:left w:val="nil"/>
              <w:bottom w:val="single" w:sz="4" w:space="0" w:color="auto"/>
              <w:right w:val="single" w:sz="4" w:space="0" w:color="auto"/>
            </w:tcBorders>
            <w:shd w:val="clear" w:color="auto" w:fill="auto"/>
            <w:vAlign w:val="center"/>
          </w:tcPr>
          <w:p w:rsidR="003F67B2" w:rsidRPr="00CE11FA" w:rsidRDefault="003F67B2" w:rsidP="003F67B2">
            <w:pPr>
              <w:spacing w:after="0" w:line="240" w:lineRule="auto"/>
              <w:jc w:val="center"/>
              <w:rPr>
                <w:rFonts w:ascii="Times New Roman" w:eastAsiaTheme="minorEastAsia" w:hAnsi="Times New Roman" w:cstheme="minorBidi"/>
                <w:b/>
                <w:bCs/>
              </w:rPr>
            </w:pPr>
            <w:r w:rsidRPr="00CE11FA">
              <w:rPr>
                <w:rFonts w:ascii="Times New Roman" w:eastAsiaTheme="minorEastAsia" w:hAnsi="Times New Roman" w:cstheme="minorBidi"/>
                <w:b/>
                <w:bCs/>
              </w:rPr>
              <w:t>Валовой сбор, тыс. тонн</w:t>
            </w:r>
          </w:p>
        </w:tc>
        <w:tc>
          <w:tcPr>
            <w:tcW w:w="3261" w:type="dxa"/>
            <w:gridSpan w:val="3"/>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ind w:left="-288"/>
              <w:jc w:val="center"/>
              <w:rPr>
                <w:rFonts w:ascii="Times New Roman" w:eastAsiaTheme="minorEastAsia" w:hAnsi="Times New Roman" w:cstheme="minorBidi"/>
                <w:b/>
                <w:bCs/>
              </w:rPr>
            </w:pPr>
            <w:r w:rsidRPr="00CE11FA">
              <w:rPr>
                <w:rFonts w:ascii="Times New Roman" w:eastAsiaTheme="minorEastAsia" w:hAnsi="Times New Roman" w:cstheme="minorBidi"/>
                <w:b/>
                <w:bCs/>
              </w:rPr>
              <w:t>Средняя урожайность, ц/га</w:t>
            </w:r>
          </w:p>
        </w:tc>
      </w:tr>
      <w:tr w:rsidR="003F67B2" w:rsidRPr="003F67B2" w:rsidTr="003F67B2">
        <w:trPr>
          <w:trHeight w:val="840"/>
        </w:trPr>
        <w:tc>
          <w:tcPr>
            <w:tcW w:w="2753" w:type="dxa"/>
            <w:vMerge/>
            <w:tcBorders>
              <w:top w:val="single" w:sz="4" w:space="0" w:color="auto"/>
              <w:left w:val="single" w:sz="4" w:space="0" w:color="auto"/>
              <w:bottom w:val="single" w:sz="4" w:space="0" w:color="auto"/>
              <w:right w:val="single" w:sz="4" w:space="0" w:color="auto"/>
            </w:tcBorders>
            <w:vAlign w:val="center"/>
          </w:tcPr>
          <w:p w:rsidR="003F67B2" w:rsidRPr="00CE11FA" w:rsidRDefault="003F67B2" w:rsidP="003F67B2">
            <w:pPr>
              <w:spacing w:after="0" w:line="240" w:lineRule="auto"/>
              <w:rPr>
                <w:rFonts w:ascii="Times New Roman" w:eastAsiaTheme="minorEastAsia" w:hAnsi="Times New Roman" w:cstheme="minorBidi"/>
                <w:b/>
                <w:bCs/>
              </w:rPr>
            </w:pPr>
          </w:p>
        </w:tc>
        <w:tc>
          <w:tcPr>
            <w:tcW w:w="1216" w:type="dxa"/>
            <w:tcBorders>
              <w:top w:val="nil"/>
              <w:left w:val="nil"/>
              <w:bottom w:val="single" w:sz="4" w:space="0" w:color="auto"/>
              <w:right w:val="single" w:sz="4" w:space="0" w:color="auto"/>
            </w:tcBorders>
            <w:shd w:val="clear" w:color="auto" w:fill="auto"/>
            <w:vAlign w:val="center"/>
          </w:tcPr>
          <w:p w:rsidR="003F67B2" w:rsidRPr="00CE11FA" w:rsidRDefault="003F67B2" w:rsidP="003F67B2">
            <w:pPr>
              <w:spacing w:after="0" w:line="240" w:lineRule="auto"/>
              <w:ind w:left="-288"/>
              <w:jc w:val="center"/>
              <w:rPr>
                <w:rFonts w:ascii="Times New Roman" w:eastAsiaTheme="minorEastAsia" w:hAnsi="Times New Roman" w:cstheme="minorBidi"/>
                <w:b/>
                <w:bCs/>
              </w:rPr>
            </w:pPr>
            <w:r w:rsidRPr="00CE11FA">
              <w:rPr>
                <w:rFonts w:ascii="Times New Roman" w:eastAsiaTheme="minorEastAsia" w:hAnsi="Times New Roman" w:cstheme="minorBidi"/>
                <w:b/>
                <w:bCs/>
              </w:rPr>
              <w:t xml:space="preserve">2014  </w:t>
            </w:r>
          </w:p>
          <w:p w:rsidR="003F67B2" w:rsidRPr="00CE11FA" w:rsidRDefault="003F67B2" w:rsidP="003F67B2">
            <w:pPr>
              <w:spacing w:after="0" w:line="240" w:lineRule="auto"/>
              <w:ind w:left="-288"/>
              <w:jc w:val="center"/>
              <w:rPr>
                <w:rFonts w:ascii="Times New Roman" w:eastAsiaTheme="minorEastAsia" w:hAnsi="Times New Roman" w:cstheme="minorBidi"/>
                <w:b/>
                <w:bCs/>
              </w:rPr>
            </w:pPr>
            <w:r w:rsidRPr="00CE11FA">
              <w:rPr>
                <w:rFonts w:ascii="Times New Roman" w:eastAsiaTheme="minorEastAsia" w:hAnsi="Times New Roman" w:cstheme="minorBidi"/>
                <w:b/>
                <w:bCs/>
              </w:rPr>
              <w:t>год</w:t>
            </w:r>
          </w:p>
        </w:tc>
        <w:tc>
          <w:tcPr>
            <w:tcW w:w="992" w:type="dxa"/>
            <w:tcBorders>
              <w:top w:val="nil"/>
              <w:left w:val="nil"/>
              <w:bottom w:val="single" w:sz="4" w:space="0" w:color="auto"/>
              <w:right w:val="single" w:sz="4" w:space="0" w:color="auto"/>
            </w:tcBorders>
            <w:shd w:val="clear" w:color="auto" w:fill="auto"/>
            <w:vAlign w:val="center"/>
          </w:tcPr>
          <w:p w:rsidR="003F67B2" w:rsidRPr="00CE11FA" w:rsidRDefault="00747D66" w:rsidP="003F67B2">
            <w:pPr>
              <w:spacing w:after="0" w:line="240" w:lineRule="auto"/>
              <w:ind w:left="-288"/>
              <w:jc w:val="center"/>
              <w:rPr>
                <w:rFonts w:ascii="Times New Roman" w:eastAsiaTheme="minorEastAsia" w:hAnsi="Times New Roman" w:cstheme="minorBidi"/>
                <w:b/>
                <w:bCs/>
              </w:rPr>
            </w:pPr>
            <w:r>
              <w:rPr>
                <w:rFonts w:ascii="Times New Roman" w:eastAsiaTheme="minorEastAsia" w:hAnsi="Times New Roman" w:cstheme="minorBidi"/>
                <w:b/>
                <w:bCs/>
              </w:rPr>
              <w:t xml:space="preserve">2015 </w:t>
            </w:r>
          </w:p>
          <w:p w:rsidR="003F67B2" w:rsidRPr="00CE11FA" w:rsidRDefault="003F67B2" w:rsidP="003F67B2">
            <w:pPr>
              <w:spacing w:after="0" w:line="240" w:lineRule="auto"/>
              <w:ind w:left="-288"/>
              <w:jc w:val="center"/>
              <w:rPr>
                <w:rFonts w:ascii="Times New Roman" w:eastAsiaTheme="minorEastAsia" w:hAnsi="Times New Roman" w:cstheme="minorBidi"/>
                <w:b/>
                <w:bCs/>
              </w:rPr>
            </w:pPr>
            <w:r w:rsidRPr="00CE11FA">
              <w:rPr>
                <w:rFonts w:ascii="Times New Roman" w:eastAsiaTheme="minorEastAsia" w:hAnsi="Times New Roman" w:cstheme="minorBidi"/>
                <w:b/>
                <w:bCs/>
              </w:rPr>
              <w:t>год</w:t>
            </w:r>
          </w:p>
        </w:tc>
        <w:tc>
          <w:tcPr>
            <w:tcW w:w="1134" w:type="dxa"/>
            <w:tcBorders>
              <w:top w:val="nil"/>
              <w:left w:val="nil"/>
              <w:bottom w:val="single" w:sz="4" w:space="0" w:color="auto"/>
              <w:right w:val="single" w:sz="4" w:space="0" w:color="auto"/>
            </w:tcBorders>
            <w:shd w:val="clear" w:color="auto" w:fill="auto"/>
            <w:vAlign w:val="center"/>
          </w:tcPr>
          <w:p w:rsidR="003F67B2" w:rsidRPr="00CE11FA" w:rsidRDefault="003F67B2" w:rsidP="003F67B2">
            <w:pPr>
              <w:spacing w:after="0" w:line="240" w:lineRule="auto"/>
              <w:ind w:left="-108"/>
              <w:jc w:val="center"/>
              <w:rPr>
                <w:rFonts w:ascii="Times New Roman" w:eastAsiaTheme="minorEastAsia" w:hAnsi="Times New Roman" w:cstheme="minorBidi"/>
                <w:b/>
                <w:bCs/>
              </w:rPr>
            </w:pPr>
            <w:r w:rsidRPr="00CE11FA">
              <w:rPr>
                <w:rFonts w:ascii="Times New Roman" w:eastAsiaTheme="minorEastAsia" w:hAnsi="Times New Roman" w:cstheme="minorBidi"/>
                <w:b/>
                <w:bCs/>
              </w:rPr>
              <w:t xml:space="preserve">Темп роста </w:t>
            </w:r>
          </w:p>
          <w:p w:rsidR="003F67B2" w:rsidRPr="00CE11FA" w:rsidRDefault="003F67B2" w:rsidP="003F67B2">
            <w:pPr>
              <w:spacing w:after="0" w:line="240" w:lineRule="auto"/>
              <w:ind w:left="-108"/>
              <w:jc w:val="center"/>
              <w:rPr>
                <w:rFonts w:ascii="Times New Roman" w:eastAsiaTheme="minorEastAsia" w:hAnsi="Times New Roman" w:cstheme="minorBidi"/>
                <w:b/>
                <w:bCs/>
              </w:rPr>
            </w:pPr>
            <w:r w:rsidRPr="00CE11FA">
              <w:rPr>
                <w:rFonts w:ascii="Times New Roman" w:eastAsiaTheme="minorEastAsia" w:hAnsi="Times New Roman" w:cstheme="minorBidi"/>
                <w:b/>
                <w:bCs/>
              </w:rPr>
              <w:t xml:space="preserve">в % к </w:t>
            </w:r>
          </w:p>
          <w:p w:rsidR="003F67B2" w:rsidRPr="00CE11FA" w:rsidRDefault="003F67B2" w:rsidP="003F67B2">
            <w:pPr>
              <w:spacing w:after="0" w:line="240" w:lineRule="auto"/>
              <w:jc w:val="center"/>
              <w:rPr>
                <w:rFonts w:ascii="Times New Roman" w:eastAsiaTheme="minorEastAsia" w:hAnsi="Times New Roman" w:cstheme="minorBidi"/>
                <w:b/>
                <w:bCs/>
              </w:rPr>
            </w:pPr>
            <w:r w:rsidRPr="00CE11FA">
              <w:rPr>
                <w:rFonts w:ascii="Times New Roman" w:eastAsiaTheme="minorEastAsia" w:hAnsi="Times New Roman" w:cstheme="minorBidi"/>
                <w:b/>
                <w:bCs/>
              </w:rPr>
              <w:t>2014 г.*</w:t>
            </w:r>
          </w:p>
        </w:tc>
        <w:tc>
          <w:tcPr>
            <w:tcW w:w="1134" w:type="dxa"/>
            <w:tcBorders>
              <w:top w:val="nil"/>
              <w:left w:val="nil"/>
              <w:bottom w:val="single" w:sz="4" w:space="0" w:color="auto"/>
              <w:right w:val="single" w:sz="4" w:space="0" w:color="auto"/>
            </w:tcBorders>
            <w:shd w:val="clear" w:color="auto" w:fill="auto"/>
            <w:vAlign w:val="center"/>
          </w:tcPr>
          <w:p w:rsidR="003F67B2" w:rsidRPr="00CE11FA" w:rsidRDefault="003F67B2" w:rsidP="003F67B2">
            <w:pPr>
              <w:spacing w:after="0" w:line="240" w:lineRule="auto"/>
              <w:jc w:val="center"/>
              <w:rPr>
                <w:rFonts w:ascii="Times New Roman" w:eastAsiaTheme="minorEastAsia" w:hAnsi="Times New Roman" w:cstheme="minorBidi"/>
                <w:b/>
                <w:bCs/>
              </w:rPr>
            </w:pPr>
            <w:r w:rsidRPr="00CE11FA">
              <w:rPr>
                <w:rFonts w:ascii="Times New Roman" w:eastAsiaTheme="minorEastAsia" w:hAnsi="Times New Roman" w:cstheme="minorBidi"/>
                <w:b/>
                <w:bCs/>
              </w:rPr>
              <w:t xml:space="preserve">2014 </w:t>
            </w:r>
          </w:p>
          <w:p w:rsidR="003F67B2" w:rsidRPr="00CE11FA" w:rsidRDefault="003F67B2" w:rsidP="003F67B2">
            <w:pPr>
              <w:spacing w:after="0" w:line="240" w:lineRule="auto"/>
              <w:jc w:val="center"/>
              <w:rPr>
                <w:rFonts w:ascii="Times New Roman" w:eastAsiaTheme="minorEastAsia" w:hAnsi="Times New Roman" w:cstheme="minorBidi"/>
                <w:b/>
                <w:bCs/>
              </w:rPr>
            </w:pPr>
            <w:r w:rsidRPr="00CE11FA">
              <w:rPr>
                <w:rFonts w:ascii="Times New Roman" w:eastAsiaTheme="minorEastAsia" w:hAnsi="Times New Roman" w:cstheme="minorBidi"/>
                <w:b/>
                <w:bCs/>
              </w:rPr>
              <w:t>год</w:t>
            </w:r>
          </w:p>
        </w:tc>
        <w:tc>
          <w:tcPr>
            <w:tcW w:w="992" w:type="dxa"/>
            <w:tcBorders>
              <w:top w:val="nil"/>
              <w:left w:val="nil"/>
              <w:bottom w:val="single" w:sz="4" w:space="0" w:color="auto"/>
              <w:right w:val="single" w:sz="4" w:space="0" w:color="auto"/>
            </w:tcBorders>
            <w:shd w:val="clear" w:color="auto" w:fill="auto"/>
            <w:vAlign w:val="center"/>
          </w:tcPr>
          <w:p w:rsidR="003F67B2" w:rsidRPr="00CE11FA" w:rsidRDefault="003F67B2" w:rsidP="003F67B2">
            <w:pPr>
              <w:spacing w:after="0" w:line="240" w:lineRule="auto"/>
              <w:ind w:right="224"/>
              <w:jc w:val="center"/>
              <w:rPr>
                <w:rFonts w:ascii="Times New Roman" w:eastAsiaTheme="minorEastAsia" w:hAnsi="Times New Roman" w:cstheme="minorBidi"/>
                <w:b/>
                <w:bCs/>
              </w:rPr>
            </w:pPr>
            <w:r w:rsidRPr="00CE11FA">
              <w:rPr>
                <w:rFonts w:ascii="Times New Roman" w:eastAsiaTheme="minorEastAsia" w:hAnsi="Times New Roman" w:cstheme="minorBidi"/>
                <w:b/>
                <w:bCs/>
              </w:rPr>
              <w:t xml:space="preserve">2015 год </w:t>
            </w:r>
          </w:p>
        </w:tc>
        <w:tc>
          <w:tcPr>
            <w:tcW w:w="1135" w:type="dxa"/>
            <w:tcBorders>
              <w:top w:val="nil"/>
              <w:left w:val="nil"/>
              <w:bottom w:val="single" w:sz="4" w:space="0" w:color="auto"/>
              <w:right w:val="single" w:sz="4" w:space="0" w:color="auto"/>
            </w:tcBorders>
            <w:shd w:val="clear" w:color="auto" w:fill="auto"/>
            <w:vAlign w:val="center"/>
          </w:tcPr>
          <w:p w:rsidR="003F67B2" w:rsidRPr="00CE11FA" w:rsidRDefault="003F67B2" w:rsidP="003F67B2">
            <w:pPr>
              <w:spacing w:after="0" w:line="240" w:lineRule="auto"/>
              <w:ind w:left="-141"/>
              <w:jc w:val="center"/>
              <w:rPr>
                <w:rFonts w:ascii="Times New Roman" w:eastAsiaTheme="minorEastAsia" w:hAnsi="Times New Roman" w:cstheme="minorBidi"/>
                <w:b/>
                <w:bCs/>
              </w:rPr>
            </w:pPr>
            <w:r w:rsidRPr="00CE11FA">
              <w:rPr>
                <w:rFonts w:ascii="Times New Roman" w:eastAsiaTheme="minorEastAsia" w:hAnsi="Times New Roman" w:cstheme="minorBidi"/>
                <w:b/>
                <w:bCs/>
              </w:rPr>
              <w:t>Темп роста</w:t>
            </w:r>
          </w:p>
          <w:p w:rsidR="003F67B2" w:rsidRPr="00CE11FA" w:rsidRDefault="003F67B2" w:rsidP="003F67B2">
            <w:pPr>
              <w:spacing w:after="0" w:line="240" w:lineRule="auto"/>
              <w:ind w:left="-141"/>
              <w:jc w:val="center"/>
              <w:rPr>
                <w:rFonts w:ascii="Times New Roman" w:eastAsiaTheme="minorEastAsia" w:hAnsi="Times New Roman" w:cstheme="minorBidi"/>
                <w:b/>
                <w:bCs/>
              </w:rPr>
            </w:pPr>
            <w:r w:rsidRPr="00CE11FA">
              <w:rPr>
                <w:rFonts w:ascii="Times New Roman" w:eastAsiaTheme="minorEastAsia" w:hAnsi="Times New Roman" w:cstheme="minorBidi"/>
                <w:b/>
                <w:bCs/>
              </w:rPr>
              <w:t xml:space="preserve">в % к </w:t>
            </w:r>
          </w:p>
          <w:p w:rsidR="003F67B2" w:rsidRPr="00CE11FA" w:rsidRDefault="003F67B2" w:rsidP="003F67B2">
            <w:pPr>
              <w:spacing w:after="0" w:line="240" w:lineRule="auto"/>
              <w:ind w:left="-141"/>
              <w:jc w:val="center"/>
              <w:rPr>
                <w:rFonts w:ascii="Times New Roman" w:eastAsiaTheme="minorEastAsia" w:hAnsi="Times New Roman" w:cstheme="minorBidi"/>
                <w:b/>
                <w:bCs/>
              </w:rPr>
            </w:pPr>
            <w:r w:rsidRPr="00CE11FA">
              <w:rPr>
                <w:rFonts w:ascii="Times New Roman" w:eastAsiaTheme="minorEastAsia" w:hAnsi="Times New Roman" w:cstheme="minorBidi"/>
                <w:b/>
                <w:bCs/>
              </w:rPr>
              <w:t>2014 г.*</w:t>
            </w:r>
          </w:p>
        </w:tc>
      </w:tr>
      <w:tr w:rsidR="003F67B2" w:rsidRPr="003F67B2" w:rsidTr="003F67B2">
        <w:trPr>
          <w:trHeight w:val="305"/>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3F67B2" w:rsidRPr="00CE11FA" w:rsidRDefault="003F67B2" w:rsidP="003F67B2">
            <w:pPr>
              <w:spacing w:after="0" w:line="240" w:lineRule="auto"/>
              <w:rPr>
                <w:rFonts w:ascii="Times New Roman" w:eastAsiaTheme="minorEastAsia" w:hAnsi="Times New Roman" w:cstheme="minorBidi"/>
                <w:bCs/>
              </w:rPr>
            </w:pPr>
            <w:r w:rsidRPr="00CE11FA">
              <w:rPr>
                <w:rFonts w:ascii="Times New Roman" w:eastAsiaTheme="minorEastAsia" w:hAnsi="Times New Roman" w:cstheme="minorBidi"/>
                <w:bCs/>
              </w:rPr>
              <w:t>Зерновые и зернобобовые культуры - всего</w:t>
            </w:r>
          </w:p>
        </w:tc>
        <w:tc>
          <w:tcPr>
            <w:tcW w:w="1216"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339,2</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328,4</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96,8</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37,5</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35,4</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94,4</w:t>
            </w:r>
          </w:p>
        </w:tc>
      </w:tr>
      <w:tr w:rsidR="003F67B2" w:rsidRPr="003F67B2" w:rsidTr="003F67B2">
        <w:trPr>
          <w:trHeight w:val="213"/>
        </w:trPr>
        <w:tc>
          <w:tcPr>
            <w:tcW w:w="2753" w:type="dxa"/>
            <w:tcBorders>
              <w:top w:val="single" w:sz="4" w:space="0" w:color="auto"/>
              <w:left w:val="single" w:sz="4" w:space="0" w:color="auto"/>
              <w:bottom w:val="single" w:sz="4" w:space="0" w:color="auto"/>
              <w:right w:val="single" w:sz="4" w:space="0" w:color="auto"/>
            </w:tcBorders>
            <w:shd w:val="clear" w:color="auto" w:fill="auto"/>
          </w:tcPr>
          <w:p w:rsidR="003F67B2" w:rsidRPr="00CE11FA" w:rsidRDefault="003F67B2" w:rsidP="003F67B2">
            <w:pPr>
              <w:spacing w:after="0" w:line="240" w:lineRule="auto"/>
              <w:rPr>
                <w:rFonts w:ascii="Times New Roman" w:eastAsiaTheme="minorEastAsia" w:hAnsi="Times New Roman" w:cstheme="minorBidi"/>
                <w:bCs/>
              </w:rPr>
            </w:pPr>
            <w:r w:rsidRPr="00CE11FA">
              <w:rPr>
                <w:rFonts w:ascii="Times New Roman" w:eastAsiaTheme="minorEastAsia" w:hAnsi="Times New Roman" w:cstheme="minorBidi"/>
                <w:bCs/>
              </w:rPr>
              <w:t>из них: озимая пшеница</w:t>
            </w:r>
          </w:p>
        </w:tc>
        <w:tc>
          <w:tcPr>
            <w:tcW w:w="1216"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264,5</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263,2</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99,5</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40,6</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37,8</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93,1</w:t>
            </w:r>
          </w:p>
        </w:tc>
      </w:tr>
      <w:tr w:rsidR="003F67B2" w:rsidRPr="003F67B2" w:rsidTr="003F67B2">
        <w:trPr>
          <w:trHeight w:val="213"/>
        </w:trPr>
        <w:tc>
          <w:tcPr>
            <w:tcW w:w="2753" w:type="dxa"/>
            <w:tcBorders>
              <w:top w:val="single" w:sz="4" w:space="0" w:color="auto"/>
              <w:left w:val="single" w:sz="4" w:space="0" w:color="auto"/>
              <w:bottom w:val="single" w:sz="4" w:space="0" w:color="auto"/>
              <w:right w:val="single" w:sz="4" w:space="0" w:color="auto"/>
            </w:tcBorders>
            <w:shd w:val="clear" w:color="auto" w:fill="auto"/>
          </w:tcPr>
          <w:p w:rsidR="003F67B2" w:rsidRPr="00CE11FA" w:rsidRDefault="003F67B2" w:rsidP="003F67B2">
            <w:pPr>
              <w:spacing w:after="0" w:line="240" w:lineRule="auto"/>
              <w:rPr>
                <w:rFonts w:ascii="Times New Roman" w:eastAsiaTheme="minorEastAsia" w:hAnsi="Times New Roman" w:cstheme="minorBidi"/>
                <w:bCs/>
              </w:rPr>
            </w:pPr>
            <w:r w:rsidRPr="00CE11FA">
              <w:rPr>
                <w:rFonts w:ascii="Times New Roman" w:eastAsiaTheme="minorEastAsia" w:hAnsi="Times New Roman" w:cstheme="minorBidi"/>
                <w:bCs/>
              </w:rPr>
              <w:t>озимый ячмень</w:t>
            </w:r>
          </w:p>
        </w:tc>
        <w:tc>
          <w:tcPr>
            <w:tcW w:w="1216"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48,6</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39,2</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80,7</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32,9</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31,9</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97,0</w:t>
            </w:r>
          </w:p>
        </w:tc>
      </w:tr>
      <w:tr w:rsidR="003F67B2" w:rsidRPr="003F67B2" w:rsidTr="003F67B2">
        <w:trPr>
          <w:trHeight w:val="213"/>
        </w:trPr>
        <w:tc>
          <w:tcPr>
            <w:tcW w:w="2753" w:type="dxa"/>
            <w:tcBorders>
              <w:top w:val="single" w:sz="4" w:space="0" w:color="auto"/>
              <w:left w:val="single" w:sz="4" w:space="0" w:color="auto"/>
              <w:bottom w:val="single" w:sz="4" w:space="0" w:color="auto"/>
              <w:right w:val="single" w:sz="4" w:space="0" w:color="auto"/>
            </w:tcBorders>
            <w:shd w:val="clear" w:color="auto" w:fill="auto"/>
          </w:tcPr>
          <w:p w:rsidR="003F67B2" w:rsidRPr="00CE11FA" w:rsidRDefault="003F67B2" w:rsidP="003F67B2">
            <w:pPr>
              <w:spacing w:after="0" w:line="240" w:lineRule="auto"/>
              <w:rPr>
                <w:rFonts w:ascii="Times New Roman" w:eastAsiaTheme="minorEastAsia" w:hAnsi="Times New Roman" w:cstheme="minorBidi"/>
                <w:bCs/>
              </w:rPr>
            </w:pPr>
            <w:r w:rsidRPr="00CE11FA">
              <w:rPr>
                <w:rFonts w:ascii="Times New Roman" w:eastAsiaTheme="minorEastAsia" w:hAnsi="Times New Roman" w:cstheme="minorBidi"/>
                <w:bCs/>
              </w:rPr>
              <w:t>яровой ячмень</w:t>
            </w:r>
          </w:p>
        </w:tc>
        <w:tc>
          <w:tcPr>
            <w:tcW w:w="1216"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21,9</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18,3</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83,6</w:t>
            </w:r>
          </w:p>
        </w:tc>
        <w:tc>
          <w:tcPr>
            <w:tcW w:w="1134"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24,5</w:t>
            </w:r>
          </w:p>
        </w:tc>
        <w:tc>
          <w:tcPr>
            <w:tcW w:w="992" w:type="dxa"/>
            <w:tcBorders>
              <w:top w:val="single" w:sz="4" w:space="0" w:color="auto"/>
              <w:left w:val="nil"/>
              <w:bottom w:val="single" w:sz="4" w:space="0" w:color="auto"/>
              <w:right w:val="single" w:sz="4" w:space="0" w:color="auto"/>
            </w:tcBorders>
            <w:shd w:val="clear" w:color="auto" w:fill="auto"/>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23,1</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3F67B2" w:rsidRPr="00CE11FA" w:rsidRDefault="003F67B2" w:rsidP="003F67B2">
            <w:pPr>
              <w:spacing w:after="0" w:line="240" w:lineRule="auto"/>
              <w:jc w:val="right"/>
              <w:rPr>
                <w:rFonts w:ascii="Times New Roman" w:eastAsiaTheme="minorEastAsia" w:hAnsi="Times New Roman" w:cstheme="minorBidi"/>
              </w:rPr>
            </w:pPr>
            <w:r w:rsidRPr="00CE11FA">
              <w:rPr>
                <w:rFonts w:ascii="Times New Roman" w:eastAsiaTheme="minorEastAsia" w:hAnsi="Times New Roman" w:cstheme="minorBidi"/>
              </w:rPr>
              <w:t>94,3</w:t>
            </w:r>
          </w:p>
        </w:tc>
      </w:tr>
    </w:tbl>
    <w:p w:rsidR="003F67B2" w:rsidRPr="003F67B2" w:rsidRDefault="003F67B2" w:rsidP="003F67B2">
      <w:pPr>
        <w:tabs>
          <w:tab w:val="left" w:pos="7020"/>
          <w:tab w:val="left" w:pos="8460"/>
        </w:tabs>
        <w:spacing w:after="0" w:line="240" w:lineRule="auto"/>
        <w:ind w:left="-142" w:firstLine="142"/>
        <w:rPr>
          <w:rFonts w:ascii="Times New Roman" w:eastAsiaTheme="minorEastAsia" w:hAnsi="Times New Roman" w:cstheme="minorBidi"/>
          <w:sz w:val="20"/>
          <w:szCs w:val="20"/>
        </w:rPr>
      </w:pPr>
      <w:r w:rsidRPr="003F67B2">
        <w:rPr>
          <w:rFonts w:ascii="Times New Roman" w:eastAsiaTheme="minorEastAsia" w:hAnsi="Times New Roman" w:cstheme="minorBidi"/>
          <w:sz w:val="20"/>
          <w:szCs w:val="20"/>
        </w:rPr>
        <w:t xml:space="preserve">     *- темп роста (спада) к соответствующей дате 2014 года, %</w:t>
      </w:r>
    </w:p>
    <w:p w:rsidR="003F67B2" w:rsidRPr="003F67B2" w:rsidRDefault="003F67B2" w:rsidP="003F67B2">
      <w:pPr>
        <w:suppressAutoHyphens/>
        <w:spacing w:after="0" w:line="240" w:lineRule="auto"/>
        <w:jc w:val="center"/>
        <w:rPr>
          <w:rFonts w:ascii="Times New Roman" w:eastAsiaTheme="minorEastAsia" w:hAnsi="Times New Roman" w:cstheme="minorBidi"/>
          <w:b/>
          <w:sz w:val="20"/>
          <w:szCs w:val="20"/>
          <w:highlight w:val="yellow"/>
        </w:rPr>
      </w:pPr>
    </w:p>
    <w:p w:rsidR="003F67B2" w:rsidRPr="003F67B2" w:rsidRDefault="003F67B2" w:rsidP="003F67B2">
      <w:pPr>
        <w:spacing w:after="0" w:line="240" w:lineRule="auto"/>
        <w:ind w:firstLine="709"/>
        <w:jc w:val="both"/>
        <w:rPr>
          <w:rFonts w:ascii="Times New Roman" w:eastAsiaTheme="minorEastAsia" w:hAnsi="Times New Roman"/>
          <w:sz w:val="24"/>
          <w:szCs w:val="24"/>
          <w:highlight w:val="yellow"/>
        </w:rPr>
      </w:pPr>
      <w:r w:rsidRPr="003F67B2">
        <w:rPr>
          <w:rFonts w:ascii="Times New Roman" w:eastAsiaTheme="minorEastAsia" w:hAnsi="Times New Roman"/>
          <w:sz w:val="24"/>
          <w:szCs w:val="24"/>
        </w:rPr>
        <w:t xml:space="preserve">В животноводческой отрасли в январе-июне 2015 года отмечается тенденция роста основных показателей. В рассматриваемом периоде объем выращивания скота и птицы возрос на 94,3%. Производство молока коровьего в результате увеличения продуктивности коров молочного стада(«+» 6,0%) на фоне сокращения его поголовья («-» 1,7%) увеличилось на 4,2%. Увеличение поголовья кур несушек («+» 13,5%) предопределило увеличение производства яиц куриных на 0,6% по сравнению с соответствующим периодом прошлого года. Вместе с этим на фоне увеличения поголовья свиней («+»14,9%), птицы всех возрастов («+» 11,3%) и сокращения поголовья коров («-» 2,5%), овец и коз («-»12,8%), отмечается незначительное увеличение поголовья крупного рогатого скота («+»0,7%). </w:t>
      </w:r>
    </w:p>
    <w:p w:rsidR="003F67B2" w:rsidRPr="003F67B2" w:rsidRDefault="003F67B2" w:rsidP="003F67B2">
      <w:pPr>
        <w:spacing w:after="0" w:line="240" w:lineRule="auto"/>
        <w:ind w:firstLine="709"/>
        <w:jc w:val="both"/>
        <w:rPr>
          <w:rFonts w:ascii="Times New Roman" w:eastAsiaTheme="minorEastAsia" w:hAnsi="Times New Roman"/>
          <w:sz w:val="24"/>
          <w:szCs w:val="24"/>
          <w:u w:val="single"/>
        </w:rPr>
      </w:pPr>
    </w:p>
    <w:p w:rsidR="003F67B2" w:rsidRPr="00747D66" w:rsidRDefault="003F67B2" w:rsidP="003F67B2">
      <w:pPr>
        <w:spacing w:after="0" w:line="240" w:lineRule="auto"/>
        <w:ind w:firstLine="709"/>
        <w:jc w:val="both"/>
        <w:rPr>
          <w:rFonts w:ascii="Times New Roman" w:eastAsiaTheme="minorEastAsia" w:hAnsi="Times New Roman"/>
          <w:b/>
          <w:sz w:val="24"/>
          <w:szCs w:val="24"/>
          <w:u w:val="single"/>
        </w:rPr>
      </w:pPr>
      <w:r w:rsidRPr="00747D66">
        <w:rPr>
          <w:rFonts w:ascii="Times New Roman" w:eastAsiaTheme="minorEastAsia" w:hAnsi="Times New Roman"/>
          <w:b/>
          <w:sz w:val="24"/>
          <w:szCs w:val="24"/>
          <w:u w:val="single"/>
        </w:rPr>
        <w:t>Потребительский рынок</w:t>
      </w:r>
    </w:p>
    <w:p w:rsidR="003F67B2" w:rsidRPr="003F67B2" w:rsidRDefault="003F67B2" w:rsidP="003F67B2">
      <w:pPr>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rPr>
        <w:t xml:space="preserve">Ситуация на потребительском рынке республики в рассматриваемом периоде формировалась под воздействием как внешних так и внутренних факторов. </w:t>
      </w:r>
      <w:r w:rsidRPr="003F67B2">
        <w:rPr>
          <w:rFonts w:ascii="Times New Roman" w:eastAsiaTheme="minorEastAsia" w:hAnsi="Times New Roman"/>
          <w:sz w:val="24"/>
          <w:szCs w:val="24"/>
        </w:rPr>
        <w:t xml:space="preserve">Существенная девальвация национальных валют сопредельных стран, являющихся основными поставщиками потребительских товаров на территорию республики, обусловила в условиях стабильности курса приднестровского рубля удешевление импортируемой продукции и усиление конкуренции на внутреннем рынке. Кроме того, определённое влияние оказали принятые на государственном уровне решения об отмене реализации в текущем году второго этапа повышения тарифов в сфере ЖКХ. </w:t>
      </w:r>
    </w:p>
    <w:p w:rsidR="003F67B2" w:rsidRPr="003F67B2" w:rsidRDefault="003F67B2" w:rsidP="003F67B2">
      <w:pPr>
        <w:spacing w:after="0" w:line="240" w:lineRule="auto"/>
        <w:ind w:firstLine="709"/>
        <w:jc w:val="both"/>
        <w:rPr>
          <w:rFonts w:ascii="Times New Roman" w:eastAsiaTheme="minorEastAsia" w:hAnsi="Times New Roman"/>
          <w:sz w:val="24"/>
          <w:szCs w:val="24"/>
        </w:rPr>
      </w:pPr>
      <w:r w:rsidRPr="003F67B2">
        <w:rPr>
          <w:rFonts w:ascii="Times New Roman" w:eastAsiaTheme="minorEastAsia" w:hAnsi="Times New Roman"/>
          <w:sz w:val="24"/>
          <w:szCs w:val="24"/>
        </w:rPr>
        <w:t xml:space="preserve">Следует отметить, что в товарном сегменте рынка четыре месяца подряд фиксировалась дефляция. Формирование данного тренда было обусловлено в большей степени действием факторов внешнего характера. </w:t>
      </w:r>
    </w:p>
    <w:p w:rsidR="003F67B2" w:rsidRPr="003F67B2" w:rsidRDefault="003F67B2" w:rsidP="003F67B2">
      <w:pPr>
        <w:spacing w:line="240" w:lineRule="auto"/>
        <w:jc w:val="both"/>
        <w:rPr>
          <w:rFonts w:ascii="Times New Roman" w:eastAsiaTheme="minorEastAsia" w:hAnsi="Times New Roman"/>
          <w:sz w:val="24"/>
          <w:szCs w:val="24"/>
        </w:rPr>
      </w:pPr>
      <w:r w:rsidRPr="003F67B2">
        <w:rPr>
          <w:rFonts w:ascii="Times New Roman" w:eastAsiaTheme="minorEastAsia" w:hAnsi="Times New Roman"/>
          <w:noProof/>
          <w:sz w:val="24"/>
          <w:szCs w:val="24"/>
        </w:rPr>
        <w:drawing>
          <wp:inline distT="0" distB="0" distL="0" distR="0">
            <wp:extent cx="5934075" cy="2228850"/>
            <wp:effectExtent l="0" t="0" r="0"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eastAsiaTheme="minorEastAsia" w:hAnsi="Times New Roman"/>
          <w:sz w:val="24"/>
          <w:szCs w:val="24"/>
        </w:rPr>
        <w:t>В результате по итогам января-июня 2015 года</w:t>
      </w:r>
      <w:r w:rsidRPr="003F67B2">
        <w:rPr>
          <w:rFonts w:ascii="Times New Roman" w:hAnsi="Times New Roman"/>
          <w:sz w:val="24"/>
          <w:szCs w:val="24"/>
        </w:rPr>
        <w:t xml:space="preserve"> на потребительском рынке</w:t>
      </w:r>
      <w:r w:rsidRPr="003F67B2">
        <w:rPr>
          <w:rFonts w:ascii="Times New Roman" w:eastAsiaTheme="minorEastAsia" w:hAnsi="Times New Roman"/>
          <w:sz w:val="24"/>
          <w:szCs w:val="24"/>
        </w:rPr>
        <w:t xml:space="preserve"> </w:t>
      </w:r>
      <w:r w:rsidRPr="003F67B2">
        <w:rPr>
          <w:rFonts w:ascii="Times New Roman" w:hAnsi="Times New Roman"/>
          <w:sz w:val="24"/>
          <w:szCs w:val="24"/>
        </w:rPr>
        <w:t>фиксирова</w:t>
      </w:r>
      <w:r w:rsidRPr="003F67B2">
        <w:rPr>
          <w:rFonts w:ascii="Times New Roman" w:eastAsiaTheme="minorEastAsia" w:hAnsi="Times New Roman"/>
          <w:sz w:val="24"/>
          <w:szCs w:val="24"/>
        </w:rPr>
        <w:t>лись</w:t>
      </w:r>
      <w:r w:rsidRPr="003F67B2">
        <w:rPr>
          <w:rFonts w:ascii="Times New Roman" w:hAnsi="Times New Roman"/>
          <w:sz w:val="24"/>
          <w:szCs w:val="24"/>
        </w:rPr>
        <w:t xml:space="preserve"> исторические минимумы в сфере ценообразования: средний уровень цен в республике</w:t>
      </w:r>
      <w:r w:rsidRPr="003F67B2">
        <w:rPr>
          <w:rFonts w:ascii="Times New Roman" w:eastAsiaTheme="minorEastAsia" w:hAnsi="Times New Roman"/>
          <w:sz w:val="24"/>
          <w:szCs w:val="24"/>
        </w:rPr>
        <w:t xml:space="preserve"> повыс</w:t>
      </w:r>
      <w:r w:rsidRPr="003F67B2">
        <w:rPr>
          <w:rFonts w:ascii="Times New Roman" w:hAnsi="Times New Roman"/>
          <w:sz w:val="24"/>
          <w:szCs w:val="24"/>
        </w:rPr>
        <w:t>ился на 0,</w:t>
      </w:r>
      <w:r w:rsidRPr="003F67B2">
        <w:rPr>
          <w:rFonts w:ascii="Times New Roman" w:eastAsiaTheme="minorEastAsia" w:hAnsi="Times New Roman"/>
          <w:sz w:val="24"/>
          <w:szCs w:val="24"/>
        </w:rPr>
        <w:t>2</w:t>
      </w:r>
      <w:r w:rsidRPr="003F67B2">
        <w:rPr>
          <w:rFonts w:ascii="Times New Roman" w:hAnsi="Times New Roman"/>
          <w:sz w:val="24"/>
          <w:szCs w:val="24"/>
        </w:rPr>
        <w:t xml:space="preserve">%, что является нетипичной динамикой для </w:t>
      </w:r>
      <w:r w:rsidRPr="003F67B2">
        <w:rPr>
          <w:rFonts w:ascii="Times New Roman" w:eastAsiaTheme="minorEastAsia" w:hAnsi="Times New Roman"/>
          <w:sz w:val="24"/>
          <w:szCs w:val="24"/>
        </w:rPr>
        <w:t>данного периода</w:t>
      </w:r>
      <w:r w:rsidRPr="003F67B2">
        <w:rPr>
          <w:rFonts w:ascii="Times New Roman" w:hAnsi="Times New Roman"/>
          <w:sz w:val="24"/>
          <w:szCs w:val="24"/>
        </w:rPr>
        <w:t xml:space="preserve"> года</w:t>
      </w:r>
      <w:r w:rsidRPr="003F67B2">
        <w:rPr>
          <w:rFonts w:ascii="Times New Roman" w:eastAsiaTheme="minorEastAsia" w:hAnsi="Times New Roman"/>
          <w:sz w:val="24"/>
          <w:szCs w:val="24"/>
        </w:rPr>
        <w:t xml:space="preserve"> (в январе-июне 2014 года – 2,0%)</w:t>
      </w:r>
      <w:r w:rsidR="00D25279">
        <w:rPr>
          <w:rFonts w:ascii="Times New Roman" w:hAnsi="Times New Roman"/>
          <w:sz w:val="24"/>
          <w:szCs w:val="24"/>
        </w:rPr>
        <w:t>.</w:t>
      </w:r>
    </w:p>
    <w:p w:rsidR="003F67B2" w:rsidRPr="003F67B2" w:rsidRDefault="003F67B2" w:rsidP="003F67B2">
      <w:pPr>
        <w:widowControl w:val="0"/>
        <w:spacing w:after="0" w:line="240" w:lineRule="auto"/>
        <w:ind w:firstLine="709"/>
        <w:jc w:val="both"/>
        <w:rPr>
          <w:rFonts w:ascii="Times New Roman" w:eastAsiaTheme="minorEastAsia" w:hAnsi="Times New Roman"/>
          <w:bCs/>
          <w:color w:val="000000"/>
          <w:sz w:val="24"/>
        </w:rPr>
      </w:pPr>
      <w:r w:rsidRPr="003F67B2">
        <w:rPr>
          <w:rFonts w:ascii="Times New Roman" w:eastAsiaTheme="minorEastAsia" w:hAnsi="Times New Roman"/>
          <w:color w:val="000000"/>
          <w:sz w:val="24"/>
          <w:shd w:val="clear" w:color="auto" w:fill="FFFFFF"/>
        </w:rPr>
        <w:t xml:space="preserve">При этом в продовольственном сегменте потребительского рынка в январе-июне 2015 года был зафиксирован выраженный дефляционный тренд – «-»1,41% (в январе-июне 2014 года – «+»2,94%), в </w:t>
      </w:r>
      <w:r w:rsidRPr="003F67B2">
        <w:rPr>
          <w:rFonts w:ascii="Times New Roman" w:eastAsiaTheme="minorEastAsia" w:hAnsi="Times New Roman" w:cstheme="minorBidi"/>
          <w:bCs/>
          <w:sz w:val="24"/>
          <w:szCs w:val="24"/>
        </w:rPr>
        <w:t xml:space="preserve">сфере непродовольственных товаров дефляция составила </w:t>
      </w:r>
      <w:r w:rsidRPr="003F67B2">
        <w:rPr>
          <w:rFonts w:ascii="Times New Roman" w:eastAsiaTheme="minorEastAsia" w:hAnsi="Times New Roman" w:cstheme="minorBidi"/>
          <w:bCs/>
          <w:sz w:val="24"/>
          <w:szCs w:val="24"/>
        </w:rPr>
        <w:br/>
        <w:t xml:space="preserve">«-»1,62% (в январе-июне 2014 года «-»1,99%). </w:t>
      </w:r>
      <w:r w:rsidRPr="003F67B2">
        <w:rPr>
          <w:rFonts w:ascii="Times New Roman" w:eastAsiaTheme="minorEastAsia" w:hAnsi="Times New Roman"/>
          <w:bCs/>
          <w:sz w:val="24"/>
          <w:szCs w:val="24"/>
        </w:rPr>
        <w:t xml:space="preserve">Вместе с этим генератором инфляционных процессов в рассматриваемом периоде выступает сегмент услуг, стоимость </w:t>
      </w:r>
      <w:r w:rsidRPr="003F67B2">
        <w:rPr>
          <w:rFonts w:ascii="Times New Roman" w:eastAsiaTheme="minorEastAsia" w:hAnsi="Times New Roman"/>
          <w:bCs/>
          <w:sz w:val="24"/>
        </w:rPr>
        <w:t>тарифов на услуги повысились на 6,5% (</w:t>
      </w:r>
      <w:r w:rsidRPr="003F67B2">
        <w:rPr>
          <w:rFonts w:ascii="Times New Roman" w:eastAsiaTheme="minorEastAsia" w:hAnsi="Times New Roman"/>
          <w:bCs/>
          <w:sz w:val="24"/>
          <w:szCs w:val="24"/>
        </w:rPr>
        <w:t xml:space="preserve">в январе-июне 2014 года </w:t>
      </w:r>
      <w:r w:rsidRPr="003F67B2">
        <w:rPr>
          <w:rFonts w:ascii="Times New Roman" w:eastAsiaTheme="minorEastAsia" w:hAnsi="Times New Roman"/>
          <w:bCs/>
          <w:sz w:val="24"/>
        </w:rPr>
        <w:t>«+»7,2%).</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Потребительский рынок, </w:t>
      </w:r>
      <w:r w:rsidRPr="003F67B2">
        <w:rPr>
          <w:rFonts w:ascii="Times New Roman" w:hAnsi="Times New Roman"/>
          <w:color w:val="000000"/>
          <w:sz w:val="24"/>
          <w:szCs w:val="24"/>
        </w:rPr>
        <w:t xml:space="preserve">демонстрировавший на протяжении длительного времени возрастающую активностью потребителей, в рассматриваемом периоде, на </w:t>
      </w:r>
      <w:r w:rsidRPr="003F67B2">
        <w:rPr>
          <w:rFonts w:ascii="Times New Roman" w:hAnsi="Times New Roman"/>
          <w:sz w:val="24"/>
          <w:szCs w:val="24"/>
        </w:rPr>
        <w:t xml:space="preserve">фоне дефляции в продовольственном и непродовольственном сегментах рынка в совокупности со снижением доходов населения </w:t>
      </w:r>
      <w:r w:rsidRPr="003F67B2">
        <w:rPr>
          <w:rFonts w:ascii="Times New Roman" w:hAnsi="Times New Roman"/>
          <w:color w:val="000000"/>
          <w:sz w:val="24"/>
          <w:szCs w:val="24"/>
        </w:rPr>
        <w:t>характеризовался понижательной динамикой. С</w:t>
      </w:r>
      <w:r w:rsidRPr="003F67B2">
        <w:rPr>
          <w:rFonts w:ascii="Times New Roman" w:hAnsi="Times New Roman"/>
          <w:sz w:val="24"/>
          <w:szCs w:val="24"/>
        </w:rPr>
        <w:t xml:space="preserve">овокупный объем продаж товаров и услуг в январе-июне 2015 года составил 3 806,8 млн. руб., сократившись по отношению к показателю первого полугодия 2014 года в сопоставимой </w:t>
      </w:r>
      <w:r w:rsidRPr="003F67B2">
        <w:rPr>
          <w:rFonts w:ascii="Times New Roman" w:hAnsi="Times New Roman"/>
          <w:sz w:val="24"/>
          <w:szCs w:val="24"/>
        </w:rPr>
        <w:lastRenderedPageBreak/>
        <w:t xml:space="preserve">оценке на 18,8%, </w:t>
      </w:r>
      <w:r w:rsidRPr="003F67B2">
        <w:rPr>
          <w:rFonts w:ascii="Times New Roman" w:eastAsia="TimesNewRoman" w:hAnsi="Times New Roman"/>
          <w:sz w:val="24"/>
          <w:szCs w:val="24"/>
        </w:rPr>
        <w:t>объемы розничных продаж</w:t>
      </w:r>
      <w:r w:rsidRPr="003F67B2">
        <w:rPr>
          <w:rFonts w:ascii="Times New Roman" w:hAnsi="Times New Roman"/>
          <w:sz w:val="24"/>
          <w:szCs w:val="24"/>
        </w:rPr>
        <w:t xml:space="preserve"> сузились на 22,3%, потребление услуг населением – на 7,6%. </w:t>
      </w:r>
    </w:p>
    <w:p w:rsidR="003F67B2" w:rsidRPr="003F67B2" w:rsidRDefault="003F67B2" w:rsidP="003F67B2">
      <w:pPr>
        <w:spacing w:after="0" w:line="240" w:lineRule="auto"/>
        <w:ind w:firstLine="709"/>
        <w:jc w:val="both"/>
        <w:rPr>
          <w:rFonts w:ascii="Times New Roman" w:hAnsi="Times New Roman"/>
          <w:sz w:val="24"/>
          <w:szCs w:val="24"/>
        </w:rPr>
      </w:pPr>
    </w:p>
    <w:p w:rsidR="003F67B2" w:rsidRPr="00747D66" w:rsidRDefault="003F67B2" w:rsidP="003F67B2">
      <w:pPr>
        <w:spacing w:after="0" w:line="240" w:lineRule="auto"/>
        <w:ind w:firstLine="709"/>
        <w:jc w:val="both"/>
        <w:rPr>
          <w:rFonts w:ascii="Times New Roman" w:hAnsi="Times New Roman"/>
          <w:b/>
          <w:sz w:val="24"/>
          <w:shd w:val="clear" w:color="auto" w:fill="FFFFFF"/>
        </w:rPr>
      </w:pPr>
      <w:r w:rsidRPr="00747D66">
        <w:rPr>
          <w:rFonts w:ascii="Times New Roman" w:hAnsi="Times New Roman"/>
          <w:b/>
          <w:sz w:val="24"/>
          <w:u w:val="single"/>
          <w:shd w:val="clear" w:color="auto" w:fill="FFFFFF"/>
        </w:rPr>
        <w:t>Уровень жизни</w:t>
      </w:r>
      <w:r w:rsidRPr="00747D66">
        <w:rPr>
          <w:rFonts w:ascii="Times New Roman" w:hAnsi="Times New Roman"/>
          <w:b/>
          <w:sz w:val="24"/>
          <w:shd w:val="clear" w:color="auto" w:fill="FFFFFF"/>
        </w:rPr>
        <w:t xml:space="preserve"> </w:t>
      </w:r>
    </w:p>
    <w:p w:rsidR="003F67B2" w:rsidRPr="003F67B2" w:rsidRDefault="003F67B2" w:rsidP="003F67B2">
      <w:pPr>
        <w:spacing w:after="0" w:line="240" w:lineRule="auto"/>
        <w:ind w:firstLine="720"/>
        <w:jc w:val="both"/>
        <w:rPr>
          <w:rFonts w:ascii="Times New Roman" w:eastAsiaTheme="minorEastAsia" w:hAnsi="Times New Roman" w:cstheme="minorBidi"/>
          <w:sz w:val="24"/>
          <w:szCs w:val="24"/>
          <w:shd w:val="clear" w:color="auto" w:fill="FFFFFF"/>
        </w:rPr>
      </w:pPr>
      <w:r w:rsidRPr="003F67B2">
        <w:rPr>
          <w:rFonts w:ascii="Times New Roman" w:eastAsiaTheme="minorEastAsia" w:hAnsi="Times New Roman" w:cstheme="minorBidi"/>
          <w:sz w:val="24"/>
          <w:szCs w:val="24"/>
          <w:shd w:val="clear" w:color="auto" w:fill="FFFFFF"/>
        </w:rPr>
        <w:t>В январе-июне 2015 года на фоне макроэкономической нестабильности и сложных условий хозяйствования отмечается сокращение реальной заработ</w:t>
      </w:r>
      <w:r w:rsidR="00D25279">
        <w:rPr>
          <w:rFonts w:ascii="Times New Roman" w:eastAsiaTheme="minorEastAsia" w:hAnsi="Times New Roman" w:cstheme="minorBidi"/>
          <w:sz w:val="24"/>
          <w:szCs w:val="24"/>
          <w:shd w:val="clear" w:color="auto" w:fill="FFFFFF"/>
        </w:rPr>
        <w:t>ной платы в отраслях экономики.</w:t>
      </w:r>
    </w:p>
    <w:p w:rsidR="003F67B2" w:rsidRPr="003F67B2" w:rsidRDefault="003F67B2" w:rsidP="003F67B2">
      <w:pPr>
        <w:spacing w:after="0" w:line="240" w:lineRule="auto"/>
        <w:jc w:val="both"/>
        <w:rPr>
          <w:rFonts w:ascii="Times New Roman" w:eastAsiaTheme="minorEastAsia" w:hAnsi="Times New Roman"/>
          <w:b/>
          <w:sz w:val="24"/>
          <w:szCs w:val="24"/>
        </w:rPr>
      </w:pPr>
      <w:r w:rsidRPr="003F67B2">
        <w:rPr>
          <w:rFonts w:ascii="Times New Roman" w:eastAsiaTheme="minorEastAsia" w:hAnsi="Times New Roman"/>
          <w:b/>
          <w:noProof/>
          <w:sz w:val="24"/>
          <w:szCs w:val="24"/>
        </w:rPr>
        <w:drawing>
          <wp:inline distT="0" distB="0" distL="0" distR="0">
            <wp:extent cx="6181725" cy="2171700"/>
            <wp:effectExtent l="0" t="0" r="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67B2" w:rsidRPr="003F67B2" w:rsidRDefault="003F67B2" w:rsidP="003F67B2">
      <w:pPr>
        <w:spacing w:after="0" w:line="240" w:lineRule="auto"/>
        <w:ind w:firstLine="708"/>
        <w:jc w:val="both"/>
        <w:rPr>
          <w:rFonts w:ascii="Times New Roman" w:eastAsiaTheme="minorEastAsia" w:hAnsi="Times New Roman" w:cstheme="minorBidi"/>
          <w:sz w:val="24"/>
          <w:szCs w:val="24"/>
        </w:rPr>
      </w:pPr>
      <w:r w:rsidRPr="003F67B2">
        <w:rPr>
          <w:rFonts w:ascii="Times New Roman" w:eastAsiaTheme="minorEastAsia" w:hAnsi="Times New Roman" w:cstheme="minorBidi"/>
          <w:sz w:val="24"/>
          <w:szCs w:val="24"/>
          <w:shd w:val="clear" w:color="auto" w:fill="FFFFFF"/>
        </w:rPr>
        <w:t xml:space="preserve">Номинальная заработная плата в целом по республике (кроме субъектов малого предпринимательства и без учета силовых структур) составила 3 839 руб. и соответствовала 346 долл. США, сократившись на 4,4%. Реальный </w:t>
      </w:r>
      <w:r w:rsidR="002524A9">
        <w:rPr>
          <w:rFonts w:ascii="Times New Roman" w:eastAsiaTheme="minorEastAsia" w:hAnsi="Times New Roman" w:cstheme="minorBidi"/>
          <w:sz w:val="24"/>
          <w:szCs w:val="24"/>
          <w:shd w:val="clear" w:color="auto" w:fill="FFFFFF"/>
        </w:rPr>
        <w:t xml:space="preserve">размер заработной платы одного </w:t>
      </w:r>
      <w:r w:rsidRPr="003F67B2">
        <w:rPr>
          <w:rFonts w:ascii="Times New Roman" w:eastAsiaTheme="minorEastAsia" w:hAnsi="Times New Roman" w:cstheme="minorBidi"/>
          <w:sz w:val="24"/>
          <w:szCs w:val="24"/>
          <w:shd w:val="clear" w:color="auto" w:fill="FFFFFF"/>
        </w:rPr>
        <w:t>работника с учетом корректировки на инфляционный фактор сократилась по отношению к базисному уровню минувшего года на 4,1%.</w:t>
      </w:r>
    </w:p>
    <w:p w:rsidR="003F67B2" w:rsidRPr="003F67B2" w:rsidRDefault="003F67B2" w:rsidP="003F67B2">
      <w:pPr>
        <w:spacing w:after="0" w:line="240" w:lineRule="auto"/>
        <w:jc w:val="both"/>
        <w:rPr>
          <w:rFonts w:ascii="Times New Roman" w:eastAsiaTheme="minorEastAsia" w:hAnsi="Times New Roman"/>
          <w:b/>
          <w:sz w:val="24"/>
          <w:szCs w:val="24"/>
        </w:rPr>
      </w:pPr>
      <w:r w:rsidRPr="003F67B2">
        <w:rPr>
          <w:rFonts w:ascii="Times New Roman" w:eastAsiaTheme="minorEastAsia" w:hAnsi="Times New Roman"/>
          <w:b/>
          <w:noProof/>
          <w:sz w:val="24"/>
          <w:szCs w:val="24"/>
        </w:rPr>
        <w:drawing>
          <wp:inline distT="0" distB="0" distL="0" distR="0">
            <wp:extent cx="5943600" cy="3771900"/>
            <wp:effectExtent l="0" t="0" r="0" b="0"/>
            <wp:docPr id="4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67B2" w:rsidRPr="003F67B2" w:rsidRDefault="003F67B2" w:rsidP="003F67B2">
      <w:pPr>
        <w:spacing w:after="0" w:line="240" w:lineRule="auto"/>
        <w:ind w:firstLine="709"/>
        <w:jc w:val="both"/>
        <w:rPr>
          <w:rFonts w:ascii="Times New Roman" w:hAnsi="Times New Roman"/>
          <w:sz w:val="24"/>
          <w:shd w:val="clear" w:color="auto" w:fill="FFFFFF"/>
        </w:rPr>
      </w:pPr>
      <w:r w:rsidRPr="003F67B2">
        <w:rPr>
          <w:rFonts w:ascii="Times New Roman" w:hAnsi="Times New Roman"/>
          <w:sz w:val="24"/>
          <w:shd w:val="clear" w:color="auto" w:fill="FFFFFF"/>
        </w:rPr>
        <w:t>В тоже время, несмотря на сокращение в целом заработных плат, значимым обстоятельством напряженности в обществе продолжает выступать высокая степень дифференциации размера заработной платы в отраслях экономики. Так самый высокий уровень заработной платы традиционно оставался у работников таких отраслей экономики как, «Электро и радиосвязь» (9 097 руб.), «Банки и кредитование» (7 687 руб.), «Страхование» (5 974 руб.), где превышение среднереспубликанского уровня варьировало в пределах 2,4 – 1,6 раза.</w:t>
      </w:r>
    </w:p>
    <w:p w:rsidR="003F67B2" w:rsidRPr="003F67B2" w:rsidRDefault="003F67B2" w:rsidP="003F67B2">
      <w:pPr>
        <w:spacing w:after="0" w:line="240" w:lineRule="auto"/>
        <w:ind w:firstLine="709"/>
        <w:jc w:val="both"/>
        <w:rPr>
          <w:rFonts w:ascii="Times New Roman" w:hAnsi="Times New Roman"/>
          <w:sz w:val="24"/>
          <w:shd w:val="clear" w:color="auto" w:fill="FFFFFF"/>
        </w:rPr>
      </w:pPr>
      <w:r w:rsidRPr="003F67B2">
        <w:rPr>
          <w:rFonts w:ascii="Times New Roman" w:hAnsi="Times New Roman"/>
          <w:sz w:val="24"/>
          <w:shd w:val="clear" w:color="auto" w:fill="FFFFFF"/>
        </w:rPr>
        <w:lastRenderedPageBreak/>
        <w:t>Среднемесячная заработная плата у работников отраслей бюджетной сферы сократилась до 2 684 руб. («-»1,4%), реальное снижение жалования у работников бюджетной сферы с учетом корректировки на инфляционный фактор составило 1,1%.</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Сумма задолженности по оплате труда в условиях действующего механизма выплат заработной платы работникам бюджетной сферы в целом по экономике возросла в 3,1 раза, достигнув по состоянию на 1 июля 2015 года 144,3 млн. руб. </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shd w:val="clear" w:color="auto" w:fill="FFFFFF"/>
        </w:rPr>
        <w:t xml:space="preserve">В связи с дефицитом бюджета Единого государственного фонда социального страхования, увеличение минимального размера пенсии по возрасту не производилось. В результате средний размер назначенных пенсий по состоянию на конец рассматриваемого периода составил 1 338,54 руб., сократившись по сравнению с началом года на 11,87 руб. («-»0,9%). При этом средний размер назначенных пенсий за I полугодие текущего года при сокращении количества получателей пенсий по сравнению с соответствующим периодом прошлого года на 3 586 чел., остался практически на уровне базового показателя, составив 1 347,03 руб. (в январе-июне 2014 года - 1 347,85 руб.), что на 21,3% выше величины прожиточного минимума пенсионера. В целях повышения материального благосостояния пенсионеров, </w:t>
      </w:r>
      <w:r w:rsidRPr="003F67B2">
        <w:rPr>
          <w:rFonts w:ascii="Times New Roman" w:hAnsi="Times New Roman"/>
          <w:sz w:val="24"/>
          <w:szCs w:val="24"/>
        </w:rPr>
        <w:t xml:space="preserve">каждому получателю пенсии из средств Пенсионного фонда в январе-феврале выплачивалось пособие в размере 50 руб. и ежемесячно из средств гуманитарной помощи Российской Федерации 100 руб. ПМР. </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Неоднозначно в рассматриваемом периоде складывалась ситуация на рынке труда. Так, на фоне сокращения по состоянию на </w:t>
      </w:r>
      <w:r w:rsidRPr="003F67B2">
        <w:rPr>
          <w:rFonts w:ascii="Times New Roman" w:eastAsiaTheme="minorEastAsia" w:hAnsi="Times New Roman"/>
          <w:sz w:val="24"/>
          <w:szCs w:val="24"/>
          <w:shd w:val="clear" w:color="auto" w:fill="FFFFFF"/>
        </w:rPr>
        <w:t xml:space="preserve">1 июля 2015 года </w:t>
      </w:r>
      <w:r w:rsidRPr="003F67B2">
        <w:rPr>
          <w:rFonts w:ascii="Times New Roman" w:eastAsiaTheme="minorEastAsia" w:hAnsi="Times New Roman"/>
          <w:sz w:val="24"/>
          <w:szCs w:val="24"/>
        </w:rPr>
        <w:t>к</w:t>
      </w:r>
      <w:r w:rsidRPr="003F67B2">
        <w:rPr>
          <w:rFonts w:ascii="Times New Roman" w:eastAsiaTheme="minorEastAsia" w:hAnsi="Times New Roman"/>
          <w:sz w:val="24"/>
          <w:szCs w:val="24"/>
          <w:shd w:val="clear" w:color="auto" w:fill="FFFFFF"/>
        </w:rPr>
        <w:t>оличества зарегистрированных граждан в качестве лиц, ищущих работу</w:t>
      </w:r>
      <w:r w:rsidRPr="003F67B2">
        <w:rPr>
          <w:rFonts w:ascii="Times New Roman" w:hAnsi="Times New Roman"/>
          <w:sz w:val="24"/>
          <w:szCs w:val="24"/>
        </w:rPr>
        <w:t xml:space="preserve"> в 1,4 раза до 3 758 чел. и </w:t>
      </w:r>
      <w:r w:rsidRPr="003F67B2">
        <w:rPr>
          <w:rFonts w:ascii="Times New Roman" w:eastAsiaTheme="minorEastAsia" w:hAnsi="Times New Roman"/>
          <w:sz w:val="24"/>
          <w:szCs w:val="24"/>
          <w:shd w:val="clear" w:color="auto" w:fill="FFFFFF"/>
        </w:rPr>
        <w:t xml:space="preserve">потребности организаций в работниках в 2,5 раза, </w:t>
      </w:r>
      <w:r w:rsidRPr="003F67B2">
        <w:rPr>
          <w:rFonts w:ascii="Times New Roman" w:hAnsi="Times New Roman"/>
          <w:sz w:val="24"/>
          <w:szCs w:val="24"/>
        </w:rPr>
        <w:t xml:space="preserve">работодателями заявлено 1 252 вакантных места, </w:t>
      </w:r>
      <w:r w:rsidRPr="003F67B2">
        <w:rPr>
          <w:rFonts w:ascii="Times New Roman" w:eastAsiaTheme="minorEastAsia" w:hAnsi="Times New Roman"/>
          <w:sz w:val="24"/>
          <w:szCs w:val="24"/>
          <w:shd w:val="clear" w:color="auto" w:fill="FFFFFF"/>
        </w:rPr>
        <w:t xml:space="preserve">коэффициент напряженности (отношение зарегистрированных граждан к количеству вакансий) возрос до 3,3 человека на одно вакантное место, против 2,5 на соответствующую дату 2014 года. При этом уровень регистрируемой безработицы в среднем по республике по состоянию на 1 июля 2015 года составил 2,69% к численности экономически активного населения, без учета численности работающих в силовых структурах, что на 0,93 процентных пункта ниже уровня, регистрируемой безработицы по состоянию на 1 июля </w:t>
      </w:r>
      <w:r w:rsidRPr="003F67B2">
        <w:rPr>
          <w:rFonts w:ascii="Times New Roman" w:eastAsiaTheme="minorEastAsia" w:hAnsi="Times New Roman"/>
          <w:spacing w:val="20"/>
          <w:sz w:val="24"/>
          <w:szCs w:val="24"/>
          <w:shd w:val="clear" w:color="auto" w:fill="FFFFFF"/>
        </w:rPr>
        <w:t>2014 г</w:t>
      </w:r>
      <w:r w:rsidRPr="003F67B2">
        <w:rPr>
          <w:rFonts w:ascii="Times New Roman" w:eastAsiaTheme="minorEastAsia" w:hAnsi="Times New Roman"/>
          <w:sz w:val="24"/>
          <w:szCs w:val="24"/>
          <w:shd w:val="clear" w:color="auto" w:fill="FFFFFF"/>
        </w:rPr>
        <w:t xml:space="preserve">ода. Вместе с этим на фоне кризисной ситуации в реальном секторе экономики, </w:t>
      </w:r>
      <w:r w:rsidRPr="003F67B2">
        <w:rPr>
          <w:rFonts w:ascii="Times New Roman" w:eastAsiaTheme="minorEastAsia" w:hAnsi="Times New Roman" w:cstheme="minorBidi"/>
          <w:sz w:val="24"/>
          <w:szCs w:val="24"/>
          <w:shd w:val="clear" w:color="auto" w:fill="FFFFFF"/>
        </w:rPr>
        <w:t>ключевыми проблемами рынка труда остается трудовая миграция, при которой на фоне прогрессирующего дефицита квалифицированных рабочих, непрестижности рабочих специальностей, значительная численность безработных сочетается с сокращением потребности организаций в работниках.</w:t>
      </w:r>
    </w:p>
    <w:p w:rsidR="00335844" w:rsidRDefault="00335844" w:rsidP="00335844">
      <w:pPr>
        <w:spacing w:after="0" w:line="240" w:lineRule="auto"/>
        <w:ind w:firstLine="720"/>
        <w:jc w:val="both"/>
        <w:rPr>
          <w:rFonts w:ascii="Times New Roman" w:hAnsi="Times New Roman"/>
          <w:b/>
          <w:sz w:val="24"/>
          <w:szCs w:val="24"/>
        </w:rPr>
      </w:pPr>
    </w:p>
    <w:p w:rsidR="00335844" w:rsidRPr="00EB2F56" w:rsidRDefault="00335844" w:rsidP="00335844">
      <w:pPr>
        <w:spacing w:after="0" w:line="240" w:lineRule="auto"/>
        <w:ind w:firstLine="720"/>
        <w:jc w:val="both"/>
        <w:rPr>
          <w:rFonts w:ascii="Times New Roman" w:hAnsi="Times New Roman"/>
          <w:b/>
          <w:sz w:val="24"/>
          <w:szCs w:val="24"/>
        </w:rPr>
      </w:pPr>
      <w:r w:rsidRPr="00EB2F56">
        <w:rPr>
          <w:rFonts w:ascii="Times New Roman" w:hAnsi="Times New Roman"/>
          <w:b/>
          <w:sz w:val="24"/>
          <w:szCs w:val="24"/>
        </w:rPr>
        <w:t>Объем и структура ВВП</w:t>
      </w:r>
    </w:p>
    <w:p w:rsidR="00005D3C" w:rsidRPr="00005D3C" w:rsidRDefault="00005D3C" w:rsidP="00005D3C">
      <w:pPr>
        <w:spacing w:after="0" w:line="240" w:lineRule="auto"/>
        <w:ind w:firstLine="709"/>
        <w:jc w:val="both"/>
        <w:rPr>
          <w:rFonts w:ascii="Times New Roman" w:hAnsi="Times New Roman"/>
          <w:sz w:val="24"/>
          <w:szCs w:val="24"/>
        </w:rPr>
      </w:pP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Номинальный объем созданного в республике валового внутреннего продукта за январь-июнь 2015 год составил 3 753,0 млн. руб. и соответствовал 338,1 млн. долл., составив по отношению к базовому показателю 2014 года 81,3%.</w:t>
      </w:r>
    </w:p>
    <w:p w:rsidR="00005D3C" w:rsidRPr="00005D3C" w:rsidRDefault="00005D3C" w:rsidP="00005D3C">
      <w:pPr>
        <w:spacing w:after="0" w:line="240" w:lineRule="auto"/>
        <w:ind w:firstLine="709"/>
        <w:jc w:val="both"/>
        <w:rPr>
          <w:rFonts w:ascii="Times New Roman" w:hAnsi="Times New Roman"/>
          <w:b/>
          <w:sz w:val="24"/>
          <w:szCs w:val="24"/>
        </w:rPr>
      </w:pPr>
      <w:r w:rsidRPr="00005D3C">
        <w:rPr>
          <w:rFonts w:ascii="Times New Roman" w:hAnsi="Times New Roman"/>
          <w:sz w:val="24"/>
          <w:szCs w:val="24"/>
        </w:rPr>
        <w:t>Реальный размер совокупного показателя развития экономики (ВВП в сопоставимых ценах) сократился на 19,2%.</w:t>
      </w:r>
      <w:r w:rsidRPr="00005D3C">
        <w:rPr>
          <w:rFonts w:ascii="Times New Roman" w:hAnsi="Times New Roman"/>
          <w:b/>
          <w:sz w:val="24"/>
          <w:szCs w:val="24"/>
        </w:rPr>
        <w:t xml:space="preserve"> </w:t>
      </w:r>
    </w:p>
    <w:p w:rsidR="00005D3C" w:rsidRPr="00005D3C" w:rsidRDefault="00005D3C" w:rsidP="00005D3C">
      <w:pPr>
        <w:spacing w:after="0" w:line="240" w:lineRule="auto"/>
        <w:ind w:firstLine="709"/>
        <w:jc w:val="center"/>
        <w:rPr>
          <w:rFonts w:ascii="Times New Roman" w:hAnsi="Times New Roman"/>
          <w:b/>
          <w:sz w:val="24"/>
          <w:szCs w:val="24"/>
        </w:rPr>
      </w:pPr>
      <w:r w:rsidRPr="00005D3C">
        <w:rPr>
          <w:rFonts w:ascii="Times New Roman" w:hAnsi="Times New Roman"/>
          <w:b/>
          <w:sz w:val="24"/>
          <w:szCs w:val="24"/>
        </w:rPr>
        <w:t>Динамика изменения объема ВВП</w:t>
      </w:r>
      <w:r w:rsidRPr="00005D3C">
        <w:rPr>
          <w:rFonts w:ascii="Times New Roman" w:eastAsiaTheme="minorEastAsia" w:hAnsi="Times New Roman" w:cstheme="minorBidi"/>
          <w:b/>
          <w:sz w:val="24"/>
          <w:szCs w:val="24"/>
        </w:rPr>
        <w:t xml:space="preserve"> </w:t>
      </w:r>
    </w:p>
    <w:p w:rsidR="00005D3C" w:rsidRPr="00005D3C" w:rsidRDefault="00005D3C" w:rsidP="00005D3C">
      <w:pPr>
        <w:spacing w:after="0"/>
        <w:rPr>
          <w:rFonts w:asciiTheme="minorHAnsi" w:eastAsiaTheme="minorEastAsia" w:hAnsiTheme="minorHAnsi" w:cstheme="minorBidi"/>
        </w:rPr>
      </w:pPr>
      <w:r w:rsidRPr="00005D3C">
        <w:rPr>
          <w:rFonts w:asciiTheme="minorHAnsi" w:eastAsiaTheme="minorEastAsia" w:hAnsiTheme="minorHAnsi" w:cstheme="minorBidi"/>
          <w:noProof/>
          <w:highlight w:val="yellow"/>
        </w:rPr>
        <w:drawing>
          <wp:inline distT="0" distB="0" distL="0" distR="0">
            <wp:extent cx="6124575" cy="1333500"/>
            <wp:effectExtent l="0" t="0" r="0"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Дефлятор ВВП, устанавливающий связь между реальным и номинальным ВВП, на фоне дефляционных процессов в отраслях материального производства и в сфере услуг</w:t>
      </w:r>
      <w:r w:rsidR="00261469">
        <w:rPr>
          <w:rFonts w:ascii="Times New Roman" w:hAnsi="Times New Roman"/>
          <w:sz w:val="24"/>
          <w:szCs w:val="24"/>
        </w:rPr>
        <w:t xml:space="preserve"> по</w:t>
      </w:r>
      <w:r w:rsidRPr="00005D3C">
        <w:rPr>
          <w:rFonts w:ascii="Times New Roman" w:hAnsi="Times New Roman"/>
          <w:sz w:val="24"/>
          <w:szCs w:val="24"/>
        </w:rPr>
        <w:t xml:space="preserve"> </w:t>
      </w:r>
      <w:r w:rsidRPr="00005D3C">
        <w:rPr>
          <w:rFonts w:ascii="Times New Roman" w:hAnsi="Times New Roman"/>
          <w:sz w:val="24"/>
          <w:szCs w:val="24"/>
        </w:rPr>
        <w:lastRenderedPageBreak/>
        <w:t>итогам января – июня 2015 года сократился до 1,0059, против 1</w:t>
      </w:r>
      <w:r w:rsidR="00261469">
        <w:rPr>
          <w:rFonts w:ascii="Times New Roman" w:hAnsi="Times New Roman"/>
          <w:sz w:val="24"/>
          <w:szCs w:val="24"/>
        </w:rPr>
        <w:t>,0837 в январе – июне 2014года.</w:t>
      </w:r>
    </w:p>
    <w:p w:rsidR="00005D3C" w:rsidRPr="00005D3C" w:rsidRDefault="00005D3C" w:rsidP="00005D3C">
      <w:pPr>
        <w:spacing w:after="0" w:line="240" w:lineRule="auto"/>
        <w:jc w:val="both"/>
        <w:rPr>
          <w:rFonts w:ascii="Times New Roman" w:hAnsi="Times New Roman"/>
          <w:sz w:val="24"/>
          <w:szCs w:val="24"/>
        </w:rPr>
      </w:pPr>
      <w:r w:rsidRPr="00005D3C">
        <w:rPr>
          <w:rFonts w:ascii="Times New Roman" w:hAnsi="Times New Roman"/>
          <w:noProof/>
          <w:sz w:val="24"/>
          <w:szCs w:val="24"/>
          <w:highlight w:val="yellow"/>
        </w:rPr>
        <w:drawing>
          <wp:inline distT="0" distB="0" distL="0" distR="0">
            <wp:extent cx="6029325" cy="2733675"/>
            <wp:effectExtent l="0" t="0" r="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5D3C" w:rsidRPr="00005D3C" w:rsidRDefault="00005D3C" w:rsidP="00005D3C">
      <w:pPr>
        <w:spacing w:after="0" w:line="240" w:lineRule="auto"/>
        <w:ind w:firstLine="567"/>
        <w:contextualSpacing/>
        <w:jc w:val="both"/>
        <w:rPr>
          <w:rFonts w:ascii="Times New Roman" w:hAnsi="Times New Roman"/>
          <w:sz w:val="24"/>
          <w:szCs w:val="24"/>
        </w:rPr>
      </w:pPr>
      <w:r w:rsidRPr="00005D3C">
        <w:rPr>
          <w:rFonts w:ascii="Times New Roman" w:hAnsi="Times New Roman"/>
          <w:sz w:val="24"/>
          <w:szCs w:val="24"/>
        </w:rPr>
        <w:t>В структуре валового внутреннего продукта отмечается повышение удельного веса отраслей материального производства на 0,36 процентных пункта до 17,67% и отраслей сектора услуг на 2,74 процентных пункта до 79,77%. Это произошло на фоне существенного сокращения удельного веса фискальной составляющей «чистые налоги на продукты и импорт» («-»3,1 процентных пункта до 2,56%).</w:t>
      </w:r>
    </w:p>
    <w:p w:rsidR="00005D3C" w:rsidRPr="005B5A6A" w:rsidRDefault="00005D3C" w:rsidP="005B5A6A">
      <w:pPr>
        <w:spacing w:after="0" w:line="240" w:lineRule="auto"/>
        <w:ind w:firstLine="567"/>
        <w:contextualSpacing/>
        <w:jc w:val="both"/>
        <w:rPr>
          <w:rFonts w:ascii="Times New Roman" w:hAnsi="Times New Roman"/>
          <w:sz w:val="24"/>
          <w:szCs w:val="24"/>
        </w:rPr>
      </w:pPr>
      <w:r w:rsidRPr="00005D3C">
        <w:rPr>
          <w:rFonts w:ascii="Times New Roman" w:hAnsi="Times New Roman"/>
          <w:sz w:val="24"/>
          <w:szCs w:val="24"/>
        </w:rPr>
        <w:t xml:space="preserve">Падение результативности в индустриальном секторе («-»22,2%) и в строительстве </w:t>
      </w:r>
      <w:r w:rsidRPr="00005D3C">
        <w:rPr>
          <w:rFonts w:ascii="Times New Roman" w:hAnsi="Times New Roman"/>
          <w:sz w:val="24"/>
          <w:szCs w:val="24"/>
        </w:rPr>
        <w:br/>
        <w:t xml:space="preserve">(«-»7,3%) в совокупности с отрицательным вкладом в структуре формирования валового внутреннего продукта организаций аграрного сектора (-18,95%) привело к сжатию показателей </w:t>
      </w:r>
      <w:r w:rsidRPr="00005D3C">
        <w:rPr>
          <w:rFonts w:ascii="Times New Roman" w:hAnsi="Times New Roman"/>
          <w:b/>
          <w:sz w:val="24"/>
          <w:szCs w:val="24"/>
        </w:rPr>
        <w:t>отраслей материального производства</w:t>
      </w:r>
      <w:r w:rsidRPr="00005D3C">
        <w:rPr>
          <w:rFonts w:ascii="Times New Roman" w:hAnsi="Times New Roman"/>
          <w:sz w:val="24"/>
          <w:szCs w:val="24"/>
        </w:rPr>
        <w:t xml:space="preserve"> (-0,35 процентных пункта) и обеспечило 17,67% в структуре совокупного показателя. В результате совокупная номинальная величина вновь созданной добавленной стоимости отраслей материального сектора в январе-июне текущего года составила 663,3 млн. руб. и сократилась на 17,0% по отношению к базовому показателю минувшего года. </w:t>
      </w:r>
    </w:p>
    <w:p w:rsidR="00005D3C" w:rsidRPr="00005D3C" w:rsidRDefault="00005D3C" w:rsidP="00005D3C">
      <w:pPr>
        <w:spacing w:after="0"/>
        <w:rPr>
          <w:rFonts w:asciiTheme="minorHAnsi" w:eastAsiaTheme="minorEastAsia" w:hAnsiTheme="minorHAnsi" w:cstheme="minorBidi"/>
        </w:rPr>
      </w:pPr>
      <w:r w:rsidRPr="00005D3C">
        <w:rPr>
          <w:rFonts w:asciiTheme="minorHAnsi" w:eastAsiaTheme="minorEastAsia" w:hAnsiTheme="minorHAnsi" w:cstheme="minorBidi"/>
          <w:noProof/>
        </w:rPr>
        <w:drawing>
          <wp:inline distT="0" distB="0" distL="0" distR="0">
            <wp:extent cx="6124575" cy="2266950"/>
            <wp:effectExtent l="0" t="0" r="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5D3C" w:rsidRPr="00005D3C" w:rsidRDefault="00005D3C" w:rsidP="00005D3C">
      <w:pPr>
        <w:spacing w:after="0" w:line="240" w:lineRule="auto"/>
        <w:ind w:firstLine="709"/>
        <w:jc w:val="both"/>
        <w:rPr>
          <w:rFonts w:ascii="Times New Roman" w:eastAsiaTheme="minorEastAsia" w:hAnsi="Times New Roman" w:cstheme="minorBidi"/>
          <w:sz w:val="24"/>
          <w:szCs w:val="24"/>
        </w:rPr>
      </w:pPr>
      <w:r w:rsidRPr="00005D3C">
        <w:rPr>
          <w:rFonts w:ascii="Times New Roman" w:eastAsiaTheme="minorEastAsia" w:hAnsi="Times New Roman" w:cstheme="minorBidi"/>
          <w:sz w:val="24"/>
          <w:szCs w:val="24"/>
        </w:rPr>
        <w:t xml:space="preserve">В тоже время замедление инфляционных процессов, умеренный потребительский спрос населения в совокупности с режимом жесткой экономии бюджетных средств стало итогом сокращения добавленной стоимости </w:t>
      </w:r>
      <w:r w:rsidRPr="00005D3C">
        <w:rPr>
          <w:rFonts w:ascii="Times New Roman" w:eastAsiaTheme="minorEastAsia" w:hAnsi="Times New Roman" w:cstheme="minorBidi"/>
          <w:b/>
          <w:sz w:val="24"/>
          <w:szCs w:val="24"/>
        </w:rPr>
        <w:t>отраслей сектора услуг</w:t>
      </w:r>
      <w:r w:rsidRPr="00005D3C">
        <w:rPr>
          <w:rFonts w:ascii="Times New Roman" w:eastAsiaTheme="minorEastAsia" w:hAnsi="Times New Roman" w:cstheme="minorBidi"/>
          <w:sz w:val="24"/>
          <w:szCs w:val="24"/>
        </w:rPr>
        <w:t xml:space="preserve"> на 15,8% до</w:t>
      </w:r>
      <w:r w:rsidRPr="00005D3C">
        <w:rPr>
          <w:rFonts w:ascii="Times New Roman" w:eastAsiaTheme="minorEastAsia" w:hAnsi="Times New Roman" w:cstheme="minorBidi"/>
          <w:sz w:val="24"/>
          <w:szCs w:val="24"/>
        </w:rPr>
        <w:br/>
        <w:t xml:space="preserve">2 993,8 млн. руб., но при этом на фоне, более существенного сокращения добавленной стоимости в отраслях материального производства, обеспечило расширение долевого представления в структуре </w:t>
      </w:r>
      <w:r w:rsidRPr="00005D3C">
        <w:rPr>
          <w:rFonts w:ascii="Times New Roman" w:eastAsiaTheme="minorEastAsia" w:hAnsi="Times New Roman"/>
          <w:sz w:val="24"/>
          <w:szCs w:val="24"/>
        </w:rPr>
        <w:t>валового внутреннего продукта</w:t>
      </w:r>
      <w:r w:rsidRPr="00005D3C">
        <w:rPr>
          <w:rFonts w:ascii="Times New Roman" w:eastAsiaTheme="minorEastAsia" w:hAnsi="Times New Roman" w:cstheme="minorBidi"/>
          <w:sz w:val="24"/>
          <w:szCs w:val="24"/>
        </w:rPr>
        <w:t xml:space="preserve"> на 2,74 процентных пункта до 79,77%. </w:t>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 xml:space="preserve">На этом фоне </w:t>
      </w:r>
      <w:r w:rsidRPr="00005D3C">
        <w:rPr>
          <w:rFonts w:ascii="Times New Roman" w:hAnsi="Times New Roman"/>
          <w:b/>
          <w:sz w:val="24"/>
          <w:szCs w:val="24"/>
        </w:rPr>
        <w:t>производство рыночных услуг</w:t>
      </w:r>
      <w:r w:rsidRPr="00005D3C">
        <w:rPr>
          <w:rFonts w:ascii="Times New Roman" w:hAnsi="Times New Roman"/>
          <w:sz w:val="24"/>
          <w:szCs w:val="24"/>
        </w:rPr>
        <w:t xml:space="preserve"> демонстрировало понижательный тренд, сократив абсолютную величину вновь созданной добавленной стоимости на 14,2% </w:t>
      </w:r>
      <w:r w:rsidRPr="00005D3C">
        <w:rPr>
          <w:rFonts w:ascii="Times New Roman" w:hAnsi="Times New Roman"/>
          <w:sz w:val="24"/>
          <w:szCs w:val="24"/>
        </w:rPr>
        <w:lastRenderedPageBreak/>
        <w:t>до 1 708,3 млн. руб., расширив долевое представительство данного сегмента рынка в структуре ВВП на 2,42 процентных пункта до 45,52%.</w:t>
      </w:r>
    </w:p>
    <w:p w:rsidR="00005D3C" w:rsidRPr="00005D3C" w:rsidRDefault="00005D3C" w:rsidP="00005D3C">
      <w:pPr>
        <w:spacing w:after="0"/>
        <w:rPr>
          <w:rFonts w:asciiTheme="minorHAnsi" w:eastAsiaTheme="minorEastAsia" w:hAnsiTheme="minorHAnsi" w:cstheme="minorBidi"/>
        </w:rPr>
      </w:pPr>
      <w:r w:rsidRPr="00005D3C">
        <w:rPr>
          <w:rFonts w:asciiTheme="minorHAnsi" w:eastAsiaTheme="minorEastAsia" w:hAnsiTheme="minorHAnsi" w:cstheme="minorBidi"/>
          <w:noProof/>
        </w:rPr>
        <w:drawing>
          <wp:inline distT="0" distB="0" distL="0" distR="0">
            <wp:extent cx="6124575" cy="3038475"/>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Несмотря на то, что объем услуг, предоставляемых организациями торговли и общественного питания, остается доминирующим отраслевым показателем в формировании совокупного показателя результативности экономики (обеспечившим в январе-июне 2015 года 17,15% вновь созданной добавленной стоимости), отмечается снижение темпов роста валовой добавленной стоимости данного сегмента рынка, почти на четверть («-»24,1%) до 643,6 млн. руб. и соответственно долевого участия в формировании валового внутреннего продукта на 1,23 процентных пункта.</w:t>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Увеличение валовой добавленной стоимости в рассматриваемом периоде продолжали демонстрировать предприятия связи «+»7,4% до 201,5 млн. руб., что предопределило расширение вклада отрасли в структуре валового внутреннего продукта на 1,31 процентных пункта до 5,37%.</w:t>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Еще одной отраслью, демонстрировавшей расширение итоговых показателей развития в январе-июне текущего года, стало жилищно-коммунальное хозяйство. Объем вновь созданной добавленной стоимости предприятиями отрасли увеличился по сравнению с базовым уровнем 2014 года на 13,5% до 185,2 млн. руб., что обеспечило 4,93% совокупного показателя против 3,53% в январе-июне 2014 года.</w:t>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 xml:space="preserve">Добавленная стоимость, созданная транспортными организациями, в </w:t>
      </w:r>
      <w:r w:rsidRPr="00005D3C">
        <w:rPr>
          <w:rFonts w:ascii="Times New Roman" w:hAnsi="Times New Roman"/>
          <w:sz w:val="24"/>
          <w:szCs w:val="24"/>
          <w:lang w:val="en-US"/>
        </w:rPr>
        <w:t>I</w:t>
      </w:r>
      <w:r w:rsidRPr="00005D3C">
        <w:rPr>
          <w:rFonts w:ascii="Times New Roman" w:hAnsi="Times New Roman"/>
          <w:sz w:val="24"/>
          <w:szCs w:val="24"/>
        </w:rPr>
        <w:t xml:space="preserve"> полугодии текущего года сократилась по отношению к соответствующему показателю 2014 года на 10,0% и сложилась в объеме 167,0 млн. руб., но в связи с более существенным сокращением абсолютных показателей других составляющих совокупного показателя, долевое участие расширилось на 0,43 процентных пункта до 4,45%. </w:t>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 xml:space="preserve">Сокращение процентных доходов по кредитам, предоставленным юридическим и физическим лицам, на фоне увеличения расходов по выпущенным долговым обязательствам позволило банкам создать в январе-июне текущего года добавленной стоимости на 250,4 млн. руб., что на 22,2% ниже базового показателя 2014 года и предопределило сужение вклада финансового сектора в структуре валового внутреннего продукта на 0,3 процентных пункта до 6,67%. </w:t>
      </w:r>
    </w:p>
    <w:p w:rsidR="00005D3C" w:rsidRPr="00005D3C" w:rsidRDefault="00005D3C" w:rsidP="00005D3C">
      <w:pPr>
        <w:spacing w:after="0" w:line="240" w:lineRule="auto"/>
        <w:ind w:firstLine="708"/>
        <w:jc w:val="both"/>
        <w:rPr>
          <w:rFonts w:ascii="Times New Roman" w:hAnsi="Times New Roman"/>
          <w:sz w:val="24"/>
          <w:szCs w:val="24"/>
        </w:rPr>
      </w:pPr>
      <w:r w:rsidRPr="00005D3C">
        <w:rPr>
          <w:rFonts w:ascii="Times New Roman" w:hAnsi="Times New Roman"/>
          <w:sz w:val="24"/>
          <w:szCs w:val="24"/>
        </w:rPr>
        <w:t>Организациями, осуществляющими операции с недвижимым имуществом в рассматриваемом периоде создано 87,7 млн. руб. добавленной стоимости, номинальный объем которой сократился на 9,2%, но при этом долевое участие в структуре валового внутреннего продукта расширилось на 0,25 процентных пункта до 2,34%.</w:t>
      </w:r>
    </w:p>
    <w:p w:rsidR="00005D3C" w:rsidRPr="00005D3C" w:rsidRDefault="00005D3C" w:rsidP="00005D3C">
      <w:pPr>
        <w:spacing w:after="0" w:line="240" w:lineRule="auto"/>
        <w:ind w:firstLine="709"/>
        <w:jc w:val="both"/>
        <w:rPr>
          <w:rFonts w:ascii="Times New Roman" w:eastAsiaTheme="minorEastAsia" w:hAnsi="Times New Roman" w:cstheme="minorBidi"/>
          <w:sz w:val="24"/>
          <w:szCs w:val="24"/>
        </w:rPr>
      </w:pPr>
      <w:r w:rsidRPr="00005D3C">
        <w:rPr>
          <w:rFonts w:ascii="Times New Roman" w:eastAsiaTheme="minorEastAsia" w:hAnsi="Times New Roman" w:cstheme="minorBidi"/>
          <w:sz w:val="24"/>
          <w:szCs w:val="24"/>
        </w:rPr>
        <w:t xml:space="preserve">Динамика составляющих </w:t>
      </w:r>
      <w:r w:rsidRPr="00005D3C">
        <w:rPr>
          <w:rFonts w:ascii="Times New Roman" w:eastAsiaTheme="minorEastAsia" w:hAnsi="Times New Roman" w:cstheme="minorBidi"/>
          <w:b/>
          <w:sz w:val="24"/>
          <w:szCs w:val="24"/>
        </w:rPr>
        <w:t>нерыночных услуг</w:t>
      </w:r>
      <w:r w:rsidRPr="00005D3C">
        <w:rPr>
          <w:rFonts w:ascii="Times New Roman" w:eastAsiaTheme="minorEastAsia" w:hAnsi="Times New Roman" w:cstheme="minorBidi"/>
          <w:sz w:val="24"/>
          <w:szCs w:val="24"/>
        </w:rPr>
        <w:t xml:space="preserve"> и их долевое участие в совокупном показателе (ВВП) отражают ситуацию с исполнением государственного бюджета и участие государства в распределительном процессе услуг. </w:t>
      </w:r>
    </w:p>
    <w:p w:rsidR="00005D3C" w:rsidRPr="00005D3C" w:rsidRDefault="00005D3C" w:rsidP="00005D3C">
      <w:pPr>
        <w:spacing w:after="0" w:line="240" w:lineRule="auto"/>
        <w:ind w:firstLine="709"/>
        <w:jc w:val="both"/>
        <w:rPr>
          <w:rFonts w:ascii="Times New Roman" w:eastAsiaTheme="minorEastAsia" w:hAnsi="Times New Roman" w:cstheme="minorBidi"/>
          <w:sz w:val="24"/>
          <w:szCs w:val="24"/>
        </w:rPr>
      </w:pPr>
      <w:r w:rsidRPr="00005D3C">
        <w:rPr>
          <w:rFonts w:ascii="Times New Roman" w:eastAsiaTheme="minorEastAsia" w:hAnsi="Times New Roman" w:cstheme="minorBidi"/>
          <w:sz w:val="24"/>
          <w:szCs w:val="24"/>
        </w:rPr>
        <w:lastRenderedPageBreak/>
        <w:t xml:space="preserve">В условиях жесткой экономии и оптимизации расходования бюджетных средств, объем вновь созданной добавленной стоимости составляющих нерыночных услуг сократился на 17,9% и обеспечил 34,25% совокупного показателя. </w:t>
      </w:r>
    </w:p>
    <w:p w:rsidR="00005D3C" w:rsidRPr="00005D3C" w:rsidRDefault="00005D3C" w:rsidP="00005D3C">
      <w:pPr>
        <w:spacing w:after="0"/>
        <w:rPr>
          <w:rFonts w:asciiTheme="minorHAnsi" w:eastAsiaTheme="minorEastAsia" w:hAnsiTheme="minorHAnsi" w:cstheme="minorBidi"/>
        </w:rPr>
      </w:pPr>
      <w:r w:rsidRPr="00005D3C">
        <w:rPr>
          <w:rFonts w:asciiTheme="minorHAnsi" w:eastAsiaTheme="minorEastAsia" w:hAnsiTheme="minorHAnsi" w:cstheme="minorBidi"/>
          <w:noProof/>
        </w:rPr>
        <w:drawing>
          <wp:inline distT="0" distB="0" distL="0" distR="0">
            <wp:extent cx="6124575" cy="2571750"/>
            <wp:effectExtent l="0" t="0" r="0" b="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5D3C" w:rsidRPr="00005D3C" w:rsidRDefault="00005D3C" w:rsidP="00005D3C">
      <w:pPr>
        <w:spacing w:after="0" w:line="240" w:lineRule="auto"/>
        <w:ind w:firstLine="709"/>
        <w:jc w:val="both"/>
        <w:rPr>
          <w:rFonts w:ascii="Times New Roman" w:eastAsiaTheme="minorEastAsia" w:hAnsi="Times New Roman" w:cstheme="minorBidi"/>
          <w:sz w:val="24"/>
          <w:szCs w:val="24"/>
        </w:rPr>
      </w:pPr>
      <w:r w:rsidRPr="00005D3C">
        <w:rPr>
          <w:rFonts w:ascii="Times New Roman" w:eastAsiaTheme="minorEastAsia" w:hAnsi="Times New Roman" w:cstheme="minorBidi"/>
          <w:sz w:val="24"/>
          <w:szCs w:val="24"/>
        </w:rPr>
        <w:t>Вместе с этим, сохранение приоритета политики государства в области отраслей социальной направленности (</w:t>
      </w:r>
      <w:r w:rsidRPr="00005D3C">
        <w:rPr>
          <w:rFonts w:ascii="Times New Roman" w:eastAsiaTheme="minorEastAsia" w:hAnsi="Times New Roman" w:cstheme="minorBidi"/>
          <w:b/>
          <w:sz w:val="24"/>
          <w:szCs w:val="24"/>
        </w:rPr>
        <w:t>здравоохранение, социальное обеспечение, образование),</w:t>
      </w:r>
      <w:r w:rsidRPr="00005D3C">
        <w:rPr>
          <w:rFonts w:ascii="Times New Roman" w:eastAsiaTheme="minorEastAsia" w:hAnsi="Times New Roman" w:cstheme="minorBidi"/>
          <w:sz w:val="24"/>
          <w:szCs w:val="24"/>
        </w:rPr>
        <w:t xml:space="preserve"> несмотря на складывающуюся кризисную ситуацию в республике, позволило обеспечить свыше половины (55,0%) валовой добавленной стоимости сектора нерыночных услуг или 18,82% совокупного ВВП, но при этом абсолютная номинальная величина данных сфер сократилась на 16,1%.</w:t>
      </w:r>
    </w:p>
    <w:p w:rsidR="00005D3C" w:rsidRPr="00005D3C" w:rsidRDefault="00005D3C" w:rsidP="00005D3C">
      <w:pPr>
        <w:spacing w:after="0" w:line="240" w:lineRule="auto"/>
        <w:ind w:firstLine="709"/>
        <w:jc w:val="both"/>
        <w:rPr>
          <w:rFonts w:ascii="Times New Roman" w:eastAsiaTheme="minorEastAsia" w:hAnsi="Times New Roman" w:cstheme="minorBidi"/>
          <w:sz w:val="24"/>
          <w:szCs w:val="24"/>
        </w:rPr>
      </w:pPr>
      <w:r w:rsidRPr="00005D3C">
        <w:rPr>
          <w:rFonts w:ascii="Times New Roman" w:eastAsiaTheme="minorEastAsia" w:hAnsi="Times New Roman" w:cstheme="minorBidi"/>
          <w:sz w:val="24"/>
          <w:szCs w:val="24"/>
        </w:rPr>
        <w:t xml:space="preserve">Остальные составляющие нерыночного сектора (культура, искусство, кинематография, наука и научное обслуживание, управление) также демонстрировали понижающий тренд по формированию добавленной стоимости, исключение составляют финансирование на оборону, расходы государства в рассматриваемом периоде на данную отрасль составили 100,7% по отношению к базовому показателю 2014 года, расширив долевое участие в структуре ВВП до 1,41% или на 0,27 процентных пункта. </w:t>
      </w:r>
    </w:p>
    <w:p w:rsidR="00005D3C" w:rsidRPr="00005D3C" w:rsidRDefault="00005D3C" w:rsidP="00005D3C">
      <w:pPr>
        <w:spacing w:after="0" w:line="240" w:lineRule="auto"/>
        <w:ind w:firstLine="709"/>
        <w:jc w:val="both"/>
        <w:rPr>
          <w:rFonts w:ascii="Times New Roman" w:eastAsiaTheme="minorEastAsia" w:hAnsi="Times New Roman" w:cstheme="minorBidi"/>
          <w:sz w:val="24"/>
          <w:szCs w:val="24"/>
        </w:rPr>
      </w:pPr>
      <w:r w:rsidRPr="00005D3C">
        <w:rPr>
          <w:rFonts w:ascii="Times New Roman" w:eastAsiaTheme="minorEastAsia" w:hAnsi="Times New Roman" w:cstheme="minorBidi"/>
          <w:sz w:val="24"/>
          <w:szCs w:val="24"/>
        </w:rPr>
        <w:t xml:space="preserve">В результате сокращения поступлений по налогам на продукты и на импорт в 2,1 раза на фоне сокращения субсидирования государством товаров и услуг на 34,4%, объем доходов государства, суммируемый по статье </w:t>
      </w:r>
      <w:r w:rsidRPr="00005D3C">
        <w:rPr>
          <w:rFonts w:ascii="Times New Roman" w:eastAsiaTheme="minorEastAsia" w:hAnsi="Times New Roman" w:cstheme="minorBidi"/>
          <w:b/>
          <w:sz w:val="24"/>
          <w:szCs w:val="24"/>
        </w:rPr>
        <w:t xml:space="preserve">«чистые налоги на продукты и импорт» </w:t>
      </w:r>
      <w:r w:rsidRPr="00005D3C">
        <w:rPr>
          <w:rFonts w:ascii="Times New Roman" w:eastAsiaTheme="minorEastAsia" w:hAnsi="Times New Roman" w:cstheme="minorBidi"/>
          <w:sz w:val="24"/>
          <w:szCs w:val="24"/>
        </w:rPr>
        <w:t>(за вычетом субсидий) в январе-июне 2015 года по отношению к базовому показателю 2014 года сократился в 2,7 раза до 95,9 млн. руб., а его доля в структуре ВВП сократилась до 2,56% или на 3,1 процентных пункта.</w:t>
      </w:r>
    </w:p>
    <w:p w:rsidR="00005D3C" w:rsidRPr="00005D3C" w:rsidRDefault="00005D3C" w:rsidP="00005D3C">
      <w:pPr>
        <w:spacing w:after="0" w:line="240" w:lineRule="auto"/>
        <w:ind w:firstLine="709"/>
        <w:jc w:val="both"/>
        <w:rPr>
          <w:rFonts w:ascii="Times New Roman" w:hAnsi="Times New Roman"/>
          <w:sz w:val="24"/>
          <w:szCs w:val="24"/>
        </w:rPr>
      </w:pPr>
      <w:r w:rsidRPr="00005D3C">
        <w:rPr>
          <w:rFonts w:ascii="Times New Roman" w:hAnsi="Times New Roman"/>
          <w:sz w:val="24"/>
          <w:szCs w:val="24"/>
        </w:rPr>
        <w:t xml:space="preserve">Таким образом, результативность экономики в </w:t>
      </w:r>
      <w:r w:rsidRPr="00005D3C">
        <w:rPr>
          <w:rFonts w:ascii="Times New Roman" w:hAnsi="Times New Roman"/>
          <w:sz w:val="24"/>
          <w:szCs w:val="24"/>
          <w:lang w:val="en-US"/>
        </w:rPr>
        <w:t>I</w:t>
      </w:r>
      <w:r w:rsidRPr="00005D3C">
        <w:rPr>
          <w:rFonts w:ascii="Times New Roman" w:hAnsi="Times New Roman"/>
          <w:sz w:val="24"/>
          <w:szCs w:val="24"/>
        </w:rPr>
        <w:t xml:space="preserve"> полугодии 2015 года определялась, кризисной ситуацией в отраслях товарного производства, вследствие осложнения внешнеполитической и экономической ситуации в странах контрагентов хозяйствующих субъектов. Кроме того сдерживающими факторами выступали умеренный потребительский спрос населения в сегменте услуг, а также сокращение фискальной составляющей (чистые налоги на импорт и продукты).</w:t>
      </w:r>
    </w:p>
    <w:p w:rsidR="003F67B2" w:rsidRPr="00A83318" w:rsidRDefault="003F67B2" w:rsidP="00335844">
      <w:pPr>
        <w:spacing w:after="0" w:line="240" w:lineRule="auto"/>
        <w:ind w:firstLine="709"/>
        <w:rPr>
          <w:rFonts w:ascii="Times New Roman" w:hAnsi="Times New Roman"/>
          <w:sz w:val="24"/>
          <w:szCs w:val="24"/>
        </w:rPr>
      </w:pPr>
    </w:p>
    <w:p w:rsidR="00335844" w:rsidRDefault="00335844" w:rsidP="003F67B2">
      <w:pPr>
        <w:spacing w:after="0" w:line="240" w:lineRule="auto"/>
        <w:ind w:firstLine="720"/>
        <w:contextualSpacing/>
        <w:jc w:val="both"/>
        <w:rPr>
          <w:rFonts w:ascii="Times New Roman" w:hAnsi="Times New Roman"/>
          <w:b/>
          <w:sz w:val="24"/>
          <w:szCs w:val="24"/>
        </w:rPr>
      </w:pPr>
      <w:r w:rsidRPr="00780D3E">
        <w:rPr>
          <w:rFonts w:ascii="Times New Roman" w:hAnsi="Times New Roman"/>
          <w:b/>
          <w:sz w:val="24"/>
          <w:szCs w:val="24"/>
        </w:rPr>
        <w:t>Денежно-кредитная политика</w:t>
      </w:r>
    </w:p>
    <w:p w:rsidR="003F67B2" w:rsidRPr="00641EB5" w:rsidRDefault="003F67B2" w:rsidP="003F67B2">
      <w:pPr>
        <w:spacing w:after="0" w:line="240" w:lineRule="auto"/>
        <w:ind w:firstLine="720"/>
        <w:contextualSpacing/>
        <w:jc w:val="both"/>
        <w:rPr>
          <w:rFonts w:ascii="Times New Roman" w:hAnsi="Times New Roman"/>
          <w:sz w:val="24"/>
          <w:szCs w:val="24"/>
        </w:rPr>
      </w:pPr>
    </w:p>
    <w:p w:rsidR="004839A0" w:rsidRPr="00E5677A" w:rsidRDefault="004839A0" w:rsidP="004839A0">
      <w:pPr>
        <w:spacing w:after="0" w:line="240" w:lineRule="auto"/>
        <w:ind w:firstLine="720"/>
        <w:jc w:val="both"/>
        <w:rPr>
          <w:rFonts w:ascii="Times New Roman" w:hAnsi="Times New Roman"/>
          <w:sz w:val="24"/>
          <w:szCs w:val="24"/>
        </w:rPr>
      </w:pPr>
      <w:r>
        <w:rPr>
          <w:rFonts w:ascii="Times New Roman" w:hAnsi="Times New Roman"/>
          <w:sz w:val="24"/>
          <w:szCs w:val="24"/>
        </w:rPr>
        <w:t>М</w:t>
      </w:r>
      <w:r w:rsidRPr="00E5677A">
        <w:rPr>
          <w:rFonts w:ascii="Times New Roman" w:hAnsi="Times New Roman"/>
          <w:sz w:val="24"/>
          <w:szCs w:val="24"/>
        </w:rPr>
        <w:t xml:space="preserve">акроэкономические условия проведения денежно-кредитной политики в </w:t>
      </w:r>
      <w:r w:rsidR="002524A9">
        <w:rPr>
          <w:rFonts w:ascii="Times New Roman" w:hAnsi="Times New Roman"/>
          <w:sz w:val="24"/>
          <w:szCs w:val="24"/>
        </w:rPr>
        <w:t xml:space="preserve">                  </w:t>
      </w:r>
      <w:r w:rsidRPr="00E5677A">
        <w:rPr>
          <w:rFonts w:ascii="Times New Roman" w:hAnsi="Times New Roman"/>
          <w:sz w:val="24"/>
          <w:szCs w:val="24"/>
          <w:lang w:val="en-US"/>
        </w:rPr>
        <w:t>I</w:t>
      </w:r>
      <w:r w:rsidRPr="00E5677A">
        <w:rPr>
          <w:rFonts w:ascii="Times New Roman" w:hAnsi="Times New Roman"/>
          <w:sz w:val="24"/>
          <w:szCs w:val="24"/>
        </w:rPr>
        <w:t xml:space="preserve"> полугодии 2015 года на фоне роста международной напряженности определялись значительным ухудшением внешнеэкономической конъюнктуры, вызванной дестабилизацией ситуации в странах – основных торговых партнёрах. В условиях существенной девальвации национальных валют Укра</w:t>
      </w:r>
      <w:r>
        <w:rPr>
          <w:rFonts w:ascii="Times New Roman" w:hAnsi="Times New Roman"/>
          <w:sz w:val="24"/>
          <w:szCs w:val="24"/>
        </w:rPr>
        <w:t>ины, Молдовы, а затем и России периодически отмечаются пик</w:t>
      </w:r>
      <w:r w:rsidRPr="00E5677A">
        <w:rPr>
          <w:rFonts w:ascii="Times New Roman" w:hAnsi="Times New Roman"/>
          <w:sz w:val="24"/>
          <w:szCs w:val="24"/>
        </w:rPr>
        <w:t xml:space="preserve">и ажиотажа и спекулятивных настроений на валютном рынке Приднестровья. В связи с этим сохранение стабильности на валютном рынке, </w:t>
      </w:r>
      <w:r w:rsidRPr="00E5677A">
        <w:rPr>
          <w:rFonts w:ascii="Times New Roman" w:hAnsi="Times New Roman"/>
          <w:sz w:val="24"/>
          <w:szCs w:val="24"/>
        </w:rPr>
        <w:lastRenderedPageBreak/>
        <w:t>недопущение развития инфляционных процессов явились для центрального банка основными задачами.</w:t>
      </w:r>
    </w:p>
    <w:p w:rsidR="004839A0" w:rsidRPr="00E5677A" w:rsidRDefault="004839A0" w:rsidP="004839A0">
      <w:pPr>
        <w:spacing w:after="0" w:line="240" w:lineRule="auto"/>
        <w:ind w:firstLine="720"/>
        <w:jc w:val="both"/>
        <w:rPr>
          <w:rFonts w:ascii="Times New Roman" w:hAnsi="Times New Roman"/>
          <w:sz w:val="24"/>
          <w:szCs w:val="24"/>
        </w:rPr>
      </w:pPr>
      <w:r w:rsidRPr="00E5677A">
        <w:rPr>
          <w:rFonts w:ascii="Times New Roman" w:hAnsi="Times New Roman"/>
          <w:sz w:val="24"/>
          <w:szCs w:val="24"/>
        </w:rPr>
        <w:t xml:space="preserve">Официальный курс доллара на протяжении января – июня 2015 года не подвергался корректировке и находился на уровне 11,10 рубля ПМР за доллар США. </w:t>
      </w:r>
    </w:p>
    <w:p w:rsidR="004839A0" w:rsidRPr="005275D8" w:rsidRDefault="004839A0" w:rsidP="004839A0">
      <w:pPr>
        <w:spacing w:after="0" w:line="240" w:lineRule="auto"/>
        <w:ind w:firstLine="709"/>
        <w:jc w:val="both"/>
        <w:rPr>
          <w:rFonts w:ascii="Times New Roman" w:hAnsi="Times New Roman"/>
          <w:sz w:val="24"/>
          <w:szCs w:val="24"/>
        </w:rPr>
      </w:pPr>
      <w:r w:rsidRPr="005275D8">
        <w:rPr>
          <w:rFonts w:ascii="Times New Roman" w:hAnsi="Times New Roman"/>
          <w:sz w:val="24"/>
          <w:szCs w:val="24"/>
        </w:rPr>
        <w:t xml:space="preserve">Объём совокупного денежного предложения за </w:t>
      </w:r>
      <w:r w:rsidRPr="00E5677A">
        <w:rPr>
          <w:rFonts w:ascii="Times New Roman" w:hAnsi="Times New Roman"/>
          <w:sz w:val="24"/>
          <w:szCs w:val="24"/>
          <w:lang w:val="en-US"/>
        </w:rPr>
        <w:t>I</w:t>
      </w:r>
      <w:r w:rsidRPr="00E5677A">
        <w:rPr>
          <w:rFonts w:ascii="Times New Roman" w:hAnsi="Times New Roman"/>
          <w:sz w:val="24"/>
          <w:szCs w:val="24"/>
        </w:rPr>
        <w:t xml:space="preserve"> полугодие 2015 года сократился на 1,5% (</w:t>
      </w:r>
      <w:r w:rsidRPr="005275D8">
        <w:rPr>
          <w:rFonts w:ascii="Times New Roman" w:hAnsi="Times New Roman"/>
          <w:sz w:val="24"/>
          <w:szCs w:val="24"/>
        </w:rPr>
        <w:t>на 83,1 млн</w:t>
      </w:r>
      <w:r w:rsidRPr="00E5677A">
        <w:rPr>
          <w:rFonts w:ascii="Times New Roman" w:hAnsi="Times New Roman"/>
          <w:sz w:val="24"/>
          <w:szCs w:val="24"/>
        </w:rPr>
        <w:t>.</w:t>
      </w:r>
      <w:r w:rsidRPr="005275D8">
        <w:rPr>
          <w:rFonts w:ascii="Times New Roman" w:hAnsi="Times New Roman"/>
          <w:sz w:val="24"/>
          <w:szCs w:val="24"/>
        </w:rPr>
        <w:t xml:space="preserve"> руб.</w:t>
      </w:r>
      <w:r w:rsidRPr="00E5677A">
        <w:rPr>
          <w:rFonts w:ascii="Times New Roman" w:hAnsi="Times New Roman"/>
          <w:sz w:val="24"/>
          <w:szCs w:val="24"/>
        </w:rPr>
        <w:t xml:space="preserve">) до </w:t>
      </w:r>
      <w:r w:rsidRPr="005275D8">
        <w:rPr>
          <w:rFonts w:ascii="Times New Roman" w:hAnsi="Times New Roman"/>
          <w:sz w:val="24"/>
          <w:szCs w:val="24"/>
        </w:rPr>
        <w:t>5 353,9 млн</w:t>
      </w:r>
      <w:r w:rsidRPr="00E5677A">
        <w:rPr>
          <w:rFonts w:ascii="Times New Roman" w:hAnsi="Times New Roman"/>
          <w:sz w:val="24"/>
          <w:szCs w:val="24"/>
        </w:rPr>
        <w:t>.</w:t>
      </w:r>
      <w:r w:rsidRPr="005275D8">
        <w:rPr>
          <w:rFonts w:ascii="Times New Roman" w:hAnsi="Times New Roman"/>
          <w:sz w:val="24"/>
          <w:szCs w:val="24"/>
        </w:rPr>
        <w:t xml:space="preserve"> руб. Основное влияние н</w:t>
      </w:r>
      <w:r w:rsidRPr="005275D8">
        <w:rPr>
          <w:rFonts w:ascii="Times New Roman" w:hAnsi="Times New Roman"/>
          <w:color w:val="000000"/>
          <w:sz w:val="24"/>
          <w:szCs w:val="24"/>
        </w:rPr>
        <w:t xml:space="preserve">а его динамику оказало сжатие валютной составляющей </w:t>
      </w:r>
      <w:r w:rsidRPr="00E5677A">
        <w:rPr>
          <w:rFonts w:ascii="Times New Roman" w:hAnsi="Times New Roman"/>
          <w:color w:val="000000"/>
          <w:sz w:val="24"/>
          <w:szCs w:val="24"/>
        </w:rPr>
        <w:t>(</w:t>
      </w:r>
      <w:r w:rsidRPr="005275D8">
        <w:rPr>
          <w:rFonts w:ascii="Times New Roman" w:hAnsi="Times New Roman"/>
          <w:sz w:val="24"/>
          <w:szCs w:val="24"/>
        </w:rPr>
        <w:t>на 3,3% до 3 268,2 млн</w:t>
      </w:r>
      <w:r w:rsidRPr="00E5677A">
        <w:rPr>
          <w:rFonts w:ascii="Times New Roman" w:hAnsi="Times New Roman"/>
          <w:sz w:val="24"/>
          <w:szCs w:val="24"/>
        </w:rPr>
        <w:t>.</w:t>
      </w:r>
      <w:r w:rsidRPr="005275D8">
        <w:rPr>
          <w:rFonts w:ascii="Times New Roman" w:hAnsi="Times New Roman"/>
          <w:sz w:val="24"/>
          <w:szCs w:val="24"/>
        </w:rPr>
        <w:t xml:space="preserve"> руб.</w:t>
      </w:r>
      <w:r w:rsidRPr="00E5677A">
        <w:rPr>
          <w:rFonts w:ascii="Times New Roman" w:hAnsi="Times New Roman"/>
          <w:sz w:val="24"/>
          <w:szCs w:val="24"/>
        </w:rPr>
        <w:t>)</w:t>
      </w:r>
      <w:r w:rsidRPr="005275D8">
        <w:rPr>
          <w:rFonts w:ascii="Times New Roman" w:hAnsi="Times New Roman"/>
          <w:sz w:val="24"/>
          <w:szCs w:val="24"/>
        </w:rPr>
        <w:t xml:space="preserve">, вследствие чего </w:t>
      </w:r>
      <w:r w:rsidRPr="005275D8">
        <w:rPr>
          <w:rFonts w:ascii="Times New Roman" w:hAnsi="Times New Roman"/>
          <w:color w:val="000000"/>
          <w:sz w:val="24"/>
          <w:szCs w:val="24"/>
        </w:rPr>
        <w:t>степень валютизации широкой денежной массы снизилась на 1,2 п</w:t>
      </w:r>
      <w:r w:rsidRPr="00E5677A">
        <w:rPr>
          <w:rFonts w:ascii="Times New Roman" w:hAnsi="Times New Roman"/>
          <w:color w:val="000000"/>
          <w:sz w:val="24"/>
          <w:szCs w:val="24"/>
        </w:rPr>
        <w:t>роцентных пункта</w:t>
      </w:r>
      <w:r w:rsidRPr="005275D8">
        <w:rPr>
          <w:rFonts w:ascii="Times New Roman" w:hAnsi="Times New Roman"/>
          <w:color w:val="000000"/>
          <w:sz w:val="24"/>
          <w:szCs w:val="24"/>
        </w:rPr>
        <w:t xml:space="preserve"> до 61,0%.</w:t>
      </w:r>
    </w:p>
    <w:p w:rsidR="004839A0" w:rsidRPr="00E5677A" w:rsidRDefault="004839A0" w:rsidP="004839A0">
      <w:pPr>
        <w:spacing w:after="0" w:line="240" w:lineRule="auto"/>
        <w:ind w:firstLine="720"/>
        <w:jc w:val="both"/>
        <w:rPr>
          <w:sz w:val="24"/>
          <w:szCs w:val="24"/>
        </w:rPr>
      </w:pPr>
      <w:r w:rsidRPr="00E5677A">
        <w:rPr>
          <w:rFonts w:ascii="Times New Roman" w:hAnsi="Times New Roman"/>
          <w:sz w:val="24"/>
          <w:szCs w:val="24"/>
        </w:rPr>
        <w:t>Совокупная ёмкость наличного сегмента валютного рынка составила в эквиваленте 202,1 млн. долл.</w:t>
      </w:r>
      <w:r>
        <w:rPr>
          <w:rFonts w:ascii="Times New Roman" w:hAnsi="Times New Roman"/>
          <w:sz w:val="24"/>
          <w:szCs w:val="24"/>
        </w:rPr>
        <w:t xml:space="preserve"> США</w:t>
      </w:r>
      <w:r w:rsidRPr="00E5677A">
        <w:rPr>
          <w:rFonts w:ascii="Times New Roman" w:hAnsi="Times New Roman"/>
          <w:sz w:val="24"/>
          <w:szCs w:val="24"/>
        </w:rPr>
        <w:t xml:space="preserve">, что почти в 2 раза ниже базисной отметки 2014 года (в </w:t>
      </w:r>
      <w:r w:rsidRPr="00E5677A">
        <w:rPr>
          <w:rFonts w:ascii="Times New Roman" w:hAnsi="Times New Roman"/>
          <w:sz w:val="24"/>
          <w:szCs w:val="24"/>
          <w:lang w:val="en-US"/>
        </w:rPr>
        <w:t>I</w:t>
      </w:r>
      <w:r>
        <w:rPr>
          <w:rFonts w:ascii="Times New Roman" w:hAnsi="Times New Roman"/>
          <w:sz w:val="24"/>
          <w:szCs w:val="24"/>
        </w:rPr>
        <w:t xml:space="preserve"> </w:t>
      </w:r>
      <w:r w:rsidRPr="00E5677A">
        <w:rPr>
          <w:rFonts w:ascii="Times New Roman" w:hAnsi="Times New Roman"/>
          <w:sz w:val="24"/>
          <w:szCs w:val="24"/>
        </w:rPr>
        <w:t>полугодии 2014 год</w:t>
      </w:r>
      <w:r>
        <w:rPr>
          <w:rFonts w:ascii="Times New Roman" w:hAnsi="Times New Roman"/>
          <w:sz w:val="24"/>
          <w:szCs w:val="24"/>
        </w:rPr>
        <w:t>а</w:t>
      </w:r>
      <w:r w:rsidRPr="00E5677A">
        <w:rPr>
          <w:rFonts w:ascii="Times New Roman" w:hAnsi="Times New Roman"/>
          <w:sz w:val="24"/>
          <w:szCs w:val="24"/>
        </w:rPr>
        <w:t xml:space="preserve"> наблюдался спад на 3,8%). Средневзвешенный рыночный курс покупки у клиентов наличного доллара США сложился на отметке 11,0308 руб. ПМР, продажи – 11,1492 руб. ПМР.</w:t>
      </w:r>
    </w:p>
    <w:p w:rsidR="004839A0" w:rsidRPr="00E5677A" w:rsidRDefault="004839A0" w:rsidP="004839A0">
      <w:pPr>
        <w:widowControl w:val="0"/>
        <w:spacing w:after="0" w:line="240" w:lineRule="auto"/>
        <w:ind w:firstLine="709"/>
        <w:contextualSpacing/>
        <w:jc w:val="both"/>
        <w:rPr>
          <w:rFonts w:ascii="Times New Roman" w:hAnsi="Times New Roman"/>
          <w:sz w:val="24"/>
          <w:szCs w:val="24"/>
        </w:rPr>
      </w:pPr>
    </w:p>
    <w:p w:rsidR="004839A0" w:rsidRPr="00E5677A" w:rsidRDefault="004839A0" w:rsidP="004839A0">
      <w:pPr>
        <w:widowControl w:val="0"/>
        <w:spacing w:after="0" w:line="240" w:lineRule="auto"/>
        <w:ind w:firstLine="709"/>
        <w:contextualSpacing/>
        <w:jc w:val="both"/>
        <w:rPr>
          <w:rFonts w:ascii="Times New Roman" w:hAnsi="Times New Roman"/>
          <w:b/>
          <w:i/>
          <w:color w:val="000000"/>
          <w:sz w:val="24"/>
          <w:szCs w:val="24"/>
        </w:rPr>
      </w:pPr>
      <w:r w:rsidRPr="00E5677A">
        <w:rPr>
          <w:rFonts w:ascii="Times New Roman" w:hAnsi="Times New Roman"/>
          <w:b/>
          <w:i/>
          <w:color w:val="000000"/>
          <w:sz w:val="24"/>
          <w:szCs w:val="24"/>
        </w:rPr>
        <w:t>Монетарная сфера</w:t>
      </w:r>
    </w:p>
    <w:p w:rsidR="004839A0" w:rsidRPr="00E5677A" w:rsidRDefault="004839A0" w:rsidP="004839A0">
      <w:pPr>
        <w:spacing w:after="0" w:line="240" w:lineRule="auto"/>
        <w:ind w:firstLine="720"/>
        <w:jc w:val="both"/>
        <w:rPr>
          <w:rFonts w:ascii="Times New Roman" w:hAnsi="Times New Roman"/>
          <w:sz w:val="24"/>
          <w:szCs w:val="24"/>
        </w:rPr>
      </w:pPr>
      <w:r w:rsidRPr="00E5677A">
        <w:rPr>
          <w:rFonts w:ascii="Times New Roman" w:hAnsi="Times New Roman"/>
          <w:sz w:val="24"/>
          <w:szCs w:val="24"/>
        </w:rPr>
        <w:t xml:space="preserve">Рублёвое денежное предложение характеризовалось положительной динамикой, его объём увеличился на 1,4% до 2 085,7 млн. руб. Определяющим фактором роста выступило существенное расширение безналичной составляющей (+9,0%, до </w:t>
      </w:r>
      <w:r>
        <w:rPr>
          <w:rFonts w:ascii="Times New Roman" w:hAnsi="Times New Roman"/>
          <w:sz w:val="24"/>
          <w:szCs w:val="24"/>
        </w:rPr>
        <w:t xml:space="preserve">                    </w:t>
      </w:r>
      <w:r w:rsidRPr="00E5677A">
        <w:rPr>
          <w:rFonts w:ascii="Times New Roman" w:hAnsi="Times New Roman"/>
          <w:sz w:val="24"/>
          <w:szCs w:val="24"/>
        </w:rPr>
        <w:t>1 372,5 млн. руб.), в результате чего в безналичном сегменте было сосредоточено практически 66% рублёвой денежной массы.</w:t>
      </w:r>
    </w:p>
    <w:p w:rsidR="00747D66" w:rsidRPr="00E5677A" w:rsidRDefault="004839A0" w:rsidP="00747D66">
      <w:pPr>
        <w:spacing w:after="0" w:line="240" w:lineRule="auto"/>
        <w:ind w:firstLine="720"/>
        <w:jc w:val="both"/>
        <w:rPr>
          <w:rFonts w:ascii="Times New Roman" w:hAnsi="Times New Roman"/>
          <w:sz w:val="24"/>
          <w:szCs w:val="24"/>
        </w:rPr>
      </w:pPr>
      <w:r w:rsidRPr="00E5677A">
        <w:rPr>
          <w:rFonts w:ascii="Times New Roman" w:hAnsi="Times New Roman"/>
          <w:sz w:val="24"/>
          <w:szCs w:val="24"/>
        </w:rPr>
        <w:t xml:space="preserve">В то же время объём безналичной составляющей денежного предложения на фоне сокращения объема наличных денег в обращении (-10,5% до 713,2 млн. руб.), обусловил снижение доли наличной компоненты в </w:t>
      </w:r>
      <w:r w:rsidR="00747D66">
        <w:rPr>
          <w:rFonts w:ascii="Times New Roman" w:hAnsi="Times New Roman"/>
          <w:sz w:val="24"/>
          <w:szCs w:val="24"/>
        </w:rPr>
        <w:t>структуре итогового показателя.</w:t>
      </w:r>
    </w:p>
    <w:p w:rsidR="004839A0" w:rsidRPr="00E5677A" w:rsidRDefault="004839A0" w:rsidP="004839A0">
      <w:pPr>
        <w:spacing w:line="240" w:lineRule="auto"/>
        <w:contextualSpacing/>
        <w:jc w:val="right"/>
        <w:rPr>
          <w:rFonts w:ascii="Times New Roman" w:hAnsi="Times New Roman"/>
          <w:sz w:val="24"/>
          <w:szCs w:val="24"/>
        </w:rPr>
      </w:pPr>
      <w:r w:rsidRPr="00E5677A">
        <w:rPr>
          <w:rFonts w:ascii="Times New Roman" w:hAnsi="Times New Roman"/>
          <w:sz w:val="24"/>
          <w:szCs w:val="24"/>
        </w:rPr>
        <w:t>Таблица №2</w:t>
      </w:r>
    </w:p>
    <w:p w:rsidR="004839A0" w:rsidRPr="005275D8" w:rsidRDefault="004839A0" w:rsidP="004839A0">
      <w:pPr>
        <w:spacing w:before="120" w:after="120" w:line="240" w:lineRule="auto"/>
        <w:jc w:val="center"/>
        <w:rPr>
          <w:rFonts w:ascii="Times New Roman" w:hAnsi="Times New Roman"/>
          <w:b/>
          <w:color w:val="000000"/>
          <w:sz w:val="24"/>
          <w:szCs w:val="24"/>
        </w:rPr>
      </w:pPr>
      <w:bookmarkStart w:id="0" w:name="OLE_LINK10"/>
      <w:r w:rsidRPr="005275D8">
        <w:rPr>
          <w:rFonts w:ascii="Times New Roman" w:hAnsi="Times New Roman"/>
          <w:b/>
          <w:color w:val="000000"/>
          <w:sz w:val="24"/>
          <w:szCs w:val="24"/>
        </w:rPr>
        <w:t xml:space="preserve">Структура и динамика денежного предложения </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1125"/>
        <w:gridCol w:w="1126"/>
        <w:gridCol w:w="1126"/>
        <w:gridCol w:w="1126"/>
        <w:gridCol w:w="991"/>
      </w:tblGrid>
      <w:tr w:rsidR="004839A0" w:rsidRPr="005275D8" w:rsidTr="004839A0">
        <w:trPr>
          <w:cantSplit/>
          <w:trHeight w:val="75"/>
        </w:trPr>
        <w:tc>
          <w:tcPr>
            <w:tcW w:w="4137" w:type="dxa"/>
            <w:vMerge w:val="restart"/>
            <w:shd w:val="clear" w:color="auto" w:fill="C0C0C0"/>
          </w:tcPr>
          <w:p w:rsidR="004839A0" w:rsidRPr="005275D8" w:rsidRDefault="004839A0" w:rsidP="004839A0">
            <w:pPr>
              <w:spacing w:after="0" w:line="240" w:lineRule="auto"/>
              <w:ind w:right="-1"/>
              <w:jc w:val="both"/>
              <w:rPr>
                <w:rFonts w:ascii="Times New Roman" w:hAnsi="Times New Roman"/>
                <w:color w:val="000000"/>
                <w:sz w:val="20"/>
                <w:szCs w:val="20"/>
              </w:rPr>
            </w:pPr>
            <w:bookmarkStart w:id="1" w:name="OLE_LINK4"/>
            <w:bookmarkStart w:id="2" w:name="OLE_LINK7"/>
          </w:p>
        </w:tc>
        <w:tc>
          <w:tcPr>
            <w:tcW w:w="2251" w:type="dxa"/>
            <w:gridSpan w:val="2"/>
            <w:shd w:val="clear" w:color="auto" w:fill="C0C0C0"/>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на 01.01.2015 г.</w:t>
            </w:r>
          </w:p>
        </w:tc>
        <w:tc>
          <w:tcPr>
            <w:tcW w:w="2252" w:type="dxa"/>
            <w:gridSpan w:val="2"/>
            <w:shd w:val="clear" w:color="auto" w:fill="C0C0C0"/>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на 01.07.2015 г.</w:t>
            </w:r>
          </w:p>
        </w:tc>
        <w:tc>
          <w:tcPr>
            <w:tcW w:w="991" w:type="dxa"/>
            <w:vMerge w:val="restart"/>
            <w:shd w:val="clear" w:color="auto" w:fill="C0C0C0"/>
          </w:tcPr>
          <w:p w:rsidR="004839A0" w:rsidRPr="00CE11FA" w:rsidRDefault="004839A0" w:rsidP="004839A0">
            <w:pPr>
              <w:spacing w:after="0" w:line="240" w:lineRule="auto"/>
              <w:ind w:left="-108" w:right="-108"/>
              <w:jc w:val="center"/>
              <w:rPr>
                <w:rFonts w:ascii="Times New Roman" w:hAnsi="Times New Roman"/>
                <w:color w:val="000000"/>
              </w:rPr>
            </w:pPr>
            <w:r w:rsidRPr="00CE11FA">
              <w:rPr>
                <w:rFonts w:ascii="Times New Roman" w:hAnsi="Times New Roman"/>
                <w:color w:val="000000"/>
              </w:rPr>
              <w:t>темп</w:t>
            </w:r>
          </w:p>
          <w:p w:rsidR="004839A0" w:rsidRPr="00CE11FA" w:rsidRDefault="004839A0" w:rsidP="004839A0">
            <w:pPr>
              <w:spacing w:after="0" w:line="240" w:lineRule="auto"/>
              <w:ind w:left="-108" w:right="-108"/>
              <w:jc w:val="center"/>
              <w:rPr>
                <w:rFonts w:ascii="Times New Roman" w:hAnsi="Times New Roman"/>
                <w:color w:val="000000"/>
              </w:rPr>
            </w:pPr>
            <w:r w:rsidRPr="00CE11FA">
              <w:rPr>
                <w:rFonts w:ascii="Times New Roman" w:hAnsi="Times New Roman"/>
                <w:color w:val="000000"/>
              </w:rPr>
              <w:t>роста, %</w:t>
            </w:r>
          </w:p>
        </w:tc>
      </w:tr>
      <w:tr w:rsidR="004839A0" w:rsidRPr="005275D8" w:rsidTr="004839A0">
        <w:trPr>
          <w:cantSplit/>
          <w:trHeight w:val="70"/>
        </w:trPr>
        <w:tc>
          <w:tcPr>
            <w:tcW w:w="4137" w:type="dxa"/>
            <w:vMerge/>
          </w:tcPr>
          <w:p w:rsidR="004839A0" w:rsidRPr="005275D8" w:rsidRDefault="004839A0" w:rsidP="004839A0">
            <w:pPr>
              <w:spacing w:after="0" w:line="240" w:lineRule="auto"/>
              <w:ind w:right="-1"/>
              <w:jc w:val="both"/>
              <w:rPr>
                <w:rFonts w:ascii="Times New Roman" w:hAnsi="Times New Roman"/>
                <w:color w:val="000000"/>
                <w:sz w:val="20"/>
                <w:szCs w:val="20"/>
              </w:rPr>
            </w:pPr>
          </w:p>
        </w:tc>
        <w:tc>
          <w:tcPr>
            <w:tcW w:w="1125" w:type="dxa"/>
            <w:shd w:val="clear" w:color="auto" w:fill="C0C0C0"/>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млн. руб.</w:t>
            </w:r>
          </w:p>
        </w:tc>
        <w:tc>
          <w:tcPr>
            <w:tcW w:w="1126" w:type="dxa"/>
            <w:shd w:val="clear" w:color="auto" w:fill="C0C0C0"/>
          </w:tcPr>
          <w:p w:rsidR="004839A0" w:rsidRPr="00CE11FA" w:rsidRDefault="004839A0" w:rsidP="004839A0">
            <w:pPr>
              <w:keepNext/>
              <w:spacing w:after="0" w:line="240" w:lineRule="auto"/>
              <w:ind w:left="-117" w:right="-108"/>
              <w:jc w:val="center"/>
              <w:outlineLvl w:val="2"/>
              <w:rPr>
                <w:rFonts w:ascii="Times New Roman" w:hAnsi="Times New Roman" w:cs="Arial"/>
                <w:bCs/>
                <w:color w:val="000000"/>
              </w:rPr>
            </w:pPr>
            <w:r w:rsidRPr="00CE11FA">
              <w:rPr>
                <w:rFonts w:ascii="Times New Roman" w:hAnsi="Times New Roman" w:cs="Arial"/>
                <w:bCs/>
                <w:color w:val="000000"/>
              </w:rPr>
              <w:t>уд. вес, %</w:t>
            </w:r>
          </w:p>
        </w:tc>
        <w:tc>
          <w:tcPr>
            <w:tcW w:w="1126" w:type="dxa"/>
            <w:tcBorders>
              <w:bottom w:val="double" w:sz="4" w:space="0" w:color="auto"/>
            </w:tcBorders>
            <w:shd w:val="clear" w:color="auto" w:fill="C0C0C0"/>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млн. руб.</w:t>
            </w:r>
          </w:p>
        </w:tc>
        <w:tc>
          <w:tcPr>
            <w:tcW w:w="1126" w:type="dxa"/>
            <w:shd w:val="clear" w:color="auto" w:fill="C0C0C0"/>
          </w:tcPr>
          <w:p w:rsidR="004839A0" w:rsidRPr="00CE11FA" w:rsidRDefault="004839A0" w:rsidP="004839A0">
            <w:pPr>
              <w:keepNext/>
              <w:spacing w:after="0" w:line="240" w:lineRule="auto"/>
              <w:ind w:left="-117" w:right="-108"/>
              <w:jc w:val="center"/>
              <w:outlineLvl w:val="2"/>
              <w:rPr>
                <w:rFonts w:ascii="Times New Roman" w:hAnsi="Times New Roman" w:cs="Arial"/>
                <w:bCs/>
                <w:color w:val="000000"/>
              </w:rPr>
            </w:pPr>
            <w:r w:rsidRPr="00CE11FA">
              <w:rPr>
                <w:rFonts w:ascii="Times New Roman" w:hAnsi="Times New Roman" w:cs="Arial"/>
                <w:bCs/>
                <w:color w:val="000000"/>
              </w:rPr>
              <w:t>уд. вес, %</w:t>
            </w:r>
          </w:p>
        </w:tc>
        <w:tc>
          <w:tcPr>
            <w:tcW w:w="991" w:type="dxa"/>
            <w:vMerge/>
            <w:shd w:val="clear" w:color="auto" w:fill="C0C0C0"/>
          </w:tcPr>
          <w:p w:rsidR="004839A0" w:rsidRPr="005275D8" w:rsidRDefault="004839A0" w:rsidP="004839A0">
            <w:pPr>
              <w:keepNext/>
              <w:spacing w:after="0" w:line="240" w:lineRule="auto"/>
              <w:ind w:left="-91" w:right="-94"/>
              <w:outlineLvl w:val="2"/>
              <w:rPr>
                <w:rFonts w:ascii="Times New Roman" w:hAnsi="Times New Roman" w:cs="Arial"/>
                <w:bCs/>
                <w:color w:val="000000"/>
                <w:sz w:val="20"/>
                <w:szCs w:val="20"/>
              </w:rPr>
            </w:pPr>
          </w:p>
        </w:tc>
      </w:tr>
      <w:tr w:rsidR="004839A0" w:rsidRPr="005275D8" w:rsidTr="004839A0">
        <w:trPr>
          <w:cantSplit/>
          <w:trHeight w:val="50"/>
        </w:trPr>
        <w:tc>
          <w:tcPr>
            <w:tcW w:w="4137" w:type="dxa"/>
            <w:tcBorders>
              <w:top w:val="double" w:sz="4" w:space="0" w:color="auto"/>
              <w:bottom w:val="single" w:sz="4" w:space="0" w:color="auto"/>
            </w:tcBorders>
            <w:shd w:val="clear" w:color="auto" w:fill="E6E6E6"/>
          </w:tcPr>
          <w:p w:rsidR="004839A0" w:rsidRPr="00CE11FA" w:rsidRDefault="004839A0" w:rsidP="004839A0">
            <w:pPr>
              <w:keepNext/>
              <w:spacing w:after="0" w:line="240" w:lineRule="auto"/>
              <w:ind w:right="-1"/>
              <w:outlineLvl w:val="2"/>
              <w:rPr>
                <w:rFonts w:ascii="Times New Roman" w:hAnsi="Times New Roman" w:cs="Arial"/>
                <w:bCs/>
                <w:color w:val="000000"/>
              </w:rPr>
            </w:pPr>
            <w:r w:rsidRPr="00CE11FA">
              <w:rPr>
                <w:rFonts w:ascii="Times New Roman" w:hAnsi="Times New Roman" w:cs="Arial"/>
                <w:bCs/>
                <w:color w:val="000000"/>
              </w:rPr>
              <w:t>Полная денежная масса (М3)</w:t>
            </w:r>
          </w:p>
        </w:tc>
        <w:tc>
          <w:tcPr>
            <w:tcW w:w="1125" w:type="dxa"/>
            <w:tcBorders>
              <w:top w:val="double" w:sz="4" w:space="0" w:color="auto"/>
              <w:bottom w:val="single" w:sz="4" w:space="0" w:color="auto"/>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5 437,0</w:t>
            </w:r>
          </w:p>
        </w:tc>
        <w:tc>
          <w:tcPr>
            <w:tcW w:w="1126" w:type="dxa"/>
            <w:tcBorders>
              <w:top w:val="double" w:sz="4" w:space="0" w:color="auto"/>
              <w:bottom w:val="single" w:sz="4" w:space="0" w:color="auto"/>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100,0</w:t>
            </w:r>
          </w:p>
        </w:tc>
        <w:tc>
          <w:tcPr>
            <w:tcW w:w="1126" w:type="dxa"/>
            <w:tcBorders>
              <w:top w:val="double" w:sz="4" w:space="0" w:color="auto"/>
              <w:bottom w:val="single" w:sz="4" w:space="0" w:color="auto"/>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5 353,9</w:t>
            </w:r>
          </w:p>
        </w:tc>
        <w:tc>
          <w:tcPr>
            <w:tcW w:w="1126" w:type="dxa"/>
            <w:tcBorders>
              <w:top w:val="double" w:sz="4" w:space="0" w:color="auto"/>
              <w:bottom w:val="single" w:sz="4" w:space="0" w:color="auto"/>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100,0</w:t>
            </w:r>
          </w:p>
        </w:tc>
        <w:tc>
          <w:tcPr>
            <w:tcW w:w="991" w:type="dxa"/>
            <w:tcBorders>
              <w:top w:val="double" w:sz="4" w:space="0" w:color="auto"/>
              <w:bottom w:val="single" w:sz="4" w:space="0" w:color="auto"/>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98,5</w:t>
            </w:r>
          </w:p>
        </w:tc>
      </w:tr>
      <w:tr w:rsidR="004839A0" w:rsidRPr="005275D8" w:rsidTr="004839A0">
        <w:trPr>
          <w:cantSplit/>
          <w:trHeight w:val="50"/>
        </w:trPr>
        <w:tc>
          <w:tcPr>
            <w:tcW w:w="4137" w:type="dxa"/>
            <w:tcBorders>
              <w:top w:val="single" w:sz="4" w:space="0" w:color="auto"/>
              <w:bottom w:val="nil"/>
            </w:tcBorders>
            <w:shd w:val="clear" w:color="auto" w:fill="E6E6E6"/>
          </w:tcPr>
          <w:p w:rsidR="004839A0" w:rsidRPr="00CE11FA" w:rsidRDefault="004839A0" w:rsidP="004839A0">
            <w:pPr>
              <w:keepNext/>
              <w:spacing w:after="0" w:line="240" w:lineRule="auto"/>
              <w:ind w:left="32" w:right="-1" w:firstLine="112"/>
              <w:outlineLvl w:val="2"/>
              <w:rPr>
                <w:rFonts w:ascii="Times New Roman" w:hAnsi="Times New Roman" w:cs="Arial"/>
                <w:bCs/>
                <w:color w:val="000000"/>
              </w:rPr>
            </w:pPr>
            <w:r w:rsidRPr="00CE11FA">
              <w:rPr>
                <w:rFonts w:ascii="Times New Roman" w:hAnsi="Times New Roman" w:cs="Arial"/>
                <w:bCs/>
                <w:color w:val="000000"/>
              </w:rPr>
              <w:t>в том числе:</w:t>
            </w:r>
          </w:p>
        </w:tc>
        <w:tc>
          <w:tcPr>
            <w:tcW w:w="1125" w:type="dxa"/>
            <w:tcBorders>
              <w:top w:val="single" w:sz="4" w:space="0" w:color="auto"/>
              <w:bottom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1126" w:type="dxa"/>
            <w:tcBorders>
              <w:top w:val="single" w:sz="4" w:space="0" w:color="auto"/>
              <w:bottom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1126" w:type="dxa"/>
            <w:tcBorders>
              <w:top w:val="single" w:sz="4" w:space="0" w:color="auto"/>
              <w:bottom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1126" w:type="dxa"/>
            <w:tcBorders>
              <w:top w:val="single" w:sz="4" w:space="0" w:color="auto"/>
              <w:bottom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991" w:type="dxa"/>
            <w:tcBorders>
              <w:top w:val="single" w:sz="4" w:space="0" w:color="auto"/>
              <w:bottom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r>
      <w:tr w:rsidR="004839A0" w:rsidRPr="005275D8" w:rsidTr="004839A0">
        <w:trPr>
          <w:cantSplit/>
          <w:trHeight w:val="77"/>
        </w:trPr>
        <w:tc>
          <w:tcPr>
            <w:tcW w:w="4137" w:type="dxa"/>
            <w:tcBorders>
              <w:top w:val="nil"/>
            </w:tcBorders>
            <w:shd w:val="clear" w:color="auto" w:fill="E6E6E6"/>
          </w:tcPr>
          <w:p w:rsidR="004839A0" w:rsidRPr="00CE11FA" w:rsidRDefault="004839A0" w:rsidP="004839A0">
            <w:pPr>
              <w:keepNext/>
              <w:spacing w:after="0" w:line="240" w:lineRule="auto"/>
              <w:ind w:left="116" w:right="-108" w:firstLine="12"/>
              <w:outlineLvl w:val="2"/>
              <w:rPr>
                <w:rFonts w:ascii="Times New Roman" w:hAnsi="Times New Roman" w:cs="Arial"/>
                <w:bCs/>
                <w:color w:val="000000"/>
              </w:rPr>
            </w:pPr>
            <w:r w:rsidRPr="00CE11FA">
              <w:rPr>
                <w:rFonts w:ascii="Times New Roman" w:hAnsi="Times New Roman" w:cs="Arial"/>
                <w:bCs/>
                <w:color w:val="000000"/>
              </w:rPr>
              <w:t>Национальная денежная масса (</w:t>
            </w:r>
            <w:bookmarkStart w:id="3" w:name="OLE_LINK5"/>
            <w:r w:rsidRPr="00CE11FA">
              <w:rPr>
                <w:rFonts w:ascii="Times New Roman" w:hAnsi="Times New Roman" w:cs="Arial"/>
                <w:bCs/>
                <w:color w:val="000000"/>
              </w:rPr>
              <w:t>М2х</w:t>
            </w:r>
            <w:bookmarkEnd w:id="3"/>
            <w:r w:rsidRPr="00CE11FA">
              <w:rPr>
                <w:rFonts w:ascii="Times New Roman" w:hAnsi="Times New Roman" w:cs="Arial"/>
                <w:bCs/>
                <w:color w:val="000000"/>
              </w:rPr>
              <w:t>)</w:t>
            </w:r>
          </w:p>
        </w:tc>
        <w:tc>
          <w:tcPr>
            <w:tcW w:w="1125" w:type="dxa"/>
            <w:tcBorders>
              <w:top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2 056,2</w:t>
            </w:r>
          </w:p>
        </w:tc>
        <w:tc>
          <w:tcPr>
            <w:tcW w:w="1126" w:type="dxa"/>
            <w:tcBorders>
              <w:top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37,8</w:t>
            </w:r>
          </w:p>
        </w:tc>
        <w:tc>
          <w:tcPr>
            <w:tcW w:w="1126" w:type="dxa"/>
            <w:tcBorders>
              <w:top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2 085,7</w:t>
            </w:r>
          </w:p>
        </w:tc>
        <w:tc>
          <w:tcPr>
            <w:tcW w:w="1126" w:type="dxa"/>
            <w:tcBorders>
              <w:top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39,0</w:t>
            </w:r>
          </w:p>
        </w:tc>
        <w:tc>
          <w:tcPr>
            <w:tcW w:w="991" w:type="dxa"/>
            <w:tcBorders>
              <w:top w:val="nil"/>
            </w:tcBorders>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101,4</w:t>
            </w:r>
          </w:p>
        </w:tc>
      </w:tr>
      <w:tr w:rsidR="004839A0" w:rsidRPr="005275D8" w:rsidTr="004839A0">
        <w:trPr>
          <w:cantSplit/>
          <w:trHeight w:val="408"/>
        </w:trPr>
        <w:tc>
          <w:tcPr>
            <w:tcW w:w="4137" w:type="dxa"/>
            <w:tcBorders>
              <w:bottom w:val="single" w:sz="4" w:space="0" w:color="FFFFFF"/>
            </w:tcBorders>
          </w:tcPr>
          <w:p w:rsidR="004839A0" w:rsidRPr="00CE11FA" w:rsidRDefault="004839A0" w:rsidP="004839A0">
            <w:pPr>
              <w:keepNext/>
              <w:tabs>
                <w:tab w:val="left" w:pos="612"/>
              </w:tabs>
              <w:spacing w:after="0" w:line="240" w:lineRule="auto"/>
              <w:ind w:left="252" w:right="-108" w:firstLine="46"/>
              <w:outlineLvl w:val="2"/>
              <w:rPr>
                <w:rFonts w:ascii="Times New Roman" w:hAnsi="Times New Roman" w:cs="Arial"/>
                <w:bCs/>
                <w:color w:val="000000"/>
              </w:rPr>
            </w:pPr>
            <w:r w:rsidRPr="00CE11FA">
              <w:rPr>
                <w:rFonts w:ascii="Times New Roman" w:hAnsi="Times New Roman" w:cs="Arial"/>
                <w:bCs/>
                <w:color w:val="000000"/>
              </w:rPr>
              <w:t>в том числе</w:t>
            </w:r>
            <w:r w:rsidRPr="00CE11FA">
              <w:rPr>
                <w:rFonts w:ascii="Times New Roman" w:hAnsi="Times New Roman" w:cs="Arial"/>
                <w:bCs/>
                <w:color w:val="000000"/>
                <w:lang w:val="en-US"/>
              </w:rPr>
              <w:t>:</w:t>
            </w:r>
          </w:p>
        </w:tc>
        <w:tc>
          <w:tcPr>
            <w:tcW w:w="1125" w:type="dxa"/>
            <w:tcBorders>
              <w:bottom w:val="single" w:sz="4" w:space="0" w:color="FFFFFF"/>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1126" w:type="dxa"/>
            <w:tcBorders>
              <w:bottom w:val="single" w:sz="4" w:space="0" w:color="FFFFFF"/>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1126" w:type="dxa"/>
            <w:tcBorders>
              <w:bottom w:val="single" w:sz="4" w:space="0" w:color="FFFFFF"/>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1126" w:type="dxa"/>
            <w:tcBorders>
              <w:bottom w:val="single" w:sz="4" w:space="0" w:color="FFFFFF"/>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c>
          <w:tcPr>
            <w:tcW w:w="991" w:type="dxa"/>
            <w:tcBorders>
              <w:bottom w:val="single" w:sz="4" w:space="0" w:color="FFFFFF"/>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 </w:t>
            </w:r>
          </w:p>
        </w:tc>
      </w:tr>
      <w:tr w:rsidR="004839A0" w:rsidRPr="005275D8" w:rsidTr="00B0566B">
        <w:trPr>
          <w:cantSplit/>
          <w:trHeight w:val="85"/>
        </w:trPr>
        <w:tc>
          <w:tcPr>
            <w:tcW w:w="4137" w:type="dxa"/>
            <w:tcBorders>
              <w:top w:val="single" w:sz="4" w:space="0" w:color="FFFFFF"/>
              <w:bottom w:val="single" w:sz="4" w:space="0" w:color="auto"/>
            </w:tcBorders>
          </w:tcPr>
          <w:p w:rsidR="004839A0" w:rsidRPr="00CE11FA" w:rsidRDefault="004839A0" w:rsidP="004839A0">
            <w:pPr>
              <w:keepNext/>
              <w:tabs>
                <w:tab w:val="left" w:pos="176"/>
                <w:tab w:val="left" w:pos="612"/>
              </w:tabs>
              <w:spacing w:after="0" w:line="240" w:lineRule="auto"/>
              <w:ind w:left="252" w:right="-108" w:firstLine="46"/>
              <w:outlineLvl w:val="2"/>
              <w:rPr>
                <w:rFonts w:ascii="Times New Roman" w:hAnsi="Times New Roman" w:cs="Arial"/>
                <w:bCs/>
                <w:color w:val="000000"/>
              </w:rPr>
            </w:pPr>
            <w:r w:rsidRPr="00CE11FA">
              <w:rPr>
                <w:rFonts w:ascii="Times New Roman" w:hAnsi="Times New Roman" w:cs="Arial"/>
                <w:bCs/>
                <w:color w:val="000000"/>
              </w:rPr>
              <w:t>- наличные деньги в обращении</w:t>
            </w:r>
          </w:p>
        </w:tc>
        <w:tc>
          <w:tcPr>
            <w:tcW w:w="1125"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797,0</w:t>
            </w:r>
          </w:p>
        </w:tc>
        <w:tc>
          <w:tcPr>
            <w:tcW w:w="1126"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14,7</w:t>
            </w:r>
          </w:p>
        </w:tc>
        <w:tc>
          <w:tcPr>
            <w:tcW w:w="1126"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713,2</w:t>
            </w:r>
          </w:p>
        </w:tc>
        <w:tc>
          <w:tcPr>
            <w:tcW w:w="1126"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13,3</w:t>
            </w:r>
          </w:p>
        </w:tc>
        <w:tc>
          <w:tcPr>
            <w:tcW w:w="991"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89,5</w:t>
            </w:r>
          </w:p>
        </w:tc>
      </w:tr>
      <w:tr w:rsidR="004839A0" w:rsidRPr="005275D8" w:rsidTr="004839A0">
        <w:trPr>
          <w:cantSplit/>
          <w:trHeight w:val="193"/>
        </w:trPr>
        <w:tc>
          <w:tcPr>
            <w:tcW w:w="4137" w:type="dxa"/>
            <w:tcBorders>
              <w:top w:val="single" w:sz="4" w:space="0" w:color="FFFFFF"/>
              <w:bottom w:val="single" w:sz="4" w:space="0" w:color="auto"/>
            </w:tcBorders>
          </w:tcPr>
          <w:p w:rsidR="004839A0" w:rsidRPr="00CE11FA" w:rsidRDefault="004839A0" w:rsidP="004839A0">
            <w:pPr>
              <w:keepNext/>
              <w:tabs>
                <w:tab w:val="left" w:pos="176"/>
                <w:tab w:val="left" w:pos="612"/>
              </w:tabs>
              <w:spacing w:after="0" w:line="240" w:lineRule="auto"/>
              <w:ind w:left="252" w:right="-108" w:firstLine="46"/>
              <w:outlineLvl w:val="2"/>
              <w:rPr>
                <w:rFonts w:ascii="Times New Roman" w:hAnsi="Times New Roman" w:cs="Arial"/>
                <w:bCs/>
                <w:color w:val="000000"/>
              </w:rPr>
            </w:pPr>
            <w:r w:rsidRPr="00CE11FA">
              <w:rPr>
                <w:rFonts w:ascii="Times New Roman" w:hAnsi="Times New Roman" w:cs="Arial"/>
                <w:bCs/>
                <w:color w:val="000000"/>
                <w:lang w:val="en-US"/>
              </w:rPr>
              <w:t>-</w:t>
            </w:r>
            <w:r w:rsidRPr="00CE11FA">
              <w:rPr>
                <w:rFonts w:ascii="Times New Roman" w:hAnsi="Times New Roman" w:cs="Arial"/>
                <w:bCs/>
                <w:color w:val="000000"/>
              </w:rPr>
              <w:t xml:space="preserve"> безналичные денежные средства</w:t>
            </w:r>
          </w:p>
        </w:tc>
        <w:tc>
          <w:tcPr>
            <w:tcW w:w="1125"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1 259,2</w:t>
            </w:r>
          </w:p>
        </w:tc>
        <w:tc>
          <w:tcPr>
            <w:tcW w:w="1126"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23,2</w:t>
            </w:r>
          </w:p>
        </w:tc>
        <w:tc>
          <w:tcPr>
            <w:tcW w:w="1126"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1 372,5</w:t>
            </w:r>
          </w:p>
        </w:tc>
        <w:tc>
          <w:tcPr>
            <w:tcW w:w="1126"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25,6</w:t>
            </w:r>
          </w:p>
        </w:tc>
        <w:tc>
          <w:tcPr>
            <w:tcW w:w="991" w:type="dxa"/>
            <w:tcBorders>
              <w:top w:val="single" w:sz="4" w:space="0" w:color="FFFFFF"/>
              <w:bottom w:val="single" w:sz="4" w:space="0" w:color="auto"/>
            </w:tcBorders>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109,0</w:t>
            </w:r>
          </w:p>
        </w:tc>
      </w:tr>
      <w:tr w:rsidR="004839A0" w:rsidRPr="005275D8" w:rsidTr="004839A0">
        <w:trPr>
          <w:trHeight w:val="170"/>
        </w:trPr>
        <w:tc>
          <w:tcPr>
            <w:tcW w:w="4137" w:type="dxa"/>
            <w:shd w:val="clear" w:color="auto" w:fill="E6E6E6"/>
          </w:tcPr>
          <w:p w:rsidR="004839A0" w:rsidRPr="00CE11FA" w:rsidRDefault="004839A0" w:rsidP="004839A0">
            <w:pPr>
              <w:tabs>
                <w:tab w:val="left" w:pos="0"/>
                <w:tab w:val="left" w:pos="612"/>
              </w:tabs>
              <w:spacing w:after="0" w:line="240" w:lineRule="auto"/>
              <w:ind w:left="144" w:right="-1"/>
              <w:rPr>
                <w:rFonts w:ascii="Times New Roman" w:hAnsi="Times New Roman"/>
                <w:color w:val="000000"/>
              </w:rPr>
            </w:pPr>
            <w:r w:rsidRPr="00CE11FA">
              <w:rPr>
                <w:rFonts w:ascii="Times New Roman" w:hAnsi="Times New Roman"/>
                <w:color w:val="000000"/>
              </w:rPr>
              <w:t>Денежная масса в иностранной валюте</w:t>
            </w:r>
          </w:p>
        </w:tc>
        <w:tc>
          <w:tcPr>
            <w:tcW w:w="1125" w:type="dxa"/>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3 380,8</w:t>
            </w:r>
          </w:p>
        </w:tc>
        <w:tc>
          <w:tcPr>
            <w:tcW w:w="1126" w:type="dxa"/>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62,2</w:t>
            </w:r>
          </w:p>
        </w:tc>
        <w:tc>
          <w:tcPr>
            <w:tcW w:w="1126" w:type="dxa"/>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3 268,2</w:t>
            </w:r>
          </w:p>
        </w:tc>
        <w:tc>
          <w:tcPr>
            <w:tcW w:w="1126" w:type="dxa"/>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61,0</w:t>
            </w:r>
          </w:p>
        </w:tc>
        <w:tc>
          <w:tcPr>
            <w:tcW w:w="991" w:type="dxa"/>
            <w:shd w:val="clear" w:color="auto" w:fill="E6E6E6"/>
            <w:vAlign w:val="bottom"/>
          </w:tcPr>
          <w:p w:rsidR="004839A0" w:rsidRPr="00CE11FA" w:rsidRDefault="004839A0" w:rsidP="004839A0">
            <w:pPr>
              <w:spacing w:after="0" w:line="240" w:lineRule="auto"/>
              <w:ind w:right="89"/>
              <w:jc w:val="right"/>
              <w:rPr>
                <w:rFonts w:ascii="Times New Roman" w:hAnsi="Times New Roman" w:cs="Arial CYR"/>
              </w:rPr>
            </w:pPr>
            <w:r w:rsidRPr="00CE11FA">
              <w:rPr>
                <w:rFonts w:ascii="Times New Roman" w:hAnsi="Times New Roman" w:cs="Arial CYR"/>
              </w:rPr>
              <w:t>96,7</w:t>
            </w:r>
          </w:p>
        </w:tc>
      </w:tr>
    </w:tbl>
    <w:bookmarkEnd w:id="0"/>
    <w:bookmarkEnd w:id="1"/>
    <w:bookmarkEnd w:id="2"/>
    <w:p w:rsidR="004839A0" w:rsidRPr="009575DA" w:rsidRDefault="004839A0" w:rsidP="004839A0">
      <w:pPr>
        <w:spacing w:before="120" w:after="0" w:line="240" w:lineRule="auto"/>
        <w:ind w:firstLine="709"/>
        <w:jc w:val="both"/>
        <w:rPr>
          <w:rFonts w:ascii="Times New Roman" w:hAnsi="Times New Roman"/>
          <w:color w:val="000000"/>
          <w:sz w:val="24"/>
          <w:szCs w:val="24"/>
        </w:rPr>
      </w:pPr>
      <w:r w:rsidRPr="00E5677A">
        <w:rPr>
          <w:rFonts w:ascii="Times New Roman" w:hAnsi="Times New Roman"/>
          <w:sz w:val="24"/>
        </w:rPr>
        <w:t>Более чем вдвое выросла сумма наличной иностранной валюты в кассах банков, сложившись по итогам января – июня 2015 года на отметке 222,6 млн. руб.</w:t>
      </w:r>
      <w:r w:rsidRPr="00E5677A">
        <w:rPr>
          <w:rFonts w:ascii="Times New Roman" w:hAnsi="Times New Roman"/>
          <w:color w:val="000000"/>
          <w:sz w:val="24"/>
        </w:rPr>
        <w:t xml:space="preserve"> Между тем, о</w:t>
      </w:r>
      <w:r w:rsidRPr="009575DA">
        <w:rPr>
          <w:rFonts w:ascii="Times New Roman" w:hAnsi="Times New Roman"/>
          <w:sz w:val="24"/>
          <w:szCs w:val="24"/>
        </w:rPr>
        <w:t>бъём средств, задействованных в</w:t>
      </w:r>
      <w:r w:rsidRPr="009575DA">
        <w:rPr>
          <w:rFonts w:ascii="Times New Roman" w:hAnsi="Times New Roman"/>
          <w:color w:val="000000"/>
          <w:sz w:val="24"/>
          <w:szCs w:val="24"/>
        </w:rPr>
        <w:t xml:space="preserve"> операциях с ценными бумагами, увеличился с </w:t>
      </w:r>
      <w:r w:rsidRPr="001D43A8">
        <w:rPr>
          <w:rFonts w:ascii="Times New Roman" w:hAnsi="Times New Roman"/>
          <w:color w:val="000000"/>
          <w:sz w:val="24"/>
          <w:szCs w:val="24"/>
        </w:rPr>
        <w:t>24,1 млн. руб. до 200,2 млн. руб.</w:t>
      </w:r>
      <w:r>
        <w:rPr>
          <w:rFonts w:ascii="Times New Roman" w:hAnsi="Times New Roman"/>
          <w:color w:val="000000"/>
          <w:sz w:val="24"/>
          <w:szCs w:val="24"/>
        </w:rPr>
        <w:t xml:space="preserve"> Следует отметить, что практически на 100% достигнутые значения были обеспечены операциями коммерческих банков.</w:t>
      </w:r>
    </w:p>
    <w:p w:rsidR="004839A0" w:rsidRPr="00CE11FA" w:rsidRDefault="004839A0" w:rsidP="00CE11FA">
      <w:pPr>
        <w:spacing w:after="0" w:line="240" w:lineRule="auto"/>
        <w:ind w:firstLine="709"/>
        <w:jc w:val="both"/>
        <w:rPr>
          <w:rFonts w:ascii="Times New Roman" w:hAnsi="Times New Roman"/>
          <w:color w:val="000000"/>
          <w:sz w:val="24"/>
        </w:rPr>
      </w:pPr>
      <w:r>
        <w:rPr>
          <w:rFonts w:ascii="Times New Roman" w:hAnsi="Times New Roman"/>
          <w:sz w:val="24"/>
          <w:szCs w:val="24"/>
        </w:rPr>
        <w:t>На фоне опережающего</w:t>
      </w:r>
      <w:r w:rsidRPr="00AB7D01">
        <w:rPr>
          <w:rFonts w:ascii="Times New Roman" w:hAnsi="Times New Roman"/>
          <w:sz w:val="24"/>
          <w:szCs w:val="24"/>
        </w:rPr>
        <w:t xml:space="preserve"> падения деловой активности хозяйствующих субъектов </w:t>
      </w:r>
      <w:r>
        <w:rPr>
          <w:rFonts w:ascii="Times New Roman" w:hAnsi="Times New Roman"/>
          <w:sz w:val="24"/>
          <w:szCs w:val="24"/>
        </w:rPr>
        <w:t>отмечено</w:t>
      </w:r>
      <w:r w:rsidRPr="00AB7D01">
        <w:rPr>
          <w:rFonts w:ascii="Times New Roman" w:hAnsi="Times New Roman"/>
          <w:sz w:val="24"/>
          <w:szCs w:val="24"/>
        </w:rPr>
        <w:t xml:space="preserve"> существенн</w:t>
      </w:r>
      <w:r>
        <w:rPr>
          <w:rFonts w:ascii="Times New Roman" w:hAnsi="Times New Roman"/>
          <w:sz w:val="24"/>
          <w:szCs w:val="24"/>
        </w:rPr>
        <w:t>ое сокращение</w:t>
      </w:r>
      <w:r w:rsidRPr="00AB7D01">
        <w:rPr>
          <w:rFonts w:ascii="Times New Roman" w:hAnsi="Times New Roman"/>
          <w:sz w:val="24"/>
          <w:szCs w:val="24"/>
        </w:rPr>
        <w:t xml:space="preserve"> </w:t>
      </w:r>
      <w:r w:rsidRPr="00AB7D01">
        <w:rPr>
          <w:rFonts w:ascii="Times New Roman" w:hAnsi="Times New Roman"/>
          <w:color w:val="000000"/>
          <w:sz w:val="24"/>
          <w:szCs w:val="24"/>
        </w:rPr>
        <w:t>остатков валютных</w:t>
      </w:r>
      <w:r w:rsidRPr="00AB7D01">
        <w:rPr>
          <w:rFonts w:ascii="Times New Roman" w:hAnsi="Times New Roman"/>
          <w:sz w:val="24"/>
          <w:szCs w:val="24"/>
        </w:rPr>
        <w:t xml:space="preserve"> средств на депозитных счетах юридических лиц в коммерческих банках (-14,6</w:t>
      </w:r>
      <w:r w:rsidRPr="00E5677A">
        <w:rPr>
          <w:rFonts w:ascii="Times New Roman" w:hAnsi="Times New Roman"/>
          <w:sz w:val="24"/>
          <w:szCs w:val="24"/>
        </w:rPr>
        <w:t xml:space="preserve">% </w:t>
      </w:r>
      <w:r w:rsidRPr="00AB7D01">
        <w:rPr>
          <w:rFonts w:ascii="Times New Roman" w:hAnsi="Times New Roman"/>
          <w:sz w:val="24"/>
          <w:szCs w:val="24"/>
        </w:rPr>
        <w:t>до 1 365,9 млн</w:t>
      </w:r>
      <w:r w:rsidRPr="00E5677A">
        <w:rPr>
          <w:rFonts w:ascii="Times New Roman" w:hAnsi="Times New Roman"/>
          <w:sz w:val="24"/>
          <w:szCs w:val="24"/>
        </w:rPr>
        <w:t>.</w:t>
      </w:r>
      <w:r w:rsidRPr="00AB7D01">
        <w:rPr>
          <w:rFonts w:ascii="Times New Roman" w:hAnsi="Times New Roman"/>
          <w:sz w:val="24"/>
          <w:szCs w:val="24"/>
        </w:rPr>
        <w:t xml:space="preserve"> руб.).</w:t>
      </w:r>
    </w:p>
    <w:p w:rsidR="004839A0" w:rsidRPr="00E5677A" w:rsidRDefault="004839A0" w:rsidP="004839A0">
      <w:pPr>
        <w:widowControl w:val="0"/>
        <w:spacing w:after="0" w:line="240" w:lineRule="auto"/>
        <w:jc w:val="right"/>
        <w:rPr>
          <w:rFonts w:ascii="Times New Roman" w:hAnsi="Times New Roman"/>
          <w:bCs/>
          <w:iCs/>
          <w:sz w:val="24"/>
          <w:szCs w:val="24"/>
        </w:rPr>
      </w:pPr>
      <w:r w:rsidRPr="00E5677A">
        <w:rPr>
          <w:rFonts w:ascii="Times New Roman" w:hAnsi="Times New Roman"/>
          <w:bCs/>
          <w:iCs/>
          <w:sz w:val="24"/>
          <w:szCs w:val="24"/>
        </w:rPr>
        <w:t>Таблица №3</w:t>
      </w:r>
    </w:p>
    <w:p w:rsidR="004839A0" w:rsidRPr="005275D8" w:rsidRDefault="004839A0" w:rsidP="004839A0">
      <w:pPr>
        <w:spacing w:after="0" w:line="240" w:lineRule="auto"/>
        <w:jc w:val="center"/>
        <w:rPr>
          <w:rFonts w:ascii="Times New Roman" w:hAnsi="Times New Roman"/>
          <w:b/>
          <w:color w:val="000000"/>
          <w:sz w:val="24"/>
          <w:szCs w:val="24"/>
        </w:rPr>
      </w:pPr>
      <w:r w:rsidRPr="005275D8">
        <w:rPr>
          <w:rFonts w:ascii="Times New Roman" w:hAnsi="Times New Roman"/>
          <w:b/>
          <w:color w:val="000000"/>
          <w:sz w:val="24"/>
          <w:szCs w:val="24"/>
        </w:rPr>
        <w:t xml:space="preserve">Структура и динамика денежной базы </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240"/>
        <w:gridCol w:w="1240"/>
        <w:gridCol w:w="1240"/>
        <w:gridCol w:w="1241"/>
        <w:gridCol w:w="1126"/>
      </w:tblGrid>
      <w:tr w:rsidR="004839A0" w:rsidRPr="005275D8" w:rsidTr="004839A0">
        <w:trPr>
          <w:cantSplit/>
          <w:trHeight w:val="151"/>
        </w:trPr>
        <w:tc>
          <w:tcPr>
            <w:tcW w:w="3544" w:type="dxa"/>
            <w:vMerge w:val="restart"/>
            <w:shd w:val="clear" w:color="auto" w:fill="CCCCCC"/>
          </w:tcPr>
          <w:p w:rsidR="004839A0" w:rsidRPr="00CE11FA" w:rsidRDefault="004839A0" w:rsidP="004839A0">
            <w:pPr>
              <w:spacing w:after="0" w:line="240" w:lineRule="auto"/>
              <w:ind w:left="-108"/>
              <w:jc w:val="both"/>
              <w:rPr>
                <w:rFonts w:ascii="Times New Roman" w:hAnsi="Times New Roman"/>
                <w:color w:val="000000"/>
              </w:rPr>
            </w:pPr>
          </w:p>
        </w:tc>
        <w:tc>
          <w:tcPr>
            <w:tcW w:w="2480" w:type="dxa"/>
            <w:gridSpan w:val="2"/>
            <w:shd w:val="clear" w:color="auto" w:fill="CCCCCC"/>
            <w:vAlign w:val="bottom"/>
          </w:tcPr>
          <w:p w:rsidR="004839A0" w:rsidRPr="00CE11FA" w:rsidRDefault="004839A0" w:rsidP="004839A0">
            <w:pPr>
              <w:spacing w:after="0" w:line="240" w:lineRule="auto"/>
              <w:ind w:left="-107" w:right="-111"/>
              <w:jc w:val="center"/>
              <w:rPr>
                <w:rFonts w:ascii="Times New Roman" w:hAnsi="Times New Roman"/>
              </w:rPr>
            </w:pPr>
            <w:r w:rsidRPr="00CE11FA">
              <w:rPr>
                <w:rFonts w:ascii="Times New Roman" w:hAnsi="Times New Roman"/>
              </w:rPr>
              <w:t>на 01.01.2015 г.</w:t>
            </w:r>
          </w:p>
        </w:tc>
        <w:tc>
          <w:tcPr>
            <w:tcW w:w="2481" w:type="dxa"/>
            <w:gridSpan w:val="2"/>
            <w:shd w:val="clear" w:color="auto" w:fill="CCCCCC"/>
            <w:vAlign w:val="bottom"/>
          </w:tcPr>
          <w:p w:rsidR="004839A0" w:rsidRPr="00CE11FA" w:rsidRDefault="004839A0" w:rsidP="004839A0">
            <w:pPr>
              <w:spacing w:after="0" w:line="240" w:lineRule="auto"/>
              <w:ind w:left="-107" w:right="-111"/>
              <w:jc w:val="center"/>
              <w:rPr>
                <w:rFonts w:ascii="Times New Roman" w:hAnsi="Times New Roman"/>
              </w:rPr>
            </w:pPr>
            <w:r w:rsidRPr="00CE11FA">
              <w:rPr>
                <w:rFonts w:ascii="Times New Roman" w:hAnsi="Times New Roman"/>
              </w:rPr>
              <w:t>на 01.07.2015 г.</w:t>
            </w:r>
          </w:p>
        </w:tc>
        <w:tc>
          <w:tcPr>
            <w:tcW w:w="1126" w:type="dxa"/>
            <w:vMerge w:val="restart"/>
            <w:shd w:val="clear" w:color="auto" w:fill="CCCCCC"/>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темп роста, %</w:t>
            </w:r>
          </w:p>
        </w:tc>
      </w:tr>
      <w:tr w:rsidR="004839A0" w:rsidRPr="005275D8" w:rsidTr="004839A0">
        <w:trPr>
          <w:cantSplit/>
          <w:trHeight w:val="117"/>
        </w:trPr>
        <w:tc>
          <w:tcPr>
            <w:tcW w:w="3544" w:type="dxa"/>
            <w:vMerge/>
            <w:tcBorders>
              <w:bottom w:val="double" w:sz="4" w:space="0" w:color="auto"/>
            </w:tcBorders>
          </w:tcPr>
          <w:p w:rsidR="004839A0" w:rsidRPr="00CE11FA" w:rsidRDefault="004839A0" w:rsidP="004839A0">
            <w:pPr>
              <w:spacing w:after="0" w:line="240" w:lineRule="auto"/>
              <w:ind w:left="-108"/>
              <w:jc w:val="both"/>
              <w:rPr>
                <w:rFonts w:ascii="Times New Roman" w:hAnsi="Times New Roman"/>
                <w:color w:val="000000"/>
              </w:rPr>
            </w:pPr>
          </w:p>
        </w:tc>
        <w:tc>
          <w:tcPr>
            <w:tcW w:w="1240" w:type="dxa"/>
            <w:tcBorders>
              <w:bottom w:val="double" w:sz="4" w:space="0" w:color="auto"/>
            </w:tcBorders>
            <w:shd w:val="clear" w:color="auto" w:fill="CCCCCC"/>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млн. руб.</w:t>
            </w:r>
          </w:p>
        </w:tc>
        <w:tc>
          <w:tcPr>
            <w:tcW w:w="1240" w:type="dxa"/>
            <w:tcBorders>
              <w:bottom w:val="double" w:sz="4" w:space="0" w:color="auto"/>
            </w:tcBorders>
            <w:shd w:val="clear" w:color="auto" w:fill="CCCCCC"/>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уд. вес, %</w:t>
            </w:r>
          </w:p>
        </w:tc>
        <w:tc>
          <w:tcPr>
            <w:tcW w:w="1240" w:type="dxa"/>
            <w:tcBorders>
              <w:bottom w:val="double" w:sz="4" w:space="0" w:color="auto"/>
            </w:tcBorders>
            <w:shd w:val="clear" w:color="auto" w:fill="CCCCCC"/>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млн. руб.</w:t>
            </w:r>
          </w:p>
        </w:tc>
        <w:tc>
          <w:tcPr>
            <w:tcW w:w="1241" w:type="dxa"/>
            <w:tcBorders>
              <w:bottom w:val="double" w:sz="4" w:space="0" w:color="auto"/>
            </w:tcBorders>
            <w:shd w:val="clear" w:color="auto" w:fill="CCCCCC"/>
            <w:vAlign w:val="center"/>
          </w:tcPr>
          <w:p w:rsidR="004839A0" w:rsidRPr="00CE11FA" w:rsidRDefault="004839A0" w:rsidP="004839A0">
            <w:pPr>
              <w:spacing w:after="0" w:line="240" w:lineRule="auto"/>
              <w:jc w:val="center"/>
              <w:rPr>
                <w:rFonts w:ascii="Times New Roman" w:hAnsi="Times New Roman"/>
                <w:color w:val="000000"/>
              </w:rPr>
            </w:pPr>
            <w:r w:rsidRPr="00CE11FA">
              <w:rPr>
                <w:rFonts w:ascii="Times New Roman" w:hAnsi="Times New Roman"/>
                <w:color w:val="000000"/>
              </w:rPr>
              <w:t>уд. вес, %</w:t>
            </w:r>
          </w:p>
        </w:tc>
        <w:tc>
          <w:tcPr>
            <w:tcW w:w="1126" w:type="dxa"/>
            <w:vMerge/>
            <w:tcBorders>
              <w:bottom w:val="double" w:sz="4" w:space="0" w:color="auto"/>
            </w:tcBorders>
            <w:vAlign w:val="center"/>
          </w:tcPr>
          <w:p w:rsidR="004839A0" w:rsidRPr="00CE11FA" w:rsidRDefault="004839A0" w:rsidP="004839A0">
            <w:pPr>
              <w:spacing w:after="0" w:line="240" w:lineRule="auto"/>
              <w:jc w:val="both"/>
              <w:rPr>
                <w:rFonts w:ascii="Times New Roman" w:hAnsi="Times New Roman"/>
                <w:color w:val="000000"/>
              </w:rPr>
            </w:pPr>
          </w:p>
        </w:tc>
      </w:tr>
      <w:tr w:rsidR="004839A0" w:rsidRPr="005275D8" w:rsidTr="004839A0">
        <w:trPr>
          <w:trHeight w:val="221"/>
        </w:trPr>
        <w:tc>
          <w:tcPr>
            <w:tcW w:w="3544" w:type="dxa"/>
            <w:tcBorders>
              <w:top w:val="double" w:sz="4" w:space="0" w:color="auto"/>
            </w:tcBorders>
            <w:shd w:val="clear" w:color="auto" w:fill="E0E0E0"/>
            <w:vAlign w:val="center"/>
          </w:tcPr>
          <w:p w:rsidR="004839A0" w:rsidRPr="00CE11FA" w:rsidRDefault="004839A0" w:rsidP="004839A0">
            <w:pPr>
              <w:spacing w:after="0" w:line="240" w:lineRule="auto"/>
              <w:rPr>
                <w:rFonts w:ascii="Times New Roman" w:hAnsi="Times New Roman"/>
                <w:color w:val="000000"/>
              </w:rPr>
            </w:pPr>
            <w:r w:rsidRPr="00CE11FA">
              <w:rPr>
                <w:rFonts w:ascii="Times New Roman" w:hAnsi="Times New Roman"/>
                <w:color w:val="000000"/>
              </w:rPr>
              <w:t>Денежная база</w:t>
            </w:r>
          </w:p>
        </w:tc>
        <w:tc>
          <w:tcPr>
            <w:tcW w:w="1240" w:type="dxa"/>
            <w:tcBorders>
              <w:top w:val="double" w:sz="4" w:space="0" w:color="auto"/>
            </w:tcBorders>
            <w:shd w:val="clear" w:color="auto" w:fill="E0E0E0"/>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1 709,7</w:t>
            </w:r>
          </w:p>
        </w:tc>
        <w:tc>
          <w:tcPr>
            <w:tcW w:w="1240" w:type="dxa"/>
            <w:tcBorders>
              <w:top w:val="double" w:sz="4" w:space="0" w:color="auto"/>
            </w:tcBorders>
            <w:shd w:val="clear" w:color="auto" w:fill="E0E0E0"/>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100,0</w:t>
            </w:r>
          </w:p>
        </w:tc>
        <w:tc>
          <w:tcPr>
            <w:tcW w:w="1240" w:type="dxa"/>
            <w:tcBorders>
              <w:top w:val="double" w:sz="4" w:space="0" w:color="auto"/>
            </w:tcBorders>
            <w:shd w:val="clear" w:color="auto" w:fill="E0E0E0"/>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1 507,1</w:t>
            </w:r>
          </w:p>
        </w:tc>
        <w:tc>
          <w:tcPr>
            <w:tcW w:w="1241" w:type="dxa"/>
            <w:tcBorders>
              <w:top w:val="double" w:sz="4" w:space="0" w:color="auto"/>
            </w:tcBorders>
            <w:shd w:val="clear" w:color="auto" w:fill="E0E0E0"/>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100,0</w:t>
            </w:r>
          </w:p>
        </w:tc>
        <w:tc>
          <w:tcPr>
            <w:tcW w:w="1126" w:type="dxa"/>
            <w:tcBorders>
              <w:top w:val="double" w:sz="4" w:space="0" w:color="auto"/>
            </w:tcBorders>
            <w:shd w:val="clear" w:color="auto" w:fill="E0E0E0"/>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88,2</w:t>
            </w:r>
          </w:p>
        </w:tc>
      </w:tr>
      <w:tr w:rsidR="004839A0" w:rsidRPr="005275D8" w:rsidTr="004839A0">
        <w:trPr>
          <w:trHeight w:val="140"/>
        </w:trPr>
        <w:tc>
          <w:tcPr>
            <w:tcW w:w="3544" w:type="dxa"/>
            <w:tcBorders>
              <w:bottom w:val="nil"/>
            </w:tcBorders>
            <w:vAlign w:val="center"/>
          </w:tcPr>
          <w:p w:rsidR="004839A0" w:rsidRPr="00CE11FA" w:rsidRDefault="004839A0" w:rsidP="004839A0">
            <w:pPr>
              <w:spacing w:after="0" w:line="240" w:lineRule="auto"/>
              <w:ind w:left="74" w:firstLine="102"/>
              <w:rPr>
                <w:rFonts w:ascii="Times New Roman" w:hAnsi="Times New Roman"/>
                <w:color w:val="000000"/>
              </w:rPr>
            </w:pPr>
            <w:r w:rsidRPr="00CE11FA">
              <w:rPr>
                <w:rFonts w:ascii="Times New Roman" w:hAnsi="Times New Roman"/>
                <w:color w:val="000000"/>
              </w:rPr>
              <w:t>в том числе:</w:t>
            </w:r>
          </w:p>
        </w:tc>
        <w:tc>
          <w:tcPr>
            <w:tcW w:w="1240" w:type="dxa"/>
            <w:tcBorders>
              <w:bottom w:val="nil"/>
            </w:tcBorders>
            <w:vAlign w:val="bottom"/>
          </w:tcPr>
          <w:p w:rsidR="004839A0" w:rsidRPr="00CE11FA" w:rsidRDefault="004839A0" w:rsidP="004839A0">
            <w:pPr>
              <w:spacing w:after="0" w:line="240" w:lineRule="auto"/>
              <w:ind w:right="176"/>
              <w:rPr>
                <w:rFonts w:ascii="Times New Roman" w:hAnsi="Times New Roman" w:cs="Arial CYR"/>
              </w:rPr>
            </w:pPr>
            <w:r w:rsidRPr="00CE11FA">
              <w:rPr>
                <w:rFonts w:ascii="Times New Roman" w:hAnsi="Times New Roman" w:cs="Arial CYR"/>
              </w:rPr>
              <w:t> </w:t>
            </w:r>
          </w:p>
        </w:tc>
        <w:tc>
          <w:tcPr>
            <w:tcW w:w="1240" w:type="dxa"/>
            <w:tcBorders>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 </w:t>
            </w:r>
          </w:p>
        </w:tc>
        <w:tc>
          <w:tcPr>
            <w:tcW w:w="1240" w:type="dxa"/>
            <w:tcBorders>
              <w:bottom w:val="nil"/>
            </w:tcBorders>
            <w:vAlign w:val="bottom"/>
          </w:tcPr>
          <w:p w:rsidR="004839A0" w:rsidRPr="00CE11FA" w:rsidRDefault="004839A0" w:rsidP="004839A0">
            <w:pPr>
              <w:spacing w:after="0" w:line="240" w:lineRule="auto"/>
              <w:ind w:right="176"/>
              <w:rPr>
                <w:rFonts w:ascii="Times New Roman" w:hAnsi="Times New Roman" w:cs="Arial CYR"/>
              </w:rPr>
            </w:pPr>
            <w:r w:rsidRPr="00CE11FA">
              <w:rPr>
                <w:rFonts w:ascii="Times New Roman" w:hAnsi="Times New Roman" w:cs="Arial CYR"/>
              </w:rPr>
              <w:t> </w:t>
            </w:r>
          </w:p>
        </w:tc>
        <w:tc>
          <w:tcPr>
            <w:tcW w:w="1241" w:type="dxa"/>
            <w:tcBorders>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 </w:t>
            </w:r>
          </w:p>
        </w:tc>
        <w:tc>
          <w:tcPr>
            <w:tcW w:w="1126" w:type="dxa"/>
            <w:tcBorders>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 </w:t>
            </w:r>
          </w:p>
        </w:tc>
      </w:tr>
      <w:tr w:rsidR="004839A0" w:rsidRPr="005275D8" w:rsidTr="004839A0">
        <w:tc>
          <w:tcPr>
            <w:tcW w:w="3544" w:type="dxa"/>
            <w:tcBorders>
              <w:top w:val="nil"/>
              <w:bottom w:val="nil"/>
            </w:tcBorders>
            <w:vAlign w:val="center"/>
          </w:tcPr>
          <w:p w:rsidR="004839A0" w:rsidRPr="00CE11FA" w:rsidRDefault="004839A0" w:rsidP="004839A0">
            <w:pPr>
              <w:spacing w:after="0" w:line="240" w:lineRule="auto"/>
              <w:ind w:left="176"/>
              <w:rPr>
                <w:rFonts w:ascii="Times New Roman" w:hAnsi="Times New Roman"/>
                <w:color w:val="000000"/>
              </w:rPr>
            </w:pPr>
            <w:r w:rsidRPr="00CE11FA">
              <w:rPr>
                <w:rFonts w:ascii="Times New Roman" w:hAnsi="Times New Roman"/>
                <w:color w:val="000000"/>
              </w:rPr>
              <w:t>- наличные деньги в обращении</w:t>
            </w:r>
          </w:p>
        </w:tc>
        <w:tc>
          <w:tcPr>
            <w:tcW w:w="1240"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797,0</w:t>
            </w:r>
          </w:p>
        </w:tc>
        <w:tc>
          <w:tcPr>
            <w:tcW w:w="1240"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46,6</w:t>
            </w:r>
          </w:p>
        </w:tc>
        <w:tc>
          <w:tcPr>
            <w:tcW w:w="1240"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713,2</w:t>
            </w:r>
          </w:p>
        </w:tc>
        <w:tc>
          <w:tcPr>
            <w:tcW w:w="1241"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47,3</w:t>
            </w:r>
          </w:p>
        </w:tc>
        <w:tc>
          <w:tcPr>
            <w:tcW w:w="1126"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89,5</w:t>
            </w:r>
          </w:p>
        </w:tc>
      </w:tr>
      <w:tr w:rsidR="004839A0" w:rsidRPr="005275D8" w:rsidTr="004839A0">
        <w:tc>
          <w:tcPr>
            <w:tcW w:w="3544" w:type="dxa"/>
            <w:tcBorders>
              <w:top w:val="nil"/>
              <w:bottom w:val="nil"/>
            </w:tcBorders>
            <w:vAlign w:val="center"/>
          </w:tcPr>
          <w:p w:rsidR="004839A0" w:rsidRPr="00CE11FA" w:rsidRDefault="004839A0" w:rsidP="004839A0">
            <w:pPr>
              <w:spacing w:after="0" w:line="240" w:lineRule="auto"/>
              <w:ind w:left="74" w:firstLine="102"/>
              <w:rPr>
                <w:rFonts w:ascii="Times New Roman" w:hAnsi="Times New Roman"/>
                <w:color w:val="000000"/>
              </w:rPr>
            </w:pPr>
            <w:r w:rsidRPr="00CE11FA">
              <w:rPr>
                <w:rFonts w:ascii="Times New Roman" w:hAnsi="Times New Roman"/>
                <w:color w:val="000000"/>
              </w:rPr>
              <w:t>- средства в кассах банков</w:t>
            </w:r>
          </w:p>
        </w:tc>
        <w:tc>
          <w:tcPr>
            <w:tcW w:w="1240"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155,8</w:t>
            </w:r>
          </w:p>
        </w:tc>
        <w:tc>
          <w:tcPr>
            <w:tcW w:w="1240"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9,1</w:t>
            </w:r>
          </w:p>
        </w:tc>
        <w:tc>
          <w:tcPr>
            <w:tcW w:w="1240"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123,6</w:t>
            </w:r>
          </w:p>
        </w:tc>
        <w:tc>
          <w:tcPr>
            <w:tcW w:w="1241"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8,2</w:t>
            </w:r>
          </w:p>
        </w:tc>
        <w:tc>
          <w:tcPr>
            <w:tcW w:w="1126" w:type="dxa"/>
            <w:tcBorders>
              <w:top w:val="nil"/>
              <w:bottom w:val="nil"/>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79,3</w:t>
            </w:r>
          </w:p>
        </w:tc>
      </w:tr>
      <w:tr w:rsidR="004839A0" w:rsidRPr="005275D8" w:rsidTr="004839A0">
        <w:tc>
          <w:tcPr>
            <w:tcW w:w="3544" w:type="dxa"/>
            <w:tcBorders>
              <w:top w:val="nil"/>
              <w:bottom w:val="single" w:sz="4" w:space="0" w:color="auto"/>
            </w:tcBorders>
            <w:vAlign w:val="center"/>
          </w:tcPr>
          <w:p w:rsidR="004839A0" w:rsidRPr="00CE11FA" w:rsidRDefault="004839A0" w:rsidP="004839A0">
            <w:pPr>
              <w:spacing w:after="0" w:line="240" w:lineRule="auto"/>
              <w:ind w:left="312" w:hanging="136"/>
              <w:rPr>
                <w:rFonts w:ascii="Times New Roman" w:hAnsi="Times New Roman"/>
                <w:color w:val="000000"/>
              </w:rPr>
            </w:pPr>
            <w:r w:rsidRPr="00CE11FA">
              <w:rPr>
                <w:rFonts w:ascii="Times New Roman" w:hAnsi="Times New Roman"/>
                <w:color w:val="000000"/>
              </w:rPr>
              <w:t>- корреспондентские счета коммерческих банков</w:t>
            </w:r>
          </w:p>
        </w:tc>
        <w:tc>
          <w:tcPr>
            <w:tcW w:w="1240" w:type="dxa"/>
            <w:tcBorders>
              <w:top w:val="nil"/>
              <w:bottom w:val="single" w:sz="4" w:space="0" w:color="auto"/>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756,9</w:t>
            </w:r>
          </w:p>
        </w:tc>
        <w:tc>
          <w:tcPr>
            <w:tcW w:w="1240" w:type="dxa"/>
            <w:tcBorders>
              <w:top w:val="nil"/>
              <w:bottom w:val="single" w:sz="4" w:space="0" w:color="auto"/>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44,3</w:t>
            </w:r>
          </w:p>
        </w:tc>
        <w:tc>
          <w:tcPr>
            <w:tcW w:w="1240" w:type="dxa"/>
            <w:tcBorders>
              <w:top w:val="nil"/>
              <w:bottom w:val="single" w:sz="4" w:space="0" w:color="auto"/>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670,4</w:t>
            </w:r>
          </w:p>
        </w:tc>
        <w:tc>
          <w:tcPr>
            <w:tcW w:w="1241" w:type="dxa"/>
            <w:tcBorders>
              <w:top w:val="nil"/>
              <w:bottom w:val="single" w:sz="4" w:space="0" w:color="auto"/>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44,5</w:t>
            </w:r>
          </w:p>
        </w:tc>
        <w:tc>
          <w:tcPr>
            <w:tcW w:w="1126" w:type="dxa"/>
            <w:tcBorders>
              <w:top w:val="nil"/>
              <w:bottom w:val="single" w:sz="4" w:space="0" w:color="auto"/>
            </w:tcBorders>
            <w:vAlign w:val="bottom"/>
          </w:tcPr>
          <w:p w:rsidR="004839A0" w:rsidRPr="00CE11FA" w:rsidRDefault="004839A0" w:rsidP="004839A0">
            <w:pPr>
              <w:spacing w:after="0" w:line="240" w:lineRule="auto"/>
              <w:ind w:right="176"/>
              <w:jc w:val="right"/>
              <w:rPr>
                <w:rFonts w:ascii="Times New Roman" w:hAnsi="Times New Roman" w:cs="Arial CYR"/>
                <w:color w:val="000000"/>
              </w:rPr>
            </w:pPr>
            <w:r w:rsidRPr="00CE11FA">
              <w:rPr>
                <w:rFonts w:ascii="Times New Roman" w:hAnsi="Times New Roman" w:cs="Arial CYR"/>
                <w:color w:val="000000"/>
              </w:rPr>
              <w:t>88,6</w:t>
            </w:r>
          </w:p>
        </w:tc>
      </w:tr>
    </w:tbl>
    <w:p w:rsidR="004839A0" w:rsidRPr="009575DA" w:rsidRDefault="004839A0" w:rsidP="00747D66">
      <w:pPr>
        <w:spacing w:after="0" w:line="240" w:lineRule="auto"/>
        <w:ind w:firstLine="709"/>
        <w:jc w:val="both"/>
        <w:rPr>
          <w:rFonts w:ascii="Times New Roman" w:hAnsi="Times New Roman"/>
          <w:color w:val="000000"/>
          <w:sz w:val="24"/>
          <w:szCs w:val="24"/>
        </w:rPr>
      </w:pPr>
      <w:r w:rsidRPr="009575DA">
        <w:rPr>
          <w:rFonts w:ascii="Times New Roman" w:hAnsi="Times New Roman"/>
          <w:color w:val="000000"/>
          <w:sz w:val="24"/>
          <w:szCs w:val="24"/>
        </w:rPr>
        <w:lastRenderedPageBreak/>
        <w:t xml:space="preserve">Рублёвая денежная база за </w:t>
      </w:r>
      <w:r w:rsidRPr="009575DA">
        <w:rPr>
          <w:rFonts w:ascii="Times New Roman" w:hAnsi="Times New Roman"/>
          <w:color w:val="000000"/>
          <w:sz w:val="24"/>
          <w:szCs w:val="24"/>
          <w:lang w:val="en-US"/>
        </w:rPr>
        <w:t>I</w:t>
      </w:r>
      <w:r w:rsidRPr="009575DA">
        <w:rPr>
          <w:rFonts w:ascii="Times New Roman" w:hAnsi="Times New Roman"/>
          <w:color w:val="000000"/>
          <w:sz w:val="24"/>
          <w:szCs w:val="24"/>
        </w:rPr>
        <w:t xml:space="preserve"> полугодие</w:t>
      </w:r>
      <w:r w:rsidRPr="00E5677A">
        <w:rPr>
          <w:rFonts w:ascii="Times New Roman" w:hAnsi="Times New Roman"/>
          <w:color w:val="000000"/>
          <w:sz w:val="24"/>
          <w:szCs w:val="24"/>
        </w:rPr>
        <w:t xml:space="preserve"> 2015 года сократилась на 11,8%, составив в абсолютном выражении </w:t>
      </w:r>
      <w:r w:rsidRPr="009575DA">
        <w:rPr>
          <w:rFonts w:ascii="Times New Roman" w:hAnsi="Times New Roman"/>
          <w:color w:val="000000"/>
          <w:sz w:val="24"/>
          <w:szCs w:val="24"/>
        </w:rPr>
        <w:t>1 507,1 млн</w:t>
      </w:r>
      <w:r w:rsidRPr="00E5677A">
        <w:rPr>
          <w:rFonts w:ascii="Times New Roman" w:hAnsi="Times New Roman"/>
          <w:color w:val="000000"/>
          <w:sz w:val="24"/>
          <w:szCs w:val="24"/>
        </w:rPr>
        <w:t xml:space="preserve">. руб. </w:t>
      </w:r>
      <w:r w:rsidRPr="009575DA">
        <w:rPr>
          <w:rFonts w:ascii="Times New Roman" w:hAnsi="Times New Roman"/>
          <w:color w:val="000000"/>
          <w:sz w:val="24"/>
          <w:szCs w:val="24"/>
        </w:rPr>
        <w:t xml:space="preserve">В составе показателя снижение отмечалось в разрезе всех структурных компонент. Так, объём обязательств центрального банка по выпущенным наличным денежным средствам уменьшился на </w:t>
      </w:r>
      <w:r w:rsidRPr="00E5677A">
        <w:rPr>
          <w:rFonts w:ascii="Times New Roman" w:hAnsi="Times New Roman"/>
          <w:color w:val="000000"/>
          <w:sz w:val="24"/>
          <w:szCs w:val="24"/>
        </w:rPr>
        <w:t xml:space="preserve">12,2% </w:t>
      </w:r>
      <w:r w:rsidRPr="009575DA">
        <w:rPr>
          <w:rFonts w:ascii="Times New Roman" w:hAnsi="Times New Roman"/>
          <w:color w:val="000000"/>
          <w:sz w:val="24"/>
          <w:szCs w:val="24"/>
        </w:rPr>
        <w:t>до 836,8 млн</w:t>
      </w:r>
      <w:r w:rsidRPr="00E5677A">
        <w:rPr>
          <w:rFonts w:ascii="Times New Roman" w:hAnsi="Times New Roman"/>
          <w:color w:val="000000"/>
          <w:sz w:val="24"/>
          <w:szCs w:val="24"/>
        </w:rPr>
        <w:t>.</w:t>
      </w:r>
      <w:r w:rsidRPr="009575DA">
        <w:rPr>
          <w:rFonts w:ascii="Times New Roman" w:hAnsi="Times New Roman"/>
          <w:color w:val="000000"/>
          <w:sz w:val="24"/>
          <w:szCs w:val="24"/>
        </w:rPr>
        <w:t xml:space="preserve"> руб., из которых 123,6 млн</w:t>
      </w:r>
      <w:r w:rsidRPr="00E5677A">
        <w:rPr>
          <w:rFonts w:ascii="Times New Roman" w:hAnsi="Times New Roman"/>
          <w:color w:val="000000"/>
          <w:sz w:val="24"/>
          <w:szCs w:val="24"/>
        </w:rPr>
        <w:t>.</w:t>
      </w:r>
      <w:r w:rsidRPr="009575DA">
        <w:rPr>
          <w:rFonts w:ascii="Times New Roman" w:hAnsi="Times New Roman"/>
          <w:color w:val="000000"/>
          <w:sz w:val="24"/>
          <w:szCs w:val="24"/>
        </w:rPr>
        <w:t xml:space="preserve"> руб. (-20,7%) находилось в кассах банков. </w:t>
      </w:r>
      <w:r w:rsidRPr="00E5677A">
        <w:rPr>
          <w:rFonts w:ascii="Times New Roman" w:hAnsi="Times New Roman"/>
          <w:color w:val="000000"/>
          <w:sz w:val="24"/>
        </w:rPr>
        <w:t>Таким образом, долевое участие наличной составляющей в совокупном показателе</w:t>
      </w:r>
      <w:r w:rsidRPr="00E5677A">
        <w:rPr>
          <w:rFonts w:ascii="Times New Roman" w:hAnsi="Times New Roman"/>
          <w:sz w:val="24"/>
        </w:rPr>
        <w:t xml:space="preserve"> снизилось </w:t>
      </w:r>
      <w:r w:rsidRPr="00E5677A">
        <w:rPr>
          <w:rFonts w:ascii="Times New Roman" w:hAnsi="Times New Roman"/>
          <w:color w:val="000000"/>
          <w:sz w:val="24"/>
        </w:rPr>
        <w:t xml:space="preserve">до </w:t>
      </w:r>
      <w:r w:rsidRPr="009575DA">
        <w:rPr>
          <w:rFonts w:ascii="Times New Roman" w:hAnsi="Times New Roman"/>
          <w:color w:val="000000"/>
          <w:sz w:val="24"/>
          <w:szCs w:val="24"/>
        </w:rPr>
        <w:t xml:space="preserve">55,5%. </w:t>
      </w:r>
    </w:p>
    <w:p w:rsidR="004839A0" w:rsidRPr="00E5677A" w:rsidRDefault="004839A0" w:rsidP="004839A0">
      <w:pPr>
        <w:spacing w:after="0" w:line="240" w:lineRule="auto"/>
        <w:ind w:firstLine="709"/>
        <w:jc w:val="both"/>
        <w:rPr>
          <w:rFonts w:ascii="Times New Roman" w:hAnsi="Times New Roman"/>
          <w:color w:val="000000"/>
          <w:sz w:val="24"/>
          <w:szCs w:val="24"/>
        </w:rPr>
      </w:pPr>
      <w:r w:rsidRPr="00E5677A">
        <w:rPr>
          <w:rFonts w:ascii="Times New Roman" w:hAnsi="Times New Roman"/>
          <w:color w:val="000000"/>
          <w:sz w:val="24"/>
          <w:szCs w:val="24"/>
        </w:rPr>
        <w:t xml:space="preserve">Вследствие сокращения рублёвой денежной базы на фоне расширения национальной денежной массы денежный мультипликатор по итогам </w:t>
      </w:r>
      <w:r w:rsidRPr="00E5677A">
        <w:rPr>
          <w:rFonts w:ascii="Times New Roman" w:hAnsi="Times New Roman"/>
          <w:color w:val="000000"/>
          <w:sz w:val="24"/>
          <w:szCs w:val="24"/>
          <w:lang w:val="en-US"/>
        </w:rPr>
        <w:t>I</w:t>
      </w:r>
      <w:r w:rsidRPr="00E5677A">
        <w:rPr>
          <w:rFonts w:ascii="Times New Roman" w:hAnsi="Times New Roman"/>
          <w:color w:val="000000"/>
          <w:sz w:val="24"/>
          <w:szCs w:val="24"/>
        </w:rPr>
        <w:t xml:space="preserve"> полугодия 2015 года возрос с 1,20 до 1,38.</w:t>
      </w:r>
    </w:p>
    <w:p w:rsidR="004839A0" w:rsidRPr="00E5677A" w:rsidRDefault="004839A0" w:rsidP="004839A0">
      <w:pPr>
        <w:widowControl w:val="0"/>
        <w:spacing w:after="0" w:line="240" w:lineRule="auto"/>
        <w:ind w:firstLine="709"/>
        <w:jc w:val="both"/>
        <w:rPr>
          <w:rFonts w:ascii="Times New Roman" w:hAnsi="Times New Roman"/>
          <w:b/>
          <w:i/>
          <w:color w:val="000000"/>
          <w:sz w:val="24"/>
          <w:szCs w:val="24"/>
        </w:rPr>
      </w:pPr>
    </w:p>
    <w:p w:rsidR="004839A0" w:rsidRPr="00E5677A" w:rsidRDefault="004839A0" w:rsidP="004839A0">
      <w:pPr>
        <w:widowControl w:val="0"/>
        <w:spacing w:after="0" w:line="240" w:lineRule="auto"/>
        <w:ind w:firstLine="709"/>
        <w:jc w:val="both"/>
        <w:rPr>
          <w:rFonts w:ascii="Times New Roman" w:hAnsi="Times New Roman"/>
          <w:b/>
          <w:i/>
          <w:color w:val="000000"/>
          <w:sz w:val="24"/>
          <w:szCs w:val="24"/>
        </w:rPr>
      </w:pPr>
      <w:r w:rsidRPr="00E5677A">
        <w:rPr>
          <w:rFonts w:ascii="Times New Roman" w:hAnsi="Times New Roman"/>
          <w:b/>
          <w:i/>
          <w:color w:val="000000"/>
          <w:sz w:val="24"/>
          <w:szCs w:val="24"/>
        </w:rPr>
        <w:t>Валютная сфера</w:t>
      </w:r>
    </w:p>
    <w:p w:rsidR="004839A0" w:rsidRPr="00E5677A" w:rsidRDefault="004839A0" w:rsidP="004839A0">
      <w:pPr>
        <w:widowControl w:val="0"/>
        <w:shd w:val="clear" w:color="auto" w:fill="FFFFFF"/>
        <w:spacing w:after="0" w:line="240" w:lineRule="auto"/>
        <w:ind w:firstLine="709"/>
        <w:jc w:val="both"/>
        <w:rPr>
          <w:rFonts w:ascii="Times New Roman" w:hAnsi="Times New Roman"/>
          <w:sz w:val="24"/>
          <w:szCs w:val="24"/>
        </w:rPr>
      </w:pPr>
      <w:r w:rsidRPr="00E5677A">
        <w:rPr>
          <w:rFonts w:ascii="Times New Roman" w:hAnsi="Times New Roman"/>
          <w:sz w:val="24"/>
          <w:szCs w:val="24"/>
        </w:rPr>
        <w:t xml:space="preserve">Сложная внешнеполитическая и экономическая обстановка негативно сказалась на динамике объёмов валютно-обменных сделок в республике. </w:t>
      </w:r>
      <w:bookmarkStart w:id="4" w:name="OLE_LINK3"/>
      <w:bookmarkStart w:id="5" w:name="OLE_LINK6"/>
      <w:r w:rsidRPr="00493FC3">
        <w:rPr>
          <w:rFonts w:ascii="Times New Roman" w:hAnsi="Times New Roman"/>
          <w:sz w:val="24"/>
          <w:szCs w:val="24"/>
        </w:rPr>
        <w:t>Совокупная ёмкость наличного сегмента валютного рынка составила в эквиваленте 202,1 млн</w:t>
      </w:r>
      <w:r w:rsidRPr="00E5677A">
        <w:rPr>
          <w:rFonts w:ascii="Times New Roman" w:hAnsi="Times New Roman"/>
          <w:sz w:val="24"/>
          <w:szCs w:val="24"/>
        </w:rPr>
        <w:t>.</w:t>
      </w:r>
      <w:r w:rsidRPr="00493FC3">
        <w:rPr>
          <w:rFonts w:ascii="Times New Roman" w:hAnsi="Times New Roman"/>
          <w:sz w:val="24"/>
          <w:szCs w:val="24"/>
        </w:rPr>
        <w:t xml:space="preserve"> долл., что в почти в 2 раза ниже отметки </w:t>
      </w:r>
      <w:r w:rsidRPr="00E5677A">
        <w:rPr>
          <w:rFonts w:ascii="Times New Roman" w:hAnsi="Times New Roman"/>
          <w:sz w:val="24"/>
          <w:szCs w:val="24"/>
          <w:lang w:val="en-US"/>
        </w:rPr>
        <w:t>I</w:t>
      </w:r>
      <w:r w:rsidRPr="00E5677A">
        <w:rPr>
          <w:rFonts w:ascii="Times New Roman" w:hAnsi="Times New Roman"/>
          <w:sz w:val="24"/>
          <w:szCs w:val="24"/>
        </w:rPr>
        <w:t xml:space="preserve"> полугодия 2014 года </w:t>
      </w:r>
      <w:r w:rsidRPr="00493FC3">
        <w:rPr>
          <w:rFonts w:ascii="Times New Roman" w:hAnsi="Times New Roman"/>
          <w:sz w:val="24"/>
          <w:szCs w:val="24"/>
        </w:rPr>
        <w:t>(-3,8% – годом ранее).</w:t>
      </w:r>
      <w:bookmarkEnd w:id="4"/>
      <w:bookmarkEnd w:id="5"/>
      <w:r w:rsidRPr="00493FC3">
        <w:rPr>
          <w:rFonts w:ascii="Times New Roman" w:hAnsi="Times New Roman"/>
          <w:sz w:val="24"/>
          <w:szCs w:val="24"/>
        </w:rPr>
        <w:t xml:space="preserve"> </w:t>
      </w:r>
      <w:r w:rsidRPr="00E5677A">
        <w:rPr>
          <w:rFonts w:ascii="Times New Roman" w:hAnsi="Times New Roman"/>
          <w:sz w:val="24"/>
          <w:szCs w:val="24"/>
        </w:rPr>
        <w:t xml:space="preserve">Сложившаяся динамика преимущественно была обусловлена сокращением (в 1,9 раза) до 101,4 млн. долл. </w:t>
      </w:r>
      <w:r>
        <w:rPr>
          <w:rFonts w:ascii="Times New Roman" w:hAnsi="Times New Roman"/>
          <w:sz w:val="24"/>
          <w:szCs w:val="24"/>
        </w:rPr>
        <w:t>США</w:t>
      </w:r>
      <w:r w:rsidRPr="00E5677A">
        <w:rPr>
          <w:rFonts w:ascii="Times New Roman" w:hAnsi="Times New Roman"/>
          <w:sz w:val="24"/>
          <w:szCs w:val="24"/>
        </w:rPr>
        <w:t xml:space="preserve"> объёмов реализованной иностранной валюты клиентами обменных пунктов. При этом продажа долларов США уменьшилась на 47,8% до 59,9 млн. долл., что соответствует 59,1% в структуре реализации. Масштабы удовлетворённого спроса на валюту сложились практически сопоставимыми с уровнем её продажи – 100,8 млн. долл. (-39,8%). Результатом зафиксированной динамики объёмов купленной и проданной клиентами валюты стало формирование положительного сальдо (превышение предложения над спросом) в сумме 0,6 млн. долл. </w:t>
      </w:r>
    </w:p>
    <w:p w:rsidR="004839A0" w:rsidRPr="00F6416A" w:rsidRDefault="004839A0" w:rsidP="004839A0">
      <w:pPr>
        <w:widowControl w:val="0"/>
        <w:spacing w:after="0" w:line="240" w:lineRule="auto"/>
        <w:ind w:firstLine="709"/>
        <w:jc w:val="both"/>
        <w:rPr>
          <w:rFonts w:ascii="Times New Roman" w:hAnsi="Times New Roman"/>
          <w:sz w:val="24"/>
          <w:szCs w:val="24"/>
        </w:rPr>
      </w:pPr>
      <w:r w:rsidRPr="00F6416A">
        <w:rPr>
          <w:rFonts w:ascii="Times New Roman" w:hAnsi="Times New Roman"/>
          <w:sz w:val="24"/>
          <w:szCs w:val="24"/>
        </w:rPr>
        <w:t>Совокупная ёмкость внутреннего валютного аукц</w:t>
      </w:r>
      <w:r w:rsidRPr="00E5677A">
        <w:rPr>
          <w:rFonts w:ascii="Times New Roman" w:hAnsi="Times New Roman"/>
          <w:sz w:val="24"/>
          <w:szCs w:val="24"/>
        </w:rPr>
        <w:t xml:space="preserve">иона банков в I полугодии               2015 года снизилась на 22,5% </w:t>
      </w:r>
      <w:r w:rsidRPr="00F6416A">
        <w:rPr>
          <w:rFonts w:ascii="Times New Roman" w:hAnsi="Times New Roman"/>
          <w:sz w:val="24"/>
          <w:szCs w:val="24"/>
        </w:rPr>
        <w:t>до 526,7 млн</w:t>
      </w:r>
      <w:r w:rsidRPr="00E5677A">
        <w:rPr>
          <w:rFonts w:ascii="Times New Roman" w:hAnsi="Times New Roman"/>
          <w:sz w:val="24"/>
          <w:szCs w:val="24"/>
        </w:rPr>
        <w:t>. долл. США</w:t>
      </w:r>
      <w:r w:rsidRPr="00F6416A">
        <w:rPr>
          <w:rFonts w:ascii="Times New Roman" w:hAnsi="Times New Roman"/>
          <w:sz w:val="24"/>
          <w:szCs w:val="24"/>
        </w:rPr>
        <w:t xml:space="preserve"> против расширения на 5,1% </w:t>
      </w:r>
      <w:r w:rsidRPr="00E5677A">
        <w:rPr>
          <w:rFonts w:ascii="Times New Roman" w:hAnsi="Times New Roman"/>
          <w:sz w:val="24"/>
          <w:szCs w:val="24"/>
        </w:rPr>
        <w:t>в январе – июне 2014 года</w:t>
      </w:r>
      <w:r w:rsidRPr="00F6416A">
        <w:rPr>
          <w:rFonts w:ascii="Times New Roman" w:hAnsi="Times New Roman"/>
          <w:sz w:val="24"/>
          <w:szCs w:val="24"/>
        </w:rPr>
        <w:t>. Вектор показателя преимущественно был обусловлен уменьшением суммы</w:t>
      </w:r>
      <w:r w:rsidRPr="00E5677A">
        <w:rPr>
          <w:rFonts w:ascii="Times New Roman" w:hAnsi="Times New Roman"/>
          <w:sz w:val="24"/>
          <w:szCs w:val="24"/>
        </w:rPr>
        <w:t xml:space="preserve"> (-32,1%)</w:t>
      </w:r>
      <w:r w:rsidRPr="00F6416A">
        <w:rPr>
          <w:rFonts w:ascii="Times New Roman" w:hAnsi="Times New Roman"/>
          <w:sz w:val="24"/>
          <w:szCs w:val="24"/>
        </w:rPr>
        <w:t xml:space="preserve"> удовлетворённого спроса хозяйствующих субъектов на иностранную валюту </w:t>
      </w:r>
      <w:r w:rsidRPr="00E5677A">
        <w:rPr>
          <w:rFonts w:ascii="Times New Roman" w:hAnsi="Times New Roman"/>
          <w:sz w:val="24"/>
          <w:szCs w:val="24"/>
        </w:rPr>
        <w:t xml:space="preserve">до 247,2 млн. долл. США. </w:t>
      </w:r>
      <w:r w:rsidRPr="00F6416A">
        <w:rPr>
          <w:rFonts w:ascii="Times New Roman" w:hAnsi="Times New Roman"/>
          <w:sz w:val="24"/>
          <w:szCs w:val="24"/>
        </w:rPr>
        <w:t>В его структуре, как и ранее, преобладали операции с долларом США (77,2%), составившие в абсолютном выражении 190,8 млн</w:t>
      </w:r>
      <w:r w:rsidRPr="00E5677A">
        <w:rPr>
          <w:rFonts w:ascii="Times New Roman" w:hAnsi="Times New Roman"/>
          <w:sz w:val="24"/>
          <w:szCs w:val="24"/>
        </w:rPr>
        <w:t>.</w:t>
      </w:r>
      <w:r w:rsidRPr="00F6416A">
        <w:rPr>
          <w:rFonts w:ascii="Times New Roman" w:hAnsi="Times New Roman"/>
          <w:sz w:val="24"/>
          <w:szCs w:val="24"/>
        </w:rPr>
        <w:t xml:space="preserve"> долл.</w:t>
      </w:r>
      <w:r w:rsidRPr="00E5677A">
        <w:rPr>
          <w:rFonts w:ascii="Times New Roman" w:hAnsi="Times New Roman"/>
          <w:sz w:val="24"/>
          <w:szCs w:val="24"/>
        </w:rPr>
        <w:t xml:space="preserve"> США</w:t>
      </w:r>
      <w:r w:rsidRPr="00F6416A">
        <w:rPr>
          <w:rFonts w:ascii="Times New Roman" w:hAnsi="Times New Roman"/>
          <w:sz w:val="24"/>
          <w:szCs w:val="24"/>
        </w:rPr>
        <w:t xml:space="preserve"> (-28,6%). В то же время скорость сужения объёма проданной юридическими лицами иностранной валюты была в</w:t>
      </w:r>
      <w:r>
        <w:rPr>
          <w:rFonts w:ascii="Times New Roman" w:hAnsi="Times New Roman"/>
          <w:sz w:val="24"/>
          <w:szCs w:val="24"/>
        </w:rPr>
        <w:t xml:space="preserve"> 2</w:t>
      </w:r>
      <w:r w:rsidRPr="00F6416A">
        <w:rPr>
          <w:rFonts w:ascii="Times New Roman" w:hAnsi="Times New Roman"/>
          <w:sz w:val="24"/>
          <w:szCs w:val="24"/>
        </w:rPr>
        <w:t xml:space="preserve"> раза ниже </w:t>
      </w:r>
      <w:r w:rsidRPr="00E5677A">
        <w:rPr>
          <w:rFonts w:ascii="Times New Roman" w:hAnsi="Times New Roman"/>
          <w:sz w:val="24"/>
          <w:szCs w:val="24"/>
        </w:rPr>
        <w:t xml:space="preserve">соответствующего периода прошлого года </w:t>
      </w:r>
      <w:r w:rsidRPr="00F6416A">
        <w:rPr>
          <w:rFonts w:ascii="Times New Roman" w:hAnsi="Times New Roman"/>
          <w:sz w:val="24"/>
          <w:szCs w:val="24"/>
        </w:rPr>
        <w:t>–</w:t>
      </w:r>
      <w:r w:rsidRPr="00E5677A">
        <w:rPr>
          <w:rFonts w:ascii="Times New Roman" w:hAnsi="Times New Roman"/>
          <w:sz w:val="24"/>
          <w:szCs w:val="24"/>
        </w:rPr>
        <w:t xml:space="preserve"> </w:t>
      </w:r>
      <w:r w:rsidRPr="00F6416A">
        <w:rPr>
          <w:rFonts w:ascii="Times New Roman" w:hAnsi="Times New Roman"/>
          <w:sz w:val="24"/>
          <w:szCs w:val="24"/>
        </w:rPr>
        <w:t>279,5 млн</w:t>
      </w:r>
      <w:r w:rsidRPr="00E5677A">
        <w:rPr>
          <w:rFonts w:ascii="Times New Roman" w:hAnsi="Times New Roman"/>
          <w:sz w:val="24"/>
          <w:szCs w:val="24"/>
        </w:rPr>
        <w:t>.</w:t>
      </w:r>
      <w:r w:rsidRPr="00F6416A">
        <w:rPr>
          <w:rFonts w:ascii="Times New Roman" w:hAnsi="Times New Roman"/>
          <w:sz w:val="24"/>
          <w:szCs w:val="24"/>
        </w:rPr>
        <w:t xml:space="preserve"> долл.</w:t>
      </w:r>
      <w:r w:rsidRPr="00E5677A">
        <w:rPr>
          <w:rFonts w:ascii="Times New Roman" w:hAnsi="Times New Roman"/>
          <w:sz w:val="24"/>
          <w:szCs w:val="24"/>
        </w:rPr>
        <w:t xml:space="preserve"> США.</w:t>
      </w:r>
      <w:r w:rsidRPr="00F6416A">
        <w:rPr>
          <w:rFonts w:ascii="Times New Roman" w:hAnsi="Times New Roman"/>
          <w:sz w:val="24"/>
          <w:szCs w:val="24"/>
        </w:rPr>
        <w:t xml:space="preserve"> Динамикой роста</w:t>
      </w:r>
      <w:r w:rsidRPr="00E5677A">
        <w:rPr>
          <w:rFonts w:ascii="Times New Roman" w:hAnsi="Times New Roman"/>
          <w:sz w:val="24"/>
          <w:szCs w:val="24"/>
        </w:rPr>
        <w:t xml:space="preserve"> (+31,7%)</w:t>
      </w:r>
      <w:r w:rsidRPr="00F6416A">
        <w:rPr>
          <w:rFonts w:ascii="Times New Roman" w:hAnsi="Times New Roman"/>
          <w:sz w:val="24"/>
          <w:szCs w:val="24"/>
        </w:rPr>
        <w:t xml:space="preserve"> характеризовались сделки только по предложению доллара США до 220,2 млн</w:t>
      </w:r>
      <w:r w:rsidRPr="00E5677A">
        <w:rPr>
          <w:rFonts w:ascii="Times New Roman" w:hAnsi="Times New Roman"/>
          <w:sz w:val="24"/>
          <w:szCs w:val="24"/>
        </w:rPr>
        <w:t>.</w:t>
      </w:r>
      <w:r w:rsidRPr="00F6416A">
        <w:rPr>
          <w:rFonts w:ascii="Times New Roman" w:hAnsi="Times New Roman"/>
          <w:sz w:val="24"/>
          <w:szCs w:val="24"/>
        </w:rPr>
        <w:t xml:space="preserve"> долл.</w:t>
      </w:r>
      <w:r w:rsidRPr="00E5677A">
        <w:rPr>
          <w:rFonts w:ascii="Times New Roman" w:hAnsi="Times New Roman"/>
          <w:sz w:val="24"/>
          <w:szCs w:val="24"/>
        </w:rPr>
        <w:t xml:space="preserve"> США</w:t>
      </w:r>
      <w:r w:rsidRPr="00F6416A">
        <w:rPr>
          <w:rFonts w:ascii="Times New Roman" w:hAnsi="Times New Roman"/>
          <w:sz w:val="24"/>
          <w:szCs w:val="24"/>
        </w:rPr>
        <w:t>, на долю которых пришлось 78,8%. Таким образом, итогом валютообменных сделок, осуществлённых на внутреннем валютном аукционе банков, стала нетто-продажа юридическими лицами иностранной валюты в пределах 32,3 млн</w:t>
      </w:r>
      <w:r w:rsidRPr="00E5677A">
        <w:rPr>
          <w:rFonts w:ascii="Times New Roman" w:hAnsi="Times New Roman"/>
          <w:sz w:val="24"/>
          <w:szCs w:val="24"/>
        </w:rPr>
        <w:t>.</w:t>
      </w:r>
      <w:r w:rsidRPr="00F6416A">
        <w:rPr>
          <w:rFonts w:ascii="Times New Roman" w:hAnsi="Times New Roman"/>
          <w:sz w:val="24"/>
          <w:szCs w:val="24"/>
        </w:rPr>
        <w:t xml:space="preserve"> долл. </w:t>
      </w:r>
      <w:r w:rsidRPr="00E5677A">
        <w:rPr>
          <w:rFonts w:ascii="Times New Roman" w:hAnsi="Times New Roman"/>
          <w:sz w:val="24"/>
          <w:szCs w:val="24"/>
        </w:rPr>
        <w:t xml:space="preserve">США </w:t>
      </w:r>
      <w:r w:rsidRPr="00F6416A">
        <w:rPr>
          <w:rFonts w:ascii="Times New Roman" w:hAnsi="Times New Roman"/>
          <w:sz w:val="24"/>
          <w:szCs w:val="24"/>
        </w:rPr>
        <w:t xml:space="preserve">против чистой покупки в </w:t>
      </w:r>
      <w:r w:rsidRPr="00E5677A">
        <w:rPr>
          <w:rFonts w:ascii="Times New Roman" w:hAnsi="Times New Roman"/>
          <w:sz w:val="24"/>
          <w:szCs w:val="24"/>
        </w:rPr>
        <w:t xml:space="preserve">                 </w:t>
      </w:r>
      <w:r w:rsidRPr="00F6416A">
        <w:rPr>
          <w:rFonts w:ascii="Times New Roman" w:hAnsi="Times New Roman"/>
          <w:sz w:val="24"/>
          <w:szCs w:val="24"/>
        </w:rPr>
        <w:t>январе-июне предыдущего года</w:t>
      </w:r>
      <w:r w:rsidRPr="00E5677A">
        <w:rPr>
          <w:rFonts w:ascii="Times New Roman" w:hAnsi="Times New Roman"/>
          <w:sz w:val="24"/>
          <w:szCs w:val="24"/>
        </w:rPr>
        <w:t xml:space="preserve"> </w:t>
      </w:r>
      <w:r w:rsidRPr="00F6416A">
        <w:rPr>
          <w:rFonts w:ascii="Times New Roman" w:hAnsi="Times New Roman"/>
          <w:sz w:val="24"/>
          <w:szCs w:val="24"/>
        </w:rPr>
        <w:t>(49,1 млн</w:t>
      </w:r>
      <w:r w:rsidRPr="00E5677A">
        <w:rPr>
          <w:rFonts w:ascii="Times New Roman" w:hAnsi="Times New Roman"/>
          <w:sz w:val="24"/>
          <w:szCs w:val="24"/>
        </w:rPr>
        <w:t>.</w:t>
      </w:r>
      <w:r w:rsidRPr="00F6416A">
        <w:rPr>
          <w:rFonts w:ascii="Times New Roman" w:hAnsi="Times New Roman"/>
          <w:sz w:val="24"/>
          <w:szCs w:val="24"/>
        </w:rPr>
        <w:t xml:space="preserve"> долл.</w:t>
      </w:r>
      <w:r w:rsidRPr="00E5677A">
        <w:rPr>
          <w:rFonts w:ascii="Times New Roman" w:hAnsi="Times New Roman"/>
          <w:sz w:val="24"/>
          <w:szCs w:val="24"/>
        </w:rPr>
        <w:t xml:space="preserve"> США</w:t>
      </w:r>
      <w:r w:rsidRPr="00F6416A">
        <w:rPr>
          <w:rFonts w:ascii="Times New Roman" w:hAnsi="Times New Roman"/>
          <w:sz w:val="24"/>
          <w:szCs w:val="24"/>
        </w:rPr>
        <w:t xml:space="preserve">). </w:t>
      </w:r>
    </w:p>
    <w:p w:rsidR="004839A0" w:rsidRDefault="004839A0" w:rsidP="00B34F82">
      <w:pPr>
        <w:widowControl w:val="0"/>
        <w:spacing w:after="0" w:line="240" w:lineRule="auto"/>
        <w:ind w:firstLine="709"/>
        <w:jc w:val="both"/>
        <w:rPr>
          <w:rFonts w:ascii="Times New Roman" w:hAnsi="Times New Roman"/>
          <w:sz w:val="24"/>
          <w:szCs w:val="24"/>
        </w:rPr>
      </w:pPr>
      <w:r w:rsidRPr="00F6416A">
        <w:rPr>
          <w:rFonts w:ascii="Times New Roman" w:hAnsi="Times New Roman"/>
          <w:sz w:val="24"/>
          <w:szCs w:val="24"/>
        </w:rPr>
        <w:t>По итогам отчётного периода ёмкость межбанковского рынка расширилась в 2,1 раза, составив 279,5 млн</w:t>
      </w:r>
      <w:r w:rsidRPr="00E5677A">
        <w:rPr>
          <w:rFonts w:ascii="Times New Roman" w:hAnsi="Times New Roman"/>
          <w:sz w:val="24"/>
          <w:szCs w:val="24"/>
        </w:rPr>
        <w:t>.</w:t>
      </w:r>
      <w:r w:rsidRPr="00F6416A">
        <w:rPr>
          <w:rFonts w:ascii="Times New Roman" w:hAnsi="Times New Roman"/>
          <w:sz w:val="24"/>
          <w:szCs w:val="24"/>
        </w:rPr>
        <w:t xml:space="preserve"> долл. </w:t>
      </w:r>
      <w:r w:rsidRPr="00E5677A">
        <w:rPr>
          <w:rFonts w:ascii="Times New Roman" w:hAnsi="Times New Roman"/>
          <w:sz w:val="24"/>
          <w:szCs w:val="24"/>
        </w:rPr>
        <w:t>США</w:t>
      </w:r>
      <w:r w:rsidRPr="00F6416A">
        <w:rPr>
          <w:rFonts w:ascii="Times New Roman" w:hAnsi="Times New Roman"/>
          <w:sz w:val="24"/>
          <w:szCs w:val="24"/>
        </w:rPr>
        <w:t>, из них на доллар США пришлось 177,0 млн</w:t>
      </w:r>
      <w:r w:rsidRPr="00E5677A">
        <w:rPr>
          <w:rFonts w:ascii="Times New Roman" w:hAnsi="Times New Roman"/>
          <w:sz w:val="24"/>
          <w:szCs w:val="24"/>
        </w:rPr>
        <w:t>.</w:t>
      </w:r>
      <w:r w:rsidRPr="00F6416A">
        <w:rPr>
          <w:rFonts w:ascii="Times New Roman" w:hAnsi="Times New Roman"/>
          <w:sz w:val="24"/>
          <w:szCs w:val="24"/>
        </w:rPr>
        <w:t>, на российский рубль – 79,4 млн</w:t>
      </w:r>
      <w:r w:rsidRPr="00E5677A">
        <w:rPr>
          <w:rFonts w:ascii="Times New Roman" w:hAnsi="Times New Roman"/>
          <w:sz w:val="24"/>
          <w:szCs w:val="24"/>
        </w:rPr>
        <w:t>.</w:t>
      </w:r>
      <w:r w:rsidRPr="00F6416A">
        <w:rPr>
          <w:rFonts w:ascii="Times New Roman" w:hAnsi="Times New Roman"/>
          <w:sz w:val="24"/>
          <w:szCs w:val="24"/>
        </w:rPr>
        <w:t xml:space="preserve"> долл. </w:t>
      </w:r>
      <w:r w:rsidRPr="00E5677A">
        <w:rPr>
          <w:rFonts w:ascii="Times New Roman" w:hAnsi="Times New Roman"/>
          <w:sz w:val="24"/>
          <w:szCs w:val="24"/>
        </w:rPr>
        <w:t>США</w:t>
      </w:r>
      <w:r w:rsidRPr="00F6416A">
        <w:rPr>
          <w:rFonts w:ascii="Times New Roman" w:hAnsi="Times New Roman"/>
          <w:sz w:val="24"/>
          <w:szCs w:val="24"/>
        </w:rPr>
        <w:t>.</w:t>
      </w:r>
    </w:p>
    <w:p w:rsidR="004839A0" w:rsidRPr="00493FC3" w:rsidRDefault="004839A0" w:rsidP="004839A0">
      <w:pPr>
        <w:widowControl w:val="0"/>
        <w:spacing w:after="0" w:line="240" w:lineRule="auto"/>
        <w:ind w:firstLine="709"/>
        <w:jc w:val="both"/>
        <w:rPr>
          <w:rFonts w:ascii="Times New Roman" w:hAnsi="Times New Roman"/>
          <w:sz w:val="24"/>
          <w:szCs w:val="24"/>
        </w:rPr>
      </w:pPr>
    </w:p>
    <w:p w:rsidR="004839A0" w:rsidRPr="00E5677A" w:rsidRDefault="004839A0" w:rsidP="004839A0">
      <w:pPr>
        <w:widowControl w:val="0"/>
        <w:spacing w:after="0" w:line="240" w:lineRule="auto"/>
        <w:ind w:firstLine="709"/>
        <w:jc w:val="both"/>
        <w:rPr>
          <w:rFonts w:ascii="Times New Roman" w:hAnsi="Times New Roman"/>
          <w:b/>
          <w:bCs/>
          <w:i/>
          <w:iCs/>
          <w:sz w:val="24"/>
          <w:szCs w:val="24"/>
        </w:rPr>
      </w:pPr>
      <w:r w:rsidRPr="00E5677A">
        <w:rPr>
          <w:rFonts w:ascii="Times New Roman" w:hAnsi="Times New Roman"/>
          <w:b/>
          <w:bCs/>
          <w:i/>
          <w:iCs/>
          <w:sz w:val="24"/>
          <w:szCs w:val="24"/>
        </w:rPr>
        <w:t>Кредитная деятельность ПРБ</w:t>
      </w:r>
    </w:p>
    <w:p w:rsidR="004839A0" w:rsidRPr="003F4537" w:rsidRDefault="004839A0" w:rsidP="004839A0">
      <w:pPr>
        <w:widowControl w:val="0"/>
        <w:spacing w:after="0" w:line="240" w:lineRule="auto"/>
        <w:ind w:firstLine="709"/>
        <w:jc w:val="both"/>
        <w:rPr>
          <w:rFonts w:ascii="Times New Roman" w:hAnsi="Times New Roman"/>
          <w:sz w:val="24"/>
          <w:szCs w:val="24"/>
        </w:rPr>
      </w:pPr>
      <w:r w:rsidRPr="003F4537">
        <w:rPr>
          <w:rFonts w:ascii="Times New Roman" w:hAnsi="Times New Roman"/>
          <w:sz w:val="24"/>
          <w:szCs w:val="24"/>
        </w:rPr>
        <w:t>По состоянию на 1 июля 2015 года совокупная задолженность коммерческих банков перед Приднестровским республиканским банком составила 621,5 млн</w:t>
      </w:r>
      <w:r w:rsidRPr="00E5677A">
        <w:rPr>
          <w:rFonts w:ascii="Times New Roman" w:hAnsi="Times New Roman"/>
          <w:sz w:val="24"/>
          <w:szCs w:val="24"/>
        </w:rPr>
        <w:t>.</w:t>
      </w:r>
      <w:r w:rsidRPr="003F4537">
        <w:rPr>
          <w:rFonts w:ascii="Times New Roman" w:hAnsi="Times New Roman"/>
          <w:sz w:val="24"/>
          <w:szCs w:val="24"/>
        </w:rPr>
        <w:t xml:space="preserve"> руб., в том числе по депозитам – 535,3 млн</w:t>
      </w:r>
      <w:r w:rsidRPr="00E5677A">
        <w:rPr>
          <w:rFonts w:ascii="Times New Roman" w:hAnsi="Times New Roman"/>
          <w:sz w:val="24"/>
          <w:szCs w:val="24"/>
        </w:rPr>
        <w:t>.</w:t>
      </w:r>
      <w:r w:rsidRPr="003F4537">
        <w:rPr>
          <w:rFonts w:ascii="Times New Roman" w:hAnsi="Times New Roman"/>
          <w:sz w:val="24"/>
          <w:szCs w:val="24"/>
        </w:rPr>
        <w:t xml:space="preserve"> руб. </w:t>
      </w:r>
    </w:p>
    <w:p w:rsidR="004839A0" w:rsidRPr="003F4537" w:rsidRDefault="004839A0" w:rsidP="004839A0">
      <w:pPr>
        <w:spacing w:after="0" w:line="240" w:lineRule="auto"/>
        <w:ind w:firstLine="709"/>
        <w:jc w:val="both"/>
        <w:rPr>
          <w:rFonts w:ascii="Times New Roman" w:hAnsi="Times New Roman"/>
          <w:sz w:val="24"/>
          <w:szCs w:val="24"/>
        </w:rPr>
      </w:pPr>
      <w:r w:rsidRPr="003F4537">
        <w:rPr>
          <w:rFonts w:ascii="Times New Roman" w:hAnsi="Times New Roman"/>
          <w:sz w:val="24"/>
          <w:szCs w:val="24"/>
        </w:rPr>
        <w:t>Задолженность государства по кредитам перед Приднестровским республиканским банком осталась на прежнем уровне – 119,8 млн</w:t>
      </w:r>
      <w:r w:rsidRPr="00E5677A">
        <w:rPr>
          <w:rFonts w:ascii="Times New Roman" w:hAnsi="Times New Roman"/>
          <w:sz w:val="24"/>
          <w:szCs w:val="24"/>
        </w:rPr>
        <w:t>.</w:t>
      </w:r>
      <w:r w:rsidRPr="003F4537">
        <w:rPr>
          <w:rFonts w:ascii="Times New Roman" w:hAnsi="Times New Roman"/>
          <w:sz w:val="24"/>
          <w:szCs w:val="24"/>
        </w:rPr>
        <w:t xml:space="preserve"> руб.</w:t>
      </w:r>
    </w:p>
    <w:p w:rsidR="004839A0" w:rsidRPr="00E5677A" w:rsidRDefault="004839A0" w:rsidP="004839A0">
      <w:pPr>
        <w:spacing w:line="235" w:lineRule="auto"/>
        <w:ind w:firstLine="709"/>
        <w:contextualSpacing/>
        <w:jc w:val="both"/>
        <w:rPr>
          <w:rFonts w:ascii="Times New Roman" w:hAnsi="Times New Roman"/>
          <w:sz w:val="24"/>
          <w:szCs w:val="24"/>
        </w:rPr>
      </w:pPr>
    </w:p>
    <w:p w:rsidR="004839A0" w:rsidRPr="00E5677A" w:rsidRDefault="004839A0" w:rsidP="004839A0">
      <w:pPr>
        <w:widowControl w:val="0"/>
        <w:spacing w:after="0" w:line="240" w:lineRule="auto"/>
        <w:ind w:firstLine="709"/>
        <w:jc w:val="both"/>
        <w:rPr>
          <w:rFonts w:ascii="Times New Roman" w:hAnsi="Times New Roman"/>
          <w:b/>
          <w:bCs/>
          <w:i/>
          <w:iCs/>
          <w:sz w:val="24"/>
          <w:szCs w:val="24"/>
        </w:rPr>
      </w:pPr>
      <w:bookmarkStart w:id="6" w:name="OLE_LINK11"/>
      <w:bookmarkStart w:id="7" w:name="OLE_LINK12"/>
      <w:r w:rsidRPr="00E5677A">
        <w:rPr>
          <w:rFonts w:ascii="Times New Roman" w:hAnsi="Times New Roman"/>
          <w:b/>
          <w:bCs/>
          <w:i/>
          <w:iCs/>
          <w:sz w:val="24"/>
          <w:szCs w:val="24"/>
        </w:rPr>
        <w:t>Кредитование экономики коммерческими банками</w:t>
      </w:r>
    </w:p>
    <w:p w:rsidR="004839A0" w:rsidRPr="00E5677A" w:rsidRDefault="004839A0" w:rsidP="004839A0">
      <w:pPr>
        <w:spacing w:after="0" w:line="240" w:lineRule="auto"/>
        <w:ind w:firstLine="709"/>
        <w:jc w:val="both"/>
        <w:rPr>
          <w:rFonts w:ascii="Times New Roman" w:hAnsi="Times New Roman"/>
          <w:color w:val="000000"/>
          <w:sz w:val="24"/>
          <w:szCs w:val="24"/>
        </w:rPr>
      </w:pPr>
      <w:r w:rsidRPr="00E5677A">
        <w:rPr>
          <w:rFonts w:ascii="Times New Roman" w:hAnsi="Times New Roman"/>
          <w:color w:val="000000"/>
          <w:sz w:val="24"/>
          <w:szCs w:val="24"/>
        </w:rPr>
        <w:t xml:space="preserve">За отчётный период задолженность по кредитам юридических и физических лиц сократилась на 0,8% или на 29,3 млн. руб., составив в абсолютном выражении                 3 866,3 млн. руб. Основной объём средств (72,5%) был направлен предприятиям и организациям реального сектора. В абсолютном выражении по отношению к началу года </w:t>
      </w:r>
      <w:r w:rsidRPr="00E5677A">
        <w:rPr>
          <w:rFonts w:ascii="Times New Roman" w:hAnsi="Times New Roman"/>
          <w:color w:val="000000"/>
          <w:sz w:val="24"/>
          <w:szCs w:val="24"/>
        </w:rPr>
        <w:lastRenderedPageBreak/>
        <w:t>задолженность по кредитам, предоставленным корпоративным клиентам, возросла на 2,5% до 2 804,9 млн. руб.</w:t>
      </w:r>
    </w:p>
    <w:p w:rsidR="004839A0" w:rsidRPr="006D534E" w:rsidRDefault="004839A0" w:rsidP="004839A0">
      <w:pPr>
        <w:spacing w:after="0" w:line="240" w:lineRule="auto"/>
        <w:ind w:firstLine="709"/>
        <w:jc w:val="both"/>
        <w:rPr>
          <w:rFonts w:ascii="Times New Roman" w:hAnsi="Times New Roman"/>
          <w:color w:val="000000"/>
          <w:sz w:val="24"/>
          <w:szCs w:val="24"/>
        </w:rPr>
      </w:pPr>
      <w:r w:rsidRPr="00E5677A">
        <w:rPr>
          <w:rFonts w:ascii="Times New Roman" w:hAnsi="Times New Roman"/>
          <w:color w:val="000000"/>
          <w:sz w:val="24"/>
          <w:szCs w:val="24"/>
        </w:rPr>
        <w:t xml:space="preserve">С точки зрения распределения корпоративного кредитного портфеля банковской системы по видам экономической деятельности, основными потребителями кредитных продуктов остаются такие отрасли, как промышленность, транспорт, связь и ТЭК, на долю которых пришлось 39,1% совокупного показателя, или 1 096,4 млн. руб. (- 41,6 млн. руб. к уровню на начало года). Долг предприятий агропромышленного комплекса на 1 июля 2015 года увеличился на 3,6% и составил 637,3 млн. руб., что соответствует 22,7% общей задолженности реального сектора. Задолженность по кредитам торговых компаний на конец отчётного периода сложилась на отметке 435,8 млн. руб. (-13,0%), что обусловлено их активным погашением, сформировав 15,5% совокупного показателя. </w:t>
      </w:r>
      <w:r w:rsidRPr="006D534E">
        <w:rPr>
          <w:rFonts w:ascii="Times New Roman" w:hAnsi="Times New Roman"/>
          <w:sz w:val="24"/>
          <w:szCs w:val="24"/>
        </w:rPr>
        <w:t xml:space="preserve">Во II квартале 2015 года </w:t>
      </w:r>
      <w:r>
        <w:rPr>
          <w:rFonts w:ascii="Times New Roman" w:hAnsi="Times New Roman"/>
          <w:sz w:val="24"/>
          <w:szCs w:val="24"/>
        </w:rPr>
        <w:t>бюджетный сектор</w:t>
      </w:r>
      <w:r w:rsidRPr="006D534E">
        <w:rPr>
          <w:rFonts w:ascii="Times New Roman" w:hAnsi="Times New Roman"/>
          <w:sz w:val="24"/>
          <w:szCs w:val="24"/>
        </w:rPr>
        <w:t xml:space="preserve"> пога</w:t>
      </w:r>
      <w:r>
        <w:rPr>
          <w:rFonts w:ascii="Times New Roman" w:hAnsi="Times New Roman"/>
          <w:sz w:val="24"/>
          <w:szCs w:val="24"/>
        </w:rPr>
        <w:t xml:space="preserve">сил </w:t>
      </w:r>
      <w:r w:rsidRPr="006D534E">
        <w:rPr>
          <w:rFonts w:ascii="Times New Roman" w:hAnsi="Times New Roman"/>
          <w:sz w:val="24"/>
          <w:szCs w:val="24"/>
        </w:rPr>
        <w:t>незначительн</w:t>
      </w:r>
      <w:r>
        <w:rPr>
          <w:rFonts w:ascii="Times New Roman" w:hAnsi="Times New Roman"/>
          <w:sz w:val="24"/>
          <w:szCs w:val="24"/>
        </w:rPr>
        <w:t>ую</w:t>
      </w:r>
      <w:r w:rsidRPr="006D534E">
        <w:rPr>
          <w:rFonts w:ascii="Times New Roman" w:hAnsi="Times New Roman"/>
          <w:sz w:val="24"/>
          <w:szCs w:val="24"/>
        </w:rPr>
        <w:t xml:space="preserve"> часть долгов</w:t>
      </w:r>
      <w:r w:rsidRPr="00E5677A">
        <w:rPr>
          <w:rFonts w:ascii="Times New Roman" w:hAnsi="Times New Roman"/>
          <w:sz w:val="24"/>
          <w:szCs w:val="24"/>
        </w:rPr>
        <w:t xml:space="preserve">, </w:t>
      </w:r>
      <w:r w:rsidRPr="006D534E">
        <w:rPr>
          <w:rFonts w:ascii="Times New Roman" w:hAnsi="Times New Roman"/>
          <w:sz w:val="24"/>
          <w:szCs w:val="24"/>
        </w:rPr>
        <w:t>не прибегая к новым займам, в результате чего объ</w:t>
      </w:r>
      <w:r w:rsidRPr="00E5677A">
        <w:rPr>
          <w:rFonts w:ascii="Times New Roman" w:hAnsi="Times New Roman"/>
          <w:sz w:val="24"/>
          <w:szCs w:val="24"/>
        </w:rPr>
        <w:t>е</w:t>
      </w:r>
      <w:r w:rsidRPr="006D534E">
        <w:rPr>
          <w:rFonts w:ascii="Times New Roman" w:hAnsi="Times New Roman"/>
          <w:sz w:val="24"/>
          <w:szCs w:val="24"/>
        </w:rPr>
        <w:t>м их задолженности по итогам отч</w:t>
      </w:r>
      <w:r w:rsidRPr="00E5677A">
        <w:rPr>
          <w:rFonts w:ascii="Times New Roman" w:hAnsi="Times New Roman"/>
          <w:sz w:val="24"/>
          <w:szCs w:val="24"/>
        </w:rPr>
        <w:t>е</w:t>
      </w:r>
      <w:r w:rsidRPr="006D534E">
        <w:rPr>
          <w:rFonts w:ascii="Times New Roman" w:hAnsi="Times New Roman"/>
          <w:sz w:val="24"/>
          <w:szCs w:val="24"/>
        </w:rPr>
        <w:t xml:space="preserve">тного периода </w:t>
      </w:r>
      <w:r w:rsidRPr="00E5677A">
        <w:rPr>
          <w:rFonts w:ascii="Times New Roman" w:hAnsi="Times New Roman"/>
          <w:sz w:val="24"/>
          <w:szCs w:val="24"/>
        </w:rPr>
        <w:t>составил</w:t>
      </w:r>
      <w:r w:rsidRPr="006D534E">
        <w:rPr>
          <w:rFonts w:ascii="Times New Roman" w:hAnsi="Times New Roman"/>
          <w:sz w:val="24"/>
          <w:szCs w:val="24"/>
        </w:rPr>
        <w:t xml:space="preserve"> 16,2 млн</w:t>
      </w:r>
      <w:r w:rsidRPr="00E5677A">
        <w:rPr>
          <w:rFonts w:ascii="Times New Roman" w:hAnsi="Times New Roman"/>
          <w:sz w:val="24"/>
          <w:szCs w:val="24"/>
        </w:rPr>
        <w:t>.</w:t>
      </w:r>
      <w:r w:rsidRPr="006D534E">
        <w:rPr>
          <w:rFonts w:ascii="Times New Roman" w:hAnsi="Times New Roman"/>
          <w:sz w:val="24"/>
          <w:szCs w:val="24"/>
        </w:rPr>
        <w:t xml:space="preserve"> руб. (-0,1 млн</w:t>
      </w:r>
      <w:r w:rsidRPr="00E5677A">
        <w:rPr>
          <w:rFonts w:ascii="Times New Roman" w:hAnsi="Times New Roman"/>
          <w:sz w:val="24"/>
          <w:szCs w:val="24"/>
        </w:rPr>
        <w:t>.</w:t>
      </w:r>
      <w:r w:rsidRPr="006D534E">
        <w:rPr>
          <w:rFonts w:ascii="Times New Roman" w:hAnsi="Times New Roman"/>
          <w:sz w:val="24"/>
          <w:szCs w:val="24"/>
        </w:rPr>
        <w:t xml:space="preserve"> руб.). В то же время наиболее активными темпами увеличились долги строительных предприятий перед коммерческими банками –</w:t>
      </w:r>
      <w:r w:rsidRPr="00E5677A">
        <w:rPr>
          <w:rFonts w:ascii="Times New Roman" w:hAnsi="Times New Roman"/>
          <w:sz w:val="24"/>
          <w:szCs w:val="24"/>
        </w:rPr>
        <w:t xml:space="preserve"> </w:t>
      </w:r>
      <w:r w:rsidRPr="006D534E">
        <w:rPr>
          <w:rFonts w:ascii="Times New Roman" w:hAnsi="Times New Roman"/>
          <w:sz w:val="24"/>
          <w:szCs w:val="24"/>
        </w:rPr>
        <w:t>до</w:t>
      </w:r>
      <w:r>
        <w:rPr>
          <w:rFonts w:ascii="Times New Roman" w:hAnsi="Times New Roman"/>
          <w:sz w:val="24"/>
          <w:szCs w:val="24"/>
        </w:rPr>
        <w:t xml:space="preserve"> </w:t>
      </w:r>
      <w:r w:rsidRPr="006D534E">
        <w:rPr>
          <w:rFonts w:ascii="Times New Roman" w:hAnsi="Times New Roman"/>
          <w:sz w:val="24"/>
          <w:szCs w:val="24"/>
        </w:rPr>
        <w:t>24,8 млн</w:t>
      </w:r>
      <w:r w:rsidRPr="00E5677A">
        <w:rPr>
          <w:rFonts w:ascii="Times New Roman" w:hAnsi="Times New Roman"/>
          <w:sz w:val="24"/>
          <w:szCs w:val="24"/>
        </w:rPr>
        <w:t>. руб. (</w:t>
      </w:r>
      <w:r w:rsidRPr="006D534E">
        <w:rPr>
          <w:rFonts w:ascii="Times New Roman" w:hAnsi="Times New Roman"/>
          <w:sz w:val="24"/>
          <w:szCs w:val="24"/>
        </w:rPr>
        <w:t>на 16,2%</w:t>
      </w:r>
      <w:r w:rsidRPr="00E5677A">
        <w:rPr>
          <w:rFonts w:ascii="Times New Roman" w:hAnsi="Times New Roman"/>
          <w:sz w:val="24"/>
          <w:szCs w:val="24"/>
        </w:rPr>
        <w:t>).</w:t>
      </w:r>
    </w:p>
    <w:p w:rsidR="004839A0" w:rsidRPr="007C1E9A" w:rsidRDefault="004839A0" w:rsidP="004839A0">
      <w:pPr>
        <w:autoSpaceDE w:val="0"/>
        <w:autoSpaceDN w:val="0"/>
        <w:adjustRightInd w:val="0"/>
        <w:spacing w:after="0" w:line="240" w:lineRule="auto"/>
        <w:ind w:firstLine="709"/>
        <w:jc w:val="both"/>
        <w:rPr>
          <w:rFonts w:ascii="Times New Roman" w:hAnsi="Times New Roman"/>
          <w:sz w:val="24"/>
          <w:szCs w:val="24"/>
        </w:rPr>
      </w:pPr>
      <w:r w:rsidRPr="007C1E9A">
        <w:rPr>
          <w:rFonts w:ascii="Times New Roman" w:hAnsi="Times New Roman"/>
          <w:sz w:val="24"/>
          <w:szCs w:val="24"/>
        </w:rPr>
        <w:t xml:space="preserve">Сегмент потребительского кредитования характеризовался понижательной динамикой. По итогам </w:t>
      </w:r>
      <w:r w:rsidRPr="00E5677A">
        <w:rPr>
          <w:rFonts w:ascii="Times New Roman" w:hAnsi="Times New Roman"/>
          <w:sz w:val="24"/>
          <w:szCs w:val="24"/>
          <w:lang w:val="en-US"/>
        </w:rPr>
        <w:t>I</w:t>
      </w:r>
      <w:r w:rsidRPr="00E5677A">
        <w:rPr>
          <w:rFonts w:ascii="Times New Roman" w:hAnsi="Times New Roman"/>
          <w:sz w:val="24"/>
          <w:szCs w:val="24"/>
        </w:rPr>
        <w:t xml:space="preserve"> полугодия</w:t>
      </w:r>
      <w:r w:rsidRPr="007C1E9A">
        <w:rPr>
          <w:rFonts w:ascii="Times New Roman" w:hAnsi="Times New Roman"/>
          <w:sz w:val="24"/>
          <w:szCs w:val="24"/>
        </w:rPr>
        <w:t xml:space="preserve"> 2015 года задолженность физических лиц сократилась</w:t>
      </w:r>
      <w:r w:rsidRPr="00E5677A">
        <w:rPr>
          <w:rFonts w:ascii="Times New Roman" w:hAnsi="Times New Roman"/>
          <w:sz w:val="24"/>
          <w:szCs w:val="24"/>
        </w:rPr>
        <w:t xml:space="preserve"> на 8,4%</w:t>
      </w:r>
      <w:r w:rsidRPr="007C1E9A">
        <w:rPr>
          <w:rFonts w:ascii="Times New Roman" w:hAnsi="Times New Roman"/>
          <w:sz w:val="24"/>
          <w:szCs w:val="24"/>
        </w:rPr>
        <w:t>, а по отношению к уровню 1 июля предыдущего года – на 0,3%. В абсолютном выражении совокупный размер розничного кредитного портфеля на 1 июля 2015 года сложился на уровне 1 061,5 млн</w:t>
      </w:r>
      <w:r w:rsidRPr="00E5677A">
        <w:rPr>
          <w:rFonts w:ascii="Times New Roman" w:hAnsi="Times New Roman"/>
          <w:sz w:val="24"/>
          <w:szCs w:val="24"/>
        </w:rPr>
        <w:t>.</w:t>
      </w:r>
      <w:r w:rsidRPr="007C1E9A">
        <w:rPr>
          <w:rFonts w:ascii="Times New Roman" w:hAnsi="Times New Roman"/>
          <w:sz w:val="24"/>
          <w:szCs w:val="24"/>
        </w:rPr>
        <w:t xml:space="preserve"> руб., что соответствует 27,5% кредитов нефинансовому сектору.</w:t>
      </w:r>
      <w:r w:rsidRPr="00E5677A">
        <w:rPr>
          <w:rFonts w:ascii="Times New Roman" w:hAnsi="Times New Roman"/>
          <w:sz w:val="24"/>
          <w:szCs w:val="24"/>
        </w:rPr>
        <w:t xml:space="preserve"> Вследствие нестабильной экономической ситуации в республике существенно возросла (в 1,4 раза) просроченная задолженность по кредитам, составив на</w:t>
      </w:r>
      <w:r>
        <w:rPr>
          <w:rFonts w:ascii="Times New Roman" w:hAnsi="Times New Roman"/>
          <w:sz w:val="24"/>
          <w:szCs w:val="24"/>
        </w:rPr>
        <w:t xml:space="preserve"> </w:t>
      </w:r>
      <w:r w:rsidRPr="00E5677A">
        <w:rPr>
          <w:rFonts w:ascii="Times New Roman" w:hAnsi="Times New Roman"/>
          <w:sz w:val="24"/>
          <w:szCs w:val="24"/>
        </w:rPr>
        <w:t>1 июля        2015 года 171,6 млн. руб., что соответствует 4,4% совокупных займов нефинансового сектора.</w:t>
      </w:r>
    </w:p>
    <w:bookmarkEnd w:id="6"/>
    <w:bookmarkEnd w:id="7"/>
    <w:p w:rsidR="004839A0" w:rsidRPr="00E5677A" w:rsidRDefault="004839A0" w:rsidP="004839A0">
      <w:pPr>
        <w:widowControl w:val="0"/>
        <w:spacing w:after="0" w:line="240" w:lineRule="auto"/>
        <w:ind w:firstLine="709"/>
        <w:jc w:val="both"/>
        <w:rPr>
          <w:rFonts w:ascii="Times New Roman" w:hAnsi="Times New Roman"/>
          <w:b/>
          <w:bCs/>
          <w:i/>
          <w:iCs/>
          <w:sz w:val="24"/>
          <w:szCs w:val="24"/>
        </w:rPr>
      </w:pPr>
    </w:p>
    <w:p w:rsidR="004839A0" w:rsidRPr="00E5677A" w:rsidRDefault="004839A0" w:rsidP="004839A0">
      <w:pPr>
        <w:widowControl w:val="0"/>
        <w:spacing w:after="0" w:line="240" w:lineRule="auto"/>
        <w:ind w:firstLine="709"/>
        <w:jc w:val="both"/>
        <w:rPr>
          <w:rFonts w:ascii="Times New Roman" w:hAnsi="Times New Roman"/>
          <w:b/>
          <w:bCs/>
          <w:i/>
          <w:iCs/>
          <w:sz w:val="24"/>
          <w:szCs w:val="24"/>
        </w:rPr>
      </w:pPr>
      <w:r w:rsidRPr="00E5677A">
        <w:rPr>
          <w:rFonts w:ascii="Times New Roman" w:hAnsi="Times New Roman"/>
          <w:b/>
          <w:bCs/>
          <w:i/>
          <w:iCs/>
          <w:sz w:val="24"/>
          <w:szCs w:val="24"/>
        </w:rPr>
        <w:t xml:space="preserve">Инструменты денежно-кредитного регулирования </w:t>
      </w:r>
    </w:p>
    <w:p w:rsidR="004839A0" w:rsidRPr="00E5677A" w:rsidRDefault="004839A0" w:rsidP="004839A0">
      <w:pPr>
        <w:spacing w:after="0" w:line="240" w:lineRule="auto"/>
        <w:ind w:firstLine="709"/>
        <w:jc w:val="both"/>
        <w:rPr>
          <w:rFonts w:ascii="Times New Roman" w:hAnsi="Times New Roman"/>
          <w:sz w:val="24"/>
          <w:szCs w:val="24"/>
        </w:rPr>
      </w:pPr>
      <w:r w:rsidRPr="00E5677A">
        <w:rPr>
          <w:rFonts w:ascii="Times New Roman" w:hAnsi="Times New Roman"/>
          <w:sz w:val="24"/>
          <w:szCs w:val="24"/>
        </w:rPr>
        <w:t>В январе 2015 года норматив обязательных резервов сохранялся на уровне 14% от обязательств кредитных организаций по средствам, привлеченных от юридических лиц как в рублях, так и в иностранной валюте. С целью недопущения давления на валютный рынок в условиях избыточной рублёвой ликвидности в течение года повышен норматив обязательных резервов по обязательствам кредитных организаций перед юридическими лицами в рублях ПМР и иностранной валюте с 1 февраля 2015 года до 15%., однако с 1 мая 2015 года принято решение о снижении норматива обязательных резервов - с 15% до 12%.</w:t>
      </w:r>
    </w:p>
    <w:p w:rsidR="004839A0" w:rsidRPr="00E5677A" w:rsidRDefault="004839A0" w:rsidP="004839A0">
      <w:pPr>
        <w:spacing w:after="0" w:line="240" w:lineRule="auto"/>
        <w:ind w:firstLine="709"/>
        <w:jc w:val="both"/>
        <w:rPr>
          <w:sz w:val="24"/>
          <w:szCs w:val="24"/>
        </w:rPr>
      </w:pPr>
      <w:r w:rsidRPr="00E5677A">
        <w:rPr>
          <w:rFonts w:ascii="Times New Roman" w:hAnsi="Times New Roman"/>
          <w:sz w:val="24"/>
          <w:szCs w:val="24"/>
        </w:rPr>
        <w:t>В январе – июне 2015 года Приднестровский республиканский банк продолжал использовать краткосрочные депозитные операции «овернайт». Совокупный объём денежных средств, объявленный Приднестровским республиканским банком к привлечению в депозиты «овернайт» в течение одного рабочего дня, составил                      200 млн. руб. ПМР, доходность по депозитам – 0,6% годовых. Общая сумма средств, привлечённых в депозиты «овернайт» составила 7 282,0 млн. руб.</w:t>
      </w:r>
    </w:p>
    <w:p w:rsidR="004839A0" w:rsidRPr="00E5677A" w:rsidRDefault="004839A0" w:rsidP="004839A0">
      <w:pPr>
        <w:spacing w:after="0" w:line="240" w:lineRule="auto"/>
        <w:ind w:firstLine="709"/>
        <w:jc w:val="both"/>
        <w:rPr>
          <w:rFonts w:ascii="Times New Roman" w:hAnsi="Times New Roman"/>
          <w:sz w:val="24"/>
          <w:szCs w:val="24"/>
        </w:rPr>
      </w:pPr>
      <w:r w:rsidRPr="00E5677A">
        <w:rPr>
          <w:rFonts w:ascii="Times New Roman" w:hAnsi="Times New Roman"/>
          <w:sz w:val="24"/>
          <w:szCs w:val="24"/>
        </w:rPr>
        <w:t>Ставка рефинансирования Приднестровского республиканского банка, установленная с 11 августа 2014 года в размере 3,5 годовых, в отчетном периоде не изменилась.</w:t>
      </w:r>
    </w:p>
    <w:p w:rsidR="004839A0" w:rsidRPr="00E5677A" w:rsidRDefault="004839A0" w:rsidP="004839A0">
      <w:pPr>
        <w:widowControl w:val="0"/>
        <w:spacing w:after="0" w:line="240" w:lineRule="auto"/>
        <w:ind w:firstLine="709"/>
        <w:jc w:val="both"/>
        <w:rPr>
          <w:rFonts w:ascii="Times New Roman" w:hAnsi="Times New Roman"/>
          <w:b/>
          <w:bCs/>
          <w:i/>
          <w:iCs/>
          <w:sz w:val="24"/>
          <w:szCs w:val="24"/>
        </w:rPr>
      </w:pPr>
    </w:p>
    <w:p w:rsidR="004839A0" w:rsidRPr="00E5677A" w:rsidRDefault="004839A0" w:rsidP="004839A0">
      <w:pPr>
        <w:widowControl w:val="0"/>
        <w:spacing w:after="0" w:line="240" w:lineRule="auto"/>
        <w:ind w:firstLine="709"/>
        <w:contextualSpacing/>
        <w:jc w:val="both"/>
        <w:rPr>
          <w:rFonts w:ascii="Times New Roman" w:hAnsi="Times New Roman"/>
          <w:b/>
          <w:bCs/>
          <w:i/>
          <w:iCs/>
          <w:sz w:val="24"/>
          <w:szCs w:val="24"/>
        </w:rPr>
      </w:pPr>
      <w:r w:rsidRPr="00E5677A">
        <w:rPr>
          <w:rFonts w:ascii="Times New Roman" w:hAnsi="Times New Roman"/>
          <w:b/>
          <w:bCs/>
          <w:i/>
          <w:iCs/>
          <w:sz w:val="24"/>
          <w:szCs w:val="24"/>
        </w:rPr>
        <w:t>Противодействие легализации (отмыванию) доходов, полученных преступным путем</w:t>
      </w:r>
    </w:p>
    <w:p w:rsidR="004839A0" w:rsidRPr="00E5677A" w:rsidRDefault="004839A0" w:rsidP="004839A0">
      <w:pPr>
        <w:tabs>
          <w:tab w:val="left" w:pos="720"/>
        </w:tabs>
        <w:spacing w:after="0" w:line="240" w:lineRule="auto"/>
        <w:ind w:firstLine="709"/>
        <w:jc w:val="both"/>
        <w:rPr>
          <w:rFonts w:ascii="Times New Roman" w:hAnsi="Times New Roman"/>
          <w:sz w:val="24"/>
          <w:szCs w:val="24"/>
        </w:rPr>
      </w:pPr>
      <w:r w:rsidRPr="00E5677A">
        <w:rPr>
          <w:rFonts w:ascii="Times New Roman" w:hAnsi="Times New Roman"/>
          <w:sz w:val="24"/>
          <w:szCs w:val="24"/>
        </w:rPr>
        <w:t xml:space="preserve">В рамках реализации функций, установленных статьей 12 Закона Приднестровской Молдавской Республики от 6 апреля 2009 года №704-З-IV «О противодействии легализации (отмыванию) доходов, полученных преступным путём, и финансированию терроризма» осуществлялись мероприятия, направленные на операции с денежными средствами, в отношении которых имелись достаточные основания полагать, что они </w:t>
      </w:r>
      <w:r w:rsidRPr="00E5677A">
        <w:rPr>
          <w:rFonts w:ascii="Times New Roman" w:hAnsi="Times New Roman"/>
          <w:sz w:val="24"/>
          <w:szCs w:val="24"/>
        </w:rPr>
        <w:lastRenderedPageBreak/>
        <w:t>связаны с легализацией (отмыванием) доходов, полученных преступным путём, и финансированием терроризма.</w:t>
      </w:r>
    </w:p>
    <w:p w:rsidR="003F67B2" w:rsidRPr="00641EB5" w:rsidRDefault="004839A0" w:rsidP="004839A0">
      <w:pPr>
        <w:spacing w:line="240" w:lineRule="auto"/>
        <w:ind w:firstLine="709"/>
        <w:contextualSpacing/>
        <w:jc w:val="both"/>
        <w:rPr>
          <w:rFonts w:ascii="Times New Roman" w:hAnsi="Times New Roman"/>
          <w:sz w:val="24"/>
          <w:szCs w:val="24"/>
        </w:rPr>
      </w:pPr>
      <w:r w:rsidRPr="00E5677A">
        <w:rPr>
          <w:rFonts w:ascii="Times New Roman" w:hAnsi="Times New Roman"/>
          <w:sz w:val="24"/>
          <w:szCs w:val="24"/>
        </w:rPr>
        <w:t xml:space="preserve">В </w:t>
      </w:r>
      <w:r w:rsidRPr="00E5677A">
        <w:rPr>
          <w:rFonts w:ascii="Times New Roman" w:hAnsi="Times New Roman"/>
          <w:sz w:val="24"/>
          <w:szCs w:val="24"/>
          <w:lang w:val="en-US"/>
        </w:rPr>
        <w:t>I</w:t>
      </w:r>
      <w:r w:rsidRPr="00E5677A">
        <w:rPr>
          <w:rFonts w:ascii="Times New Roman" w:hAnsi="Times New Roman"/>
          <w:sz w:val="24"/>
          <w:szCs w:val="24"/>
        </w:rPr>
        <w:t xml:space="preserve"> полугодии 2015 года продолжилось совершенствование нормативно-правовой базы в данной сфере.</w:t>
      </w:r>
    </w:p>
    <w:p w:rsidR="003F67B2" w:rsidRPr="00641EB5" w:rsidRDefault="003F67B2" w:rsidP="003F67B2">
      <w:pPr>
        <w:spacing w:after="0" w:line="240" w:lineRule="auto"/>
        <w:ind w:firstLine="720"/>
        <w:contextualSpacing/>
        <w:jc w:val="both"/>
        <w:rPr>
          <w:rFonts w:ascii="Times New Roman" w:hAnsi="Times New Roman"/>
          <w:sz w:val="24"/>
          <w:szCs w:val="24"/>
        </w:rPr>
      </w:pPr>
    </w:p>
    <w:p w:rsidR="00335844" w:rsidRPr="003E7A82" w:rsidRDefault="00335844" w:rsidP="00335844">
      <w:pPr>
        <w:widowControl w:val="0"/>
        <w:tabs>
          <w:tab w:val="left" w:pos="630"/>
        </w:tabs>
        <w:autoSpaceDE w:val="0"/>
        <w:autoSpaceDN w:val="0"/>
        <w:adjustRightInd w:val="0"/>
        <w:spacing w:after="0" w:line="240" w:lineRule="auto"/>
        <w:ind w:firstLine="720"/>
        <w:jc w:val="both"/>
        <w:rPr>
          <w:rFonts w:ascii="Times New Roman" w:eastAsia="Calibri" w:hAnsi="Times New Roman"/>
          <w:b/>
          <w:sz w:val="24"/>
          <w:szCs w:val="24"/>
        </w:rPr>
      </w:pPr>
      <w:r w:rsidRPr="003E7A82">
        <w:rPr>
          <w:rFonts w:ascii="Times New Roman" w:eastAsia="Calibri" w:hAnsi="Times New Roman"/>
          <w:b/>
          <w:sz w:val="24"/>
          <w:szCs w:val="24"/>
        </w:rPr>
        <w:t>Исполнение Консолидированного бюджета</w:t>
      </w:r>
    </w:p>
    <w:p w:rsidR="00335844" w:rsidRPr="00641EB5" w:rsidRDefault="00335844" w:rsidP="00335844">
      <w:pPr>
        <w:widowControl w:val="0"/>
        <w:tabs>
          <w:tab w:val="left" w:pos="630"/>
        </w:tabs>
        <w:autoSpaceDE w:val="0"/>
        <w:autoSpaceDN w:val="0"/>
        <w:adjustRightInd w:val="0"/>
        <w:spacing w:after="0" w:line="240" w:lineRule="auto"/>
        <w:ind w:firstLine="720"/>
        <w:jc w:val="both"/>
        <w:rPr>
          <w:rFonts w:ascii="Times New Roman" w:eastAsia="Calibri" w:hAnsi="Times New Roman"/>
          <w:bCs/>
          <w:sz w:val="24"/>
          <w:szCs w:val="24"/>
        </w:rPr>
      </w:pPr>
    </w:p>
    <w:p w:rsidR="004839A0" w:rsidRPr="00EA52D1"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В доходную часть консолидированного бюджета в </w:t>
      </w:r>
      <w:r>
        <w:rPr>
          <w:rFonts w:ascii="Times New Roman" w:hAnsi="Times New Roman"/>
          <w:sz w:val="24"/>
          <w:szCs w:val="24"/>
          <w:lang w:val="en-US"/>
        </w:rPr>
        <w:t>I</w:t>
      </w:r>
      <w:r>
        <w:rPr>
          <w:rFonts w:ascii="Times New Roman" w:hAnsi="Times New Roman"/>
          <w:sz w:val="24"/>
          <w:szCs w:val="24"/>
        </w:rPr>
        <w:t xml:space="preserve"> полугодии </w:t>
      </w:r>
      <w:r w:rsidRPr="008651BC">
        <w:rPr>
          <w:rFonts w:ascii="Times New Roman" w:hAnsi="Times New Roman"/>
          <w:sz w:val="24"/>
          <w:szCs w:val="24"/>
        </w:rPr>
        <w:t xml:space="preserve">2015 года поступило средств на сумму 1 070 626 827 руб., что составляет </w:t>
      </w:r>
      <w:r w:rsidRPr="008651BC">
        <w:rPr>
          <w:rFonts w:ascii="Times New Roman" w:hAnsi="Times New Roman"/>
          <w:bCs/>
          <w:sz w:val="24"/>
          <w:szCs w:val="24"/>
        </w:rPr>
        <w:t>91,0</w:t>
      </w:r>
      <w:r w:rsidRPr="008651BC">
        <w:rPr>
          <w:rFonts w:ascii="Times New Roman" w:hAnsi="Times New Roman"/>
          <w:sz w:val="24"/>
          <w:szCs w:val="24"/>
        </w:rPr>
        <w:t>% от запланированного объема (1 176 838 772 руб. ПМР), или 67,1% по отношению</w:t>
      </w:r>
      <w:r w:rsidRPr="008651BC">
        <w:rPr>
          <w:rFonts w:ascii="Times New Roman" w:hAnsi="Times New Roman"/>
          <w:b/>
          <w:sz w:val="24"/>
          <w:szCs w:val="24"/>
        </w:rPr>
        <w:t xml:space="preserve"> </w:t>
      </w:r>
      <w:r w:rsidRPr="008651BC">
        <w:rPr>
          <w:rFonts w:ascii="Times New Roman" w:hAnsi="Times New Roman"/>
          <w:sz w:val="24"/>
          <w:szCs w:val="24"/>
        </w:rPr>
        <w:t xml:space="preserve">к соответствующему периоду прошлого года. В целом, </w:t>
      </w:r>
      <w:r>
        <w:rPr>
          <w:rFonts w:ascii="Times New Roman" w:hAnsi="Times New Roman"/>
          <w:sz w:val="24"/>
          <w:szCs w:val="24"/>
        </w:rPr>
        <w:t xml:space="preserve">в I полугодии 2015 года </w:t>
      </w:r>
      <w:r w:rsidRPr="008651BC">
        <w:rPr>
          <w:rFonts w:ascii="Times New Roman" w:hAnsi="Times New Roman"/>
          <w:sz w:val="24"/>
          <w:szCs w:val="24"/>
        </w:rPr>
        <w:t xml:space="preserve">обеспечена отрицательная динамика доходов консолидированного бюджета </w:t>
      </w:r>
      <w:r>
        <w:rPr>
          <w:rFonts w:ascii="Times New Roman" w:hAnsi="Times New Roman"/>
          <w:sz w:val="24"/>
          <w:szCs w:val="24"/>
        </w:rPr>
        <w:t>как к базовым показателям минувшего года, так и к плановым показателям.</w:t>
      </w:r>
    </w:p>
    <w:p w:rsidR="004839A0" w:rsidRPr="00EA52D1" w:rsidRDefault="004839A0" w:rsidP="004839A0">
      <w:pPr>
        <w:spacing w:after="0" w:line="240" w:lineRule="auto"/>
        <w:ind w:firstLine="709"/>
        <w:jc w:val="center"/>
        <w:rPr>
          <w:rFonts w:ascii="Times New Roman" w:hAnsi="Times New Roman"/>
          <w:sz w:val="24"/>
          <w:szCs w:val="24"/>
        </w:rPr>
      </w:pPr>
      <w:r w:rsidRPr="00EA52D1">
        <w:rPr>
          <w:rFonts w:ascii="Times New Roman" w:hAnsi="Times New Roman"/>
          <w:sz w:val="24"/>
          <w:szCs w:val="24"/>
        </w:rPr>
        <w:t xml:space="preserve">                                                                                    </w:t>
      </w:r>
      <w:r w:rsidR="00A61992">
        <w:rPr>
          <w:rFonts w:ascii="Times New Roman" w:hAnsi="Times New Roman"/>
          <w:sz w:val="24"/>
          <w:szCs w:val="24"/>
        </w:rPr>
        <w:t xml:space="preserve">             </w:t>
      </w:r>
      <w:r w:rsidRPr="00EA52D1">
        <w:rPr>
          <w:rFonts w:ascii="Times New Roman" w:hAnsi="Times New Roman"/>
          <w:sz w:val="24"/>
          <w:szCs w:val="24"/>
        </w:rPr>
        <w:t xml:space="preserve">        Таблица №</w:t>
      </w:r>
      <w:r w:rsidR="00A61992">
        <w:rPr>
          <w:rFonts w:ascii="Times New Roman" w:hAnsi="Times New Roman"/>
          <w:sz w:val="24"/>
          <w:szCs w:val="24"/>
        </w:rPr>
        <w:t>4</w:t>
      </w:r>
    </w:p>
    <w:p w:rsidR="004839A0" w:rsidRPr="008651BC" w:rsidRDefault="004839A0" w:rsidP="004839A0">
      <w:pPr>
        <w:pStyle w:val="a9"/>
        <w:keepNext/>
        <w:spacing w:after="0"/>
        <w:contextualSpacing/>
        <w:jc w:val="center"/>
        <w:rPr>
          <w:rFonts w:ascii="Times New Roman" w:hAnsi="Times New Roman"/>
          <w:color w:val="auto"/>
          <w:sz w:val="24"/>
          <w:szCs w:val="24"/>
        </w:rPr>
      </w:pPr>
      <w:r w:rsidRPr="008651BC">
        <w:rPr>
          <w:rFonts w:ascii="Times New Roman" w:hAnsi="Times New Roman"/>
          <w:color w:val="auto"/>
          <w:sz w:val="24"/>
          <w:szCs w:val="24"/>
        </w:rPr>
        <w:t>Структура исполнения доходной части консолидированного</w:t>
      </w:r>
    </w:p>
    <w:p w:rsidR="004839A0" w:rsidRPr="008651BC" w:rsidRDefault="004839A0" w:rsidP="004839A0">
      <w:pPr>
        <w:pStyle w:val="a9"/>
        <w:keepNext/>
        <w:spacing w:after="0"/>
        <w:contextualSpacing/>
        <w:jc w:val="center"/>
        <w:rPr>
          <w:rFonts w:ascii="Times New Roman" w:hAnsi="Times New Roman"/>
          <w:color w:val="auto"/>
          <w:sz w:val="24"/>
          <w:szCs w:val="24"/>
        </w:rPr>
      </w:pPr>
      <w:r w:rsidRPr="008651BC">
        <w:rPr>
          <w:rFonts w:ascii="Times New Roman" w:hAnsi="Times New Roman"/>
          <w:color w:val="auto"/>
          <w:sz w:val="24"/>
          <w:szCs w:val="24"/>
        </w:rPr>
        <w:t xml:space="preserve">бюджета за </w:t>
      </w:r>
      <w:r w:rsidRPr="008651BC">
        <w:rPr>
          <w:rFonts w:ascii="Times New Roman" w:hAnsi="Times New Roman"/>
          <w:color w:val="auto"/>
          <w:sz w:val="24"/>
          <w:szCs w:val="24"/>
          <w:lang w:val="en-US"/>
        </w:rPr>
        <w:t>I</w:t>
      </w:r>
      <w:r w:rsidRPr="008651BC">
        <w:rPr>
          <w:rFonts w:ascii="Times New Roman" w:hAnsi="Times New Roman"/>
          <w:color w:val="auto"/>
          <w:sz w:val="24"/>
          <w:szCs w:val="24"/>
        </w:rPr>
        <w:t xml:space="preserve"> полугодие 2015 года</w:t>
      </w:r>
    </w:p>
    <w:tbl>
      <w:tblPr>
        <w:tblpPr w:leftFromText="180" w:rightFromText="180" w:vertAnchor="text" w:horzAnchor="margin" w:tblpXSpec="center" w:tblpY="132"/>
        <w:tblW w:w="8047" w:type="dxa"/>
        <w:tblLook w:val="0000"/>
      </w:tblPr>
      <w:tblGrid>
        <w:gridCol w:w="2695"/>
        <w:gridCol w:w="1459"/>
        <w:gridCol w:w="1525"/>
        <w:gridCol w:w="950"/>
        <w:gridCol w:w="1418"/>
      </w:tblGrid>
      <w:tr w:rsidR="0063092C" w:rsidRPr="008651BC" w:rsidTr="00CE1DEA">
        <w:trPr>
          <w:cantSplit/>
          <w:trHeight w:val="78"/>
        </w:trPr>
        <w:tc>
          <w:tcPr>
            <w:tcW w:w="2695" w:type="dxa"/>
            <w:tcBorders>
              <w:top w:val="single" w:sz="4" w:space="0" w:color="auto"/>
              <w:left w:val="single" w:sz="8" w:space="0" w:color="auto"/>
              <w:bottom w:val="nil"/>
              <w:right w:val="nil"/>
            </w:tcBorders>
            <w:noWrap/>
          </w:tcPr>
          <w:p w:rsidR="0063092C" w:rsidRPr="008651BC" w:rsidRDefault="0063092C" w:rsidP="0063092C">
            <w:pPr>
              <w:spacing w:after="0" w:line="240" w:lineRule="auto"/>
              <w:ind w:left="-1134"/>
              <w:rPr>
                <w:rFonts w:ascii="Times New Roman" w:hAnsi="Times New Roman"/>
                <w:b/>
                <w:bCs/>
              </w:rPr>
            </w:pPr>
            <w:r w:rsidRPr="008651BC">
              <w:rPr>
                <w:rFonts w:ascii="Times New Roman" w:hAnsi="Times New Roman"/>
                <w:b/>
                <w:bCs/>
              </w:rPr>
              <w:t> </w:t>
            </w:r>
          </w:p>
        </w:tc>
        <w:tc>
          <w:tcPr>
            <w:tcW w:w="1459" w:type="dxa"/>
            <w:vMerge w:val="restart"/>
            <w:tcBorders>
              <w:top w:val="single" w:sz="4" w:space="0" w:color="auto"/>
              <w:left w:val="single" w:sz="8" w:space="0" w:color="auto"/>
              <w:bottom w:val="single" w:sz="8" w:space="0" w:color="000000"/>
              <w:right w:val="single" w:sz="8" w:space="0" w:color="auto"/>
            </w:tcBorders>
            <w:noWrap/>
            <w:vAlign w:val="center"/>
          </w:tcPr>
          <w:p w:rsidR="0063092C" w:rsidRPr="008651BC" w:rsidRDefault="0063092C" w:rsidP="0063092C">
            <w:pPr>
              <w:spacing w:after="0" w:line="240" w:lineRule="auto"/>
              <w:jc w:val="center"/>
              <w:rPr>
                <w:rFonts w:ascii="Times New Roman" w:hAnsi="Times New Roman"/>
                <w:b/>
                <w:bCs/>
              </w:rPr>
            </w:pPr>
            <w:r w:rsidRPr="008651BC">
              <w:rPr>
                <w:rFonts w:ascii="Times New Roman" w:hAnsi="Times New Roman"/>
                <w:b/>
                <w:bCs/>
              </w:rPr>
              <w:t>План</w:t>
            </w:r>
          </w:p>
        </w:tc>
        <w:tc>
          <w:tcPr>
            <w:tcW w:w="1525" w:type="dxa"/>
            <w:vMerge w:val="restart"/>
            <w:tcBorders>
              <w:top w:val="single" w:sz="4" w:space="0" w:color="auto"/>
              <w:left w:val="single" w:sz="8" w:space="0" w:color="auto"/>
              <w:bottom w:val="single" w:sz="8" w:space="0" w:color="000000"/>
              <w:right w:val="single" w:sz="8" w:space="0" w:color="auto"/>
            </w:tcBorders>
            <w:noWrap/>
            <w:vAlign w:val="center"/>
          </w:tcPr>
          <w:p w:rsidR="0063092C" w:rsidRPr="008651BC" w:rsidRDefault="0063092C" w:rsidP="0063092C">
            <w:pPr>
              <w:spacing w:after="0" w:line="240" w:lineRule="auto"/>
              <w:jc w:val="center"/>
              <w:rPr>
                <w:rFonts w:ascii="Times New Roman" w:hAnsi="Times New Roman"/>
                <w:b/>
                <w:bCs/>
              </w:rPr>
            </w:pPr>
            <w:r w:rsidRPr="008651BC">
              <w:rPr>
                <w:rFonts w:ascii="Times New Roman" w:hAnsi="Times New Roman"/>
                <w:b/>
                <w:bCs/>
              </w:rPr>
              <w:t>Факт</w:t>
            </w:r>
          </w:p>
        </w:tc>
        <w:tc>
          <w:tcPr>
            <w:tcW w:w="950" w:type="dxa"/>
            <w:vMerge w:val="restart"/>
            <w:tcBorders>
              <w:top w:val="single" w:sz="4" w:space="0" w:color="auto"/>
              <w:left w:val="nil"/>
              <w:right w:val="single" w:sz="8" w:space="0" w:color="auto"/>
            </w:tcBorders>
            <w:noWrap/>
            <w:vAlign w:val="center"/>
          </w:tcPr>
          <w:p w:rsidR="0063092C" w:rsidRPr="008651BC" w:rsidRDefault="0063092C" w:rsidP="0063092C">
            <w:pPr>
              <w:spacing w:after="0" w:line="240" w:lineRule="auto"/>
              <w:jc w:val="center"/>
              <w:rPr>
                <w:rFonts w:ascii="Times New Roman" w:hAnsi="Times New Roman"/>
                <w:b/>
                <w:bCs/>
              </w:rPr>
            </w:pPr>
            <w:r w:rsidRPr="008651BC">
              <w:rPr>
                <w:rFonts w:ascii="Times New Roman" w:hAnsi="Times New Roman"/>
                <w:b/>
                <w:bCs/>
              </w:rPr>
              <w:t>%</w:t>
            </w:r>
          </w:p>
          <w:p w:rsidR="0063092C" w:rsidRPr="008651BC" w:rsidRDefault="0063092C" w:rsidP="0063092C">
            <w:pPr>
              <w:spacing w:after="0" w:line="240" w:lineRule="auto"/>
              <w:ind w:left="-270" w:right="-334"/>
              <w:jc w:val="center"/>
              <w:rPr>
                <w:rFonts w:ascii="Times New Roman" w:hAnsi="Times New Roman"/>
                <w:b/>
                <w:bCs/>
              </w:rPr>
            </w:pPr>
            <w:r w:rsidRPr="008651BC">
              <w:rPr>
                <w:rFonts w:ascii="Times New Roman" w:hAnsi="Times New Roman"/>
                <w:b/>
                <w:bCs/>
              </w:rPr>
              <w:t>исполн.</w:t>
            </w:r>
          </w:p>
        </w:tc>
        <w:tc>
          <w:tcPr>
            <w:tcW w:w="1418" w:type="dxa"/>
            <w:vMerge w:val="restart"/>
            <w:tcBorders>
              <w:top w:val="single" w:sz="4" w:space="0" w:color="auto"/>
              <w:left w:val="nil"/>
              <w:right w:val="single" w:sz="8" w:space="0" w:color="auto"/>
            </w:tcBorders>
          </w:tcPr>
          <w:p w:rsidR="0063092C" w:rsidRPr="008651BC" w:rsidRDefault="0063092C" w:rsidP="0063092C">
            <w:pPr>
              <w:spacing w:after="0" w:line="240" w:lineRule="auto"/>
              <w:ind w:left="-59"/>
              <w:jc w:val="center"/>
              <w:rPr>
                <w:rFonts w:ascii="Times New Roman" w:hAnsi="Times New Roman"/>
                <w:b/>
                <w:bCs/>
              </w:rPr>
            </w:pPr>
            <w:r w:rsidRPr="008651BC">
              <w:rPr>
                <w:rFonts w:ascii="Times New Roman" w:hAnsi="Times New Roman"/>
                <w:b/>
                <w:bCs/>
              </w:rPr>
              <w:t>Темп роста 2015 года к 2014 году, %</w:t>
            </w:r>
          </w:p>
        </w:tc>
      </w:tr>
      <w:tr w:rsidR="0063092C" w:rsidRPr="008651BC" w:rsidTr="00CE1DEA">
        <w:trPr>
          <w:cantSplit/>
          <w:trHeight w:val="613"/>
        </w:trPr>
        <w:tc>
          <w:tcPr>
            <w:tcW w:w="2695" w:type="dxa"/>
            <w:tcBorders>
              <w:top w:val="nil"/>
              <w:left w:val="single" w:sz="8" w:space="0" w:color="auto"/>
              <w:bottom w:val="single" w:sz="8" w:space="0" w:color="auto"/>
              <w:right w:val="nil"/>
            </w:tcBorders>
            <w:noWrap/>
          </w:tcPr>
          <w:p w:rsidR="0063092C" w:rsidRPr="008651BC" w:rsidRDefault="0063092C" w:rsidP="00A61992">
            <w:pPr>
              <w:spacing w:after="0" w:line="240" w:lineRule="auto"/>
              <w:jc w:val="center"/>
              <w:rPr>
                <w:rFonts w:ascii="Times New Roman" w:hAnsi="Times New Roman"/>
                <w:b/>
                <w:bCs/>
              </w:rPr>
            </w:pPr>
          </w:p>
        </w:tc>
        <w:tc>
          <w:tcPr>
            <w:tcW w:w="1459" w:type="dxa"/>
            <w:vMerge/>
            <w:tcBorders>
              <w:top w:val="single" w:sz="4" w:space="0" w:color="auto"/>
              <w:left w:val="single" w:sz="8" w:space="0" w:color="auto"/>
              <w:bottom w:val="single" w:sz="8" w:space="0" w:color="000000"/>
              <w:right w:val="single" w:sz="8" w:space="0" w:color="auto"/>
            </w:tcBorders>
            <w:vAlign w:val="center"/>
          </w:tcPr>
          <w:p w:rsidR="0063092C" w:rsidRPr="008651BC" w:rsidRDefault="0063092C" w:rsidP="0063092C">
            <w:pPr>
              <w:spacing w:after="0" w:line="240" w:lineRule="auto"/>
              <w:jc w:val="center"/>
              <w:rPr>
                <w:rFonts w:ascii="Times New Roman" w:hAnsi="Times New Roman"/>
                <w:b/>
                <w:bCs/>
              </w:rPr>
            </w:pPr>
          </w:p>
        </w:tc>
        <w:tc>
          <w:tcPr>
            <w:tcW w:w="1525" w:type="dxa"/>
            <w:vMerge/>
            <w:tcBorders>
              <w:top w:val="single" w:sz="4" w:space="0" w:color="auto"/>
              <w:left w:val="single" w:sz="8" w:space="0" w:color="auto"/>
              <w:bottom w:val="single" w:sz="8" w:space="0" w:color="000000"/>
              <w:right w:val="single" w:sz="8" w:space="0" w:color="auto"/>
            </w:tcBorders>
            <w:vAlign w:val="center"/>
          </w:tcPr>
          <w:p w:rsidR="0063092C" w:rsidRPr="008651BC" w:rsidRDefault="0063092C" w:rsidP="0063092C">
            <w:pPr>
              <w:spacing w:after="0" w:line="240" w:lineRule="auto"/>
              <w:jc w:val="center"/>
              <w:rPr>
                <w:rFonts w:ascii="Times New Roman" w:hAnsi="Times New Roman"/>
                <w:b/>
                <w:bCs/>
              </w:rPr>
            </w:pPr>
          </w:p>
        </w:tc>
        <w:tc>
          <w:tcPr>
            <w:tcW w:w="950" w:type="dxa"/>
            <w:vMerge/>
            <w:tcBorders>
              <w:left w:val="nil"/>
              <w:bottom w:val="single" w:sz="8" w:space="0" w:color="auto"/>
              <w:right w:val="single" w:sz="8" w:space="0" w:color="auto"/>
            </w:tcBorders>
            <w:noWrap/>
            <w:vAlign w:val="bottom"/>
          </w:tcPr>
          <w:p w:rsidR="0063092C" w:rsidRPr="008651BC" w:rsidRDefault="0063092C" w:rsidP="0063092C">
            <w:pPr>
              <w:spacing w:after="0" w:line="240" w:lineRule="auto"/>
              <w:jc w:val="center"/>
              <w:rPr>
                <w:rFonts w:ascii="Times New Roman" w:hAnsi="Times New Roman"/>
                <w:b/>
                <w:bCs/>
              </w:rPr>
            </w:pPr>
          </w:p>
        </w:tc>
        <w:tc>
          <w:tcPr>
            <w:tcW w:w="1418" w:type="dxa"/>
            <w:vMerge/>
            <w:tcBorders>
              <w:left w:val="nil"/>
              <w:bottom w:val="single" w:sz="8" w:space="0" w:color="auto"/>
              <w:right w:val="single" w:sz="8" w:space="0" w:color="auto"/>
            </w:tcBorders>
          </w:tcPr>
          <w:p w:rsidR="0063092C" w:rsidRPr="008651BC" w:rsidRDefault="0063092C" w:rsidP="0063092C">
            <w:pPr>
              <w:spacing w:after="0" w:line="240" w:lineRule="auto"/>
              <w:jc w:val="center"/>
              <w:rPr>
                <w:rFonts w:ascii="Times New Roman" w:hAnsi="Times New Roman"/>
                <w:b/>
                <w:bCs/>
              </w:rPr>
            </w:pPr>
          </w:p>
        </w:tc>
      </w:tr>
      <w:tr w:rsidR="0063092C" w:rsidRPr="008651BC" w:rsidTr="00CE1DEA">
        <w:trPr>
          <w:trHeight w:val="628"/>
        </w:trPr>
        <w:tc>
          <w:tcPr>
            <w:tcW w:w="2695" w:type="dxa"/>
            <w:tcBorders>
              <w:top w:val="nil"/>
              <w:left w:val="single" w:sz="8" w:space="0" w:color="auto"/>
              <w:bottom w:val="nil"/>
              <w:right w:val="nil"/>
            </w:tcBorders>
            <w:noWrap/>
            <w:vAlign w:val="center"/>
          </w:tcPr>
          <w:p w:rsidR="0063092C" w:rsidRPr="008651BC" w:rsidRDefault="0063092C" w:rsidP="0063092C">
            <w:pPr>
              <w:spacing w:after="0" w:line="240" w:lineRule="auto"/>
              <w:ind w:left="-56"/>
              <w:rPr>
                <w:rFonts w:ascii="Times New Roman" w:hAnsi="Times New Roman"/>
                <w:b/>
                <w:bCs/>
              </w:rPr>
            </w:pPr>
            <w:r w:rsidRPr="008651BC">
              <w:rPr>
                <w:rFonts w:ascii="Times New Roman" w:hAnsi="Times New Roman"/>
                <w:b/>
                <w:bCs/>
              </w:rPr>
              <w:t>Консолидированный бюджет, в т.ч.:</w:t>
            </w:r>
          </w:p>
        </w:tc>
        <w:tc>
          <w:tcPr>
            <w:tcW w:w="1459" w:type="dxa"/>
            <w:tcBorders>
              <w:top w:val="nil"/>
              <w:left w:val="single" w:sz="8" w:space="0" w:color="auto"/>
              <w:bottom w:val="single" w:sz="4" w:space="0" w:color="000000"/>
              <w:right w:val="single" w:sz="8" w:space="0" w:color="auto"/>
            </w:tcBorders>
            <w:noWrap/>
            <w:vAlign w:val="center"/>
          </w:tcPr>
          <w:p w:rsidR="0063092C" w:rsidRPr="008651BC" w:rsidRDefault="0063092C" w:rsidP="0063092C">
            <w:pPr>
              <w:spacing w:after="0" w:line="240" w:lineRule="auto"/>
              <w:ind w:left="-123" w:right="-61"/>
              <w:jc w:val="center"/>
              <w:rPr>
                <w:rFonts w:ascii="Times New Roman" w:hAnsi="Times New Roman"/>
                <w:b/>
                <w:bCs/>
              </w:rPr>
            </w:pPr>
            <w:r w:rsidRPr="008651BC">
              <w:rPr>
                <w:rFonts w:ascii="Times New Roman" w:hAnsi="Times New Roman"/>
                <w:b/>
                <w:bCs/>
              </w:rPr>
              <w:t>1 176 838 772</w:t>
            </w:r>
          </w:p>
        </w:tc>
        <w:tc>
          <w:tcPr>
            <w:tcW w:w="1525" w:type="dxa"/>
            <w:tcBorders>
              <w:top w:val="nil"/>
              <w:left w:val="single" w:sz="8" w:space="0" w:color="auto"/>
              <w:bottom w:val="nil"/>
              <w:right w:val="single" w:sz="8" w:space="0" w:color="auto"/>
            </w:tcBorders>
            <w:noWrap/>
            <w:vAlign w:val="center"/>
          </w:tcPr>
          <w:p w:rsidR="0063092C" w:rsidRPr="008651BC" w:rsidRDefault="0063092C" w:rsidP="0063092C">
            <w:pPr>
              <w:spacing w:after="0" w:line="240" w:lineRule="auto"/>
              <w:ind w:left="-155" w:right="-190"/>
              <w:jc w:val="center"/>
              <w:rPr>
                <w:rFonts w:ascii="Times New Roman" w:hAnsi="Times New Roman"/>
                <w:b/>
                <w:bCs/>
              </w:rPr>
            </w:pPr>
            <w:r w:rsidRPr="008651BC">
              <w:rPr>
                <w:rFonts w:ascii="Times New Roman" w:hAnsi="Times New Roman"/>
                <w:b/>
                <w:bCs/>
              </w:rPr>
              <w:t>1 070 626 827</w:t>
            </w:r>
          </w:p>
        </w:tc>
        <w:tc>
          <w:tcPr>
            <w:tcW w:w="950" w:type="dxa"/>
            <w:tcBorders>
              <w:top w:val="nil"/>
              <w:left w:val="single" w:sz="8" w:space="0" w:color="auto"/>
              <w:bottom w:val="single" w:sz="4" w:space="0" w:color="000000"/>
              <w:right w:val="single" w:sz="8" w:space="0" w:color="auto"/>
            </w:tcBorders>
            <w:noWrap/>
            <w:vAlign w:val="center"/>
          </w:tcPr>
          <w:p w:rsidR="0063092C" w:rsidRPr="008651BC" w:rsidRDefault="0063092C" w:rsidP="0063092C">
            <w:pPr>
              <w:spacing w:after="0" w:line="240" w:lineRule="auto"/>
              <w:jc w:val="center"/>
              <w:rPr>
                <w:rFonts w:ascii="Times New Roman" w:hAnsi="Times New Roman"/>
                <w:b/>
                <w:bCs/>
              </w:rPr>
            </w:pPr>
            <w:r w:rsidRPr="008651BC">
              <w:rPr>
                <w:rFonts w:ascii="Times New Roman" w:hAnsi="Times New Roman"/>
                <w:b/>
                <w:bCs/>
              </w:rPr>
              <w:t>91,0</w:t>
            </w:r>
          </w:p>
        </w:tc>
        <w:tc>
          <w:tcPr>
            <w:tcW w:w="1418" w:type="dxa"/>
            <w:tcBorders>
              <w:top w:val="nil"/>
              <w:left w:val="single" w:sz="8" w:space="0" w:color="auto"/>
              <w:bottom w:val="single" w:sz="4" w:space="0" w:color="000000"/>
              <w:right w:val="single" w:sz="8" w:space="0" w:color="auto"/>
            </w:tcBorders>
            <w:vAlign w:val="center"/>
          </w:tcPr>
          <w:p w:rsidR="0063092C" w:rsidRPr="008651BC" w:rsidRDefault="0063092C" w:rsidP="0063092C">
            <w:pPr>
              <w:spacing w:after="0" w:line="240" w:lineRule="auto"/>
              <w:jc w:val="center"/>
              <w:rPr>
                <w:rFonts w:ascii="Times New Roman" w:hAnsi="Times New Roman"/>
                <w:b/>
                <w:bCs/>
              </w:rPr>
            </w:pPr>
            <w:r w:rsidRPr="008651BC">
              <w:rPr>
                <w:rFonts w:ascii="Times New Roman" w:hAnsi="Times New Roman"/>
                <w:b/>
                <w:bCs/>
              </w:rPr>
              <w:t>67,1</w:t>
            </w:r>
          </w:p>
        </w:tc>
      </w:tr>
      <w:tr w:rsidR="0063092C" w:rsidRPr="008651BC" w:rsidTr="00CE1DEA">
        <w:trPr>
          <w:trHeight w:val="474"/>
        </w:trPr>
        <w:tc>
          <w:tcPr>
            <w:tcW w:w="2695" w:type="dxa"/>
            <w:tcBorders>
              <w:top w:val="single" w:sz="4" w:space="0" w:color="auto"/>
              <w:left w:val="single" w:sz="8" w:space="0" w:color="auto"/>
              <w:bottom w:val="single" w:sz="4" w:space="0" w:color="auto"/>
              <w:right w:val="nil"/>
            </w:tcBorders>
            <w:noWrap/>
            <w:vAlign w:val="center"/>
          </w:tcPr>
          <w:p w:rsidR="0063092C" w:rsidRPr="008651BC" w:rsidRDefault="0063092C" w:rsidP="0063092C">
            <w:pPr>
              <w:spacing w:after="0" w:line="240" w:lineRule="auto"/>
              <w:ind w:left="-56"/>
              <w:rPr>
                <w:rFonts w:ascii="Times New Roman" w:hAnsi="Times New Roman"/>
                <w:bCs/>
              </w:rPr>
            </w:pPr>
            <w:r w:rsidRPr="008651BC">
              <w:rPr>
                <w:rFonts w:ascii="Times New Roman" w:hAnsi="Times New Roman"/>
                <w:bCs/>
              </w:rPr>
              <w:t>Республиканский бюджет</w:t>
            </w:r>
          </w:p>
        </w:tc>
        <w:tc>
          <w:tcPr>
            <w:tcW w:w="1459" w:type="dxa"/>
            <w:tcBorders>
              <w:top w:val="nil"/>
              <w:left w:val="single" w:sz="8" w:space="0" w:color="auto"/>
              <w:bottom w:val="single" w:sz="4" w:space="0" w:color="auto"/>
              <w:right w:val="single" w:sz="8" w:space="0" w:color="auto"/>
            </w:tcBorders>
            <w:noWrap/>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754 001 835</w:t>
            </w:r>
          </w:p>
        </w:tc>
        <w:tc>
          <w:tcPr>
            <w:tcW w:w="1525" w:type="dxa"/>
            <w:tcBorders>
              <w:top w:val="single" w:sz="4" w:space="0" w:color="auto"/>
              <w:left w:val="nil"/>
              <w:bottom w:val="single" w:sz="4" w:space="0" w:color="auto"/>
              <w:right w:val="single" w:sz="8" w:space="0" w:color="auto"/>
            </w:tcBorders>
            <w:noWrap/>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681 511 922</w:t>
            </w:r>
          </w:p>
        </w:tc>
        <w:tc>
          <w:tcPr>
            <w:tcW w:w="950" w:type="dxa"/>
            <w:tcBorders>
              <w:top w:val="nil"/>
              <w:left w:val="nil"/>
              <w:bottom w:val="single" w:sz="4" w:space="0" w:color="auto"/>
              <w:right w:val="single" w:sz="8" w:space="0" w:color="auto"/>
            </w:tcBorders>
            <w:noWrap/>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90,4</w:t>
            </w:r>
          </w:p>
        </w:tc>
        <w:tc>
          <w:tcPr>
            <w:tcW w:w="1418" w:type="dxa"/>
            <w:tcBorders>
              <w:top w:val="nil"/>
              <w:left w:val="nil"/>
              <w:bottom w:val="single" w:sz="4" w:space="0" w:color="auto"/>
              <w:right w:val="single" w:sz="8" w:space="0" w:color="auto"/>
            </w:tcBorders>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59,6</w:t>
            </w:r>
          </w:p>
        </w:tc>
      </w:tr>
      <w:tr w:rsidR="0063092C" w:rsidRPr="00BD5EFA" w:rsidTr="00CE1DEA">
        <w:trPr>
          <w:trHeight w:val="466"/>
        </w:trPr>
        <w:tc>
          <w:tcPr>
            <w:tcW w:w="2695" w:type="dxa"/>
            <w:tcBorders>
              <w:top w:val="nil"/>
              <w:left w:val="single" w:sz="8" w:space="0" w:color="auto"/>
              <w:bottom w:val="single" w:sz="4" w:space="0" w:color="auto"/>
              <w:right w:val="nil"/>
            </w:tcBorders>
            <w:noWrap/>
            <w:vAlign w:val="center"/>
          </w:tcPr>
          <w:p w:rsidR="0063092C" w:rsidRPr="008651BC" w:rsidRDefault="0063092C" w:rsidP="0063092C">
            <w:pPr>
              <w:spacing w:after="0" w:line="240" w:lineRule="auto"/>
              <w:ind w:left="-56"/>
              <w:rPr>
                <w:rFonts w:ascii="Times New Roman" w:hAnsi="Times New Roman"/>
                <w:bCs/>
              </w:rPr>
            </w:pPr>
            <w:r w:rsidRPr="008651BC">
              <w:rPr>
                <w:rFonts w:ascii="Times New Roman" w:hAnsi="Times New Roman"/>
                <w:bCs/>
              </w:rPr>
              <w:t>Местные бюджеты</w:t>
            </w:r>
          </w:p>
        </w:tc>
        <w:tc>
          <w:tcPr>
            <w:tcW w:w="1459" w:type="dxa"/>
            <w:tcBorders>
              <w:top w:val="nil"/>
              <w:left w:val="single" w:sz="8" w:space="0" w:color="auto"/>
              <w:bottom w:val="single" w:sz="4" w:space="0" w:color="auto"/>
              <w:right w:val="single" w:sz="8" w:space="0" w:color="auto"/>
            </w:tcBorders>
            <w:noWrap/>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422 836 937</w:t>
            </w:r>
          </w:p>
        </w:tc>
        <w:tc>
          <w:tcPr>
            <w:tcW w:w="1525" w:type="dxa"/>
            <w:tcBorders>
              <w:top w:val="nil"/>
              <w:left w:val="nil"/>
              <w:bottom w:val="single" w:sz="4" w:space="0" w:color="auto"/>
              <w:right w:val="single" w:sz="8" w:space="0" w:color="auto"/>
            </w:tcBorders>
            <w:noWrap/>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389 114 905</w:t>
            </w:r>
          </w:p>
        </w:tc>
        <w:tc>
          <w:tcPr>
            <w:tcW w:w="950" w:type="dxa"/>
            <w:tcBorders>
              <w:top w:val="nil"/>
              <w:left w:val="nil"/>
              <w:bottom w:val="single" w:sz="4" w:space="0" w:color="auto"/>
              <w:right w:val="single" w:sz="8" w:space="0" w:color="auto"/>
            </w:tcBorders>
            <w:noWrap/>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92,0</w:t>
            </w:r>
          </w:p>
        </w:tc>
        <w:tc>
          <w:tcPr>
            <w:tcW w:w="1418" w:type="dxa"/>
            <w:tcBorders>
              <w:top w:val="nil"/>
              <w:left w:val="nil"/>
              <w:bottom w:val="single" w:sz="4" w:space="0" w:color="auto"/>
              <w:right w:val="single" w:sz="8" w:space="0" w:color="auto"/>
            </w:tcBorders>
            <w:vAlign w:val="center"/>
          </w:tcPr>
          <w:p w:rsidR="0063092C" w:rsidRPr="008651BC" w:rsidRDefault="0063092C" w:rsidP="0063092C">
            <w:pPr>
              <w:spacing w:after="0" w:line="240" w:lineRule="auto"/>
              <w:jc w:val="center"/>
              <w:rPr>
                <w:rFonts w:ascii="Times New Roman" w:hAnsi="Times New Roman"/>
                <w:bCs/>
              </w:rPr>
            </w:pPr>
            <w:r w:rsidRPr="008651BC">
              <w:rPr>
                <w:rFonts w:ascii="Times New Roman" w:hAnsi="Times New Roman"/>
                <w:bCs/>
              </w:rPr>
              <w:t>86,2</w:t>
            </w:r>
          </w:p>
        </w:tc>
      </w:tr>
    </w:tbl>
    <w:p w:rsidR="004839A0" w:rsidRDefault="004839A0" w:rsidP="004839A0">
      <w:pPr>
        <w:spacing w:after="0" w:line="240" w:lineRule="auto"/>
        <w:ind w:left="-1134"/>
        <w:rPr>
          <w:rFonts w:ascii="Times New Roman" w:hAnsi="Times New Roman"/>
          <w:sz w:val="24"/>
          <w:szCs w:val="24"/>
        </w:rPr>
      </w:pPr>
    </w:p>
    <w:p w:rsidR="004839A0" w:rsidRDefault="004839A0" w:rsidP="004839A0">
      <w:pPr>
        <w:spacing w:after="0" w:line="240" w:lineRule="auto"/>
        <w:ind w:firstLine="709"/>
        <w:jc w:val="both"/>
        <w:rPr>
          <w:rFonts w:ascii="Times New Roman" w:hAnsi="Times New Roman"/>
          <w:sz w:val="24"/>
          <w:szCs w:val="24"/>
        </w:rPr>
      </w:pPr>
    </w:p>
    <w:p w:rsidR="004839A0" w:rsidRDefault="004839A0" w:rsidP="004839A0">
      <w:pPr>
        <w:spacing w:after="0" w:line="240" w:lineRule="auto"/>
        <w:ind w:firstLine="709"/>
        <w:jc w:val="both"/>
        <w:rPr>
          <w:rFonts w:ascii="Times New Roman" w:hAnsi="Times New Roman"/>
          <w:sz w:val="24"/>
          <w:szCs w:val="24"/>
        </w:rPr>
      </w:pPr>
    </w:p>
    <w:p w:rsidR="004839A0" w:rsidRDefault="004839A0" w:rsidP="004839A0">
      <w:pPr>
        <w:spacing w:after="0" w:line="240" w:lineRule="auto"/>
        <w:ind w:firstLine="709"/>
        <w:jc w:val="both"/>
        <w:rPr>
          <w:rFonts w:ascii="Times New Roman" w:hAnsi="Times New Roman"/>
          <w:sz w:val="24"/>
          <w:szCs w:val="24"/>
        </w:rPr>
      </w:pPr>
    </w:p>
    <w:p w:rsidR="00A61992" w:rsidRDefault="00A61992" w:rsidP="004839A0">
      <w:pPr>
        <w:spacing w:after="0" w:line="240" w:lineRule="auto"/>
        <w:ind w:firstLine="709"/>
        <w:jc w:val="both"/>
        <w:rPr>
          <w:rFonts w:ascii="Times New Roman" w:hAnsi="Times New Roman"/>
          <w:sz w:val="24"/>
          <w:szCs w:val="24"/>
        </w:rPr>
      </w:pPr>
    </w:p>
    <w:p w:rsidR="00A61992" w:rsidRDefault="00A61992" w:rsidP="004839A0">
      <w:pPr>
        <w:spacing w:after="0" w:line="240" w:lineRule="auto"/>
        <w:ind w:firstLine="709"/>
        <w:jc w:val="both"/>
        <w:rPr>
          <w:rFonts w:ascii="Times New Roman" w:hAnsi="Times New Roman"/>
          <w:sz w:val="24"/>
          <w:szCs w:val="24"/>
        </w:rPr>
      </w:pPr>
    </w:p>
    <w:p w:rsidR="00A61992" w:rsidRDefault="00A61992" w:rsidP="004839A0">
      <w:pPr>
        <w:spacing w:after="0" w:line="240" w:lineRule="auto"/>
        <w:ind w:firstLine="709"/>
        <w:jc w:val="both"/>
        <w:rPr>
          <w:rFonts w:ascii="Times New Roman" w:hAnsi="Times New Roman"/>
          <w:sz w:val="24"/>
          <w:szCs w:val="24"/>
        </w:rPr>
      </w:pPr>
    </w:p>
    <w:p w:rsidR="00A61992" w:rsidRDefault="00A61992" w:rsidP="004839A0">
      <w:pPr>
        <w:spacing w:after="0" w:line="240" w:lineRule="auto"/>
        <w:ind w:firstLine="709"/>
        <w:jc w:val="both"/>
        <w:rPr>
          <w:rFonts w:ascii="Times New Roman" w:hAnsi="Times New Roman"/>
          <w:sz w:val="24"/>
          <w:szCs w:val="24"/>
        </w:rPr>
      </w:pPr>
    </w:p>
    <w:p w:rsidR="00A61992" w:rsidRDefault="00A61992" w:rsidP="004839A0">
      <w:pPr>
        <w:spacing w:after="0" w:line="240" w:lineRule="auto"/>
        <w:ind w:firstLine="709"/>
        <w:jc w:val="both"/>
        <w:rPr>
          <w:rFonts w:ascii="Times New Roman" w:hAnsi="Times New Roman"/>
          <w:sz w:val="24"/>
          <w:szCs w:val="24"/>
        </w:rPr>
      </w:pPr>
    </w:p>
    <w:p w:rsidR="004839A0" w:rsidRPr="008E524B" w:rsidRDefault="008E524B" w:rsidP="004839A0">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margin">
              <wp:posOffset>-137160</wp:posOffset>
            </wp:positionH>
            <wp:positionV relativeFrom="margin">
              <wp:posOffset>4555490</wp:posOffset>
            </wp:positionV>
            <wp:extent cx="2295525" cy="2743200"/>
            <wp:effectExtent l="0" t="0" r="0" b="0"/>
            <wp:wrapSquare wrapText="bothSides"/>
            <wp:docPr id="7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4839A0" w:rsidRPr="008651BC">
        <w:rPr>
          <w:rFonts w:ascii="Times New Roman" w:hAnsi="Times New Roman"/>
          <w:sz w:val="24"/>
          <w:szCs w:val="24"/>
        </w:rPr>
        <w:t xml:space="preserve">В </w:t>
      </w:r>
      <w:r w:rsidR="004839A0" w:rsidRPr="008651BC">
        <w:rPr>
          <w:rFonts w:ascii="Times New Roman" w:hAnsi="Times New Roman"/>
          <w:sz w:val="24"/>
          <w:szCs w:val="24"/>
          <w:lang w:val="en-US"/>
        </w:rPr>
        <w:t>I</w:t>
      </w:r>
      <w:r w:rsidR="004839A0" w:rsidRPr="008651BC">
        <w:rPr>
          <w:rFonts w:ascii="Times New Roman" w:hAnsi="Times New Roman"/>
          <w:sz w:val="24"/>
          <w:szCs w:val="24"/>
        </w:rPr>
        <w:t xml:space="preserve"> полугоди</w:t>
      </w:r>
      <w:r w:rsidR="004839A0">
        <w:rPr>
          <w:rFonts w:ascii="Times New Roman" w:hAnsi="Times New Roman"/>
          <w:sz w:val="24"/>
          <w:szCs w:val="24"/>
        </w:rPr>
        <w:t>и</w:t>
      </w:r>
      <w:r w:rsidR="004839A0" w:rsidRPr="008651BC">
        <w:rPr>
          <w:rFonts w:ascii="Times New Roman" w:hAnsi="Times New Roman"/>
          <w:sz w:val="24"/>
          <w:szCs w:val="24"/>
        </w:rPr>
        <w:t xml:space="preserve"> 2015 года отмечены незначительные изменения в формировании консолидированного бюджета. В рассматриваемом периоде доходы республиканского бюджета составили 681 511 922 руб. (63,7% в сумме доходов консолидированного бюджета), что ниже на 0,4 процентных пункта соответствующего периода 2014 года, при соответствующем </w:t>
      </w:r>
      <w:r w:rsidR="004839A0" w:rsidRPr="008E524B">
        <w:rPr>
          <w:rFonts w:ascii="Times New Roman" w:hAnsi="Times New Roman"/>
          <w:sz w:val="24"/>
          <w:szCs w:val="24"/>
        </w:rPr>
        <w:t>увеличении долевого участия поступлений местных бюджетов, доля которых составила 36,3% (</w:t>
      </w:r>
      <w:r w:rsidR="004839A0" w:rsidRPr="008E524B">
        <w:rPr>
          <w:rFonts w:ascii="Times New Roman" w:hAnsi="Times New Roman"/>
          <w:bCs/>
          <w:sz w:val="24"/>
          <w:szCs w:val="24"/>
        </w:rPr>
        <w:t>389 114 905 руб</w:t>
      </w:r>
      <w:r w:rsidR="004839A0" w:rsidRPr="008E524B">
        <w:rPr>
          <w:rFonts w:ascii="Times New Roman" w:hAnsi="Times New Roman"/>
          <w:sz w:val="24"/>
          <w:szCs w:val="24"/>
        </w:rPr>
        <w:t>.), в январе – июне 2014 года – 35,9%.</w:t>
      </w:r>
    </w:p>
    <w:p w:rsidR="004839A0" w:rsidRDefault="004839A0" w:rsidP="004839A0">
      <w:pPr>
        <w:spacing w:after="0" w:line="240" w:lineRule="auto"/>
        <w:ind w:firstLine="709"/>
        <w:jc w:val="both"/>
        <w:rPr>
          <w:rFonts w:ascii="Times New Roman" w:hAnsi="Times New Roman"/>
          <w:sz w:val="24"/>
          <w:szCs w:val="24"/>
        </w:rPr>
      </w:pPr>
      <w:r w:rsidRPr="008E524B">
        <w:rPr>
          <w:rFonts w:ascii="Times New Roman" w:hAnsi="Times New Roman"/>
          <w:sz w:val="24"/>
          <w:szCs w:val="24"/>
        </w:rPr>
        <w:t>Удельный вес доходной части консолидированного бюджета в ВВП</w:t>
      </w:r>
      <w:r w:rsidRPr="008E524B">
        <w:rPr>
          <w:rFonts w:ascii="Times New Roman" w:hAnsi="Times New Roman"/>
          <w:b/>
          <w:sz w:val="24"/>
          <w:szCs w:val="24"/>
        </w:rPr>
        <w:t xml:space="preserve"> </w:t>
      </w:r>
      <w:r w:rsidRPr="008E524B">
        <w:rPr>
          <w:rFonts w:ascii="Times New Roman" w:hAnsi="Times New Roman"/>
          <w:sz w:val="24"/>
          <w:szCs w:val="24"/>
        </w:rPr>
        <w:t xml:space="preserve">за </w:t>
      </w:r>
      <w:r w:rsidR="00B3408A" w:rsidRPr="008E524B">
        <w:rPr>
          <w:rFonts w:ascii="Times New Roman" w:hAnsi="Times New Roman"/>
          <w:sz w:val="24"/>
          <w:szCs w:val="24"/>
          <w:lang w:val="en-US"/>
        </w:rPr>
        <w:t>I</w:t>
      </w:r>
      <w:r w:rsidR="00B3408A" w:rsidRPr="008E524B">
        <w:rPr>
          <w:rFonts w:ascii="Times New Roman" w:hAnsi="Times New Roman"/>
          <w:sz w:val="24"/>
          <w:szCs w:val="24"/>
        </w:rPr>
        <w:t xml:space="preserve"> полугодие 2015</w:t>
      </w:r>
      <w:r w:rsidRPr="008E524B">
        <w:rPr>
          <w:rFonts w:ascii="Times New Roman" w:hAnsi="Times New Roman"/>
          <w:sz w:val="24"/>
          <w:szCs w:val="24"/>
        </w:rPr>
        <w:t xml:space="preserve"> год</w:t>
      </w:r>
      <w:r w:rsidR="00B3408A" w:rsidRPr="008E524B">
        <w:rPr>
          <w:rFonts w:ascii="Times New Roman" w:hAnsi="Times New Roman"/>
          <w:sz w:val="24"/>
          <w:szCs w:val="24"/>
        </w:rPr>
        <w:t>а</w:t>
      </w:r>
      <w:r w:rsidRPr="008E524B">
        <w:rPr>
          <w:rFonts w:ascii="Times New Roman" w:hAnsi="Times New Roman"/>
          <w:sz w:val="24"/>
          <w:szCs w:val="24"/>
        </w:rPr>
        <w:t xml:space="preserve"> </w:t>
      </w:r>
      <w:r w:rsidR="00B3408A" w:rsidRPr="008E524B">
        <w:rPr>
          <w:rFonts w:ascii="Times New Roman" w:hAnsi="Times New Roman"/>
          <w:sz w:val="24"/>
          <w:szCs w:val="24"/>
        </w:rPr>
        <w:t>сократился</w:t>
      </w:r>
      <w:r w:rsidRPr="008E524B">
        <w:rPr>
          <w:rFonts w:ascii="Times New Roman" w:hAnsi="Times New Roman"/>
          <w:sz w:val="24"/>
          <w:szCs w:val="24"/>
        </w:rPr>
        <w:t xml:space="preserve"> по сравнению с </w:t>
      </w:r>
      <w:r w:rsidR="00B3408A" w:rsidRPr="008E524B">
        <w:rPr>
          <w:rFonts w:ascii="Times New Roman" w:hAnsi="Times New Roman"/>
          <w:sz w:val="24"/>
          <w:szCs w:val="24"/>
          <w:lang w:val="en-US"/>
        </w:rPr>
        <w:t>I</w:t>
      </w:r>
      <w:r w:rsidR="00B3408A" w:rsidRPr="008E524B">
        <w:rPr>
          <w:rFonts w:ascii="Times New Roman" w:hAnsi="Times New Roman"/>
          <w:sz w:val="24"/>
          <w:szCs w:val="24"/>
        </w:rPr>
        <w:t xml:space="preserve"> полугодием 2014 года</w:t>
      </w:r>
      <w:r w:rsidRPr="008E524B">
        <w:rPr>
          <w:rFonts w:ascii="Times New Roman" w:hAnsi="Times New Roman"/>
          <w:sz w:val="24"/>
          <w:szCs w:val="24"/>
        </w:rPr>
        <w:t xml:space="preserve"> </w:t>
      </w:r>
      <w:r w:rsidR="00B3408A" w:rsidRPr="008E524B">
        <w:rPr>
          <w:rFonts w:ascii="Times New Roman" w:hAnsi="Times New Roman"/>
          <w:sz w:val="24"/>
          <w:szCs w:val="24"/>
        </w:rPr>
        <w:t>на 2,52</w:t>
      </w:r>
      <w:r w:rsidRPr="008E524B">
        <w:rPr>
          <w:rFonts w:ascii="Times New Roman" w:hAnsi="Times New Roman"/>
          <w:sz w:val="24"/>
          <w:szCs w:val="24"/>
        </w:rPr>
        <w:t xml:space="preserve">% и составил </w:t>
      </w:r>
      <w:r w:rsidR="00B3408A" w:rsidRPr="008E524B">
        <w:rPr>
          <w:rFonts w:ascii="Times New Roman" w:hAnsi="Times New Roman"/>
          <w:sz w:val="24"/>
          <w:szCs w:val="24"/>
        </w:rPr>
        <w:t>28,53</w:t>
      </w:r>
      <w:r w:rsidRPr="008E524B">
        <w:rPr>
          <w:rFonts w:ascii="Times New Roman" w:hAnsi="Times New Roman"/>
          <w:sz w:val="24"/>
          <w:szCs w:val="24"/>
        </w:rPr>
        <w:t>%.</w:t>
      </w:r>
    </w:p>
    <w:p w:rsidR="004839A0" w:rsidRPr="00F721BB" w:rsidRDefault="004839A0" w:rsidP="004839A0">
      <w:pPr>
        <w:spacing w:after="0" w:line="240" w:lineRule="auto"/>
        <w:ind w:firstLine="709"/>
        <w:jc w:val="both"/>
        <w:rPr>
          <w:rFonts w:ascii="Times New Roman" w:hAnsi="Times New Roman"/>
          <w:sz w:val="24"/>
          <w:szCs w:val="24"/>
        </w:rPr>
      </w:pPr>
    </w:p>
    <w:p w:rsidR="004839A0" w:rsidRPr="00EA52D1" w:rsidRDefault="004839A0" w:rsidP="004839A0">
      <w:pPr>
        <w:spacing w:after="0" w:line="240" w:lineRule="auto"/>
        <w:jc w:val="right"/>
        <w:rPr>
          <w:rFonts w:ascii="Times New Roman" w:hAnsi="Times New Roman"/>
          <w:sz w:val="28"/>
          <w:szCs w:val="28"/>
        </w:rPr>
      </w:pPr>
      <w:r>
        <w:rPr>
          <w:rFonts w:ascii="Times New Roman" w:hAnsi="Times New Roman"/>
          <w:sz w:val="24"/>
          <w:szCs w:val="24"/>
        </w:rPr>
        <w:t xml:space="preserve">            </w:t>
      </w:r>
      <w:r w:rsidRPr="00EA52D1">
        <w:rPr>
          <w:rFonts w:ascii="Times New Roman" w:hAnsi="Times New Roman"/>
          <w:sz w:val="24"/>
          <w:szCs w:val="24"/>
        </w:rPr>
        <w:t>Таблица №</w:t>
      </w:r>
      <w:r w:rsidR="008E524B">
        <w:rPr>
          <w:rFonts w:ascii="Times New Roman" w:hAnsi="Times New Roman"/>
          <w:sz w:val="24"/>
          <w:szCs w:val="24"/>
        </w:rPr>
        <w:t>5</w:t>
      </w:r>
      <w:r w:rsidRPr="00EA52D1">
        <w:rPr>
          <w:rFonts w:ascii="Times New Roman" w:hAnsi="Times New Roman"/>
          <w:sz w:val="28"/>
          <w:szCs w:val="28"/>
        </w:rPr>
        <w:t xml:space="preserve"> </w:t>
      </w:r>
    </w:p>
    <w:p w:rsidR="004839A0" w:rsidRPr="008651BC" w:rsidRDefault="004839A0" w:rsidP="004839A0">
      <w:pPr>
        <w:spacing w:after="0" w:line="240" w:lineRule="auto"/>
        <w:ind w:firstLine="720"/>
        <w:jc w:val="center"/>
        <w:rPr>
          <w:rFonts w:ascii="Times New Roman" w:hAnsi="Times New Roman"/>
          <w:b/>
          <w:sz w:val="24"/>
          <w:szCs w:val="24"/>
        </w:rPr>
      </w:pPr>
      <w:r w:rsidRPr="008651BC">
        <w:rPr>
          <w:rFonts w:ascii="Times New Roman" w:hAnsi="Times New Roman"/>
          <w:b/>
          <w:sz w:val="24"/>
          <w:szCs w:val="24"/>
        </w:rPr>
        <w:t xml:space="preserve">Структура поступлений в доходную часть </w:t>
      </w:r>
    </w:p>
    <w:p w:rsidR="004839A0" w:rsidRPr="008651BC" w:rsidRDefault="004839A0" w:rsidP="004839A0">
      <w:pPr>
        <w:tabs>
          <w:tab w:val="left" w:pos="4914"/>
        </w:tabs>
        <w:spacing w:after="0" w:line="240" w:lineRule="auto"/>
        <w:ind w:left="-567" w:firstLine="1287"/>
        <w:jc w:val="center"/>
        <w:rPr>
          <w:rFonts w:ascii="Times New Roman" w:hAnsi="Times New Roman"/>
          <w:b/>
          <w:sz w:val="24"/>
          <w:szCs w:val="24"/>
        </w:rPr>
      </w:pPr>
      <w:r w:rsidRPr="008651BC">
        <w:rPr>
          <w:rFonts w:ascii="Times New Roman" w:hAnsi="Times New Roman"/>
          <w:b/>
          <w:sz w:val="24"/>
          <w:szCs w:val="24"/>
        </w:rPr>
        <w:t>Консолидированного бюджета (руб.)</w:t>
      </w:r>
    </w:p>
    <w:tbl>
      <w:tblPr>
        <w:tblW w:w="9218"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2"/>
        <w:gridCol w:w="1529"/>
        <w:gridCol w:w="713"/>
        <w:gridCol w:w="1563"/>
        <w:gridCol w:w="808"/>
        <w:gridCol w:w="1383"/>
      </w:tblGrid>
      <w:tr w:rsidR="004839A0" w:rsidRPr="008651BC" w:rsidTr="00BC044C">
        <w:trPr>
          <w:trHeight w:val="289"/>
          <w:jc w:val="center"/>
        </w:trPr>
        <w:tc>
          <w:tcPr>
            <w:tcW w:w="3222" w:type="dxa"/>
            <w:vMerge w:val="restart"/>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Вид платежа</w:t>
            </w:r>
          </w:p>
        </w:tc>
        <w:tc>
          <w:tcPr>
            <w:tcW w:w="2242" w:type="dxa"/>
            <w:gridSpan w:val="2"/>
            <w:vAlign w:val="center"/>
          </w:tcPr>
          <w:p w:rsidR="004839A0" w:rsidRPr="008651BC" w:rsidRDefault="004839A0" w:rsidP="004839A0">
            <w:pPr>
              <w:spacing w:after="0" w:line="240" w:lineRule="auto"/>
              <w:ind w:left="-148" w:right="-156"/>
              <w:contextualSpacing/>
              <w:jc w:val="center"/>
              <w:rPr>
                <w:rFonts w:ascii="Times New Roman" w:hAnsi="Times New Roman"/>
                <w:b/>
              </w:rPr>
            </w:pPr>
            <w:r w:rsidRPr="008651BC">
              <w:rPr>
                <w:rFonts w:ascii="Times New Roman" w:hAnsi="Times New Roman"/>
                <w:b/>
                <w:lang w:val="en-US"/>
              </w:rPr>
              <w:t>I</w:t>
            </w:r>
            <w:r w:rsidRPr="008651BC">
              <w:rPr>
                <w:rFonts w:ascii="Times New Roman" w:hAnsi="Times New Roman"/>
                <w:b/>
              </w:rPr>
              <w:t xml:space="preserve"> полугодие 2014 года</w:t>
            </w:r>
          </w:p>
        </w:tc>
        <w:tc>
          <w:tcPr>
            <w:tcW w:w="2371" w:type="dxa"/>
            <w:gridSpan w:val="2"/>
            <w:vAlign w:val="center"/>
          </w:tcPr>
          <w:p w:rsidR="004839A0" w:rsidRPr="008651BC" w:rsidRDefault="004839A0" w:rsidP="004839A0">
            <w:pPr>
              <w:spacing w:after="0" w:line="240" w:lineRule="auto"/>
              <w:ind w:left="-60"/>
              <w:contextualSpacing/>
              <w:jc w:val="center"/>
              <w:rPr>
                <w:rFonts w:ascii="Times New Roman" w:hAnsi="Times New Roman"/>
                <w:b/>
              </w:rPr>
            </w:pPr>
            <w:r w:rsidRPr="008651BC">
              <w:rPr>
                <w:rFonts w:ascii="Times New Roman" w:hAnsi="Times New Roman"/>
                <w:b/>
                <w:lang w:val="en-US"/>
              </w:rPr>
              <w:t xml:space="preserve">I полугодие </w:t>
            </w:r>
            <w:r w:rsidRPr="008651BC">
              <w:rPr>
                <w:rFonts w:ascii="Times New Roman" w:hAnsi="Times New Roman"/>
                <w:b/>
              </w:rPr>
              <w:t>2015 года</w:t>
            </w:r>
          </w:p>
        </w:tc>
        <w:tc>
          <w:tcPr>
            <w:tcW w:w="1383" w:type="dxa"/>
            <w:vMerge w:val="restart"/>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Темп роста/спада  2015 г. к 2014 г, %.</w:t>
            </w:r>
          </w:p>
          <w:p w:rsidR="004839A0" w:rsidRPr="008651BC" w:rsidRDefault="004839A0" w:rsidP="004839A0">
            <w:pPr>
              <w:spacing w:after="0" w:line="240" w:lineRule="auto"/>
              <w:ind w:left="-213" w:hanging="9"/>
              <w:contextualSpacing/>
              <w:jc w:val="center"/>
              <w:rPr>
                <w:rFonts w:ascii="Times New Roman" w:hAnsi="Times New Roman"/>
                <w:b/>
              </w:rPr>
            </w:pPr>
          </w:p>
        </w:tc>
      </w:tr>
      <w:tr w:rsidR="004839A0" w:rsidRPr="008651BC" w:rsidTr="00BC044C">
        <w:trPr>
          <w:trHeight w:val="762"/>
          <w:jc w:val="center"/>
        </w:trPr>
        <w:tc>
          <w:tcPr>
            <w:tcW w:w="3222" w:type="dxa"/>
            <w:vMerge/>
            <w:vAlign w:val="center"/>
          </w:tcPr>
          <w:p w:rsidR="004839A0" w:rsidRPr="008651BC" w:rsidRDefault="004839A0" w:rsidP="004839A0">
            <w:pPr>
              <w:spacing w:after="0" w:line="240" w:lineRule="auto"/>
              <w:contextualSpacing/>
              <w:jc w:val="center"/>
              <w:rPr>
                <w:rFonts w:ascii="Times New Roman" w:hAnsi="Times New Roman"/>
                <w:b/>
              </w:rPr>
            </w:pPr>
          </w:p>
        </w:tc>
        <w:tc>
          <w:tcPr>
            <w:tcW w:w="1529" w:type="dxa"/>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факт</w:t>
            </w:r>
          </w:p>
        </w:tc>
        <w:tc>
          <w:tcPr>
            <w:tcW w:w="712" w:type="dxa"/>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уд. вес, %</w:t>
            </w:r>
          </w:p>
        </w:tc>
        <w:tc>
          <w:tcPr>
            <w:tcW w:w="1563" w:type="dxa"/>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факт</w:t>
            </w:r>
          </w:p>
        </w:tc>
        <w:tc>
          <w:tcPr>
            <w:tcW w:w="808" w:type="dxa"/>
            <w:shd w:val="clear" w:color="auto" w:fill="auto"/>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уд. вес, %</w:t>
            </w:r>
          </w:p>
        </w:tc>
        <w:tc>
          <w:tcPr>
            <w:tcW w:w="1383" w:type="dxa"/>
            <w:vMerge/>
            <w:shd w:val="clear" w:color="auto" w:fill="auto"/>
            <w:vAlign w:val="center"/>
          </w:tcPr>
          <w:p w:rsidR="004839A0" w:rsidRPr="008651BC" w:rsidRDefault="004839A0" w:rsidP="004839A0">
            <w:pPr>
              <w:spacing w:after="0" w:line="240" w:lineRule="auto"/>
              <w:ind w:left="-213" w:hanging="9"/>
              <w:contextualSpacing/>
              <w:jc w:val="center"/>
              <w:rPr>
                <w:rFonts w:ascii="Times New Roman" w:hAnsi="Times New Roman"/>
                <w:b/>
              </w:rPr>
            </w:pPr>
          </w:p>
        </w:tc>
      </w:tr>
      <w:tr w:rsidR="004839A0" w:rsidRPr="008651BC" w:rsidTr="00BC044C">
        <w:trPr>
          <w:trHeight w:val="494"/>
          <w:jc w:val="center"/>
        </w:trPr>
        <w:tc>
          <w:tcPr>
            <w:tcW w:w="3222" w:type="dxa"/>
            <w:vAlign w:val="center"/>
          </w:tcPr>
          <w:p w:rsidR="004839A0" w:rsidRPr="008651BC" w:rsidRDefault="004839A0" w:rsidP="004839A0">
            <w:pPr>
              <w:spacing w:after="0" w:line="240" w:lineRule="auto"/>
              <w:ind w:left="-54" w:firstLine="14"/>
              <w:contextualSpacing/>
              <w:rPr>
                <w:rFonts w:ascii="Times New Roman" w:hAnsi="Times New Roman"/>
                <w:b/>
                <w:bCs/>
              </w:rPr>
            </w:pPr>
            <w:r w:rsidRPr="008651BC">
              <w:rPr>
                <w:rFonts w:ascii="Times New Roman" w:hAnsi="Times New Roman"/>
                <w:b/>
                <w:bCs/>
              </w:rPr>
              <w:t>Доходы всего, в т.ч.</w:t>
            </w:r>
          </w:p>
        </w:tc>
        <w:tc>
          <w:tcPr>
            <w:tcW w:w="1529" w:type="dxa"/>
            <w:vAlign w:val="bottom"/>
          </w:tcPr>
          <w:p w:rsidR="004839A0" w:rsidRPr="008651BC" w:rsidRDefault="004839A0" w:rsidP="004839A0">
            <w:pPr>
              <w:spacing w:after="0" w:line="240" w:lineRule="auto"/>
              <w:contextualSpacing/>
              <w:jc w:val="right"/>
              <w:rPr>
                <w:rFonts w:ascii="Times New Roman" w:hAnsi="Times New Roman"/>
                <w:b/>
                <w:bCs/>
              </w:rPr>
            </w:pPr>
            <w:r w:rsidRPr="008651BC">
              <w:rPr>
                <w:rFonts w:ascii="Times New Roman" w:hAnsi="Times New Roman"/>
                <w:b/>
                <w:bCs/>
              </w:rPr>
              <w:t>1 594 473 988</w:t>
            </w:r>
          </w:p>
        </w:tc>
        <w:tc>
          <w:tcPr>
            <w:tcW w:w="712" w:type="dxa"/>
            <w:vAlign w:val="bottom"/>
          </w:tcPr>
          <w:p w:rsidR="004839A0" w:rsidRPr="008651BC" w:rsidRDefault="004839A0" w:rsidP="004839A0">
            <w:pPr>
              <w:spacing w:after="0" w:line="240" w:lineRule="auto"/>
              <w:contextualSpacing/>
              <w:jc w:val="right"/>
              <w:rPr>
                <w:rFonts w:ascii="Times New Roman" w:hAnsi="Times New Roman"/>
                <w:b/>
                <w:bCs/>
              </w:rPr>
            </w:pPr>
            <w:r w:rsidRPr="008651BC">
              <w:rPr>
                <w:rFonts w:ascii="Times New Roman" w:hAnsi="Times New Roman"/>
                <w:b/>
                <w:bCs/>
              </w:rPr>
              <w:t>100,0</w:t>
            </w:r>
          </w:p>
        </w:tc>
        <w:tc>
          <w:tcPr>
            <w:tcW w:w="1563" w:type="dxa"/>
            <w:vAlign w:val="bottom"/>
          </w:tcPr>
          <w:p w:rsidR="004839A0" w:rsidRPr="008651BC" w:rsidRDefault="004839A0" w:rsidP="004839A0">
            <w:pPr>
              <w:spacing w:after="0" w:line="240" w:lineRule="auto"/>
              <w:contextualSpacing/>
              <w:jc w:val="right"/>
              <w:rPr>
                <w:rFonts w:ascii="Times New Roman" w:hAnsi="Times New Roman"/>
                <w:b/>
                <w:bCs/>
              </w:rPr>
            </w:pPr>
            <w:r w:rsidRPr="008651BC">
              <w:rPr>
                <w:rFonts w:ascii="Times New Roman" w:hAnsi="Times New Roman"/>
                <w:b/>
                <w:bCs/>
              </w:rPr>
              <w:t>1 070 626 827</w:t>
            </w:r>
          </w:p>
        </w:tc>
        <w:tc>
          <w:tcPr>
            <w:tcW w:w="808" w:type="dxa"/>
            <w:vAlign w:val="bottom"/>
          </w:tcPr>
          <w:p w:rsidR="004839A0" w:rsidRPr="008651BC" w:rsidRDefault="004839A0" w:rsidP="004839A0">
            <w:pPr>
              <w:spacing w:after="0" w:line="240" w:lineRule="auto"/>
              <w:contextualSpacing/>
              <w:jc w:val="right"/>
              <w:rPr>
                <w:rFonts w:ascii="Times New Roman" w:hAnsi="Times New Roman"/>
                <w:b/>
                <w:bCs/>
              </w:rPr>
            </w:pPr>
            <w:r w:rsidRPr="008651BC">
              <w:rPr>
                <w:rFonts w:ascii="Times New Roman" w:hAnsi="Times New Roman"/>
                <w:b/>
                <w:bCs/>
              </w:rPr>
              <w:t>100,0</w:t>
            </w:r>
          </w:p>
        </w:tc>
        <w:tc>
          <w:tcPr>
            <w:tcW w:w="1383" w:type="dxa"/>
            <w:vAlign w:val="bottom"/>
          </w:tcPr>
          <w:p w:rsidR="004839A0" w:rsidRPr="008651BC" w:rsidRDefault="004839A0" w:rsidP="004839A0">
            <w:pPr>
              <w:spacing w:after="0" w:line="240" w:lineRule="auto"/>
              <w:contextualSpacing/>
              <w:jc w:val="right"/>
              <w:rPr>
                <w:rFonts w:ascii="Times New Roman" w:hAnsi="Times New Roman"/>
                <w:b/>
              </w:rPr>
            </w:pPr>
            <w:r w:rsidRPr="008651BC">
              <w:rPr>
                <w:rFonts w:ascii="Times New Roman" w:hAnsi="Times New Roman"/>
                <w:b/>
              </w:rPr>
              <w:t>67,1</w:t>
            </w:r>
          </w:p>
        </w:tc>
      </w:tr>
      <w:tr w:rsidR="004839A0" w:rsidRPr="008651BC" w:rsidTr="00BC044C">
        <w:trPr>
          <w:trHeight w:val="311"/>
          <w:jc w:val="center"/>
        </w:trPr>
        <w:tc>
          <w:tcPr>
            <w:tcW w:w="3222" w:type="dxa"/>
          </w:tcPr>
          <w:p w:rsidR="004839A0" w:rsidRPr="008651BC" w:rsidRDefault="004839A0" w:rsidP="004839A0">
            <w:pPr>
              <w:spacing w:after="0" w:line="240" w:lineRule="auto"/>
              <w:ind w:left="-54" w:firstLine="14"/>
              <w:contextualSpacing/>
              <w:rPr>
                <w:rFonts w:ascii="Times New Roman" w:hAnsi="Times New Roman"/>
              </w:rPr>
            </w:pPr>
            <w:r w:rsidRPr="008651BC">
              <w:rPr>
                <w:rFonts w:ascii="Times New Roman" w:hAnsi="Times New Roman"/>
              </w:rPr>
              <w:t>Налоговые платежи</w:t>
            </w:r>
          </w:p>
        </w:tc>
        <w:tc>
          <w:tcPr>
            <w:tcW w:w="1529"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1 338 483 888</w:t>
            </w:r>
          </w:p>
        </w:tc>
        <w:tc>
          <w:tcPr>
            <w:tcW w:w="712"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83,9</w:t>
            </w:r>
          </w:p>
        </w:tc>
        <w:tc>
          <w:tcPr>
            <w:tcW w:w="156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 xml:space="preserve">828 932 153 </w:t>
            </w:r>
          </w:p>
        </w:tc>
        <w:tc>
          <w:tcPr>
            <w:tcW w:w="808"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77,4</w:t>
            </w:r>
          </w:p>
        </w:tc>
        <w:tc>
          <w:tcPr>
            <w:tcW w:w="138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61,9</w:t>
            </w:r>
          </w:p>
        </w:tc>
      </w:tr>
      <w:tr w:rsidR="004839A0" w:rsidRPr="008651BC" w:rsidTr="00BC044C">
        <w:trPr>
          <w:trHeight w:val="252"/>
          <w:jc w:val="center"/>
        </w:trPr>
        <w:tc>
          <w:tcPr>
            <w:tcW w:w="3222" w:type="dxa"/>
          </w:tcPr>
          <w:p w:rsidR="004839A0" w:rsidRPr="008651BC" w:rsidRDefault="004839A0" w:rsidP="004839A0">
            <w:pPr>
              <w:spacing w:after="0" w:line="240" w:lineRule="auto"/>
              <w:ind w:left="-54" w:firstLine="14"/>
              <w:contextualSpacing/>
              <w:rPr>
                <w:rFonts w:ascii="Times New Roman" w:hAnsi="Times New Roman"/>
              </w:rPr>
            </w:pPr>
            <w:r w:rsidRPr="008651BC">
              <w:rPr>
                <w:rFonts w:ascii="Times New Roman" w:hAnsi="Times New Roman"/>
              </w:rPr>
              <w:t>Неналоговые платежи, всего</w:t>
            </w:r>
          </w:p>
        </w:tc>
        <w:tc>
          <w:tcPr>
            <w:tcW w:w="1529"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25 740 044</w:t>
            </w:r>
          </w:p>
        </w:tc>
        <w:tc>
          <w:tcPr>
            <w:tcW w:w="712"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1,6</w:t>
            </w:r>
          </w:p>
        </w:tc>
        <w:tc>
          <w:tcPr>
            <w:tcW w:w="156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 xml:space="preserve">25 919 185 </w:t>
            </w:r>
          </w:p>
        </w:tc>
        <w:tc>
          <w:tcPr>
            <w:tcW w:w="808"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2,4</w:t>
            </w:r>
          </w:p>
        </w:tc>
        <w:tc>
          <w:tcPr>
            <w:tcW w:w="138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100,7</w:t>
            </w:r>
          </w:p>
        </w:tc>
      </w:tr>
      <w:tr w:rsidR="004839A0" w:rsidRPr="008651BC" w:rsidTr="00BC044C">
        <w:trPr>
          <w:trHeight w:val="686"/>
          <w:jc w:val="center"/>
        </w:trPr>
        <w:tc>
          <w:tcPr>
            <w:tcW w:w="3222" w:type="dxa"/>
          </w:tcPr>
          <w:p w:rsidR="004839A0" w:rsidRPr="008651BC" w:rsidRDefault="004839A0" w:rsidP="004839A0">
            <w:pPr>
              <w:spacing w:after="0" w:line="240" w:lineRule="auto"/>
              <w:ind w:left="-54" w:firstLine="14"/>
              <w:contextualSpacing/>
              <w:rPr>
                <w:rFonts w:ascii="Times New Roman" w:hAnsi="Times New Roman"/>
                <w:i/>
              </w:rPr>
            </w:pPr>
            <w:r w:rsidRPr="008651BC">
              <w:rPr>
                <w:rFonts w:ascii="Times New Roman" w:hAnsi="Times New Roman"/>
                <w:i/>
              </w:rPr>
              <w:lastRenderedPageBreak/>
              <w:t>в т.ч. погашение налоговых и иных видов кредитов</w:t>
            </w:r>
          </w:p>
        </w:tc>
        <w:tc>
          <w:tcPr>
            <w:tcW w:w="1529" w:type="dxa"/>
            <w:vAlign w:val="bottom"/>
          </w:tcPr>
          <w:p w:rsidR="004839A0" w:rsidRPr="008651BC" w:rsidRDefault="004839A0" w:rsidP="004839A0">
            <w:pPr>
              <w:spacing w:after="0" w:line="240" w:lineRule="auto"/>
              <w:contextualSpacing/>
              <w:jc w:val="right"/>
              <w:rPr>
                <w:rFonts w:ascii="Times New Roman" w:hAnsi="Times New Roman"/>
                <w:i/>
              </w:rPr>
            </w:pPr>
            <w:r w:rsidRPr="008651BC">
              <w:rPr>
                <w:rFonts w:ascii="Times New Roman" w:hAnsi="Times New Roman"/>
                <w:i/>
              </w:rPr>
              <w:t>2 236 851</w:t>
            </w:r>
          </w:p>
        </w:tc>
        <w:tc>
          <w:tcPr>
            <w:tcW w:w="712" w:type="dxa"/>
            <w:vAlign w:val="bottom"/>
          </w:tcPr>
          <w:p w:rsidR="004839A0" w:rsidRPr="008651BC" w:rsidRDefault="004839A0" w:rsidP="004839A0">
            <w:pPr>
              <w:spacing w:after="0" w:line="240" w:lineRule="auto"/>
              <w:contextualSpacing/>
              <w:jc w:val="right"/>
              <w:rPr>
                <w:rFonts w:ascii="Times New Roman" w:hAnsi="Times New Roman"/>
                <w:i/>
              </w:rPr>
            </w:pPr>
            <w:r w:rsidRPr="008651BC">
              <w:rPr>
                <w:rFonts w:ascii="Times New Roman" w:hAnsi="Times New Roman"/>
                <w:i/>
              </w:rPr>
              <w:t>0,1</w:t>
            </w:r>
          </w:p>
        </w:tc>
        <w:tc>
          <w:tcPr>
            <w:tcW w:w="1563" w:type="dxa"/>
            <w:vAlign w:val="bottom"/>
          </w:tcPr>
          <w:p w:rsidR="004839A0" w:rsidRPr="008651BC" w:rsidRDefault="004839A0" w:rsidP="004839A0">
            <w:pPr>
              <w:spacing w:after="0" w:line="240" w:lineRule="auto"/>
              <w:contextualSpacing/>
              <w:jc w:val="right"/>
              <w:rPr>
                <w:rFonts w:ascii="Times New Roman" w:hAnsi="Times New Roman"/>
                <w:i/>
              </w:rPr>
            </w:pPr>
            <w:r w:rsidRPr="008651BC">
              <w:rPr>
                <w:rFonts w:ascii="Times New Roman" w:hAnsi="Times New Roman"/>
                <w:i/>
              </w:rPr>
              <w:t>2 156 843</w:t>
            </w:r>
          </w:p>
        </w:tc>
        <w:tc>
          <w:tcPr>
            <w:tcW w:w="808" w:type="dxa"/>
            <w:vAlign w:val="bottom"/>
          </w:tcPr>
          <w:p w:rsidR="004839A0" w:rsidRPr="008651BC" w:rsidRDefault="004839A0" w:rsidP="004839A0">
            <w:pPr>
              <w:spacing w:after="0" w:line="240" w:lineRule="auto"/>
              <w:contextualSpacing/>
              <w:jc w:val="right"/>
              <w:rPr>
                <w:rFonts w:ascii="Times New Roman" w:hAnsi="Times New Roman"/>
                <w:i/>
              </w:rPr>
            </w:pPr>
            <w:r w:rsidRPr="008651BC">
              <w:rPr>
                <w:rFonts w:ascii="Times New Roman" w:hAnsi="Times New Roman"/>
                <w:i/>
              </w:rPr>
              <w:t>0,2</w:t>
            </w:r>
          </w:p>
        </w:tc>
        <w:tc>
          <w:tcPr>
            <w:tcW w:w="1383" w:type="dxa"/>
            <w:vAlign w:val="bottom"/>
          </w:tcPr>
          <w:p w:rsidR="004839A0" w:rsidRPr="008651BC" w:rsidRDefault="004839A0" w:rsidP="004839A0">
            <w:pPr>
              <w:spacing w:after="0" w:line="240" w:lineRule="auto"/>
              <w:contextualSpacing/>
              <w:jc w:val="right"/>
              <w:rPr>
                <w:rFonts w:ascii="Times New Roman" w:hAnsi="Times New Roman"/>
                <w:i/>
              </w:rPr>
            </w:pPr>
            <w:r w:rsidRPr="008651BC">
              <w:rPr>
                <w:rFonts w:ascii="Times New Roman" w:hAnsi="Times New Roman"/>
                <w:i/>
              </w:rPr>
              <w:t>96,4</w:t>
            </w:r>
          </w:p>
        </w:tc>
      </w:tr>
      <w:tr w:rsidR="004839A0" w:rsidRPr="00EA52D1" w:rsidTr="00BC044C">
        <w:trPr>
          <w:trHeight w:val="507"/>
          <w:jc w:val="center"/>
        </w:trPr>
        <w:tc>
          <w:tcPr>
            <w:tcW w:w="3222" w:type="dxa"/>
          </w:tcPr>
          <w:p w:rsidR="004839A0" w:rsidRPr="008651BC" w:rsidRDefault="004839A0" w:rsidP="004839A0">
            <w:pPr>
              <w:spacing w:after="0" w:line="240" w:lineRule="auto"/>
              <w:ind w:left="-54" w:firstLine="14"/>
              <w:contextualSpacing/>
              <w:rPr>
                <w:rFonts w:ascii="Times New Roman" w:hAnsi="Times New Roman"/>
              </w:rPr>
            </w:pPr>
            <w:r w:rsidRPr="008651BC">
              <w:rPr>
                <w:rFonts w:ascii="Times New Roman" w:hAnsi="Times New Roman"/>
              </w:rPr>
              <w:t>Доходы целевых бюджетных фондов</w:t>
            </w:r>
          </w:p>
        </w:tc>
        <w:tc>
          <w:tcPr>
            <w:tcW w:w="1529"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101 355 991</w:t>
            </w:r>
          </w:p>
        </w:tc>
        <w:tc>
          <w:tcPr>
            <w:tcW w:w="712"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6,4</w:t>
            </w:r>
          </w:p>
        </w:tc>
        <w:tc>
          <w:tcPr>
            <w:tcW w:w="156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101 431 831</w:t>
            </w:r>
          </w:p>
        </w:tc>
        <w:tc>
          <w:tcPr>
            <w:tcW w:w="808"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9,5</w:t>
            </w:r>
          </w:p>
        </w:tc>
        <w:tc>
          <w:tcPr>
            <w:tcW w:w="138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100,1</w:t>
            </w:r>
          </w:p>
        </w:tc>
      </w:tr>
      <w:tr w:rsidR="004839A0" w:rsidRPr="008651BC" w:rsidTr="00BC044C">
        <w:trPr>
          <w:trHeight w:val="921"/>
          <w:jc w:val="center"/>
        </w:trPr>
        <w:tc>
          <w:tcPr>
            <w:tcW w:w="3222" w:type="dxa"/>
          </w:tcPr>
          <w:p w:rsidR="004839A0" w:rsidRPr="008651BC" w:rsidRDefault="004839A0" w:rsidP="004839A0">
            <w:pPr>
              <w:spacing w:after="0" w:line="240" w:lineRule="auto"/>
              <w:ind w:left="-54" w:firstLine="14"/>
              <w:contextualSpacing/>
              <w:rPr>
                <w:rFonts w:ascii="Times New Roman" w:hAnsi="Times New Roman"/>
              </w:rPr>
            </w:pPr>
            <w:r w:rsidRPr="008651BC">
              <w:rPr>
                <w:rFonts w:ascii="Times New Roman" w:hAnsi="Times New Roman"/>
              </w:rPr>
              <w:t>Доходы от предпринимательской и иной приносящей доход деятельности</w:t>
            </w:r>
          </w:p>
        </w:tc>
        <w:tc>
          <w:tcPr>
            <w:tcW w:w="1529"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105 413 938</w:t>
            </w:r>
          </w:p>
        </w:tc>
        <w:tc>
          <w:tcPr>
            <w:tcW w:w="712"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6,6</w:t>
            </w:r>
          </w:p>
        </w:tc>
        <w:tc>
          <w:tcPr>
            <w:tcW w:w="156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 xml:space="preserve">112 333 457 </w:t>
            </w:r>
          </w:p>
        </w:tc>
        <w:tc>
          <w:tcPr>
            <w:tcW w:w="808"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10,5</w:t>
            </w:r>
          </w:p>
        </w:tc>
        <w:tc>
          <w:tcPr>
            <w:tcW w:w="1383" w:type="dxa"/>
            <w:vAlign w:val="bottom"/>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106,6</w:t>
            </w:r>
          </w:p>
        </w:tc>
      </w:tr>
      <w:tr w:rsidR="004839A0" w:rsidRPr="008651BC" w:rsidTr="00BC044C">
        <w:tblPrEx>
          <w:tblLook w:val="0000"/>
        </w:tblPrEx>
        <w:trPr>
          <w:trHeight w:val="357"/>
          <w:jc w:val="center"/>
        </w:trPr>
        <w:tc>
          <w:tcPr>
            <w:tcW w:w="3222" w:type="dxa"/>
          </w:tcPr>
          <w:p w:rsidR="004839A0" w:rsidRPr="008651BC" w:rsidRDefault="004839A0" w:rsidP="004839A0">
            <w:pPr>
              <w:spacing w:after="0" w:line="240" w:lineRule="auto"/>
              <w:ind w:right="-146" w:hanging="107"/>
              <w:contextualSpacing/>
              <w:rPr>
                <w:rFonts w:ascii="Times New Roman" w:hAnsi="Times New Roman"/>
              </w:rPr>
            </w:pPr>
            <w:r w:rsidRPr="008651BC">
              <w:rPr>
                <w:rFonts w:ascii="Times New Roman" w:hAnsi="Times New Roman"/>
              </w:rPr>
              <w:t>Безвозмездные перечисления</w:t>
            </w:r>
          </w:p>
        </w:tc>
        <w:tc>
          <w:tcPr>
            <w:tcW w:w="1529" w:type="dxa"/>
            <w:vAlign w:val="center"/>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23 480 127</w:t>
            </w:r>
          </w:p>
        </w:tc>
        <w:tc>
          <w:tcPr>
            <w:tcW w:w="712" w:type="dxa"/>
            <w:vAlign w:val="center"/>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1,5</w:t>
            </w:r>
          </w:p>
        </w:tc>
        <w:tc>
          <w:tcPr>
            <w:tcW w:w="1563" w:type="dxa"/>
            <w:vAlign w:val="center"/>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2 010 200</w:t>
            </w:r>
          </w:p>
        </w:tc>
        <w:tc>
          <w:tcPr>
            <w:tcW w:w="808" w:type="dxa"/>
            <w:vAlign w:val="center"/>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0,2</w:t>
            </w:r>
          </w:p>
        </w:tc>
        <w:tc>
          <w:tcPr>
            <w:tcW w:w="1383" w:type="dxa"/>
            <w:vAlign w:val="center"/>
          </w:tcPr>
          <w:p w:rsidR="004839A0" w:rsidRPr="008651BC" w:rsidRDefault="004839A0" w:rsidP="004839A0">
            <w:pPr>
              <w:spacing w:after="0" w:line="240" w:lineRule="auto"/>
              <w:contextualSpacing/>
              <w:jc w:val="right"/>
              <w:rPr>
                <w:rFonts w:ascii="Times New Roman" w:hAnsi="Times New Roman"/>
              </w:rPr>
            </w:pPr>
            <w:r w:rsidRPr="008651BC">
              <w:rPr>
                <w:rFonts w:ascii="Times New Roman" w:hAnsi="Times New Roman"/>
              </w:rPr>
              <w:t>8,6</w:t>
            </w:r>
          </w:p>
        </w:tc>
      </w:tr>
    </w:tbl>
    <w:p w:rsidR="004839A0" w:rsidRDefault="00513069" w:rsidP="00B34F82">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margin">
              <wp:posOffset>-241935</wp:posOffset>
            </wp:positionH>
            <wp:positionV relativeFrom="margin">
              <wp:posOffset>1793240</wp:posOffset>
            </wp:positionV>
            <wp:extent cx="3790950" cy="3343275"/>
            <wp:effectExtent l="0" t="0" r="0" b="0"/>
            <wp:wrapSquare wrapText="bothSides"/>
            <wp:docPr id="3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Определяющее значение в структуре поступлений в доходную часть консолидированного бюджета принадлежит </w:t>
      </w:r>
      <w:r w:rsidRPr="008651BC">
        <w:rPr>
          <w:rFonts w:ascii="Times New Roman" w:hAnsi="Times New Roman"/>
          <w:b/>
          <w:sz w:val="24"/>
          <w:szCs w:val="24"/>
        </w:rPr>
        <w:t>налоговым платежам</w:t>
      </w:r>
      <w:r w:rsidRPr="008651BC">
        <w:rPr>
          <w:rFonts w:ascii="Times New Roman" w:hAnsi="Times New Roman"/>
          <w:sz w:val="24"/>
          <w:szCs w:val="24"/>
        </w:rPr>
        <w:t xml:space="preserve"> - 828 932 153 руб. (77,4%), величина которых в рассматриваемом периоде сократилась на 38,1% к уровню января – июня 2014 года, что связано со спадом производства </w:t>
      </w:r>
      <w:r w:rsidR="008E524B">
        <w:rPr>
          <w:rFonts w:ascii="Times New Roman" w:hAnsi="Times New Roman"/>
          <w:sz w:val="24"/>
          <w:szCs w:val="24"/>
        </w:rPr>
        <w:t xml:space="preserve">промышленной продукции, а также </w:t>
      </w:r>
      <w:r w:rsidRPr="008651BC">
        <w:rPr>
          <w:rFonts w:ascii="Times New Roman" w:hAnsi="Times New Roman"/>
          <w:sz w:val="24"/>
          <w:szCs w:val="24"/>
        </w:rPr>
        <w:t>уменьшением внешнеэкономической активности хозяйствующих субъектов республики.</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В рассматриваемом периоде неналоговые поступления выросли на 0,7% по сравнению с аналогичным периодом 2014 года и сформировали порядка 2,4% всех поступлений консолидированного бюджета. Также отмечено увеличение доли доходов целевых бюджетных фондов на 3,1 процентных пункта до 9,5%. Доходы от предпринимательской и иной приносящей доход деятельности выросли на 6,6% к уровню </w:t>
      </w:r>
      <w:r w:rsidRPr="008651BC">
        <w:rPr>
          <w:rFonts w:ascii="Times New Roman" w:hAnsi="Times New Roman"/>
          <w:sz w:val="24"/>
          <w:szCs w:val="24"/>
          <w:lang w:val="en-US"/>
        </w:rPr>
        <w:t>I</w:t>
      </w:r>
      <w:r w:rsidRPr="008651BC">
        <w:rPr>
          <w:rFonts w:ascii="Times New Roman" w:hAnsi="Times New Roman"/>
          <w:sz w:val="24"/>
          <w:szCs w:val="24"/>
        </w:rPr>
        <w:t xml:space="preserve"> полугодия 2014 года, расширив свое долевое участие в доходную часть консолидированного бюджета на 3,9 процентных пункта до 10,5%.</w:t>
      </w:r>
    </w:p>
    <w:p w:rsidR="004839A0" w:rsidRPr="009654EB" w:rsidRDefault="004839A0" w:rsidP="004839A0">
      <w:pPr>
        <w:spacing w:after="0" w:line="240" w:lineRule="auto"/>
        <w:ind w:firstLine="709"/>
        <w:jc w:val="both"/>
        <w:rPr>
          <w:rFonts w:ascii="Times New Roman" w:hAnsi="Times New Roman"/>
          <w:b/>
          <w:sz w:val="24"/>
          <w:szCs w:val="24"/>
        </w:rPr>
      </w:pPr>
      <w:r w:rsidRPr="008651BC">
        <w:rPr>
          <w:rFonts w:ascii="Times New Roman" w:hAnsi="Times New Roman"/>
          <w:b/>
          <w:sz w:val="24"/>
          <w:szCs w:val="24"/>
        </w:rPr>
        <w:t>Налоговая нагрузка</w:t>
      </w:r>
      <w:r w:rsidRPr="008651BC">
        <w:rPr>
          <w:rFonts w:ascii="Times New Roman" w:hAnsi="Times New Roman"/>
          <w:sz w:val="24"/>
          <w:szCs w:val="24"/>
        </w:rPr>
        <w:t xml:space="preserve"> консолидированного бюджета в целом на экономику республики составила </w:t>
      </w:r>
      <w:r w:rsidRPr="008651BC">
        <w:rPr>
          <w:rFonts w:ascii="Times New Roman" w:hAnsi="Times New Roman"/>
          <w:b/>
          <w:sz w:val="24"/>
          <w:szCs w:val="24"/>
        </w:rPr>
        <w:t xml:space="preserve">17,1%, </w:t>
      </w:r>
      <w:r w:rsidRPr="008651BC">
        <w:rPr>
          <w:rFonts w:ascii="Times New Roman" w:hAnsi="Times New Roman"/>
          <w:sz w:val="24"/>
          <w:szCs w:val="24"/>
        </w:rPr>
        <w:t>сократившись на 6,7 процентных пункта</w:t>
      </w:r>
      <w:r w:rsidRPr="008651BC">
        <w:rPr>
          <w:rFonts w:ascii="Times New Roman" w:hAnsi="Times New Roman"/>
          <w:b/>
          <w:sz w:val="24"/>
          <w:szCs w:val="24"/>
        </w:rPr>
        <w:t xml:space="preserve"> </w:t>
      </w:r>
      <w:r w:rsidRPr="008651BC">
        <w:rPr>
          <w:rFonts w:ascii="Times New Roman" w:hAnsi="Times New Roman"/>
          <w:sz w:val="24"/>
          <w:szCs w:val="24"/>
        </w:rPr>
        <w:t xml:space="preserve">по сравнению с уровнем </w:t>
      </w:r>
      <w:r w:rsidRPr="008651BC">
        <w:rPr>
          <w:rFonts w:ascii="Times New Roman" w:hAnsi="Times New Roman"/>
          <w:sz w:val="24"/>
          <w:szCs w:val="24"/>
          <w:lang w:val="en-US"/>
        </w:rPr>
        <w:t>I</w:t>
      </w:r>
      <w:r w:rsidRPr="008651BC">
        <w:rPr>
          <w:rFonts w:ascii="Times New Roman" w:hAnsi="Times New Roman"/>
          <w:sz w:val="24"/>
          <w:szCs w:val="24"/>
        </w:rPr>
        <w:t xml:space="preserve"> полугодия 2014 года (</w:t>
      </w:r>
      <w:r w:rsidRPr="008651BC">
        <w:rPr>
          <w:rFonts w:ascii="Times New Roman" w:hAnsi="Times New Roman"/>
          <w:b/>
          <w:sz w:val="24"/>
          <w:szCs w:val="24"/>
        </w:rPr>
        <w:t>23,8%).</w:t>
      </w:r>
    </w:p>
    <w:p w:rsidR="004839A0" w:rsidRPr="00EA52D1" w:rsidRDefault="004839A0" w:rsidP="004839A0">
      <w:pPr>
        <w:spacing w:after="0" w:line="240" w:lineRule="auto"/>
        <w:jc w:val="right"/>
        <w:rPr>
          <w:rFonts w:ascii="Times New Roman" w:hAnsi="Times New Roman"/>
          <w:sz w:val="24"/>
          <w:szCs w:val="24"/>
        </w:rPr>
      </w:pPr>
      <w:r w:rsidRPr="00EA52D1">
        <w:rPr>
          <w:rFonts w:ascii="Times New Roman" w:hAnsi="Times New Roman"/>
          <w:sz w:val="24"/>
          <w:szCs w:val="24"/>
        </w:rPr>
        <w:t>Таблица №</w:t>
      </w:r>
      <w:r w:rsidR="00D75287">
        <w:rPr>
          <w:rFonts w:ascii="Times New Roman" w:hAnsi="Times New Roman"/>
          <w:sz w:val="24"/>
          <w:szCs w:val="24"/>
        </w:rPr>
        <w:t>6</w:t>
      </w:r>
    </w:p>
    <w:p w:rsidR="004839A0" w:rsidRPr="008651BC" w:rsidRDefault="004839A0" w:rsidP="004839A0">
      <w:pPr>
        <w:spacing w:after="0" w:line="240" w:lineRule="auto"/>
        <w:ind w:firstLine="720"/>
        <w:jc w:val="center"/>
        <w:rPr>
          <w:rFonts w:ascii="Times New Roman" w:hAnsi="Times New Roman"/>
          <w:b/>
          <w:sz w:val="24"/>
          <w:szCs w:val="24"/>
        </w:rPr>
      </w:pPr>
      <w:r w:rsidRPr="008651BC">
        <w:rPr>
          <w:rFonts w:ascii="Times New Roman" w:hAnsi="Times New Roman"/>
          <w:b/>
          <w:sz w:val="24"/>
          <w:szCs w:val="24"/>
        </w:rPr>
        <w:t xml:space="preserve">Структура налоговых поступлений в доходную часть </w:t>
      </w:r>
    </w:p>
    <w:p w:rsidR="004839A0" w:rsidRPr="008651BC" w:rsidRDefault="004839A0" w:rsidP="004839A0">
      <w:pPr>
        <w:spacing w:after="0" w:line="240" w:lineRule="auto"/>
        <w:ind w:left="142"/>
        <w:jc w:val="center"/>
        <w:rPr>
          <w:rFonts w:ascii="Times New Roman" w:hAnsi="Times New Roman"/>
          <w:b/>
          <w:sz w:val="24"/>
          <w:szCs w:val="24"/>
        </w:rPr>
      </w:pPr>
      <w:r w:rsidRPr="008651BC">
        <w:rPr>
          <w:rFonts w:ascii="Times New Roman" w:hAnsi="Times New Roman"/>
          <w:b/>
          <w:sz w:val="24"/>
          <w:szCs w:val="24"/>
        </w:rPr>
        <w:t>Консолидированного бюджета (руб.)</w:t>
      </w:r>
    </w:p>
    <w:tbl>
      <w:tblPr>
        <w:tblW w:w="9764"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3"/>
        <w:gridCol w:w="1249"/>
        <w:gridCol w:w="694"/>
        <w:gridCol w:w="1248"/>
        <w:gridCol w:w="833"/>
        <w:gridCol w:w="694"/>
        <w:gridCol w:w="1323"/>
      </w:tblGrid>
      <w:tr w:rsidR="004839A0" w:rsidRPr="008651BC" w:rsidTr="00D75287">
        <w:trPr>
          <w:trHeight w:val="966"/>
          <w:jc w:val="center"/>
        </w:trPr>
        <w:tc>
          <w:tcPr>
            <w:tcW w:w="3723" w:type="dxa"/>
            <w:vMerge w:val="restart"/>
            <w:vAlign w:val="center"/>
          </w:tcPr>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Вид платежа</w:t>
            </w:r>
          </w:p>
        </w:tc>
        <w:tc>
          <w:tcPr>
            <w:tcW w:w="1943" w:type="dxa"/>
            <w:gridSpan w:val="2"/>
            <w:vAlign w:val="center"/>
          </w:tcPr>
          <w:p w:rsidR="004839A0" w:rsidRPr="008651BC" w:rsidRDefault="004839A0" w:rsidP="004839A0">
            <w:pPr>
              <w:spacing w:after="0" w:line="240" w:lineRule="auto"/>
              <w:ind w:left="-151" w:firstLine="151"/>
              <w:jc w:val="center"/>
              <w:rPr>
                <w:rFonts w:ascii="Times New Roman" w:hAnsi="Times New Roman"/>
                <w:b/>
                <w:sz w:val="24"/>
                <w:szCs w:val="24"/>
              </w:rPr>
            </w:pPr>
            <w:r w:rsidRPr="008651BC">
              <w:rPr>
                <w:rFonts w:ascii="Times New Roman" w:hAnsi="Times New Roman"/>
                <w:b/>
                <w:sz w:val="20"/>
                <w:szCs w:val="20"/>
              </w:rPr>
              <w:t>1 полугодие</w:t>
            </w:r>
            <w:r w:rsidRPr="008651BC">
              <w:rPr>
                <w:rFonts w:ascii="Times New Roman" w:hAnsi="Times New Roman"/>
                <w:b/>
                <w:sz w:val="24"/>
                <w:szCs w:val="24"/>
              </w:rPr>
              <w:t xml:space="preserve"> </w:t>
            </w:r>
          </w:p>
          <w:p w:rsidR="004839A0" w:rsidRPr="008651BC" w:rsidRDefault="004839A0" w:rsidP="004839A0">
            <w:pPr>
              <w:spacing w:after="0" w:line="240" w:lineRule="auto"/>
              <w:ind w:left="-151" w:firstLine="151"/>
              <w:jc w:val="center"/>
              <w:rPr>
                <w:rFonts w:ascii="Times New Roman" w:hAnsi="Times New Roman"/>
                <w:b/>
                <w:sz w:val="20"/>
                <w:szCs w:val="20"/>
              </w:rPr>
            </w:pPr>
            <w:r w:rsidRPr="008651BC">
              <w:rPr>
                <w:rFonts w:ascii="Times New Roman" w:hAnsi="Times New Roman"/>
                <w:b/>
                <w:sz w:val="20"/>
                <w:szCs w:val="20"/>
              </w:rPr>
              <w:t>2014 года</w:t>
            </w:r>
          </w:p>
        </w:tc>
        <w:tc>
          <w:tcPr>
            <w:tcW w:w="2775" w:type="dxa"/>
            <w:gridSpan w:val="3"/>
            <w:vAlign w:val="center"/>
          </w:tcPr>
          <w:p w:rsidR="004839A0" w:rsidRPr="008651BC" w:rsidRDefault="004839A0" w:rsidP="004839A0">
            <w:pPr>
              <w:spacing w:after="0" w:line="240" w:lineRule="auto"/>
              <w:jc w:val="center"/>
              <w:rPr>
                <w:rFonts w:ascii="Times New Roman" w:hAnsi="Times New Roman"/>
                <w:b/>
                <w:sz w:val="24"/>
                <w:szCs w:val="24"/>
              </w:rPr>
            </w:pPr>
            <w:r w:rsidRPr="008651BC">
              <w:rPr>
                <w:rFonts w:ascii="Times New Roman" w:hAnsi="Times New Roman"/>
                <w:b/>
                <w:sz w:val="20"/>
                <w:szCs w:val="20"/>
              </w:rPr>
              <w:t>1 полугодие</w:t>
            </w:r>
            <w:r w:rsidRPr="008651BC">
              <w:rPr>
                <w:rFonts w:ascii="Times New Roman" w:hAnsi="Times New Roman"/>
                <w:b/>
                <w:sz w:val="24"/>
                <w:szCs w:val="24"/>
              </w:rPr>
              <w:t xml:space="preserve"> </w:t>
            </w:r>
          </w:p>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2015 года</w:t>
            </w:r>
          </w:p>
        </w:tc>
        <w:tc>
          <w:tcPr>
            <w:tcW w:w="1323" w:type="dxa"/>
            <w:vMerge w:val="restart"/>
            <w:vAlign w:val="center"/>
          </w:tcPr>
          <w:p w:rsidR="004839A0" w:rsidRPr="008651BC" w:rsidRDefault="004839A0" w:rsidP="004839A0">
            <w:pPr>
              <w:spacing w:after="0"/>
              <w:jc w:val="center"/>
              <w:rPr>
                <w:rFonts w:ascii="Times New Roman" w:hAnsi="Times New Roman"/>
                <w:b/>
                <w:sz w:val="20"/>
                <w:szCs w:val="20"/>
              </w:rPr>
            </w:pPr>
            <w:r w:rsidRPr="008651BC">
              <w:rPr>
                <w:rFonts w:ascii="Times New Roman" w:hAnsi="Times New Roman"/>
                <w:b/>
                <w:sz w:val="20"/>
                <w:szCs w:val="20"/>
              </w:rPr>
              <w:t xml:space="preserve">Темп роста/спада 2015 г. к 2014 г.,% </w:t>
            </w:r>
          </w:p>
        </w:tc>
      </w:tr>
      <w:tr w:rsidR="004839A0" w:rsidRPr="008651BC" w:rsidTr="00D75287">
        <w:trPr>
          <w:trHeight w:val="630"/>
          <w:jc w:val="center"/>
        </w:trPr>
        <w:tc>
          <w:tcPr>
            <w:tcW w:w="3723" w:type="dxa"/>
            <w:vMerge/>
            <w:vAlign w:val="center"/>
          </w:tcPr>
          <w:p w:rsidR="004839A0" w:rsidRPr="008651BC" w:rsidRDefault="004839A0" w:rsidP="004839A0">
            <w:pPr>
              <w:spacing w:after="0" w:line="240" w:lineRule="auto"/>
              <w:jc w:val="center"/>
              <w:rPr>
                <w:rFonts w:ascii="Times New Roman" w:hAnsi="Times New Roman"/>
                <w:b/>
                <w:sz w:val="20"/>
                <w:szCs w:val="20"/>
              </w:rPr>
            </w:pPr>
          </w:p>
        </w:tc>
        <w:tc>
          <w:tcPr>
            <w:tcW w:w="1249" w:type="dxa"/>
            <w:vAlign w:val="center"/>
          </w:tcPr>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факт</w:t>
            </w:r>
          </w:p>
        </w:tc>
        <w:tc>
          <w:tcPr>
            <w:tcW w:w="694" w:type="dxa"/>
            <w:vAlign w:val="center"/>
          </w:tcPr>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уд. вес, %</w:t>
            </w:r>
          </w:p>
        </w:tc>
        <w:tc>
          <w:tcPr>
            <w:tcW w:w="1248" w:type="dxa"/>
            <w:vAlign w:val="center"/>
          </w:tcPr>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факт</w:t>
            </w:r>
          </w:p>
        </w:tc>
        <w:tc>
          <w:tcPr>
            <w:tcW w:w="833" w:type="dxa"/>
            <w:vAlign w:val="center"/>
          </w:tcPr>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 исп. плана</w:t>
            </w:r>
          </w:p>
        </w:tc>
        <w:tc>
          <w:tcPr>
            <w:tcW w:w="694" w:type="dxa"/>
            <w:shd w:val="clear" w:color="auto" w:fill="auto"/>
            <w:vAlign w:val="center"/>
          </w:tcPr>
          <w:p w:rsidR="004839A0" w:rsidRPr="008651BC" w:rsidRDefault="004839A0" w:rsidP="004839A0">
            <w:pPr>
              <w:spacing w:after="0" w:line="240" w:lineRule="auto"/>
              <w:jc w:val="center"/>
              <w:rPr>
                <w:rFonts w:ascii="Times New Roman" w:hAnsi="Times New Roman"/>
                <w:b/>
                <w:sz w:val="20"/>
                <w:szCs w:val="20"/>
              </w:rPr>
            </w:pPr>
            <w:r w:rsidRPr="008651BC">
              <w:rPr>
                <w:rFonts w:ascii="Times New Roman" w:hAnsi="Times New Roman"/>
                <w:b/>
                <w:sz w:val="20"/>
                <w:szCs w:val="20"/>
              </w:rPr>
              <w:t>уд. вес, %</w:t>
            </w:r>
          </w:p>
        </w:tc>
        <w:tc>
          <w:tcPr>
            <w:tcW w:w="1323" w:type="dxa"/>
            <w:vMerge/>
            <w:vAlign w:val="center"/>
          </w:tcPr>
          <w:p w:rsidR="004839A0" w:rsidRPr="008651BC" w:rsidRDefault="004839A0" w:rsidP="004839A0">
            <w:pPr>
              <w:spacing w:after="0" w:line="240" w:lineRule="auto"/>
              <w:jc w:val="center"/>
              <w:rPr>
                <w:rFonts w:ascii="Times New Roman" w:hAnsi="Times New Roman"/>
                <w:b/>
                <w:sz w:val="20"/>
                <w:szCs w:val="20"/>
              </w:rPr>
            </w:pPr>
          </w:p>
        </w:tc>
      </w:tr>
      <w:tr w:rsidR="004839A0" w:rsidRPr="008651BC" w:rsidTr="00D75287">
        <w:trPr>
          <w:trHeight w:val="564"/>
          <w:jc w:val="center"/>
        </w:trPr>
        <w:tc>
          <w:tcPr>
            <w:tcW w:w="3723" w:type="dxa"/>
          </w:tcPr>
          <w:p w:rsidR="004839A0" w:rsidRPr="008651BC" w:rsidRDefault="004839A0" w:rsidP="004839A0">
            <w:pPr>
              <w:spacing w:after="0" w:line="240" w:lineRule="auto"/>
              <w:ind w:left="-91" w:right="-170"/>
              <w:rPr>
                <w:rFonts w:ascii="Times New Roman" w:hAnsi="Times New Roman"/>
                <w:sz w:val="20"/>
                <w:szCs w:val="20"/>
              </w:rPr>
            </w:pPr>
            <w:r w:rsidRPr="008651BC">
              <w:rPr>
                <w:rFonts w:ascii="Times New Roman" w:hAnsi="Times New Roman"/>
                <w:sz w:val="20"/>
                <w:szCs w:val="20"/>
              </w:rPr>
              <w:t>Налог на доходы организаций по отрасли (подотрасли, виду деятельности)</w:t>
            </w:r>
          </w:p>
        </w:tc>
        <w:tc>
          <w:tcPr>
            <w:tcW w:w="1249" w:type="dxa"/>
            <w:vAlign w:val="center"/>
          </w:tcPr>
          <w:p w:rsidR="004839A0" w:rsidRPr="008651BC" w:rsidRDefault="004839A0" w:rsidP="004839A0">
            <w:pPr>
              <w:jc w:val="right"/>
              <w:rPr>
                <w:rFonts w:ascii="Times New Roman" w:hAnsi="Times New Roman"/>
                <w:bCs/>
                <w:sz w:val="20"/>
                <w:szCs w:val="20"/>
              </w:rPr>
            </w:pPr>
            <w:r w:rsidRPr="008651BC">
              <w:rPr>
                <w:rFonts w:ascii="Times New Roman" w:hAnsi="Times New Roman"/>
                <w:bCs/>
                <w:sz w:val="20"/>
                <w:szCs w:val="20"/>
              </w:rPr>
              <w:t>367 994 626</w:t>
            </w:r>
          </w:p>
        </w:tc>
        <w:tc>
          <w:tcPr>
            <w:tcW w:w="694" w:type="dxa"/>
            <w:vAlign w:val="center"/>
          </w:tcPr>
          <w:p w:rsidR="004839A0" w:rsidRPr="008651BC" w:rsidRDefault="004839A0" w:rsidP="004839A0">
            <w:pPr>
              <w:jc w:val="right"/>
              <w:rPr>
                <w:rFonts w:ascii="Times New Roman" w:hAnsi="Times New Roman"/>
                <w:bCs/>
                <w:sz w:val="20"/>
                <w:szCs w:val="20"/>
              </w:rPr>
            </w:pPr>
            <w:r w:rsidRPr="008651BC">
              <w:rPr>
                <w:rFonts w:ascii="Times New Roman" w:hAnsi="Times New Roman"/>
                <w:bCs/>
                <w:sz w:val="20"/>
                <w:szCs w:val="20"/>
              </w:rPr>
              <w:t>27,49</w:t>
            </w:r>
          </w:p>
        </w:tc>
        <w:tc>
          <w:tcPr>
            <w:tcW w:w="1248" w:type="dxa"/>
            <w:vAlign w:val="center"/>
          </w:tcPr>
          <w:p w:rsidR="004839A0" w:rsidRPr="008651BC" w:rsidRDefault="004839A0" w:rsidP="004839A0">
            <w:pPr>
              <w:jc w:val="center"/>
              <w:rPr>
                <w:rFonts w:ascii="Times New Roman" w:hAnsi="Times New Roman"/>
                <w:bCs/>
                <w:sz w:val="20"/>
                <w:szCs w:val="20"/>
              </w:rPr>
            </w:pPr>
            <w:r w:rsidRPr="008651BC">
              <w:rPr>
                <w:rFonts w:ascii="Times New Roman" w:hAnsi="Times New Roman"/>
                <w:bCs/>
                <w:sz w:val="20"/>
                <w:szCs w:val="20"/>
              </w:rPr>
              <w:t>368 454 132</w:t>
            </w:r>
          </w:p>
        </w:tc>
        <w:tc>
          <w:tcPr>
            <w:tcW w:w="833" w:type="dxa"/>
            <w:vAlign w:val="center"/>
          </w:tcPr>
          <w:p w:rsidR="004839A0" w:rsidRPr="008651BC" w:rsidRDefault="004839A0" w:rsidP="004839A0">
            <w:pPr>
              <w:jc w:val="center"/>
              <w:rPr>
                <w:rFonts w:ascii="Times New Roman" w:hAnsi="Times New Roman"/>
                <w:bCs/>
                <w:sz w:val="20"/>
                <w:szCs w:val="20"/>
              </w:rPr>
            </w:pPr>
            <w:r w:rsidRPr="008651BC">
              <w:rPr>
                <w:rFonts w:ascii="Times New Roman" w:hAnsi="Times New Roman"/>
                <w:bCs/>
                <w:sz w:val="20"/>
                <w:szCs w:val="20"/>
              </w:rPr>
              <w:t>106,5</w:t>
            </w:r>
          </w:p>
        </w:tc>
        <w:tc>
          <w:tcPr>
            <w:tcW w:w="694" w:type="dxa"/>
            <w:vAlign w:val="center"/>
          </w:tcPr>
          <w:p w:rsidR="004839A0" w:rsidRPr="008651BC" w:rsidRDefault="004839A0" w:rsidP="004839A0">
            <w:pPr>
              <w:jc w:val="center"/>
              <w:rPr>
                <w:rFonts w:ascii="Times New Roman" w:hAnsi="Times New Roman"/>
                <w:bCs/>
                <w:sz w:val="20"/>
                <w:szCs w:val="20"/>
              </w:rPr>
            </w:pPr>
            <w:r w:rsidRPr="008651BC">
              <w:rPr>
                <w:rFonts w:ascii="Times New Roman" w:hAnsi="Times New Roman"/>
                <w:bCs/>
                <w:sz w:val="20"/>
                <w:szCs w:val="20"/>
              </w:rPr>
              <w:t>44,45</w:t>
            </w:r>
          </w:p>
        </w:tc>
        <w:tc>
          <w:tcPr>
            <w:tcW w:w="132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100,1</w:t>
            </w:r>
          </w:p>
        </w:tc>
      </w:tr>
      <w:tr w:rsidR="004839A0" w:rsidRPr="008651BC" w:rsidTr="00D75287">
        <w:trPr>
          <w:trHeight w:val="311"/>
          <w:jc w:val="center"/>
        </w:trPr>
        <w:tc>
          <w:tcPr>
            <w:tcW w:w="3723" w:type="dxa"/>
          </w:tcPr>
          <w:p w:rsidR="004839A0" w:rsidRPr="008651BC" w:rsidRDefault="004839A0" w:rsidP="004839A0">
            <w:pPr>
              <w:spacing w:after="0" w:line="240" w:lineRule="auto"/>
              <w:ind w:left="-76"/>
              <w:rPr>
                <w:rFonts w:ascii="Times New Roman" w:hAnsi="Times New Roman"/>
                <w:sz w:val="20"/>
                <w:szCs w:val="20"/>
              </w:rPr>
            </w:pPr>
            <w:r w:rsidRPr="008651BC">
              <w:rPr>
                <w:rFonts w:ascii="Times New Roman" w:hAnsi="Times New Roman"/>
                <w:sz w:val="20"/>
                <w:szCs w:val="20"/>
              </w:rPr>
              <w:t>Подоходный налог с физических лиц</w:t>
            </w:r>
          </w:p>
        </w:tc>
        <w:tc>
          <w:tcPr>
            <w:tcW w:w="1249" w:type="dxa"/>
          </w:tcPr>
          <w:p w:rsidR="004839A0" w:rsidRPr="008651BC" w:rsidRDefault="004839A0" w:rsidP="004839A0">
            <w:pPr>
              <w:spacing w:after="0"/>
              <w:jc w:val="center"/>
              <w:rPr>
                <w:rFonts w:ascii="Times New Roman" w:hAnsi="Times New Roman"/>
                <w:bCs/>
                <w:sz w:val="20"/>
                <w:szCs w:val="20"/>
              </w:rPr>
            </w:pPr>
            <w:r w:rsidRPr="008651BC">
              <w:rPr>
                <w:rFonts w:ascii="Times New Roman" w:hAnsi="Times New Roman"/>
                <w:bCs/>
                <w:sz w:val="20"/>
                <w:szCs w:val="20"/>
              </w:rPr>
              <w:t>224 739 638</w:t>
            </w:r>
          </w:p>
        </w:tc>
        <w:tc>
          <w:tcPr>
            <w:tcW w:w="694" w:type="dxa"/>
          </w:tcPr>
          <w:p w:rsidR="004839A0" w:rsidRPr="008651BC" w:rsidRDefault="004839A0" w:rsidP="004839A0">
            <w:pPr>
              <w:spacing w:after="0"/>
              <w:jc w:val="center"/>
              <w:rPr>
                <w:rFonts w:ascii="Times New Roman" w:hAnsi="Times New Roman"/>
                <w:bCs/>
                <w:sz w:val="20"/>
                <w:szCs w:val="20"/>
              </w:rPr>
            </w:pPr>
            <w:r w:rsidRPr="008651BC">
              <w:rPr>
                <w:rFonts w:ascii="Times New Roman" w:hAnsi="Times New Roman"/>
                <w:bCs/>
                <w:sz w:val="20"/>
                <w:szCs w:val="20"/>
              </w:rPr>
              <w:t>16,79</w:t>
            </w:r>
          </w:p>
        </w:tc>
        <w:tc>
          <w:tcPr>
            <w:tcW w:w="1248" w:type="dxa"/>
            <w:vAlign w:val="center"/>
          </w:tcPr>
          <w:p w:rsidR="004839A0" w:rsidRPr="008651BC" w:rsidRDefault="004839A0" w:rsidP="004839A0">
            <w:pPr>
              <w:spacing w:after="0"/>
              <w:jc w:val="center"/>
              <w:rPr>
                <w:rFonts w:ascii="Times New Roman" w:hAnsi="Times New Roman"/>
                <w:bCs/>
                <w:sz w:val="20"/>
                <w:szCs w:val="20"/>
              </w:rPr>
            </w:pPr>
            <w:r w:rsidRPr="008651BC">
              <w:rPr>
                <w:rFonts w:ascii="Times New Roman" w:hAnsi="Times New Roman"/>
                <w:bCs/>
                <w:sz w:val="20"/>
                <w:szCs w:val="20"/>
              </w:rPr>
              <w:t>167 805 880</w:t>
            </w:r>
          </w:p>
        </w:tc>
        <w:tc>
          <w:tcPr>
            <w:tcW w:w="833" w:type="dxa"/>
            <w:vAlign w:val="center"/>
          </w:tcPr>
          <w:p w:rsidR="004839A0" w:rsidRPr="008651BC" w:rsidRDefault="004839A0" w:rsidP="004839A0">
            <w:pPr>
              <w:spacing w:after="0"/>
              <w:jc w:val="center"/>
              <w:rPr>
                <w:rFonts w:ascii="Times New Roman" w:hAnsi="Times New Roman"/>
                <w:bCs/>
                <w:sz w:val="20"/>
                <w:szCs w:val="20"/>
              </w:rPr>
            </w:pPr>
            <w:r w:rsidRPr="008651BC">
              <w:rPr>
                <w:rFonts w:ascii="Times New Roman" w:hAnsi="Times New Roman"/>
                <w:bCs/>
                <w:sz w:val="20"/>
                <w:szCs w:val="20"/>
              </w:rPr>
              <w:t>80,96</w:t>
            </w:r>
          </w:p>
        </w:tc>
        <w:tc>
          <w:tcPr>
            <w:tcW w:w="694" w:type="dxa"/>
            <w:vAlign w:val="center"/>
          </w:tcPr>
          <w:p w:rsidR="004839A0" w:rsidRPr="008651BC" w:rsidRDefault="004839A0" w:rsidP="004839A0">
            <w:pPr>
              <w:spacing w:after="0"/>
              <w:jc w:val="center"/>
              <w:rPr>
                <w:rFonts w:ascii="Times New Roman" w:hAnsi="Times New Roman"/>
                <w:bCs/>
                <w:sz w:val="20"/>
                <w:szCs w:val="20"/>
              </w:rPr>
            </w:pPr>
            <w:r w:rsidRPr="008651BC">
              <w:rPr>
                <w:rFonts w:ascii="Times New Roman" w:hAnsi="Times New Roman"/>
                <w:bCs/>
                <w:sz w:val="20"/>
                <w:szCs w:val="20"/>
              </w:rPr>
              <w:t>20,24</w:t>
            </w:r>
          </w:p>
        </w:tc>
        <w:tc>
          <w:tcPr>
            <w:tcW w:w="1323" w:type="dxa"/>
            <w:vAlign w:val="center"/>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74,7</w:t>
            </w:r>
          </w:p>
        </w:tc>
      </w:tr>
      <w:tr w:rsidR="004839A0" w:rsidRPr="008651BC" w:rsidTr="00D75287">
        <w:trPr>
          <w:trHeight w:val="417"/>
          <w:jc w:val="center"/>
        </w:trPr>
        <w:tc>
          <w:tcPr>
            <w:tcW w:w="3723" w:type="dxa"/>
          </w:tcPr>
          <w:p w:rsidR="004839A0" w:rsidRPr="008651BC" w:rsidRDefault="004839A0" w:rsidP="004839A0">
            <w:pPr>
              <w:spacing w:after="0" w:line="240" w:lineRule="auto"/>
              <w:ind w:left="-91" w:right="-170"/>
              <w:rPr>
                <w:rFonts w:ascii="Times New Roman" w:hAnsi="Times New Roman"/>
                <w:sz w:val="20"/>
                <w:szCs w:val="20"/>
              </w:rPr>
            </w:pPr>
            <w:r w:rsidRPr="008651BC">
              <w:rPr>
                <w:rFonts w:ascii="Times New Roman" w:hAnsi="Times New Roman"/>
                <w:sz w:val="20"/>
                <w:szCs w:val="20"/>
              </w:rPr>
              <w:t>Налоги на товары и услуги, лицензионные и регистрационные сборы</w:t>
            </w:r>
          </w:p>
        </w:tc>
        <w:tc>
          <w:tcPr>
            <w:tcW w:w="1249"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307 963 834</w:t>
            </w:r>
          </w:p>
        </w:tc>
        <w:tc>
          <w:tcPr>
            <w:tcW w:w="694"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23,01</w:t>
            </w:r>
          </w:p>
        </w:tc>
        <w:tc>
          <w:tcPr>
            <w:tcW w:w="1248"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63 720 338</w:t>
            </w:r>
          </w:p>
        </w:tc>
        <w:tc>
          <w:tcPr>
            <w:tcW w:w="83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163,67</w:t>
            </w:r>
          </w:p>
        </w:tc>
        <w:tc>
          <w:tcPr>
            <w:tcW w:w="694"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7,69</w:t>
            </w:r>
          </w:p>
        </w:tc>
        <w:tc>
          <w:tcPr>
            <w:tcW w:w="132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20,7</w:t>
            </w:r>
          </w:p>
        </w:tc>
      </w:tr>
      <w:tr w:rsidR="004839A0" w:rsidRPr="008651BC" w:rsidTr="00D75287">
        <w:trPr>
          <w:trHeight w:val="258"/>
          <w:jc w:val="center"/>
        </w:trPr>
        <w:tc>
          <w:tcPr>
            <w:tcW w:w="3723" w:type="dxa"/>
          </w:tcPr>
          <w:p w:rsidR="004839A0" w:rsidRPr="008651BC" w:rsidRDefault="004839A0" w:rsidP="004839A0">
            <w:pPr>
              <w:spacing w:after="0" w:line="240" w:lineRule="auto"/>
              <w:ind w:left="-91" w:right="-170"/>
              <w:rPr>
                <w:rFonts w:ascii="Times New Roman" w:hAnsi="Times New Roman"/>
                <w:sz w:val="20"/>
                <w:szCs w:val="20"/>
              </w:rPr>
            </w:pPr>
            <w:r w:rsidRPr="008651BC">
              <w:rPr>
                <w:rFonts w:ascii="Times New Roman" w:hAnsi="Times New Roman"/>
                <w:sz w:val="20"/>
                <w:szCs w:val="20"/>
              </w:rPr>
              <w:t>Налог на игорную деятельность</w:t>
            </w:r>
          </w:p>
        </w:tc>
        <w:tc>
          <w:tcPr>
            <w:tcW w:w="1249" w:type="dxa"/>
            <w:vAlign w:val="center"/>
          </w:tcPr>
          <w:p w:rsidR="004839A0" w:rsidRPr="008651BC" w:rsidRDefault="004839A0" w:rsidP="004839A0">
            <w:pPr>
              <w:spacing w:after="0"/>
              <w:jc w:val="right"/>
              <w:rPr>
                <w:rFonts w:ascii="Times New Roman" w:hAnsi="Times New Roman"/>
                <w:sz w:val="20"/>
                <w:szCs w:val="20"/>
              </w:rPr>
            </w:pPr>
            <w:r w:rsidRPr="008651BC">
              <w:rPr>
                <w:rFonts w:ascii="Times New Roman" w:hAnsi="Times New Roman"/>
                <w:sz w:val="20"/>
                <w:szCs w:val="20"/>
              </w:rPr>
              <w:t xml:space="preserve">6 710 799 </w:t>
            </w:r>
          </w:p>
        </w:tc>
        <w:tc>
          <w:tcPr>
            <w:tcW w:w="694" w:type="dxa"/>
            <w:vAlign w:val="center"/>
          </w:tcPr>
          <w:p w:rsidR="004839A0" w:rsidRPr="008651BC" w:rsidRDefault="004839A0" w:rsidP="004839A0">
            <w:pPr>
              <w:spacing w:after="0"/>
              <w:jc w:val="right"/>
              <w:rPr>
                <w:rFonts w:ascii="Times New Roman" w:hAnsi="Times New Roman"/>
                <w:sz w:val="20"/>
                <w:szCs w:val="20"/>
              </w:rPr>
            </w:pPr>
            <w:r w:rsidRPr="008651BC">
              <w:rPr>
                <w:rFonts w:ascii="Times New Roman" w:hAnsi="Times New Roman"/>
                <w:sz w:val="20"/>
                <w:szCs w:val="20"/>
              </w:rPr>
              <w:t>0,50</w:t>
            </w:r>
          </w:p>
        </w:tc>
        <w:tc>
          <w:tcPr>
            <w:tcW w:w="1248" w:type="dxa"/>
            <w:vAlign w:val="center"/>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5 065 229</w:t>
            </w:r>
          </w:p>
        </w:tc>
        <w:tc>
          <w:tcPr>
            <w:tcW w:w="833" w:type="dxa"/>
            <w:vAlign w:val="center"/>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73,60</w:t>
            </w:r>
          </w:p>
        </w:tc>
        <w:tc>
          <w:tcPr>
            <w:tcW w:w="694" w:type="dxa"/>
            <w:vAlign w:val="center"/>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0,61</w:t>
            </w:r>
          </w:p>
        </w:tc>
        <w:tc>
          <w:tcPr>
            <w:tcW w:w="1323" w:type="dxa"/>
            <w:vAlign w:val="center"/>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75,5</w:t>
            </w:r>
          </w:p>
        </w:tc>
      </w:tr>
      <w:tr w:rsidR="004839A0" w:rsidRPr="008651BC" w:rsidTr="00D75287">
        <w:trPr>
          <w:trHeight w:val="445"/>
          <w:jc w:val="center"/>
        </w:trPr>
        <w:tc>
          <w:tcPr>
            <w:tcW w:w="3723" w:type="dxa"/>
          </w:tcPr>
          <w:p w:rsidR="004839A0" w:rsidRPr="008651BC" w:rsidRDefault="004839A0" w:rsidP="004839A0">
            <w:pPr>
              <w:spacing w:after="0" w:line="240" w:lineRule="auto"/>
              <w:ind w:left="-91" w:right="-170"/>
              <w:rPr>
                <w:rFonts w:ascii="Times New Roman" w:hAnsi="Times New Roman"/>
                <w:sz w:val="20"/>
                <w:szCs w:val="20"/>
              </w:rPr>
            </w:pPr>
            <w:r w:rsidRPr="008651BC">
              <w:rPr>
                <w:rFonts w:ascii="Times New Roman" w:hAnsi="Times New Roman"/>
                <w:sz w:val="20"/>
                <w:szCs w:val="20"/>
              </w:rPr>
              <w:lastRenderedPageBreak/>
              <w:t>Платежи за пользование природными ресурсами</w:t>
            </w:r>
          </w:p>
        </w:tc>
        <w:tc>
          <w:tcPr>
            <w:tcW w:w="1249" w:type="dxa"/>
            <w:vAlign w:val="center"/>
          </w:tcPr>
          <w:p w:rsidR="004839A0" w:rsidRPr="008651BC" w:rsidRDefault="004839A0" w:rsidP="004839A0">
            <w:pPr>
              <w:jc w:val="right"/>
              <w:rPr>
                <w:rFonts w:ascii="Times New Roman" w:hAnsi="Times New Roman"/>
                <w:sz w:val="20"/>
                <w:szCs w:val="20"/>
              </w:rPr>
            </w:pPr>
            <w:r w:rsidRPr="008651BC">
              <w:rPr>
                <w:rFonts w:ascii="Times New Roman" w:hAnsi="Times New Roman"/>
                <w:sz w:val="20"/>
                <w:szCs w:val="20"/>
              </w:rPr>
              <w:t>34 573 747</w:t>
            </w:r>
          </w:p>
        </w:tc>
        <w:tc>
          <w:tcPr>
            <w:tcW w:w="694" w:type="dxa"/>
            <w:vAlign w:val="center"/>
          </w:tcPr>
          <w:p w:rsidR="004839A0" w:rsidRPr="008651BC" w:rsidRDefault="004839A0" w:rsidP="004839A0">
            <w:pPr>
              <w:jc w:val="right"/>
              <w:rPr>
                <w:rFonts w:ascii="Times New Roman" w:hAnsi="Times New Roman"/>
                <w:sz w:val="20"/>
                <w:szCs w:val="20"/>
              </w:rPr>
            </w:pPr>
            <w:r w:rsidRPr="008651BC">
              <w:rPr>
                <w:rFonts w:ascii="Times New Roman" w:hAnsi="Times New Roman"/>
                <w:sz w:val="20"/>
                <w:szCs w:val="20"/>
              </w:rPr>
              <w:t>2,58</w:t>
            </w:r>
          </w:p>
        </w:tc>
        <w:tc>
          <w:tcPr>
            <w:tcW w:w="1248"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30 915 258</w:t>
            </w:r>
          </w:p>
        </w:tc>
        <w:tc>
          <w:tcPr>
            <w:tcW w:w="83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91,67</w:t>
            </w:r>
          </w:p>
        </w:tc>
        <w:tc>
          <w:tcPr>
            <w:tcW w:w="694"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3,73</w:t>
            </w:r>
          </w:p>
        </w:tc>
        <w:tc>
          <w:tcPr>
            <w:tcW w:w="132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89,4</w:t>
            </w:r>
          </w:p>
        </w:tc>
      </w:tr>
      <w:tr w:rsidR="004839A0" w:rsidRPr="008651BC" w:rsidTr="00D75287">
        <w:trPr>
          <w:trHeight w:val="611"/>
          <w:jc w:val="center"/>
        </w:trPr>
        <w:tc>
          <w:tcPr>
            <w:tcW w:w="3723" w:type="dxa"/>
          </w:tcPr>
          <w:p w:rsidR="004839A0" w:rsidRPr="008651BC" w:rsidRDefault="004839A0" w:rsidP="004839A0">
            <w:pPr>
              <w:spacing w:after="0" w:line="240" w:lineRule="auto"/>
              <w:ind w:left="-91" w:right="-170"/>
              <w:rPr>
                <w:rFonts w:ascii="Times New Roman" w:hAnsi="Times New Roman"/>
                <w:sz w:val="20"/>
                <w:szCs w:val="20"/>
              </w:rPr>
            </w:pPr>
            <w:r w:rsidRPr="008651BC">
              <w:rPr>
                <w:rFonts w:ascii="Times New Roman" w:hAnsi="Times New Roman"/>
                <w:sz w:val="20"/>
                <w:szCs w:val="20"/>
              </w:rPr>
              <w:t>Налоги на внешнюю торговлю и внешнеэкономические операции</w:t>
            </w:r>
          </w:p>
        </w:tc>
        <w:tc>
          <w:tcPr>
            <w:tcW w:w="1249" w:type="dxa"/>
            <w:vAlign w:val="center"/>
          </w:tcPr>
          <w:p w:rsidR="004839A0" w:rsidRPr="008651BC" w:rsidRDefault="004839A0" w:rsidP="004839A0">
            <w:pPr>
              <w:jc w:val="right"/>
              <w:rPr>
                <w:rFonts w:ascii="Times New Roman" w:hAnsi="Times New Roman"/>
                <w:sz w:val="20"/>
                <w:szCs w:val="20"/>
              </w:rPr>
            </w:pPr>
            <w:r w:rsidRPr="008651BC">
              <w:rPr>
                <w:rFonts w:ascii="Times New Roman" w:hAnsi="Times New Roman"/>
                <w:sz w:val="20"/>
                <w:szCs w:val="20"/>
              </w:rPr>
              <w:t>340 117 023</w:t>
            </w:r>
          </w:p>
        </w:tc>
        <w:tc>
          <w:tcPr>
            <w:tcW w:w="694" w:type="dxa"/>
            <w:vAlign w:val="center"/>
          </w:tcPr>
          <w:p w:rsidR="004839A0" w:rsidRPr="008651BC" w:rsidRDefault="004839A0" w:rsidP="004839A0">
            <w:pPr>
              <w:jc w:val="right"/>
              <w:rPr>
                <w:rFonts w:ascii="Times New Roman" w:hAnsi="Times New Roman"/>
                <w:sz w:val="20"/>
                <w:szCs w:val="20"/>
              </w:rPr>
            </w:pPr>
            <w:r w:rsidRPr="008651BC">
              <w:rPr>
                <w:rFonts w:ascii="Times New Roman" w:hAnsi="Times New Roman"/>
                <w:sz w:val="20"/>
                <w:szCs w:val="20"/>
              </w:rPr>
              <w:t>25,41</w:t>
            </w:r>
          </w:p>
        </w:tc>
        <w:tc>
          <w:tcPr>
            <w:tcW w:w="1248"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136 580 213</w:t>
            </w:r>
          </w:p>
        </w:tc>
        <w:tc>
          <w:tcPr>
            <w:tcW w:w="83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73,72</w:t>
            </w:r>
          </w:p>
        </w:tc>
        <w:tc>
          <w:tcPr>
            <w:tcW w:w="694"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16,48</w:t>
            </w:r>
          </w:p>
        </w:tc>
        <w:tc>
          <w:tcPr>
            <w:tcW w:w="1323" w:type="dxa"/>
            <w:vAlign w:val="center"/>
          </w:tcPr>
          <w:p w:rsidR="004839A0" w:rsidRPr="008651BC" w:rsidRDefault="004839A0" w:rsidP="004839A0">
            <w:pPr>
              <w:jc w:val="center"/>
              <w:rPr>
                <w:rFonts w:ascii="Times New Roman" w:hAnsi="Times New Roman"/>
                <w:sz w:val="20"/>
                <w:szCs w:val="20"/>
              </w:rPr>
            </w:pPr>
            <w:r w:rsidRPr="008651BC">
              <w:rPr>
                <w:rFonts w:ascii="Times New Roman" w:hAnsi="Times New Roman"/>
                <w:sz w:val="20"/>
                <w:szCs w:val="20"/>
              </w:rPr>
              <w:t>40,2</w:t>
            </w:r>
          </w:p>
        </w:tc>
      </w:tr>
      <w:tr w:rsidR="004839A0" w:rsidRPr="00D848B3" w:rsidTr="00D75287">
        <w:trPr>
          <w:trHeight w:val="348"/>
          <w:jc w:val="center"/>
        </w:trPr>
        <w:tc>
          <w:tcPr>
            <w:tcW w:w="3723" w:type="dxa"/>
          </w:tcPr>
          <w:p w:rsidR="004839A0" w:rsidRPr="008651BC" w:rsidRDefault="004839A0" w:rsidP="004839A0">
            <w:pPr>
              <w:spacing w:after="0" w:line="240" w:lineRule="auto"/>
              <w:ind w:left="-91" w:right="-170"/>
              <w:rPr>
                <w:rFonts w:ascii="Times New Roman" w:hAnsi="Times New Roman"/>
                <w:sz w:val="20"/>
                <w:szCs w:val="20"/>
              </w:rPr>
            </w:pPr>
            <w:r w:rsidRPr="008651BC">
              <w:rPr>
                <w:rFonts w:ascii="Times New Roman" w:hAnsi="Times New Roman"/>
                <w:sz w:val="20"/>
                <w:szCs w:val="20"/>
              </w:rPr>
              <w:t>Прочие налоги, пошлины и сборы</w:t>
            </w:r>
          </w:p>
        </w:tc>
        <w:tc>
          <w:tcPr>
            <w:tcW w:w="1249" w:type="dxa"/>
          </w:tcPr>
          <w:p w:rsidR="004839A0" w:rsidRPr="008651BC" w:rsidRDefault="004839A0" w:rsidP="004839A0">
            <w:pPr>
              <w:spacing w:after="0"/>
              <w:ind w:right="-130"/>
              <w:jc w:val="center"/>
              <w:rPr>
                <w:rFonts w:ascii="Times New Roman" w:hAnsi="Times New Roman"/>
                <w:sz w:val="20"/>
                <w:szCs w:val="20"/>
              </w:rPr>
            </w:pPr>
            <w:r w:rsidRPr="008651BC">
              <w:rPr>
                <w:rFonts w:ascii="Times New Roman" w:hAnsi="Times New Roman"/>
                <w:sz w:val="20"/>
                <w:szCs w:val="20"/>
              </w:rPr>
              <w:t>48 088 153</w:t>
            </w:r>
          </w:p>
        </w:tc>
        <w:tc>
          <w:tcPr>
            <w:tcW w:w="694" w:type="dxa"/>
          </w:tcPr>
          <w:p w:rsidR="004839A0" w:rsidRPr="008651BC" w:rsidRDefault="004839A0" w:rsidP="004839A0">
            <w:pPr>
              <w:spacing w:after="0"/>
              <w:ind w:left="-269" w:right="-387"/>
              <w:jc w:val="center"/>
              <w:rPr>
                <w:rFonts w:ascii="Times New Roman" w:hAnsi="Times New Roman"/>
                <w:sz w:val="20"/>
                <w:szCs w:val="20"/>
              </w:rPr>
            </w:pPr>
            <w:r w:rsidRPr="008651BC">
              <w:rPr>
                <w:rFonts w:ascii="Times New Roman" w:hAnsi="Times New Roman"/>
                <w:sz w:val="20"/>
                <w:szCs w:val="20"/>
              </w:rPr>
              <w:t>3,59</w:t>
            </w:r>
          </w:p>
        </w:tc>
        <w:tc>
          <w:tcPr>
            <w:tcW w:w="1248" w:type="dxa"/>
          </w:tcPr>
          <w:p w:rsidR="004839A0" w:rsidRPr="008651BC" w:rsidRDefault="004839A0" w:rsidP="004839A0">
            <w:pPr>
              <w:spacing w:after="0"/>
              <w:ind w:right="-130"/>
              <w:jc w:val="center"/>
              <w:rPr>
                <w:rFonts w:ascii="Times New Roman" w:hAnsi="Times New Roman"/>
                <w:sz w:val="20"/>
                <w:szCs w:val="20"/>
              </w:rPr>
            </w:pPr>
            <w:r w:rsidRPr="008651BC">
              <w:rPr>
                <w:rFonts w:ascii="Times New Roman" w:hAnsi="Times New Roman"/>
                <w:sz w:val="20"/>
                <w:szCs w:val="20"/>
              </w:rPr>
              <w:t>48 168 344</w:t>
            </w:r>
          </w:p>
        </w:tc>
        <w:tc>
          <w:tcPr>
            <w:tcW w:w="833" w:type="dxa"/>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102,41</w:t>
            </w:r>
          </w:p>
        </w:tc>
        <w:tc>
          <w:tcPr>
            <w:tcW w:w="694" w:type="dxa"/>
          </w:tcPr>
          <w:p w:rsidR="004839A0" w:rsidRPr="008651BC" w:rsidRDefault="004839A0" w:rsidP="004839A0">
            <w:pPr>
              <w:spacing w:after="0"/>
              <w:ind w:right="-160"/>
              <w:jc w:val="center"/>
              <w:rPr>
                <w:rFonts w:ascii="Times New Roman" w:hAnsi="Times New Roman"/>
                <w:sz w:val="20"/>
                <w:szCs w:val="20"/>
              </w:rPr>
            </w:pPr>
            <w:r w:rsidRPr="008651BC">
              <w:rPr>
                <w:rFonts w:ascii="Times New Roman" w:hAnsi="Times New Roman"/>
                <w:sz w:val="20"/>
                <w:szCs w:val="20"/>
              </w:rPr>
              <w:t>5,81</w:t>
            </w:r>
          </w:p>
        </w:tc>
        <w:tc>
          <w:tcPr>
            <w:tcW w:w="1323" w:type="dxa"/>
          </w:tcPr>
          <w:p w:rsidR="004839A0" w:rsidRPr="008651BC" w:rsidRDefault="004839A0" w:rsidP="004839A0">
            <w:pPr>
              <w:spacing w:after="0"/>
              <w:jc w:val="center"/>
              <w:rPr>
                <w:rFonts w:ascii="Times New Roman" w:hAnsi="Times New Roman"/>
                <w:sz w:val="20"/>
                <w:szCs w:val="20"/>
              </w:rPr>
            </w:pPr>
            <w:r w:rsidRPr="008651BC">
              <w:rPr>
                <w:rFonts w:ascii="Times New Roman" w:hAnsi="Times New Roman"/>
                <w:sz w:val="20"/>
                <w:szCs w:val="20"/>
              </w:rPr>
              <w:t>100,2</w:t>
            </w:r>
          </w:p>
        </w:tc>
      </w:tr>
    </w:tbl>
    <w:p w:rsidR="004839A0" w:rsidRDefault="004839A0" w:rsidP="004839A0">
      <w:pPr>
        <w:spacing w:after="0" w:line="240" w:lineRule="auto"/>
        <w:ind w:hanging="284"/>
        <w:rPr>
          <w:rFonts w:ascii="Times New Roman" w:hAnsi="Times New Roman"/>
          <w:sz w:val="20"/>
          <w:szCs w:val="20"/>
        </w:rPr>
      </w:pPr>
      <w:r w:rsidRPr="00441F8E">
        <w:rPr>
          <w:rFonts w:ascii="Times New Roman" w:hAnsi="Times New Roman"/>
          <w:noProof/>
          <w:sz w:val="20"/>
          <w:szCs w:val="20"/>
          <w:highlight w:val="yellow"/>
        </w:rPr>
        <w:drawing>
          <wp:inline distT="0" distB="0" distL="0" distR="0">
            <wp:extent cx="6267450" cy="2838450"/>
            <wp:effectExtent l="0" t="0" r="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39A0" w:rsidRDefault="004839A0" w:rsidP="004839A0">
      <w:pPr>
        <w:spacing w:after="0" w:line="240" w:lineRule="auto"/>
        <w:rPr>
          <w:rFonts w:ascii="Times New Roman" w:hAnsi="Times New Roman"/>
          <w:sz w:val="20"/>
          <w:szCs w:val="20"/>
        </w:rPr>
      </w:pPr>
      <w:r w:rsidRPr="0076407B">
        <w:rPr>
          <w:rFonts w:ascii="Times New Roman" w:hAnsi="Times New Roman"/>
          <w:sz w:val="20"/>
          <w:szCs w:val="20"/>
        </w:rPr>
        <w:t xml:space="preserve">* - </w:t>
      </w:r>
      <w:r>
        <w:rPr>
          <w:rFonts w:ascii="Times New Roman" w:hAnsi="Times New Roman"/>
          <w:sz w:val="20"/>
          <w:szCs w:val="20"/>
        </w:rPr>
        <w:t>темп</w:t>
      </w:r>
      <w:r w:rsidRPr="0076407B">
        <w:rPr>
          <w:rFonts w:ascii="Times New Roman" w:hAnsi="Times New Roman"/>
          <w:sz w:val="20"/>
          <w:szCs w:val="20"/>
        </w:rPr>
        <w:t xml:space="preserve"> роста/спада </w:t>
      </w:r>
      <w:r>
        <w:rPr>
          <w:rFonts w:ascii="Times New Roman" w:hAnsi="Times New Roman"/>
          <w:sz w:val="20"/>
          <w:szCs w:val="20"/>
        </w:rPr>
        <w:t>к предыдущему году</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Наибольшую долю (44,5%) в налоговых поступлениях занимают платежи</w:t>
      </w:r>
      <w:r w:rsidRPr="008651BC">
        <w:rPr>
          <w:rFonts w:ascii="Times New Roman" w:hAnsi="Times New Roman"/>
          <w:b/>
          <w:sz w:val="24"/>
          <w:szCs w:val="24"/>
        </w:rPr>
        <w:t xml:space="preserve"> по налогу на доходы организаций</w:t>
      </w:r>
      <w:r w:rsidRPr="008651BC">
        <w:rPr>
          <w:rFonts w:ascii="Times New Roman" w:hAnsi="Times New Roman"/>
          <w:sz w:val="24"/>
          <w:szCs w:val="24"/>
        </w:rPr>
        <w:t xml:space="preserve">, которые выросли незначительно («+»0,1%) по сравнению с показателем </w:t>
      </w:r>
      <w:r w:rsidRPr="008651BC">
        <w:rPr>
          <w:rFonts w:ascii="Times New Roman" w:hAnsi="Times New Roman"/>
          <w:sz w:val="24"/>
          <w:szCs w:val="24"/>
          <w:lang w:val="en-US"/>
        </w:rPr>
        <w:t>I</w:t>
      </w:r>
      <w:r w:rsidRPr="008651BC">
        <w:rPr>
          <w:rFonts w:ascii="Times New Roman" w:hAnsi="Times New Roman"/>
          <w:sz w:val="24"/>
          <w:szCs w:val="24"/>
        </w:rPr>
        <w:t xml:space="preserve"> полугодия 2014 года в основном за счет погашения задолженности, сложившейся в предыдущий налоговый период отдельными налогоплательщиками. На фоне увеличения поступлений по данному виду платежей, их удельный вес также увеличился на 17,0 процентных пункта по сравнению </w:t>
      </w:r>
      <w:r w:rsidRPr="008651BC">
        <w:rPr>
          <w:rFonts w:ascii="Times New Roman" w:hAnsi="Times New Roman"/>
          <w:sz w:val="24"/>
          <w:szCs w:val="24"/>
          <w:lang w:val="en-US"/>
        </w:rPr>
        <w:t>I</w:t>
      </w:r>
      <w:r w:rsidR="00D25279">
        <w:rPr>
          <w:rFonts w:ascii="Times New Roman" w:hAnsi="Times New Roman"/>
          <w:sz w:val="24"/>
          <w:szCs w:val="24"/>
        </w:rPr>
        <w:t xml:space="preserve"> полугодием 2014 года до 44,5%.</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Несмотря на сокращение поступлений </w:t>
      </w:r>
      <w:r w:rsidRPr="008651BC">
        <w:rPr>
          <w:rFonts w:ascii="Times New Roman" w:hAnsi="Times New Roman"/>
          <w:b/>
          <w:sz w:val="24"/>
          <w:szCs w:val="24"/>
        </w:rPr>
        <w:t>по подоходному налогу с физических лиц</w:t>
      </w:r>
      <w:r w:rsidRPr="008651BC">
        <w:rPr>
          <w:rFonts w:ascii="Times New Roman" w:hAnsi="Times New Roman"/>
          <w:sz w:val="24"/>
          <w:szCs w:val="24"/>
        </w:rPr>
        <w:t xml:space="preserve"> по сравнению с соответствующим периодом прошлого года на 25,3%, его удельный вес в налоговых платежах вырос на 3,5 процентный пункт и составил 20,2%. На сокращение данных поступлений повлияло сокращение штатной численности, уменьшение фонда оплаты труда и материального стимулирования работников предприятий.</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Платежи</w:t>
      </w:r>
      <w:r w:rsidRPr="008651BC">
        <w:rPr>
          <w:rFonts w:ascii="Times New Roman" w:hAnsi="Times New Roman"/>
          <w:b/>
          <w:sz w:val="24"/>
          <w:szCs w:val="24"/>
        </w:rPr>
        <w:t xml:space="preserve"> по налогам на внешнюю торговлю и внешнеэкономические операции</w:t>
      </w:r>
      <w:r w:rsidRPr="008651BC">
        <w:rPr>
          <w:rFonts w:ascii="Times New Roman" w:hAnsi="Times New Roman"/>
          <w:sz w:val="24"/>
          <w:szCs w:val="24"/>
        </w:rPr>
        <w:t xml:space="preserve"> на фоне обострения негативных факторов, обусловленных внешнеполитической и экономической конъюнктурной ситуац</w:t>
      </w:r>
      <w:r>
        <w:rPr>
          <w:rFonts w:ascii="Times New Roman" w:hAnsi="Times New Roman"/>
          <w:sz w:val="24"/>
          <w:szCs w:val="24"/>
        </w:rPr>
        <w:t xml:space="preserve">ией в сопредельных государствах, </w:t>
      </w:r>
      <w:r w:rsidRPr="008651BC">
        <w:rPr>
          <w:rFonts w:ascii="Times New Roman" w:hAnsi="Times New Roman"/>
          <w:sz w:val="24"/>
          <w:szCs w:val="24"/>
        </w:rPr>
        <w:t xml:space="preserve">в Российской Федерации и странах дальнего зарубежья сократились на 59,8% по сравнению с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полугодием 2014 года, сократив </w:t>
      </w:r>
      <w:r>
        <w:rPr>
          <w:rFonts w:ascii="Times New Roman" w:hAnsi="Times New Roman"/>
          <w:sz w:val="24"/>
          <w:szCs w:val="24"/>
        </w:rPr>
        <w:t xml:space="preserve">также </w:t>
      </w:r>
      <w:r w:rsidRPr="008651BC">
        <w:rPr>
          <w:rFonts w:ascii="Times New Roman" w:hAnsi="Times New Roman"/>
          <w:sz w:val="24"/>
          <w:szCs w:val="24"/>
        </w:rPr>
        <w:t>долевое участие в налоговых платежах консолидированного бюджета на 8,9 процентных пункта до 16,5%.</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Поступления по</w:t>
      </w:r>
      <w:r w:rsidRPr="008651BC">
        <w:rPr>
          <w:rFonts w:ascii="Times New Roman" w:hAnsi="Times New Roman"/>
          <w:b/>
          <w:sz w:val="24"/>
          <w:szCs w:val="24"/>
        </w:rPr>
        <w:t xml:space="preserve"> налогам на товары и услуги, лицензионные регистрационные сборы</w:t>
      </w:r>
      <w:r w:rsidRPr="008651BC">
        <w:rPr>
          <w:rFonts w:ascii="Times New Roman" w:hAnsi="Times New Roman"/>
          <w:sz w:val="24"/>
          <w:szCs w:val="24"/>
        </w:rPr>
        <w:t xml:space="preserve"> сократились в январе – июне 2015 года на 79,3% по сравнению с соответствующим периодом прошлого года, их удельный вес в налоговых платежах также сократился на 15,3 процентных пункта до 7,69%. </w:t>
      </w:r>
      <w:r>
        <w:rPr>
          <w:rFonts w:ascii="Times New Roman" w:hAnsi="Times New Roman"/>
          <w:sz w:val="24"/>
          <w:szCs w:val="24"/>
        </w:rPr>
        <w:t>что</w:t>
      </w:r>
      <w:r w:rsidRPr="008651BC">
        <w:rPr>
          <w:rFonts w:ascii="Times New Roman" w:hAnsi="Times New Roman"/>
          <w:sz w:val="24"/>
          <w:szCs w:val="24"/>
        </w:rPr>
        <w:t xml:space="preserve"> связано с </w:t>
      </w:r>
      <w:r>
        <w:rPr>
          <w:rFonts w:ascii="Times New Roman" w:hAnsi="Times New Roman"/>
          <w:sz w:val="24"/>
          <w:szCs w:val="24"/>
        </w:rPr>
        <w:t>отсутствием</w:t>
      </w:r>
      <w:r w:rsidRPr="008651BC">
        <w:rPr>
          <w:rFonts w:ascii="Times New Roman" w:hAnsi="Times New Roman"/>
          <w:sz w:val="24"/>
          <w:szCs w:val="24"/>
        </w:rPr>
        <w:t xml:space="preserve"> в рассматриваемом периоде </w:t>
      </w:r>
      <w:r>
        <w:rPr>
          <w:rFonts w:ascii="Times New Roman" w:hAnsi="Times New Roman"/>
          <w:sz w:val="24"/>
          <w:szCs w:val="24"/>
        </w:rPr>
        <w:t>поступлений</w:t>
      </w:r>
      <w:r w:rsidRPr="008651BC">
        <w:rPr>
          <w:rFonts w:ascii="Times New Roman" w:hAnsi="Times New Roman"/>
          <w:sz w:val="24"/>
          <w:szCs w:val="24"/>
        </w:rPr>
        <w:t xml:space="preserve"> в консолидированный бюджет средств по ценным бумагам (Государственным казначейским обязательствам, Государственным облигациям, векселям).</w:t>
      </w:r>
    </w:p>
    <w:p w:rsidR="004839A0" w:rsidRPr="009654EB" w:rsidRDefault="004839A0" w:rsidP="004839A0">
      <w:pPr>
        <w:autoSpaceDE w:val="0"/>
        <w:autoSpaceDN w:val="0"/>
        <w:adjustRightInd w:val="0"/>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Поступления </w:t>
      </w:r>
      <w:r w:rsidRPr="008651BC">
        <w:rPr>
          <w:rFonts w:ascii="Times New Roman" w:hAnsi="Times New Roman"/>
          <w:b/>
          <w:sz w:val="24"/>
          <w:szCs w:val="24"/>
        </w:rPr>
        <w:t>платежей за пользование природными ресурсами</w:t>
      </w:r>
      <w:r w:rsidRPr="008651BC">
        <w:rPr>
          <w:rFonts w:ascii="Times New Roman" w:hAnsi="Times New Roman"/>
          <w:sz w:val="24"/>
          <w:szCs w:val="24"/>
        </w:rPr>
        <w:t xml:space="preserve"> за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w:t>
      </w:r>
      <w:r w:rsidRPr="008651BC">
        <w:rPr>
          <w:rFonts w:ascii="Times New Roman" w:hAnsi="Times New Roman"/>
          <w:b/>
          <w:sz w:val="24"/>
          <w:szCs w:val="24"/>
        </w:rPr>
        <w:t xml:space="preserve"> </w:t>
      </w:r>
      <w:r w:rsidRPr="008651BC">
        <w:rPr>
          <w:rFonts w:ascii="Times New Roman" w:hAnsi="Times New Roman"/>
          <w:sz w:val="24"/>
          <w:szCs w:val="24"/>
        </w:rPr>
        <w:t xml:space="preserve">2015 года сократились на 10,6% по сравнению с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полугодием 2014 года, при этом удельный вес в налоговых платежах вырос на 1,2 процентных пункта до 3,7%. Сокращение данных поступлений объясняется несвоевременной уплатой данного вида платежа хозяйствующими субъектами, находящимися в тяжелом финансовом положении, а также неисполнением обязательств по уплате налога отдельными налогоплательщиками.</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lastRenderedPageBreak/>
        <w:t>В январе – июне 2015 года</w:t>
      </w:r>
      <w:r w:rsidRPr="008651BC">
        <w:rPr>
          <w:rFonts w:ascii="Times New Roman" w:hAnsi="Times New Roman"/>
          <w:b/>
          <w:sz w:val="24"/>
          <w:szCs w:val="24"/>
        </w:rPr>
        <w:t xml:space="preserve"> неналоговые поступления</w:t>
      </w:r>
      <w:r w:rsidRPr="008651BC">
        <w:rPr>
          <w:rFonts w:ascii="Times New Roman" w:hAnsi="Times New Roman"/>
          <w:sz w:val="24"/>
          <w:szCs w:val="24"/>
        </w:rPr>
        <w:t xml:space="preserve"> сложились в сумме </w:t>
      </w:r>
      <w:r w:rsidRPr="008651BC">
        <w:rPr>
          <w:rFonts w:ascii="Times New Roman" w:hAnsi="Times New Roman"/>
        </w:rPr>
        <w:t xml:space="preserve">25 919 185 </w:t>
      </w:r>
      <w:r w:rsidRPr="008651BC">
        <w:rPr>
          <w:rFonts w:ascii="Times New Roman" w:hAnsi="Times New Roman"/>
          <w:sz w:val="24"/>
          <w:szCs w:val="24"/>
        </w:rPr>
        <w:t>руб., что составило 2,4% общих доходов консолидированного бюджета, увеличившись незначительно («+»0,7%) по сравнению с январем – июнем 2014 года.</w:t>
      </w:r>
    </w:p>
    <w:p w:rsidR="004839A0" w:rsidRPr="008651BC" w:rsidRDefault="004839A0" w:rsidP="004839A0">
      <w:pPr>
        <w:spacing w:after="0" w:line="240" w:lineRule="auto"/>
        <w:jc w:val="right"/>
        <w:rPr>
          <w:rFonts w:ascii="Times New Roman" w:hAnsi="Times New Roman"/>
          <w:sz w:val="28"/>
          <w:szCs w:val="28"/>
        </w:rPr>
      </w:pPr>
      <w:r w:rsidRPr="008651BC">
        <w:rPr>
          <w:rFonts w:ascii="Times New Roman" w:hAnsi="Times New Roman"/>
          <w:sz w:val="24"/>
          <w:szCs w:val="24"/>
        </w:rPr>
        <w:t>Таблица №</w:t>
      </w:r>
      <w:r w:rsidR="00D75287">
        <w:rPr>
          <w:rFonts w:ascii="Times New Roman" w:hAnsi="Times New Roman"/>
          <w:sz w:val="24"/>
          <w:szCs w:val="24"/>
        </w:rPr>
        <w:t>7</w:t>
      </w:r>
      <w:r w:rsidRPr="008651BC">
        <w:rPr>
          <w:rFonts w:ascii="Times New Roman" w:hAnsi="Times New Roman"/>
          <w:sz w:val="28"/>
          <w:szCs w:val="28"/>
        </w:rPr>
        <w:t xml:space="preserve"> </w:t>
      </w:r>
    </w:p>
    <w:p w:rsidR="004839A0" w:rsidRPr="008651BC" w:rsidRDefault="004839A0" w:rsidP="004839A0">
      <w:pPr>
        <w:spacing w:after="0" w:line="240" w:lineRule="auto"/>
        <w:ind w:firstLine="720"/>
        <w:jc w:val="center"/>
        <w:rPr>
          <w:rFonts w:ascii="Times New Roman" w:hAnsi="Times New Roman"/>
          <w:b/>
          <w:sz w:val="24"/>
          <w:szCs w:val="24"/>
        </w:rPr>
      </w:pPr>
      <w:r w:rsidRPr="008651BC">
        <w:rPr>
          <w:rFonts w:ascii="Times New Roman" w:hAnsi="Times New Roman"/>
          <w:b/>
          <w:sz w:val="24"/>
          <w:szCs w:val="24"/>
        </w:rPr>
        <w:t xml:space="preserve">Структура неналоговых поступлений в доходную часть </w:t>
      </w:r>
    </w:p>
    <w:p w:rsidR="004839A0" w:rsidRPr="008651BC" w:rsidRDefault="004839A0" w:rsidP="004839A0">
      <w:pPr>
        <w:spacing w:after="0" w:line="240" w:lineRule="auto"/>
        <w:ind w:firstLine="720"/>
        <w:jc w:val="center"/>
        <w:rPr>
          <w:rFonts w:ascii="Times New Roman" w:hAnsi="Times New Roman"/>
          <w:b/>
          <w:sz w:val="24"/>
          <w:szCs w:val="24"/>
        </w:rPr>
      </w:pPr>
      <w:r w:rsidRPr="008651BC">
        <w:rPr>
          <w:rFonts w:ascii="Times New Roman" w:hAnsi="Times New Roman"/>
          <w:b/>
          <w:sz w:val="24"/>
          <w:szCs w:val="24"/>
        </w:rPr>
        <w:t>Консолидированного бюджета (в руб.)</w:t>
      </w:r>
    </w:p>
    <w:tbl>
      <w:tblPr>
        <w:tblW w:w="9208" w:type="dxa"/>
        <w:jc w:val="center"/>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8"/>
        <w:gridCol w:w="1240"/>
        <w:gridCol w:w="861"/>
        <w:gridCol w:w="1329"/>
        <w:gridCol w:w="886"/>
        <w:gridCol w:w="1464"/>
      </w:tblGrid>
      <w:tr w:rsidR="00D75287" w:rsidRPr="008651BC" w:rsidTr="00513069">
        <w:trPr>
          <w:trHeight w:val="332"/>
          <w:jc w:val="center"/>
        </w:trPr>
        <w:tc>
          <w:tcPr>
            <w:tcW w:w="3428" w:type="dxa"/>
            <w:vMerge w:val="restart"/>
            <w:vAlign w:val="center"/>
          </w:tcPr>
          <w:p w:rsidR="004839A0" w:rsidRPr="008651BC" w:rsidRDefault="004839A0" w:rsidP="004839A0">
            <w:pPr>
              <w:spacing w:after="0" w:line="240" w:lineRule="auto"/>
              <w:jc w:val="center"/>
              <w:rPr>
                <w:rFonts w:ascii="Times New Roman" w:hAnsi="Times New Roman"/>
                <w:b/>
                <w:sz w:val="20"/>
                <w:szCs w:val="20"/>
              </w:rPr>
            </w:pPr>
          </w:p>
        </w:tc>
        <w:tc>
          <w:tcPr>
            <w:tcW w:w="2101" w:type="dxa"/>
            <w:gridSpan w:val="2"/>
            <w:vAlign w:val="center"/>
          </w:tcPr>
          <w:p w:rsidR="00D75287" w:rsidRDefault="004839A0" w:rsidP="004839A0">
            <w:pPr>
              <w:spacing w:after="0" w:line="240" w:lineRule="auto"/>
              <w:jc w:val="center"/>
              <w:rPr>
                <w:rFonts w:ascii="Times New Roman" w:hAnsi="Times New Roman"/>
                <w:b/>
              </w:rPr>
            </w:pPr>
            <w:r w:rsidRPr="00D75287">
              <w:rPr>
                <w:rFonts w:ascii="Times New Roman" w:hAnsi="Times New Roman"/>
                <w:b/>
              </w:rPr>
              <w:t xml:space="preserve">1 полугодие </w:t>
            </w:r>
          </w:p>
          <w:p w:rsidR="004839A0" w:rsidRPr="00D75287" w:rsidRDefault="004839A0" w:rsidP="004839A0">
            <w:pPr>
              <w:spacing w:after="0" w:line="240" w:lineRule="auto"/>
              <w:jc w:val="center"/>
              <w:rPr>
                <w:rFonts w:ascii="Times New Roman" w:hAnsi="Times New Roman"/>
                <w:b/>
              </w:rPr>
            </w:pPr>
            <w:r w:rsidRPr="00D75287">
              <w:rPr>
                <w:rFonts w:ascii="Times New Roman" w:hAnsi="Times New Roman"/>
                <w:b/>
              </w:rPr>
              <w:t>2014 года</w:t>
            </w:r>
          </w:p>
        </w:tc>
        <w:tc>
          <w:tcPr>
            <w:tcW w:w="2215" w:type="dxa"/>
            <w:gridSpan w:val="2"/>
            <w:vAlign w:val="center"/>
          </w:tcPr>
          <w:p w:rsidR="00D75287" w:rsidRDefault="004839A0" w:rsidP="00D75287">
            <w:pPr>
              <w:spacing w:after="0" w:line="240" w:lineRule="auto"/>
              <w:jc w:val="center"/>
              <w:rPr>
                <w:rFonts w:ascii="Times New Roman" w:hAnsi="Times New Roman"/>
                <w:b/>
              </w:rPr>
            </w:pPr>
            <w:r w:rsidRPr="00D75287">
              <w:rPr>
                <w:rFonts w:ascii="Times New Roman" w:hAnsi="Times New Roman"/>
                <w:b/>
              </w:rPr>
              <w:t xml:space="preserve">1 полугодие </w:t>
            </w:r>
          </w:p>
          <w:p w:rsidR="004839A0" w:rsidRPr="00D75287" w:rsidRDefault="004839A0" w:rsidP="00D75287">
            <w:pPr>
              <w:spacing w:after="0" w:line="240" w:lineRule="auto"/>
              <w:jc w:val="center"/>
              <w:rPr>
                <w:rFonts w:ascii="Times New Roman" w:hAnsi="Times New Roman"/>
                <w:b/>
              </w:rPr>
            </w:pPr>
            <w:r w:rsidRPr="00D75287">
              <w:rPr>
                <w:rFonts w:ascii="Times New Roman" w:hAnsi="Times New Roman"/>
                <w:b/>
              </w:rPr>
              <w:t>2015 года</w:t>
            </w:r>
          </w:p>
        </w:tc>
        <w:tc>
          <w:tcPr>
            <w:tcW w:w="1464" w:type="dxa"/>
            <w:vMerge w:val="restart"/>
            <w:vAlign w:val="center"/>
          </w:tcPr>
          <w:p w:rsidR="004839A0" w:rsidRPr="00D75287" w:rsidRDefault="004839A0" w:rsidP="004839A0">
            <w:pPr>
              <w:spacing w:after="0"/>
              <w:jc w:val="center"/>
              <w:rPr>
                <w:rFonts w:ascii="Times New Roman" w:hAnsi="Times New Roman"/>
                <w:b/>
              </w:rPr>
            </w:pPr>
            <w:r w:rsidRPr="00D75287">
              <w:rPr>
                <w:rFonts w:ascii="Times New Roman" w:hAnsi="Times New Roman"/>
                <w:b/>
              </w:rPr>
              <w:t>Темп роста/спада</w:t>
            </w:r>
          </w:p>
          <w:p w:rsidR="004839A0" w:rsidRPr="00D75287" w:rsidRDefault="004839A0" w:rsidP="004839A0">
            <w:pPr>
              <w:spacing w:after="0"/>
              <w:jc w:val="center"/>
              <w:rPr>
                <w:rFonts w:ascii="Times New Roman" w:hAnsi="Times New Roman"/>
                <w:b/>
              </w:rPr>
            </w:pPr>
            <w:r w:rsidRPr="00D75287">
              <w:rPr>
                <w:rFonts w:ascii="Times New Roman" w:hAnsi="Times New Roman"/>
                <w:b/>
              </w:rPr>
              <w:t xml:space="preserve">2015 г. к </w:t>
            </w:r>
          </w:p>
          <w:p w:rsidR="004839A0" w:rsidRPr="008651BC" w:rsidRDefault="004839A0" w:rsidP="004839A0">
            <w:pPr>
              <w:spacing w:after="0"/>
              <w:jc w:val="center"/>
              <w:rPr>
                <w:rFonts w:ascii="Times New Roman" w:hAnsi="Times New Roman"/>
                <w:b/>
                <w:sz w:val="20"/>
                <w:szCs w:val="20"/>
              </w:rPr>
            </w:pPr>
            <w:r w:rsidRPr="00D75287">
              <w:rPr>
                <w:rFonts w:ascii="Times New Roman" w:hAnsi="Times New Roman"/>
                <w:b/>
              </w:rPr>
              <w:t>2014 г., %</w:t>
            </w:r>
          </w:p>
        </w:tc>
      </w:tr>
      <w:tr w:rsidR="00D75287" w:rsidRPr="008651BC" w:rsidTr="00513069">
        <w:trPr>
          <w:trHeight w:val="773"/>
          <w:jc w:val="center"/>
        </w:trPr>
        <w:tc>
          <w:tcPr>
            <w:tcW w:w="3428" w:type="dxa"/>
            <w:vMerge/>
            <w:vAlign w:val="center"/>
          </w:tcPr>
          <w:p w:rsidR="004839A0" w:rsidRPr="008651BC" w:rsidRDefault="004839A0" w:rsidP="004839A0">
            <w:pPr>
              <w:spacing w:after="0" w:line="240" w:lineRule="auto"/>
              <w:jc w:val="center"/>
              <w:rPr>
                <w:rFonts w:ascii="Times New Roman" w:hAnsi="Times New Roman"/>
                <w:b/>
                <w:sz w:val="20"/>
                <w:szCs w:val="20"/>
              </w:rPr>
            </w:pPr>
          </w:p>
        </w:tc>
        <w:tc>
          <w:tcPr>
            <w:tcW w:w="1240" w:type="dxa"/>
            <w:vAlign w:val="center"/>
          </w:tcPr>
          <w:p w:rsidR="004839A0" w:rsidRPr="00D75287" w:rsidRDefault="004839A0" w:rsidP="004839A0">
            <w:pPr>
              <w:spacing w:after="0" w:line="240" w:lineRule="auto"/>
              <w:jc w:val="center"/>
              <w:rPr>
                <w:rFonts w:ascii="Times New Roman" w:hAnsi="Times New Roman"/>
                <w:b/>
              </w:rPr>
            </w:pPr>
            <w:r w:rsidRPr="00D75287">
              <w:rPr>
                <w:rFonts w:ascii="Times New Roman" w:hAnsi="Times New Roman"/>
                <w:b/>
              </w:rPr>
              <w:t>факт</w:t>
            </w:r>
          </w:p>
        </w:tc>
        <w:tc>
          <w:tcPr>
            <w:tcW w:w="861" w:type="dxa"/>
            <w:vAlign w:val="center"/>
          </w:tcPr>
          <w:p w:rsidR="004839A0" w:rsidRPr="00D75287" w:rsidRDefault="004839A0" w:rsidP="004839A0">
            <w:pPr>
              <w:spacing w:after="0" w:line="240" w:lineRule="auto"/>
              <w:jc w:val="center"/>
              <w:rPr>
                <w:rFonts w:ascii="Times New Roman" w:hAnsi="Times New Roman"/>
                <w:b/>
              </w:rPr>
            </w:pPr>
            <w:r w:rsidRPr="00D75287">
              <w:rPr>
                <w:rFonts w:ascii="Times New Roman" w:hAnsi="Times New Roman"/>
                <w:b/>
              </w:rPr>
              <w:t>уд. вес, %</w:t>
            </w:r>
          </w:p>
        </w:tc>
        <w:tc>
          <w:tcPr>
            <w:tcW w:w="1329" w:type="dxa"/>
            <w:vAlign w:val="center"/>
          </w:tcPr>
          <w:p w:rsidR="004839A0" w:rsidRPr="00D75287" w:rsidRDefault="004839A0" w:rsidP="004839A0">
            <w:pPr>
              <w:spacing w:after="0" w:line="240" w:lineRule="auto"/>
              <w:jc w:val="center"/>
              <w:rPr>
                <w:rFonts w:ascii="Times New Roman" w:hAnsi="Times New Roman"/>
                <w:b/>
              </w:rPr>
            </w:pPr>
            <w:r w:rsidRPr="00D75287">
              <w:rPr>
                <w:rFonts w:ascii="Times New Roman" w:hAnsi="Times New Roman"/>
                <w:b/>
              </w:rPr>
              <w:t>факт</w:t>
            </w:r>
          </w:p>
        </w:tc>
        <w:tc>
          <w:tcPr>
            <w:tcW w:w="886" w:type="dxa"/>
            <w:shd w:val="clear" w:color="auto" w:fill="auto"/>
            <w:vAlign w:val="center"/>
          </w:tcPr>
          <w:p w:rsidR="004839A0" w:rsidRPr="00D75287" w:rsidRDefault="004839A0" w:rsidP="004839A0">
            <w:pPr>
              <w:spacing w:after="0" w:line="240" w:lineRule="auto"/>
              <w:jc w:val="center"/>
              <w:rPr>
                <w:rFonts w:ascii="Times New Roman" w:hAnsi="Times New Roman"/>
                <w:b/>
              </w:rPr>
            </w:pPr>
            <w:r w:rsidRPr="00D75287">
              <w:rPr>
                <w:rFonts w:ascii="Times New Roman" w:hAnsi="Times New Roman"/>
                <w:b/>
              </w:rPr>
              <w:t>уд. вес, %</w:t>
            </w:r>
          </w:p>
        </w:tc>
        <w:tc>
          <w:tcPr>
            <w:tcW w:w="1464" w:type="dxa"/>
            <w:vMerge/>
            <w:vAlign w:val="center"/>
          </w:tcPr>
          <w:p w:rsidR="004839A0" w:rsidRPr="008651BC" w:rsidRDefault="004839A0" w:rsidP="004839A0">
            <w:pPr>
              <w:spacing w:after="0" w:line="240" w:lineRule="auto"/>
              <w:jc w:val="center"/>
              <w:rPr>
                <w:rFonts w:ascii="Times New Roman" w:hAnsi="Times New Roman"/>
                <w:b/>
                <w:sz w:val="20"/>
                <w:szCs w:val="20"/>
              </w:rPr>
            </w:pPr>
          </w:p>
        </w:tc>
      </w:tr>
      <w:tr w:rsidR="00D75287" w:rsidRPr="008651BC" w:rsidTr="00513069">
        <w:trPr>
          <w:trHeight w:val="377"/>
          <w:jc w:val="center"/>
        </w:trPr>
        <w:tc>
          <w:tcPr>
            <w:tcW w:w="3428" w:type="dxa"/>
            <w:vAlign w:val="center"/>
          </w:tcPr>
          <w:p w:rsidR="004839A0" w:rsidRPr="00D75287" w:rsidRDefault="004839A0" w:rsidP="004839A0">
            <w:pPr>
              <w:spacing w:after="0"/>
              <w:ind w:hanging="101"/>
              <w:rPr>
                <w:rFonts w:ascii="Times New Roman" w:hAnsi="Times New Roman"/>
                <w:b/>
              </w:rPr>
            </w:pPr>
            <w:r w:rsidRPr="00D75287">
              <w:rPr>
                <w:rFonts w:ascii="Times New Roman" w:hAnsi="Times New Roman"/>
                <w:b/>
              </w:rPr>
              <w:t>Неналоговые доходы</w:t>
            </w:r>
          </w:p>
        </w:tc>
        <w:tc>
          <w:tcPr>
            <w:tcW w:w="1240" w:type="dxa"/>
            <w:vAlign w:val="center"/>
          </w:tcPr>
          <w:p w:rsidR="004839A0" w:rsidRPr="00D75287" w:rsidRDefault="004839A0" w:rsidP="004839A0">
            <w:pPr>
              <w:spacing w:after="0"/>
              <w:ind w:right="-120"/>
              <w:jc w:val="center"/>
              <w:rPr>
                <w:rFonts w:ascii="Times New Roman" w:hAnsi="Times New Roman"/>
                <w:b/>
              </w:rPr>
            </w:pPr>
            <w:r w:rsidRPr="00D75287">
              <w:rPr>
                <w:rFonts w:ascii="Times New Roman" w:hAnsi="Times New Roman"/>
                <w:b/>
              </w:rPr>
              <w:t>25 740 044</w:t>
            </w:r>
          </w:p>
        </w:tc>
        <w:tc>
          <w:tcPr>
            <w:tcW w:w="861" w:type="dxa"/>
            <w:vAlign w:val="center"/>
          </w:tcPr>
          <w:p w:rsidR="004839A0" w:rsidRPr="00D75287" w:rsidRDefault="004839A0" w:rsidP="004839A0">
            <w:pPr>
              <w:spacing w:after="0"/>
              <w:ind w:left="-38" w:right="-120"/>
              <w:jc w:val="center"/>
              <w:rPr>
                <w:rFonts w:ascii="Times New Roman" w:hAnsi="Times New Roman"/>
                <w:b/>
              </w:rPr>
            </w:pPr>
            <w:r w:rsidRPr="00D75287">
              <w:rPr>
                <w:rFonts w:ascii="Times New Roman" w:hAnsi="Times New Roman"/>
                <w:b/>
              </w:rPr>
              <w:t>100,00</w:t>
            </w:r>
          </w:p>
        </w:tc>
        <w:tc>
          <w:tcPr>
            <w:tcW w:w="1329" w:type="dxa"/>
            <w:vAlign w:val="center"/>
          </w:tcPr>
          <w:p w:rsidR="004839A0" w:rsidRPr="00D75287" w:rsidRDefault="004839A0" w:rsidP="004839A0">
            <w:pPr>
              <w:spacing w:after="0"/>
              <w:ind w:right="-120"/>
              <w:jc w:val="center"/>
              <w:rPr>
                <w:rFonts w:ascii="Times New Roman" w:hAnsi="Times New Roman"/>
                <w:b/>
              </w:rPr>
            </w:pPr>
            <w:r w:rsidRPr="00D75287">
              <w:rPr>
                <w:rFonts w:ascii="Times New Roman" w:hAnsi="Times New Roman"/>
                <w:b/>
              </w:rPr>
              <w:t>25 919 185</w:t>
            </w:r>
          </w:p>
        </w:tc>
        <w:tc>
          <w:tcPr>
            <w:tcW w:w="886" w:type="dxa"/>
            <w:shd w:val="clear" w:color="auto" w:fill="auto"/>
            <w:vAlign w:val="center"/>
          </w:tcPr>
          <w:p w:rsidR="004839A0" w:rsidRPr="00D75287" w:rsidRDefault="004839A0" w:rsidP="004839A0">
            <w:pPr>
              <w:spacing w:after="0"/>
              <w:ind w:left="-38" w:right="-120"/>
              <w:jc w:val="center"/>
              <w:rPr>
                <w:rFonts w:ascii="Times New Roman" w:hAnsi="Times New Roman"/>
                <w:b/>
              </w:rPr>
            </w:pPr>
            <w:r w:rsidRPr="00D75287">
              <w:rPr>
                <w:rFonts w:ascii="Times New Roman" w:hAnsi="Times New Roman"/>
                <w:b/>
              </w:rPr>
              <w:t>100,0</w:t>
            </w:r>
            <w:r w:rsidR="00D75287">
              <w:rPr>
                <w:rFonts w:ascii="Times New Roman" w:hAnsi="Times New Roman"/>
                <w:b/>
              </w:rPr>
              <w:t>0</w:t>
            </w:r>
          </w:p>
        </w:tc>
        <w:tc>
          <w:tcPr>
            <w:tcW w:w="1464" w:type="dxa"/>
            <w:vAlign w:val="center"/>
          </w:tcPr>
          <w:p w:rsidR="004839A0" w:rsidRPr="00D75287" w:rsidRDefault="004839A0" w:rsidP="004839A0">
            <w:pPr>
              <w:spacing w:after="0"/>
              <w:ind w:right="-120"/>
              <w:jc w:val="center"/>
              <w:rPr>
                <w:rFonts w:ascii="Times New Roman" w:hAnsi="Times New Roman"/>
                <w:b/>
              </w:rPr>
            </w:pPr>
            <w:r w:rsidRPr="00D75287">
              <w:rPr>
                <w:rFonts w:ascii="Times New Roman" w:hAnsi="Times New Roman"/>
                <w:b/>
              </w:rPr>
              <w:t>100,7</w:t>
            </w:r>
          </w:p>
        </w:tc>
      </w:tr>
      <w:tr w:rsidR="00D75287" w:rsidRPr="008651BC" w:rsidTr="00513069">
        <w:trPr>
          <w:trHeight w:val="406"/>
          <w:jc w:val="center"/>
        </w:trPr>
        <w:tc>
          <w:tcPr>
            <w:tcW w:w="3428" w:type="dxa"/>
          </w:tcPr>
          <w:p w:rsidR="004839A0" w:rsidRPr="00D75287" w:rsidRDefault="004839A0" w:rsidP="004839A0">
            <w:pPr>
              <w:spacing w:after="0" w:line="240" w:lineRule="auto"/>
              <w:ind w:left="-91" w:right="-132"/>
              <w:rPr>
                <w:rFonts w:ascii="Times New Roman" w:hAnsi="Times New Roman"/>
                <w:b/>
              </w:rPr>
            </w:pPr>
            <w:r w:rsidRPr="00D75287">
              <w:rPr>
                <w:rFonts w:ascii="Times New Roman" w:hAnsi="Times New Roman"/>
                <w:b/>
              </w:rPr>
              <w:t>Доходы от имущества, наход. в гос. и муницип. собственности, в том числе:</w:t>
            </w:r>
          </w:p>
        </w:tc>
        <w:tc>
          <w:tcPr>
            <w:tcW w:w="1240" w:type="dxa"/>
            <w:vAlign w:val="center"/>
          </w:tcPr>
          <w:p w:rsidR="004839A0" w:rsidRPr="00D75287" w:rsidRDefault="004839A0" w:rsidP="004839A0">
            <w:pPr>
              <w:spacing w:after="0"/>
              <w:ind w:right="-120"/>
              <w:jc w:val="center"/>
              <w:rPr>
                <w:rFonts w:ascii="Times New Roman" w:hAnsi="Times New Roman"/>
                <w:bCs/>
              </w:rPr>
            </w:pPr>
            <w:r w:rsidRPr="00D75287">
              <w:rPr>
                <w:rFonts w:ascii="Times New Roman" w:hAnsi="Times New Roman"/>
                <w:bCs/>
              </w:rPr>
              <w:t>8 531 574</w:t>
            </w:r>
          </w:p>
        </w:tc>
        <w:tc>
          <w:tcPr>
            <w:tcW w:w="861" w:type="dxa"/>
            <w:vAlign w:val="center"/>
          </w:tcPr>
          <w:p w:rsidR="004839A0" w:rsidRPr="00D75287" w:rsidRDefault="004839A0" w:rsidP="004839A0">
            <w:pPr>
              <w:spacing w:after="0"/>
              <w:ind w:right="-120"/>
              <w:jc w:val="center"/>
              <w:rPr>
                <w:rFonts w:ascii="Times New Roman" w:hAnsi="Times New Roman"/>
                <w:bCs/>
              </w:rPr>
            </w:pPr>
            <w:r w:rsidRPr="00D75287">
              <w:rPr>
                <w:rFonts w:ascii="Times New Roman" w:hAnsi="Times New Roman"/>
                <w:bCs/>
              </w:rPr>
              <w:t>33,15</w:t>
            </w:r>
          </w:p>
        </w:tc>
        <w:tc>
          <w:tcPr>
            <w:tcW w:w="1329" w:type="dxa"/>
            <w:vAlign w:val="center"/>
          </w:tcPr>
          <w:p w:rsidR="004839A0" w:rsidRPr="00D75287" w:rsidRDefault="004839A0" w:rsidP="004839A0">
            <w:pPr>
              <w:spacing w:after="0"/>
              <w:ind w:right="-120"/>
              <w:jc w:val="center"/>
              <w:rPr>
                <w:rFonts w:ascii="Times New Roman" w:hAnsi="Times New Roman"/>
                <w:bCs/>
              </w:rPr>
            </w:pPr>
            <w:r w:rsidRPr="00D75287">
              <w:rPr>
                <w:rFonts w:ascii="Times New Roman" w:hAnsi="Times New Roman"/>
                <w:bCs/>
              </w:rPr>
              <w:t>10 743 121</w:t>
            </w:r>
          </w:p>
        </w:tc>
        <w:tc>
          <w:tcPr>
            <w:tcW w:w="886" w:type="dxa"/>
            <w:vAlign w:val="center"/>
          </w:tcPr>
          <w:p w:rsidR="004839A0" w:rsidRPr="00D75287" w:rsidRDefault="004839A0" w:rsidP="004839A0">
            <w:pPr>
              <w:spacing w:after="0"/>
              <w:ind w:right="-120"/>
              <w:jc w:val="center"/>
              <w:rPr>
                <w:rFonts w:ascii="Times New Roman" w:hAnsi="Times New Roman"/>
                <w:bCs/>
              </w:rPr>
            </w:pPr>
            <w:r w:rsidRPr="00D75287">
              <w:rPr>
                <w:rFonts w:ascii="Times New Roman" w:hAnsi="Times New Roman"/>
                <w:bCs/>
              </w:rPr>
              <w:t>41,45</w:t>
            </w:r>
          </w:p>
        </w:tc>
        <w:tc>
          <w:tcPr>
            <w:tcW w:w="1464"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125,9</w:t>
            </w:r>
          </w:p>
        </w:tc>
      </w:tr>
      <w:tr w:rsidR="00D75287" w:rsidRPr="008651BC" w:rsidTr="00513069">
        <w:trPr>
          <w:trHeight w:val="264"/>
          <w:jc w:val="center"/>
        </w:trPr>
        <w:tc>
          <w:tcPr>
            <w:tcW w:w="3428" w:type="dxa"/>
          </w:tcPr>
          <w:p w:rsidR="004839A0" w:rsidRPr="00D75287" w:rsidRDefault="004839A0" w:rsidP="004839A0">
            <w:pPr>
              <w:spacing w:after="0" w:line="240" w:lineRule="auto"/>
              <w:ind w:left="-91" w:right="-132"/>
              <w:rPr>
                <w:rFonts w:ascii="Times New Roman" w:hAnsi="Times New Roman"/>
                <w:b/>
              </w:rPr>
            </w:pPr>
            <w:r w:rsidRPr="00D75287">
              <w:rPr>
                <w:rFonts w:ascii="Times New Roman" w:hAnsi="Times New Roman"/>
              </w:rPr>
              <w:t>Погашение налогового и иных видов кредитов</w:t>
            </w:r>
          </w:p>
        </w:tc>
        <w:tc>
          <w:tcPr>
            <w:tcW w:w="1240"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2 236 851</w:t>
            </w:r>
          </w:p>
        </w:tc>
        <w:tc>
          <w:tcPr>
            <w:tcW w:w="861"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8,69</w:t>
            </w:r>
          </w:p>
        </w:tc>
        <w:tc>
          <w:tcPr>
            <w:tcW w:w="1329"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2 156 843</w:t>
            </w:r>
          </w:p>
        </w:tc>
        <w:tc>
          <w:tcPr>
            <w:tcW w:w="886"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8,32</w:t>
            </w:r>
          </w:p>
        </w:tc>
        <w:tc>
          <w:tcPr>
            <w:tcW w:w="1464"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96,4</w:t>
            </w:r>
          </w:p>
        </w:tc>
      </w:tr>
      <w:tr w:rsidR="00D75287" w:rsidRPr="008651BC" w:rsidTr="00513069">
        <w:trPr>
          <w:trHeight w:val="264"/>
          <w:jc w:val="center"/>
        </w:trPr>
        <w:tc>
          <w:tcPr>
            <w:tcW w:w="3428" w:type="dxa"/>
          </w:tcPr>
          <w:p w:rsidR="004839A0" w:rsidRPr="00D75287" w:rsidRDefault="004839A0" w:rsidP="004839A0">
            <w:pPr>
              <w:spacing w:after="0" w:line="240" w:lineRule="auto"/>
              <w:ind w:left="-91" w:right="-132"/>
              <w:rPr>
                <w:rFonts w:ascii="Times New Roman" w:hAnsi="Times New Roman"/>
                <w:b/>
              </w:rPr>
            </w:pPr>
            <w:r w:rsidRPr="00D75287">
              <w:rPr>
                <w:rFonts w:ascii="Times New Roman" w:hAnsi="Times New Roman"/>
                <w:b/>
              </w:rPr>
              <w:t>Доходы от продажи имущества, наход. в гос. и муницип. собственности</w:t>
            </w:r>
          </w:p>
        </w:tc>
        <w:tc>
          <w:tcPr>
            <w:tcW w:w="1240"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1 857 384</w:t>
            </w:r>
          </w:p>
        </w:tc>
        <w:tc>
          <w:tcPr>
            <w:tcW w:w="861"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7,22</w:t>
            </w:r>
          </w:p>
        </w:tc>
        <w:tc>
          <w:tcPr>
            <w:tcW w:w="1329"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1 101 752</w:t>
            </w:r>
          </w:p>
        </w:tc>
        <w:tc>
          <w:tcPr>
            <w:tcW w:w="886"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4,25</w:t>
            </w:r>
          </w:p>
        </w:tc>
        <w:tc>
          <w:tcPr>
            <w:tcW w:w="1464"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59,3</w:t>
            </w:r>
          </w:p>
        </w:tc>
      </w:tr>
      <w:tr w:rsidR="00D75287" w:rsidRPr="008651BC" w:rsidTr="00513069">
        <w:trPr>
          <w:trHeight w:val="264"/>
          <w:jc w:val="center"/>
        </w:trPr>
        <w:tc>
          <w:tcPr>
            <w:tcW w:w="3428" w:type="dxa"/>
          </w:tcPr>
          <w:p w:rsidR="004839A0" w:rsidRPr="00D75287" w:rsidRDefault="004839A0" w:rsidP="004839A0">
            <w:pPr>
              <w:spacing w:after="0" w:line="240" w:lineRule="auto"/>
              <w:ind w:left="-91" w:right="-132"/>
              <w:rPr>
                <w:rFonts w:ascii="Times New Roman" w:hAnsi="Times New Roman"/>
                <w:b/>
              </w:rPr>
            </w:pPr>
            <w:r w:rsidRPr="00D75287">
              <w:rPr>
                <w:rFonts w:ascii="Times New Roman" w:hAnsi="Times New Roman"/>
                <w:b/>
              </w:rPr>
              <w:t>Административные платежи и сборы</w:t>
            </w:r>
          </w:p>
        </w:tc>
        <w:tc>
          <w:tcPr>
            <w:tcW w:w="1240"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4 058 053</w:t>
            </w:r>
          </w:p>
        </w:tc>
        <w:tc>
          <w:tcPr>
            <w:tcW w:w="861"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15,77</w:t>
            </w:r>
          </w:p>
        </w:tc>
        <w:tc>
          <w:tcPr>
            <w:tcW w:w="1329"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 xml:space="preserve">3 888 185 </w:t>
            </w:r>
          </w:p>
        </w:tc>
        <w:tc>
          <w:tcPr>
            <w:tcW w:w="886"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15,00</w:t>
            </w:r>
          </w:p>
        </w:tc>
        <w:tc>
          <w:tcPr>
            <w:tcW w:w="1464"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95,8</w:t>
            </w:r>
          </w:p>
        </w:tc>
      </w:tr>
      <w:tr w:rsidR="00D75287" w:rsidRPr="008651BC" w:rsidTr="00513069">
        <w:trPr>
          <w:trHeight w:val="299"/>
          <w:jc w:val="center"/>
        </w:trPr>
        <w:tc>
          <w:tcPr>
            <w:tcW w:w="3428" w:type="dxa"/>
          </w:tcPr>
          <w:p w:rsidR="004839A0" w:rsidRPr="00D75287" w:rsidRDefault="004839A0" w:rsidP="004839A0">
            <w:pPr>
              <w:spacing w:after="0" w:line="240" w:lineRule="auto"/>
              <w:ind w:left="-91" w:right="-132"/>
              <w:rPr>
                <w:rFonts w:ascii="Times New Roman" w:hAnsi="Times New Roman"/>
                <w:b/>
              </w:rPr>
            </w:pPr>
            <w:r w:rsidRPr="00D75287">
              <w:rPr>
                <w:rFonts w:ascii="Times New Roman" w:hAnsi="Times New Roman"/>
                <w:b/>
              </w:rPr>
              <w:t>Штрафные санкции возмещение ущерба</w:t>
            </w:r>
          </w:p>
        </w:tc>
        <w:tc>
          <w:tcPr>
            <w:tcW w:w="1240"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11 293 033</w:t>
            </w:r>
          </w:p>
        </w:tc>
        <w:tc>
          <w:tcPr>
            <w:tcW w:w="861"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43,87</w:t>
            </w:r>
          </w:p>
        </w:tc>
        <w:tc>
          <w:tcPr>
            <w:tcW w:w="1329"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10 169 004</w:t>
            </w:r>
          </w:p>
        </w:tc>
        <w:tc>
          <w:tcPr>
            <w:tcW w:w="886"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39,23</w:t>
            </w:r>
          </w:p>
        </w:tc>
        <w:tc>
          <w:tcPr>
            <w:tcW w:w="1464"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90,0</w:t>
            </w:r>
          </w:p>
        </w:tc>
      </w:tr>
      <w:tr w:rsidR="00D75287" w:rsidRPr="008651BC" w:rsidTr="00513069">
        <w:trPr>
          <w:trHeight w:val="494"/>
          <w:jc w:val="center"/>
        </w:trPr>
        <w:tc>
          <w:tcPr>
            <w:tcW w:w="3428" w:type="dxa"/>
            <w:vAlign w:val="center"/>
          </w:tcPr>
          <w:p w:rsidR="004839A0" w:rsidRPr="00D75287" w:rsidRDefault="004839A0" w:rsidP="004839A0">
            <w:pPr>
              <w:spacing w:after="0" w:line="240" w:lineRule="auto"/>
              <w:ind w:left="-91" w:right="-132"/>
              <w:rPr>
                <w:rFonts w:ascii="Times New Roman" w:hAnsi="Times New Roman"/>
                <w:b/>
              </w:rPr>
            </w:pPr>
            <w:r w:rsidRPr="00D75287">
              <w:rPr>
                <w:rFonts w:ascii="Times New Roman" w:hAnsi="Times New Roman"/>
                <w:b/>
              </w:rPr>
              <w:t xml:space="preserve">Прочие неналоговые доходы </w:t>
            </w:r>
          </w:p>
        </w:tc>
        <w:tc>
          <w:tcPr>
            <w:tcW w:w="1240"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w:t>
            </w:r>
          </w:p>
        </w:tc>
        <w:tc>
          <w:tcPr>
            <w:tcW w:w="861"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w:t>
            </w:r>
          </w:p>
        </w:tc>
        <w:tc>
          <w:tcPr>
            <w:tcW w:w="1329"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144 854</w:t>
            </w:r>
          </w:p>
        </w:tc>
        <w:tc>
          <w:tcPr>
            <w:tcW w:w="886"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w:t>
            </w:r>
          </w:p>
        </w:tc>
        <w:tc>
          <w:tcPr>
            <w:tcW w:w="1464" w:type="dxa"/>
            <w:vAlign w:val="center"/>
          </w:tcPr>
          <w:p w:rsidR="004839A0" w:rsidRPr="00D75287" w:rsidRDefault="004839A0" w:rsidP="004839A0">
            <w:pPr>
              <w:spacing w:after="0"/>
              <w:ind w:right="-120"/>
              <w:jc w:val="center"/>
              <w:rPr>
                <w:rFonts w:ascii="Times New Roman" w:hAnsi="Times New Roman"/>
              </w:rPr>
            </w:pPr>
            <w:r w:rsidRPr="00D75287">
              <w:rPr>
                <w:rFonts w:ascii="Times New Roman" w:hAnsi="Times New Roman"/>
              </w:rPr>
              <w:t>-</w:t>
            </w:r>
          </w:p>
        </w:tc>
      </w:tr>
    </w:tbl>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b/>
          <w:sz w:val="24"/>
          <w:szCs w:val="24"/>
        </w:rPr>
        <w:t>Доходы от имущества, находящегося в государственной и муниципальной собственности</w:t>
      </w:r>
      <w:r w:rsidRPr="008651BC">
        <w:rPr>
          <w:rFonts w:ascii="Times New Roman" w:hAnsi="Times New Roman"/>
          <w:sz w:val="24"/>
          <w:szCs w:val="24"/>
        </w:rPr>
        <w:t xml:space="preserve"> за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 2015 года увеличились на 25,9%</w:t>
      </w:r>
      <w:r w:rsidR="00D25279">
        <w:rPr>
          <w:rFonts w:ascii="Times New Roman" w:hAnsi="Times New Roman"/>
          <w:sz w:val="24"/>
          <w:szCs w:val="24"/>
        </w:rPr>
        <w:t xml:space="preserve"> по сравнению с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полугодием 2014 года до 10 743 121 руб., при этом они занимают наибольшую долю в неналоговых поступлениях в консолидированный бюджет (41,5%). </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Фактические суммы поступлений доходов </w:t>
      </w:r>
      <w:r w:rsidRPr="008651BC">
        <w:rPr>
          <w:rFonts w:ascii="Times New Roman" w:hAnsi="Times New Roman"/>
          <w:b/>
          <w:sz w:val="24"/>
          <w:szCs w:val="24"/>
        </w:rPr>
        <w:t>от продажи</w:t>
      </w:r>
      <w:r w:rsidRPr="008651BC">
        <w:rPr>
          <w:rFonts w:ascii="Times New Roman" w:hAnsi="Times New Roman"/>
          <w:sz w:val="24"/>
          <w:szCs w:val="24"/>
        </w:rPr>
        <w:t xml:space="preserve"> </w:t>
      </w:r>
      <w:r w:rsidRPr="008651BC">
        <w:rPr>
          <w:rFonts w:ascii="Times New Roman" w:hAnsi="Times New Roman"/>
          <w:b/>
          <w:sz w:val="24"/>
          <w:szCs w:val="24"/>
        </w:rPr>
        <w:t xml:space="preserve">имущества, находящегося в государственной и муниципальной собственности </w:t>
      </w:r>
      <w:r w:rsidRPr="008651BC">
        <w:rPr>
          <w:rFonts w:ascii="Times New Roman" w:hAnsi="Times New Roman"/>
          <w:sz w:val="24"/>
          <w:szCs w:val="24"/>
        </w:rPr>
        <w:t>за январь – июнь 2015 года</w:t>
      </w:r>
      <w:r w:rsidRPr="008651BC">
        <w:rPr>
          <w:rFonts w:ascii="Times New Roman" w:hAnsi="Times New Roman"/>
          <w:b/>
          <w:sz w:val="24"/>
          <w:szCs w:val="24"/>
        </w:rPr>
        <w:t xml:space="preserve"> </w:t>
      </w:r>
      <w:r w:rsidRPr="008651BC">
        <w:rPr>
          <w:rFonts w:ascii="Times New Roman" w:hAnsi="Times New Roman"/>
          <w:sz w:val="24"/>
          <w:szCs w:val="24"/>
        </w:rPr>
        <w:t>снизились на 40,7% по сравнению с аналогичным периодом прошлого года и составили 1 101 752 руб., при этом их удельный вес сократился на 3,0 процентных пункта до 4,3%.</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Также отмечено сокращение поступлений </w:t>
      </w:r>
      <w:r w:rsidRPr="008651BC">
        <w:rPr>
          <w:rFonts w:ascii="Times New Roman" w:hAnsi="Times New Roman"/>
          <w:b/>
          <w:sz w:val="24"/>
          <w:szCs w:val="24"/>
        </w:rPr>
        <w:t>от административных платежей и сборов</w:t>
      </w:r>
      <w:r w:rsidRPr="008651BC">
        <w:rPr>
          <w:rFonts w:ascii="Times New Roman" w:hAnsi="Times New Roman"/>
          <w:sz w:val="24"/>
          <w:szCs w:val="24"/>
        </w:rPr>
        <w:t xml:space="preserve"> на 4,2% по сравнению с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полугодием 2014 года, их удельный вес в неналоговых платежах снизился на 0,8 процентных пункта до 15,0%.</w:t>
      </w:r>
    </w:p>
    <w:p w:rsidR="004839A0"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Поступления </w:t>
      </w:r>
      <w:r w:rsidRPr="008651BC">
        <w:rPr>
          <w:rFonts w:ascii="Times New Roman" w:hAnsi="Times New Roman"/>
          <w:b/>
          <w:sz w:val="24"/>
          <w:szCs w:val="24"/>
        </w:rPr>
        <w:t>от штрафных санкций и возмещения ущерба</w:t>
      </w:r>
      <w:r w:rsidRPr="008651BC">
        <w:rPr>
          <w:rFonts w:ascii="Times New Roman" w:hAnsi="Times New Roman"/>
          <w:sz w:val="24"/>
          <w:szCs w:val="24"/>
        </w:rPr>
        <w:t xml:space="preserve"> за </w:t>
      </w:r>
      <w:r>
        <w:rPr>
          <w:rFonts w:ascii="Times New Roman" w:hAnsi="Times New Roman"/>
          <w:sz w:val="24"/>
          <w:szCs w:val="24"/>
        </w:rPr>
        <w:t>январь - июнь</w:t>
      </w:r>
      <w:r w:rsidRPr="008651BC">
        <w:rPr>
          <w:rFonts w:ascii="Times New Roman" w:hAnsi="Times New Roman"/>
          <w:b/>
          <w:sz w:val="24"/>
          <w:szCs w:val="24"/>
        </w:rPr>
        <w:t xml:space="preserve">              </w:t>
      </w:r>
      <w:r w:rsidRPr="008651BC">
        <w:rPr>
          <w:rFonts w:ascii="Times New Roman" w:hAnsi="Times New Roman"/>
          <w:sz w:val="24"/>
          <w:szCs w:val="24"/>
        </w:rPr>
        <w:t>2015 года сократились на 10,0% по сравнению с аналогичным периодом прошлого года, их удельный вес в неналоговых платежах также снизился на 4,6 процентных пункта до 39,2%.</w:t>
      </w:r>
    </w:p>
    <w:p w:rsidR="004839A0" w:rsidRDefault="004839A0" w:rsidP="004839A0">
      <w:pPr>
        <w:spacing w:after="0" w:line="240" w:lineRule="auto"/>
        <w:jc w:val="both"/>
        <w:rPr>
          <w:rFonts w:ascii="Times New Roman" w:hAnsi="Times New Roman"/>
          <w:sz w:val="24"/>
          <w:szCs w:val="24"/>
        </w:rPr>
      </w:pPr>
      <w:r w:rsidRPr="008C6DFF">
        <w:rPr>
          <w:rFonts w:ascii="Times New Roman" w:hAnsi="Times New Roman"/>
          <w:noProof/>
          <w:sz w:val="24"/>
          <w:szCs w:val="24"/>
        </w:rPr>
        <w:drawing>
          <wp:inline distT="0" distB="0" distL="0" distR="0">
            <wp:extent cx="2809875" cy="2362200"/>
            <wp:effectExtent l="19050" t="0" r="0" b="0"/>
            <wp:docPr id="3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C6DFF">
        <w:rPr>
          <w:rFonts w:ascii="Times New Roman" w:hAnsi="Times New Roman"/>
          <w:noProof/>
          <w:sz w:val="24"/>
          <w:szCs w:val="24"/>
        </w:rPr>
        <w:drawing>
          <wp:inline distT="0" distB="0" distL="0" distR="0">
            <wp:extent cx="2809875" cy="2343150"/>
            <wp:effectExtent l="19050" t="0" r="0" b="0"/>
            <wp:docPr id="3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839A0" w:rsidRPr="008651BC" w:rsidRDefault="004839A0" w:rsidP="004839A0">
      <w:pPr>
        <w:spacing w:after="0" w:line="240" w:lineRule="auto"/>
        <w:ind w:firstLine="709"/>
        <w:jc w:val="both"/>
        <w:rPr>
          <w:rFonts w:ascii="Times New Roman" w:hAnsi="Times New Roman"/>
          <w:spacing w:val="-4"/>
          <w:sz w:val="24"/>
          <w:szCs w:val="24"/>
        </w:rPr>
      </w:pPr>
      <w:r w:rsidRPr="008651BC">
        <w:rPr>
          <w:rFonts w:ascii="Times New Roman" w:hAnsi="Times New Roman"/>
          <w:sz w:val="24"/>
          <w:szCs w:val="24"/>
        </w:rPr>
        <w:lastRenderedPageBreak/>
        <w:t xml:space="preserve">В январе – июне 2015 года доходы </w:t>
      </w:r>
      <w:r w:rsidRPr="008651BC">
        <w:rPr>
          <w:rFonts w:ascii="Times New Roman" w:hAnsi="Times New Roman"/>
          <w:b/>
          <w:sz w:val="24"/>
          <w:szCs w:val="24"/>
        </w:rPr>
        <w:t>целевых бюджетных фондов</w:t>
      </w:r>
      <w:r w:rsidRPr="008651BC">
        <w:rPr>
          <w:rFonts w:ascii="Times New Roman" w:hAnsi="Times New Roman"/>
          <w:sz w:val="24"/>
          <w:szCs w:val="24"/>
        </w:rPr>
        <w:t xml:space="preserve"> остались на уровне соответствующего периода прошлого года («+»0,1%). Однако, произошло увеличение платежей в </w:t>
      </w:r>
      <w:r w:rsidRPr="008651BC">
        <w:rPr>
          <w:rFonts w:ascii="Times New Roman" w:hAnsi="Times New Roman"/>
          <w:b/>
          <w:sz w:val="24"/>
          <w:szCs w:val="24"/>
        </w:rPr>
        <w:t>дорожные фонды</w:t>
      </w:r>
      <w:r w:rsidRPr="008651BC">
        <w:rPr>
          <w:rFonts w:ascii="Times New Roman" w:hAnsi="Times New Roman"/>
          <w:sz w:val="24"/>
          <w:szCs w:val="24"/>
        </w:rPr>
        <w:t xml:space="preserve"> на 23,8%. В целевые бюджетные </w:t>
      </w:r>
      <w:r w:rsidRPr="008651BC">
        <w:rPr>
          <w:rFonts w:ascii="Times New Roman" w:hAnsi="Times New Roman"/>
          <w:b/>
          <w:sz w:val="24"/>
          <w:szCs w:val="24"/>
        </w:rPr>
        <w:t>экологические фонды</w:t>
      </w:r>
      <w:r w:rsidRPr="008651BC">
        <w:rPr>
          <w:rFonts w:ascii="Times New Roman" w:hAnsi="Times New Roman"/>
          <w:sz w:val="24"/>
          <w:szCs w:val="24"/>
        </w:rPr>
        <w:t xml:space="preserve"> поступило средств на 8,5% меньше чем в январе – июне                2014 года.</w:t>
      </w:r>
      <w:r w:rsidRPr="008651BC">
        <w:rPr>
          <w:rFonts w:ascii="Times New Roman" w:hAnsi="Times New Roman"/>
          <w:spacing w:val="-4"/>
          <w:sz w:val="24"/>
          <w:szCs w:val="24"/>
        </w:rPr>
        <w:t xml:space="preserve"> За </w:t>
      </w:r>
      <w:r>
        <w:rPr>
          <w:rFonts w:ascii="Times New Roman" w:hAnsi="Times New Roman"/>
          <w:spacing w:val="-4"/>
          <w:sz w:val="24"/>
          <w:szCs w:val="24"/>
          <w:lang w:val="en-US"/>
        </w:rPr>
        <w:t>I</w:t>
      </w:r>
      <w:r>
        <w:rPr>
          <w:rFonts w:ascii="Times New Roman" w:hAnsi="Times New Roman"/>
          <w:spacing w:val="-4"/>
          <w:sz w:val="24"/>
          <w:szCs w:val="24"/>
        </w:rPr>
        <w:t xml:space="preserve"> полугодие</w:t>
      </w:r>
      <w:r w:rsidRPr="008651BC">
        <w:rPr>
          <w:rFonts w:ascii="Times New Roman" w:hAnsi="Times New Roman"/>
          <w:spacing w:val="-4"/>
          <w:sz w:val="24"/>
          <w:szCs w:val="24"/>
        </w:rPr>
        <w:t xml:space="preserve"> 2015 года государственными учреждениями получено </w:t>
      </w:r>
      <w:r w:rsidRPr="008651BC">
        <w:rPr>
          <w:rFonts w:ascii="Times New Roman" w:hAnsi="Times New Roman"/>
          <w:b/>
          <w:spacing w:val="-4"/>
          <w:sz w:val="24"/>
          <w:szCs w:val="24"/>
        </w:rPr>
        <w:t>доходов от предпринимательской и иной приносящей доход деятельности</w:t>
      </w:r>
      <w:r w:rsidRPr="008651BC">
        <w:rPr>
          <w:rFonts w:ascii="Times New Roman" w:hAnsi="Times New Roman"/>
          <w:spacing w:val="-4"/>
          <w:sz w:val="24"/>
          <w:szCs w:val="24"/>
        </w:rPr>
        <w:t xml:space="preserve"> на 6,7% больше чем за аналогичный период 2014 года.</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Поступлени</w:t>
      </w:r>
      <w:r>
        <w:rPr>
          <w:rFonts w:ascii="Times New Roman" w:hAnsi="Times New Roman"/>
          <w:sz w:val="24"/>
          <w:szCs w:val="24"/>
        </w:rPr>
        <w:t>я</w:t>
      </w:r>
      <w:r w:rsidRPr="008651BC">
        <w:rPr>
          <w:rFonts w:ascii="Times New Roman" w:hAnsi="Times New Roman"/>
          <w:sz w:val="24"/>
          <w:szCs w:val="24"/>
        </w:rPr>
        <w:t xml:space="preserve"> средств в целевой </w:t>
      </w:r>
      <w:r w:rsidRPr="008651BC">
        <w:rPr>
          <w:rFonts w:ascii="Times New Roman" w:hAnsi="Times New Roman"/>
          <w:b/>
          <w:sz w:val="24"/>
          <w:szCs w:val="24"/>
        </w:rPr>
        <w:t>фонд Государственного таможенного комитета</w:t>
      </w:r>
      <w:r w:rsidRPr="008651BC">
        <w:rPr>
          <w:rFonts w:ascii="Times New Roman" w:hAnsi="Times New Roman"/>
          <w:sz w:val="24"/>
          <w:szCs w:val="24"/>
        </w:rPr>
        <w:t xml:space="preserve"> на фоне обострения негативных факторов внешнеэкономической деятельности республики за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 2015 года сократил</w:t>
      </w:r>
      <w:r>
        <w:rPr>
          <w:rFonts w:ascii="Times New Roman" w:hAnsi="Times New Roman"/>
          <w:sz w:val="24"/>
          <w:szCs w:val="24"/>
        </w:rPr>
        <w:t>и</w:t>
      </w:r>
      <w:r w:rsidRPr="008651BC">
        <w:rPr>
          <w:rFonts w:ascii="Times New Roman" w:hAnsi="Times New Roman"/>
          <w:sz w:val="24"/>
          <w:szCs w:val="24"/>
        </w:rPr>
        <w:t xml:space="preserve">сь на 49,5% по сравнению с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полугодием 2014 года.</w:t>
      </w:r>
    </w:p>
    <w:p w:rsidR="004839A0" w:rsidRPr="008651BC" w:rsidRDefault="004839A0" w:rsidP="004839A0">
      <w:pPr>
        <w:spacing w:after="0" w:line="240" w:lineRule="auto"/>
        <w:ind w:firstLine="709"/>
        <w:jc w:val="both"/>
        <w:rPr>
          <w:rFonts w:ascii="Times New Roman" w:hAnsi="Times New Roman"/>
          <w:spacing w:val="-4"/>
          <w:sz w:val="24"/>
          <w:szCs w:val="24"/>
        </w:rPr>
      </w:pPr>
    </w:p>
    <w:p w:rsidR="004839A0" w:rsidRPr="008651BC" w:rsidRDefault="004839A0" w:rsidP="004839A0">
      <w:pPr>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Р</w:t>
      </w:r>
      <w:r w:rsidRPr="008651BC">
        <w:rPr>
          <w:rFonts w:ascii="Times New Roman" w:hAnsi="Times New Roman"/>
          <w:spacing w:val="-4"/>
          <w:sz w:val="24"/>
          <w:szCs w:val="24"/>
        </w:rPr>
        <w:t xml:space="preserve">асходы консолидированного бюджета сократились по сравнению с </w:t>
      </w:r>
      <w:r w:rsidRPr="008651BC">
        <w:rPr>
          <w:rFonts w:ascii="Times New Roman" w:hAnsi="Times New Roman"/>
          <w:spacing w:val="-4"/>
          <w:sz w:val="24"/>
          <w:szCs w:val="24"/>
          <w:lang w:val="en-US"/>
        </w:rPr>
        <w:t>I</w:t>
      </w:r>
      <w:r w:rsidRPr="008651BC">
        <w:rPr>
          <w:rFonts w:ascii="Times New Roman" w:hAnsi="Times New Roman"/>
          <w:spacing w:val="-4"/>
          <w:sz w:val="24"/>
          <w:szCs w:val="24"/>
        </w:rPr>
        <w:t xml:space="preserve"> полугодием 2014 года на 27,1% до 1 472 567 807 руб. При этом по местным бюджетам расходы сократились на 30,8% по сравнению с январем – июнем 2014 года, а расходы республиканского бюджета - на 17,6%.</w:t>
      </w:r>
    </w:p>
    <w:p w:rsidR="00D75287" w:rsidRPr="00513069" w:rsidRDefault="004839A0" w:rsidP="00513069">
      <w:pPr>
        <w:spacing w:after="0" w:line="240" w:lineRule="auto"/>
        <w:ind w:firstLine="709"/>
        <w:jc w:val="both"/>
        <w:rPr>
          <w:rFonts w:ascii="Times New Roman" w:hAnsi="Times New Roman"/>
          <w:sz w:val="24"/>
          <w:szCs w:val="24"/>
        </w:rPr>
      </w:pPr>
      <w:r w:rsidRPr="008651BC">
        <w:rPr>
          <w:rFonts w:ascii="Times New Roman" w:hAnsi="Times New Roman"/>
          <w:spacing w:val="-4"/>
          <w:sz w:val="24"/>
          <w:szCs w:val="24"/>
        </w:rPr>
        <w:t>На недостаточное финансирование расходов республиканского бюджета повлияло, в первую очередь, неисполнение доходной части бюджета в виду ухудшения ситуации во внешнеэкономической и внешнеполитической сферах в сопредельных государствах, что оказало негативное влияние на поступления в доходы бюджетов различных уровней, а также отсутстви</w:t>
      </w:r>
      <w:r>
        <w:rPr>
          <w:rFonts w:ascii="Times New Roman" w:hAnsi="Times New Roman"/>
          <w:spacing w:val="-4"/>
          <w:sz w:val="24"/>
          <w:szCs w:val="24"/>
        </w:rPr>
        <w:t>е</w:t>
      </w:r>
      <w:r w:rsidRPr="008651BC">
        <w:rPr>
          <w:rFonts w:ascii="Times New Roman" w:hAnsi="Times New Roman"/>
          <w:spacing w:val="-4"/>
          <w:sz w:val="24"/>
          <w:szCs w:val="24"/>
        </w:rPr>
        <w:t xml:space="preserve"> иного реального источника финансирования дефицита бюджета. В Республике сложилась ситуация невозможности своевременного обеспечения даже социальных выплат в связи с отсутствием достаточных источников их финансирования, как собственных, так и привлеченных. В связи с чем, в сложившейся нестабильной обстановке, </w:t>
      </w:r>
      <w:r w:rsidRPr="008651BC">
        <w:rPr>
          <w:rFonts w:ascii="Times New Roman" w:hAnsi="Times New Roman"/>
          <w:sz w:val="24"/>
          <w:szCs w:val="24"/>
        </w:rPr>
        <w:t>финансирование таких социально-значимых расходов, как оплата труда работников государственных и муниципальных учреждений, выплата пенсии и дополнительной помощи к пенсии, осуществлялось пропорционально поступающим доходам - с 1 марта 2015 года в размере 70% от фактически начисленных сумм.</w:t>
      </w:r>
    </w:p>
    <w:p w:rsidR="004839A0" w:rsidRPr="008651BC" w:rsidRDefault="004839A0" w:rsidP="004839A0">
      <w:pPr>
        <w:spacing w:after="0" w:line="240" w:lineRule="auto"/>
        <w:jc w:val="center"/>
        <w:rPr>
          <w:rFonts w:ascii="Times New Roman" w:hAnsi="Times New Roman"/>
          <w:sz w:val="24"/>
          <w:szCs w:val="24"/>
        </w:rPr>
      </w:pPr>
      <w:r w:rsidRPr="008651BC">
        <w:rPr>
          <w:rFonts w:ascii="Times New Roman" w:hAnsi="Times New Roman"/>
          <w:b/>
          <w:sz w:val="24"/>
          <w:szCs w:val="24"/>
        </w:rPr>
        <w:t xml:space="preserve">                                                                  </w:t>
      </w:r>
      <w:r w:rsidR="00D75287">
        <w:rPr>
          <w:rFonts w:ascii="Times New Roman" w:hAnsi="Times New Roman"/>
          <w:b/>
          <w:sz w:val="24"/>
          <w:szCs w:val="24"/>
        </w:rPr>
        <w:t xml:space="preserve">                                      </w:t>
      </w:r>
      <w:r w:rsidRPr="008651BC">
        <w:rPr>
          <w:rFonts w:ascii="Times New Roman" w:hAnsi="Times New Roman"/>
          <w:b/>
          <w:sz w:val="24"/>
          <w:szCs w:val="24"/>
        </w:rPr>
        <w:t xml:space="preserve">                  </w:t>
      </w:r>
      <w:r w:rsidRPr="008651BC">
        <w:rPr>
          <w:rFonts w:ascii="Times New Roman" w:hAnsi="Times New Roman"/>
          <w:sz w:val="24"/>
          <w:szCs w:val="24"/>
        </w:rPr>
        <w:t>Таблица №</w:t>
      </w:r>
      <w:r w:rsidR="00D75287">
        <w:rPr>
          <w:rFonts w:ascii="Times New Roman" w:hAnsi="Times New Roman"/>
          <w:sz w:val="24"/>
          <w:szCs w:val="24"/>
        </w:rPr>
        <w:t>8</w:t>
      </w:r>
    </w:p>
    <w:p w:rsidR="004839A0" w:rsidRPr="008651BC" w:rsidRDefault="004839A0" w:rsidP="004839A0">
      <w:pPr>
        <w:spacing w:after="0" w:line="240" w:lineRule="auto"/>
        <w:contextualSpacing/>
        <w:jc w:val="center"/>
        <w:rPr>
          <w:rFonts w:ascii="Times New Roman" w:hAnsi="Times New Roman"/>
          <w:b/>
          <w:sz w:val="24"/>
          <w:szCs w:val="24"/>
        </w:rPr>
      </w:pPr>
      <w:r w:rsidRPr="008651BC">
        <w:rPr>
          <w:rFonts w:ascii="Times New Roman" w:hAnsi="Times New Roman"/>
          <w:b/>
          <w:sz w:val="24"/>
          <w:szCs w:val="24"/>
        </w:rPr>
        <w:t>Структура исполнения расходной части</w:t>
      </w:r>
    </w:p>
    <w:p w:rsidR="004839A0" w:rsidRPr="008651BC" w:rsidRDefault="004839A0" w:rsidP="004839A0">
      <w:pPr>
        <w:spacing w:after="0" w:line="240" w:lineRule="auto"/>
        <w:contextualSpacing/>
        <w:jc w:val="center"/>
        <w:rPr>
          <w:rFonts w:ascii="Times New Roman" w:hAnsi="Times New Roman"/>
          <w:b/>
          <w:sz w:val="24"/>
          <w:szCs w:val="24"/>
        </w:rPr>
      </w:pPr>
      <w:r w:rsidRPr="008651BC">
        <w:rPr>
          <w:rFonts w:ascii="Times New Roman" w:hAnsi="Times New Roman"/>
          <w:b/>
          <w:sz w:val="24"/>
          <w:szCs w:val="24"/>
        </w:rPr>
        <w:t>консолидированного бюджета за 1 полугодие 2015 года (руб.)</w:t>
      </w:r>
    </w:p>
    <w:tbl>
      <w:tblPr>
        <w:tblW w:w="7988" w:type="dxa"/>
        <w:tblInd w:w="999" w:type="dxa"/>
        <w:tblLayout w:type="fixed"/>
        <w:tblLook w:val="0000"/>
      </w:tblPr>
      <w:tblGrid>
        <w:gridCol w:w="2918"/>
        <w:gridCol w:w="1604"/>
        <w:gridCol w:w="1604"/>
        <w:gridCol w:w="876"/>
        <w:gridCol w:w="986"/>
      </w:tblGrid>
      <w:tr w:rsidR="004839A0" w:rsidRPr="008651BC" w:rsidTr="00513069">
        <w:trPr>
          <w:trHeight w:val="371"/>
        </w:trPr>
        <w:tc>
          <w:tcPr>
            <w:tcW w:w="2918" w:type="dxa"/>
            <w:tcBorders>
              <w:top w:val="single" w:sz="4" w:space="0" w:color="auto"/>
              <w:left w:val="single" w:sz="4" w:space="0" w:color="auto"/>
              <w:bottom w:val="single" w:sz="4" w:space="0" w:color="auto"/>
              <w:right w:val="single" w:sz="4" w:space="0" w:color="auto"/>
            </w:tcBorders>
            <w:noWrap/>
            <w:vAlign w:val="center"/>
          </w:tcPr>
          <w:p w:rsidR="004839A0" w:rsidRPr="008651BC" w:rsidRDefault="004839A0" w:rsidP="004839A0">
            <w:pPr>
              <w:spacing w:after="0" w:line="240" w:lineRule="auto"/>
              <w:ind w:left="709"/>
              <w:contextualSpacing/>
              <w:rPr>
                <w:rFonts w:ascii="Times New Roman" w:hAnsi="Times New Roman"/>
                <w:b/>
              </w:rPr>
            </w:pPr>
          </w:p>
        </w:tc>
        <w:tc>
          <w:tcPr>
            <w:tcW w:w="1604" w:type="dxa"/>
            <w:tcBorders>
              <w:top w:val="single" w:sz="4" w:space="0" w:color="auto"/>
              <w:left w:val="nil"/>
              <w:bottom w:val="single" w:sz="4" w:space="0" w:color="auto"/>
              <w:right w:val="single" w:sz="4" w:space="0" w:color="auto"/>
            </w:tcBorders>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План</w:t>
            </w:r>
          </w:p>
        </w:tc>
        <w:tc>
          <w:tcPr>
            <w:tcW w:w="1604" w:type="dxa"/>
            <w:tcBorders>
              <w:top w:val="single" w:sz="4" w:space="0" w:color="auto"/>
              <w:left w:val="nil"/>
              <w:bottom w:val="single" w:sz="4" w:space="0" w:color="auto"/>
              <w:right w:val="single" w:sz="4" w:space="0" w:color="auto"/>
            </w:tcBorders>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Факт</w:t>
            </w:r>
          </w:p>
        </w:tc>
        <w:tc>
          <w:tcPr>
            <w:tcW w:w="876" w:type="dxa"/>
            <w:tcBorders>
              <w:top w:val="single" w:sz="4" w:space="0" w:color="auto"/>
              <w:left w:val="nil"/>
              <w:bottom w:val="single" w:sz="4" w:space="0" w:color="auto"/>
              <w:right w:val="single" w:sz="4" w:space="0" w:color="auto"/>
            </w:tcBorders>
            <w:vAlign w:val="center"/>
          </w:tcPr>
          <w:p w:rsidR="004839A0" w:rsidRPr="008651BC" w:rsidRDefault="004839A0" w:rsidP="004839A0">
            <w:pPr>
              <w:spacing w:after="0" w:line="240" w:lineRule="auto"/>
              <w:contextualSpacing/>
              <w:jc w:val="center"/>
              <w:rPr>
                <w:rFonts w:ascii="Times New Roman" w:hAnsi="Times New Roman"/>
                <w:b/>
              </w:rPr>
            </w:pPr>
            <w:r w:rsidRPr="008651BC">
              <w:rPr>
                <w:rFonts w:ascii="Times New Roman" w:hAnsi="Times New Roman"/>
                <w:b/>
              </w:rPr>
              <w:t>% исполнения</w:t>
            </w:r>
          </w:p>
        </w:tc>
        <w:tc>
          <w:tcPr>
            <w:tcW w:w="986" w:type="dxa"/>
            <w:tcBorders>
              <w:top w:val="single" w:sz="4" w:space="0" w:color="auto"/>
              <w:left w:val="nil"/>
              <w:bottom w:val="single" w:sz="4" w:space="0" w:color="auto"/>
              <w:right w:val="single" w:sz="4" w:space="0" w:color="auto"/>
            </w:tcBorders>
          </w:tcPr>
          <w:p w:rsidR="004839A0" w:rsidRPr="008651BC" w:rsidRDefault="004839A0" w:rsidP="004839A0">
            <w:pPr>
              <w:spacing w:after="0" w:line="240" w:lineRule="auto"/>
              <w:ind w:right="-73"/>
              <w:contextualSpacing/>
              <w:jc w:val="center"/>
              <w:rPr>
                <w:rFonts w:ascii="Times New Roman" w:hAnsi="Times New Roman"/>
                <w:b/>
              </w:rPr>
            </w:pPr>
            <w:r w:rsidRPr="008651BC">
              <w:rPr>
                <w:rFonts w:ascii="Times New Roman" w:hAnsi="Times New Roman"/>
                <w:b/>
              </w:rPr>
              <w:t>Темп роста 2015г. к 2014г., %</w:t>
            </w:r>
          </w:p>
        </w:tc>
      </w:tr>
      <w:tr w:rsidR="004839A0" w:rsidRPr="008651BC" w:rsidTr="00513069">
        <w:trPr>
          <w:trHeight w:val="83"/>
        </w:trPr>
        <w:tc>
          <w:tcPr>
            <w:tcW w:w="2918" w:type="dxa"/>
            <w:tcBorders>
              <w:top w:val="nil"/>
              <w:left w:val="single" w:sz="4" w:space="0" w:color="auto"/>
              <w:bottom w:val="single" w:sz="4" w:space="0" w:color="auto"/>
              <w:right w:val="single" w:sz="4" w:space="0" w:color="auto"/>
            </w:tcBorders>
            <w:noWrap/>
          </w:tcPr>
          <w:p w:rsidR="004839A0" w:rsidRPr="008651BC" w:rsidRDefault="004839A0" w:rsidP="004839A0">
            <w:pPr>
              <w:spacing w:after="0" w:line="240" w:lineRule="auto"/>
              <w:contextualSpacing/>
              <w:rPr>
                <w:rFonts w:ascii="Times New Roman" w:hAnsi="Times New Roman"/>
                <w:b/>
                <w:bCs/>
              </w:rPr>
            </w:pPr>
            <w:r w:rsidRPr="008651BC">
              <w:rPr>
                <w:rFonts w:ascii="Times New Roman" w:hAnsi="Times New Roman"/>
                <w:b/>
                <w:bCs/>
              </w:rPr>
              <w:t>Консолидированный бюджет</w:t>
            </w:r>
          </w:p>
        </w:tc>
        <w:tc>
          <w:tcPr>
            <w:tcW w:w="1604"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
                <w:bCs/>
              </w:rPr>
            </w:pPr>
            <w:r w:rsidRPr="008651BC">
              <w:rPr>
                <w:rFonts w:ascii="Times New Roman" w:hAnsi="Times New Roman"/>
                <w:b/>
                <w:bCs/>
              </w:rPr>
              <w:t>2 420 191 273</w:t>
            </w:r>
          </w:p>
        </w:tc>
        <w:tc>
          <w:tcPr>
            <w:tcW w:w="1604"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
                <w:bCs/>
              </w:rPr>
            </w:pPr>
            <w:r w:rsidRPr="008651BC">
              <w:rPr>
                <w:rFonts w:ascii="Times New Roman" w:hAnsi="Times New Roman"/>
                <w:b/>
                <w:bCs/>
              </w:rPr>
              <w:t>1 472 567 807</w:t>
            </w:r>
          </w:p>
        </w:tc>
        <w:tc>
          <w:tcPr>
            <w:tcW w:w="876"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
                <w:bCs/>
              </w:rPr>
            </w:pPr>
            <w:r w:rsidRPr="008651BC">
              <w:rPr>
                <w:rFonts w:ascii="Times New Roman" w:hAnsi="Times New Roman"/>
                <w:b/>
                <w:bCs/>
              </w:rPr>
              <w:t>60,85</w:t>
            </w:r>
          </w:p>
        </w:tc>
        <w:tc>
          <w:tcPr>
            <w:tcW w:w="986" w:type="dxa"/>
            <w:tcBorders>
              <w:top w:val="nil"/>
              <w:left w:val="nil"/>
              <w:bottom w:val="single" w:sz="4" w:space="0" w:color="auto"/>
              <w:right w:val="single" w:sz="4" w:space="0" w:color="auto"/>
            </w:tcBorders>
            <w:vAlign w:val="center"/>
          </w:tcPr>
          <w:p w:rsidR="004839A0" w:rsidRPr="008651BC" w:rsidRDefault="004839A0" w:rsidP="004839A0">
            <w:pPr>
              <w:spacing w:after="0" w:line="240" w:lineRule="auto"/>
              <w:contextualSpacing/>
              <w:jc w:val="center"/>
              <w:rPr>
                <w:rFonts w:ascii="Times New Roman" w:hAnsi="Times New Roman"/>
                <w:b/>
                <w:bCs/>
              </w:rPr>
            </w:pPr>
            <w:r w:rsidRPr="008651BC">
              <w:rPr>
                <w:rFonts w:ascii="Times New Roman" w:hAnsi="Times New Roman"/>
                <w:b/>
                <w:bCs/>
              </w:rPr>
              <w:t>72,9</w:t>
            </w:r>
          </w:p>
        </w:tc>
      </w:tr>
      <w:tr w:rsidR="004839A0" w:rsidRPr="008651BC" w:rsidTr="00513069">
        <w:trPr>
          <w:trHeight w:val="327"/>
        </w:trPr>
        <w:tc>
          <w:tcPr>
            <w:tcW w:w="2918" w:type="dxa"/>
            <w:tcBorders>
              <w:top w:val="nil"/>
              <w:left w:val="single" w:sz="4" w:space="0" w:color="auto"/>
              <w:bottom w:val="single" w:sz="4" w:space="0" w:color="auto"/>
              <w:right w:val="single" w:sz="4" w:space="0" w:color="auto"/>
            </w:tcBorders>
            <w:noWrap/>
          </w:tcPr>
          <w:p w:rsidR="004839A0" w:rsidRPr="008651BC" w:rsidRDefault="004839A0" w:rsidP="004839A0">
            <w:pPr>
              <w:spacing w:after="0" w:line="240" w:lineRule="auto"/>
              <w:contextualSpacing/>
              <w:rPr>
                <w:rFonts w:ascii="Times New Roman" w:hAnsi="Times New Roman"/>
                <w:bCs/>
              </w:rPr>
            </w:pPr>
            <w:r w:rsidRPr="008651BC">
              <w:rPr>
                <w:rFonts w:ascii="Times New Roman" w:hAnsi="Times New Roman"/>
                <w:bCs/>
              </w:rPr>
              <w:t>Республиканский бюджет</w:t>
            </w:r>
          </w:p>
        </w:tc>
        <w:tc>
          <w:tcPr>
            <w:tcW w:w="1604"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1 689 613 257</w:t>
            </w:r>
          </w:p>
        </w:tc>
        <w:tc>
          <w:tcPr>
            <w:tcW w:w="1604"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1 008 396 566</w:t>
            </w:r>
          </w:p>
        </w:tc>
        <w:tc>
          <w:tcPr>
            <w:tcW w:w="876"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59,68</w:t>
            </w:r>
          </w:p>
        </w:tc>
        <w:tc>
          <w:tcPr>
            <w:tcW w:w="986" w:type="dxa"/>
            <w:tcBorders>
              <w:top w:val="nil"/>
              <w:left w:val="nil"/>
              <w:bottom w:val="single" w:sz="4" w:space="0" w:color="auto"/>
              <w:right w:val="single" w:sz="4" w:space="0" w:color="auto"/>
            </w:tcBorders>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69,2</w:t>
            </w:r>
          </w:p>
        </w:tc>
      </w:tr>
      <w:tr w:rsidR="004839A0" w:rsidRPr="00D848B3" w:rsidTr="00513069">
        <w:trPr>
          <w:trHeight w:val="302"/>
        </w:trPr>
        <w:tc>
          <w:tcPr>
            <w:tcW w:w="2918" w:type="dxa"/>
            <w:tcBorders>
              <w:top w:val="nil"/>
              <w:left w:val="single" w:sz="4" w:space="0" w:color="auto"/>
              <w:bottom w:val="single" w:sz="4" w:space="0" w:color="auto"/>
              <w:right w:val="single" w:sz="4" w:space="0" w:color="auto"/>
            </w:tcBorders>
            <w:noWrap/>
          </w:tcPr>
          <w:p w:rsidR="004839A0" w:rsidRPr="008651BC" w:rsidRDefault="004839A0" w:rsidP="004839A0">
            <w:pPr>
              <w:spacing w:after="0" w:line="240" w:lineRule="auto"/>
              <w:contextualSpacing/>
              <w:rPr>
                <w:rFonts w:ascii="Times New Roman" w:hAnsi="Times New Roman"/>
                <w:bCs/>
              </w:rPr>
            </w:pPr>
            <w:r w:rsidRPr="008651BC">
              <w:rPr>
                <w:rFonts w:ascii="Times New Roman" w:hAnsi="Times New Roman"/>
                <w:bCs/>
              </w:rPr>
              <w:t>Местные бюджеты, в т.ч.</w:t>
            </w:r>
          </w:p>
        </w:tc>
        <w:tc>
          <w:tcPr>
            <w:tcW w:w="1604"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730 578 016</w:t>
            </w:r>
          </w:p>
        </w:tc>
        <w:tc>
          <w:tcPr>
            <w:tcW w:w="1604"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464 171 241</w:t>
            </w:r>
          </w:p>
        </w:tc>
        <w:tc>
          <w:tcPr>
            <w:tcW w:w="876" w:type="dxa"/>
            <w:tcBorders>
              <w:top w:val="nil"/>
              <w:left w:val="nil"/>
              <w:bottom w:val="single" w:sz="4" w:space="0" w:color="auto"/>
              <w:right w:val="single" w:sz="4" w:space="0" w:color="auto"/>
            </w:tcBorders>
            <w:noWrap/>
            <w:vAlign w:val="center"/>
          </w:tcPr>
          <w:p w:rsidR="004839A0" w:rsidRPr="008651BC" w:rsidRDefault="004839A0" w:rsidP="004839A0">
            <w:pPr>
              <w:spacing w:after="0" w:line="240" w:lineRule="auto"/>
              <w:contextualSpacing/>
              <w:jc w:val="center"/>
              <w:rPr>
                <w:rFonts w:ascii="Times New Roman" w:hAnsi="Times New Roman"/>
                <w:bCs/>
              </w:rPr>
            </w:pPr>
            <w:r w:rsidRPr="008651BC">
              <w:rPr>
                <w:rFonts w:ascii="Times New Roman" w:hAnsi="Times New Roman"/>
                <w:bCs/>
              </w:rPr>
              <w:t>63,53</w:t>
            </w:r>
          </w:p>
        </w:tc>
        <w:tc>
          <w:tcPr>
            <w:tcW w:w="986" w:type="dxa"/>
            <w:tcBorders>
              <w:top w:val="nil"/>
              <w:left w:val="nil"/>
              <w:bottom w:val="single" w:sz="4" w:space="0" w:color="auto"/>
              <w:right w:val="single" w:sz="4" w:space="0" w:color="auto"/>
            </w:tcBorders>
          </w:tcPr>
          <w:p w:rsidR="004839A0" w:rsidRPr="00193F5E" w:rsidRDefault="004839A0" w:rsidP="004839A0">
            <w:pPr>
              <w:spacing w:after="0" w:line="240" w:lineRule="auto"/>
              <w:contextualSpacing/>
              <w:jc w:val="center"/>
              <w:rPr>
                <w:rFonts w:ascii="Times New Roman" w:hAnsi="Times New Roman"/>
                <w:bCs/>
              </w:rPr>
            </w:pPr>
            <w:r w:rsidRPr="008651BC">
              <w:rPr>
                <w:rFonts w:ascii="Times New Roman" w:hAnsi="Times New Roman"/>
                <w:bCs/>
              </w:rPr>
              <w:t>82,4</w:t>
            </w:r>
          </w:p>
        </w:tc>
      </w:tr>
    </w:tbl>
    <w:p w:rsidR="004839A0" w:rsidRDefault="004839A0" w:rsidP="004839A0">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00550" cy="2352675"/>
            <wp:effectExtent l="0" t="0" r="0"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839A0" w:rsidRPr="008651BC" w:rsidRDefault="004839A0" w:rsidP="004839A0">
      <w:pPr>
        <w:spacing w:line="240" w:lineRule="auto"/>
        <w:ind w:firstLine="709"/>
        <w:contextualSpacing/>
        <w:jc w:val="both"/>
        <w:rPr>
          <w:rFonts w:ascii="Times New Roman" w:hAnsi="Times New Roman"/>
          <w:sz w:val="24"/>
          <w:szCs w:val="24"/>
        </w:rPr>
      </w:pPr>
      <w:r w:rsidRPr="008651BC">
        <w:rPr>
          <w:rFonts w:ascii="Times New Roman" w:hAnsi="Times New Roman"/>
          <w:sz w:val="24"/>
          <w:szCs w:val="24"/>
        </w:rPr>
        <w:lastRenderedPageBreak/>
        <w:t xml:space="preserve">Фактическое финансирование в январе – июне 2015 года по основным разделам функциональной классификации расходов осуществлялось достаточно равномерно. Приоритетными направлениями продолжают оставаться здравоохранение (17,0%) и социальная отрасль (18,6%), в январе – июне 2014 года соответственно 15,5% и 14,0%. При этом в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полугодии 2015 года доля фактических расходов государства по социальным отраслям увеличилась на 3,1 процентных пункта и составила 47,0% общих фактических расходов,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нецелевых) программ) возросли с 10,0% до 12,9% общих фактических расходов бюджета за январь – июнь 2014-2015 годов.</w:t>
      </w:r>
    </w:p>
    <w:p w:rsidR="004839A0" w:rsidRDefault="004839A0" w:rsidP="004839A0">
      <w:pPr>
        <w:spacing w:after="0" w:line="240" w:lineRule="auto"/>
        <w:ind w:firstLine="709"/>
        <w:contextualSpacing/>
        <w:jc w:val="both"/>
        <w:rPr>
          <w:rFonts w:ascii="Times New Roman" w:hAnsi="Times New Roman"/>
          <w:sz w:val="24"/>
          <w:szCs w:val="24"/>
        </w:rPr>
      </w:pPr>
      <w:r w:rsidRPr="008651BC">
        <w:rPr>
          <w:rFonts w:ascii="Times New Roman" w:hAnsi="Times New Roman"/>
          <w:sz w:val="24"/>
          <w:szCs w:val="24"/>
        </w:rPr>
        <w:t xml:space="preserve">Доля расходов на финансовую помощь бюджетам других уровней сократилась с 6,6% в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полугодии 2014 года до 5,3% в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полугодии 2015 года.</w:t>
      </w:r>
    </w:p>
    <w:p w:rsidR="004839A0" w:rsidRDefault="004839A0" w:rsidP="004839A0">
      <w:pPr>
        <w:spacing w:after="0" w:line="240" w:lineRule="auto"/>
        <w:ind w:hanging="567"/>
        <w:jc w:val="both"/>
        <w:rPr>
          <w:rFonts w:ascii="Times New Roman" w:hAnsi="Times New Roman"/>
          <w:sz w:val="24"/>
          <w:szCs w:val="24"/>
          <w:highlight w:val="yellow"/>
        </w:rPr>
      </w:pPr>
      <w:r>
        <w:rPr>
          <w:rFonts w:ascii="Times New Roman" w:hAnsi="Times New Roman"/>
          <w:noProof/>
          <w:sz w:val="24"/>
          <w:szCs w:val="24"/>
        </w:rPr>
        <w:drawing>
          <wp:inline distT="0" distB="0" distL="0" distR="0">
            <wp:extent cx="2943225" cy="2247900"/>
            <wp:effectExtent l="19050" t="0" r="0" b="0"/>
            <wp:docPr id="3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noProof/>
          <w:sz w:val="24"/>
          <w:szCs w:val="24"/>
        </w:rPr>
        <w:drawing>
          <wp:inline distT="0" distB="0" distL="0" distR="0">
            <wp:extent cx="3228975" cy="2276475"/>
            <wp:effectExtent l="19050" t="0" r="0"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839A0" w:rsidRPr="00C73700" w:rsidRDefault="004839A0" w:rsidP="004839A0">
      <w:pPr>
        <w:spacing w:after="0" w:line="240" w:lineRule="auto"/>
        <w:ind w:hanging="567"/>
        <w:jc w:val="both"/>
        <w:rPr>
          <w:rFonts w:ascii="Times New Roman" w:hAnsi="Times New Roman"/>
          <w:sz w:val="24"/>
          <w:szCs w:val="24"/>
          <w:highlight w:val="yellow"/>
        </w:rPr>
      </w:pP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 xml:space="preserve">Несмотря на жесткую политику экономии бюджетных средств на содержание государственного аппарата произошло их увеличение с 5,6% в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полугодии 2014 года до 6,8% в соответствующем периоде 2015 года.</w:t>
      </w:r>
    </w:p>
    <w:p w:rsidR="004839A0" w:rsidRPr="008651BC" w:rsidRDefault="004839A0" w:rsidP="004839A0">
      <w:pPr>
        <w:spacing w:after="0" w:line="240" w:lineRule="auto"/>
        <w:ind w:firstLine="709"/>
        <w:jc w:val="both"/>
        <w:rPr>
          <w:rFonts w:ascii="Times New Roman" w:hAnsi="Times New Roman"/>
          <w:sz w:val="24"/>
          <w:szCs w:val="24"/>
        </w:rPr>
      </w:pPr>
      <w:r w:rsidRPr="008651BC">
        <w:rPr>
          <w:rFonts w:ascii="Times New Roman" w:hAnsi="Times New Roman"/>
          <w:sz w:val="24"/>
          <w:szCs w:val="24"/>
        </w:rPr>
        <w:t>Расходы на содержание силовых структур и органов обеспечения правопорядка продолжают оставаться весомой частью в бюджетных расходах, их удельный вес увеличился с 16,9% в январе – июне 2014 года до 23,3% в январе – июне 2015 года.</w:t>
      </w:r>
    </w:p>
    <w:p w:rsidR="004839A0" w:rsidRPr="008651BC" w:rsidRDefault="004839A0" w:rsidP="004839A0">
      <w:pPr>
        <w:suppressAutoHyphens/>
        <w:spacing w:after="0" w:line="240" w:lineRule="auto"/>
        <w:ind w:firstLine="709"/>
        <w:jc w:val="both"/>
        <w:rPr>
          <w:rFonts w:ascii="Times New Roman" w:hAnsi="Times New Roman"/>
          <w:sz w:val="24"/>
          <w:szCs w:val="24"/>
        </w:rPr>
      </w:pPr>
      <w:r w:rsidRPr="008651BC">
        <w:rPr>
          <w:rFonts w:ascii="Times New Roman" w:hAnsi="Times New Roman"/>
          <w:sz w:val="24"/>
          <w:szCs w:val="24"/>
        </w:rPr>
        <w:t>Направленность консолидированного бюджета в январе – июне 2015 года сохраняла социальный характер, что подтверждается долей расходов фактически профинансированных социально-защищенных статей в общих расходах бюджета, которая составила 82,1%, увеличившись к уровню января- июня 2014 года на 14,4%.</w:t>
      </w:r>
    </w:p>
    <w:p w:rsidR="004839A0" w:rsidRPr="008651BC" w:rsidRDefault="004839A0" w:rsidP="004839A0">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8651BC">
        <w:rPr>
          <w:rFonts w:ascii="Times New Roman" w:hAnsi="Times New Roman"/>
          <w:sz w:val="24"/>
          <w:szCs w:val="24"/>
        </w:rPr>
        <w:t xml:space="preserve">Расходы по социально защищенным статьям республиканского бюджета за                   </w:t>
      </w:r>
      <w:r w:rsidRPr="008651BC">
        <w:rPr>
          <w:rFonts w:ascii="Times New Roman" w:hAnsi="Times New Roman"/>
          <w:sz w:val="24"/>
          <w:szCs w:val="24"/>
          <w:lang w:val="en-US"/>
        </w:rPr>
        <w:t>I</w:t>
      </w:r>
      <w:r w:rsidRPr="008651BC">
        <w:rPr>
          <w:rFonts w:ascii="Times New Roman" w:hAnsi="Times New Roman"/>
          <w:sz w:val="24"/>
          <w:szCs w:val="24"/>
        </w:rPr>
        <w:t xml:space="preserve"> полугодие 2015 года исполнены на 74,6 % и составили </w:t>
      </w:r>
      <w:r w:rsidRPr="008651BC">
        <w:rPr>
          <w:rFonts w:ascii="Times New Roman" w:hAnsi="Times New Roman"/>
          <w:bCs/>
          <w:sz w:val="24"/>
          <w:szCs w:val="24"/>
        </w:rPr>
        <w:t xml:space="preserve">827 437 749 </w:t>
      </w:r>
      <w:r w:rsidRPr="008651BC">
        <w:rPr>
          <w:rFonts w:ascii="Times New Roman" w:hAnsi="Times New Roman"/>
          <w:sz w:val="24"/>
          <w:szCs w:val="24"/>
        </w:rPr>
        <w:t>руб.</w:t>
      </w:r>
      <w:r w:rsidRPr="008651BC">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 65,0%, а также: социальные пенсии и компенсационные выплаты населению, включая ежемесячное пособие на ребенка – 14,5%; пенсии и пожизненное содержание – 6,7%.</w:t>
      </w:r>
    </w:p>
    <w:p w:rsidR="004839A0" w:rsidRPr="008651BC" w:rsidRDefault="004839A0" w:rsidP="004839A0">
      <w:pPr>
        <w:shd w:val="clear" w:color="auto" w:fill="FFFFFF"/>
        <w:tabs>
          <w:tab w:val="left" w:pos="7368"/>
        </w:tabs>
        <w:spacing w:line="240" w:lineRule="auto"/>
        <w:ind w:firstLine="709"/>
        <w:contextualSpacing/>
        <w:jc w:val="both"/>
        <w:rPr>
          <w:rFonts w:ascii="Times New Roman" w:hAnsi="Times New Roman"/>
          <w:spacing w:val="-2"/>
          <w:sz w:val="24"/>
          <w:szCs w:val="24"/>
        </w:rPr>
      </w:pPr>
      <w:r w:rsidRPr="008651BC">
        <w:rPr>
          <w:rFonts w:ascii="Times New Roman" w:hAnsi="Times New Roman"/>
          <w:sz w:val="24"/>
          <w:szCs w:val="24"/>
        </w:rPr>
        <w:t xml:space="preserve">Расходы по социально защищенным статьям местного бюджета за январь – июнь 2015 года исполнены на 75,3% и составили </w:t>
      </w:r>
      <w:r w:rsidRPr="008651BC">
        <w:rPr>
          <w:rFonts w:ascii="Times New Roman" w:hAnsi="Times New Roman"/>
          <w:bCs/>
          <w:sz w:val="24"/>
          <w:szCs w:val="24"/>
        </w:rPr>
        <w:t xml:space="preserve">373 835 235 </w:t>
      </w:r>
      <w:r w:rsidRPr="008651BC">
        <w:rPr>
          <w:rFonts w:ascii="Times New Roman" w:hAnsi="Times New Roman"/>
          <w:sz w:val="24"/>
          <w:szCs w:val="24"/>
        </w:rPr>
        <w:t>руб.</w:t>
      </w:r>
      <w:r w:rsidRPr="008651BC">
        <w:rPr>
          <w:rFonts w:ascii="Times New Roman" w:hAnsi="Times New Roman"/>
          <w:spacing w:val="-2"/>
          <w:sz w:val="24"/>
          <w:szCs w:val="24"/>
        </w:rPr>
        <w:t xml:space="preserve"> Наибольший удельный вес в них занимали расходы на выплату заработной платы с учетом взносов на социальное страхование – 95,2%.</w:t>
      </w:r>
    </w:p>
    <w:p w:rsidR="004839A0" w:rsidRPr="008651BC" w:rsidRDefault="004839A0" w:rsidP="004839A0">
      <w:pPr>
        <w:shd w:val="clear" w:color="auto" w:fill="FFFFFF"/>
        <w:spacing w:after="0" w:line="240" w:lineRule="auto"/>
        <w:ind w:firstLine="709"/>
        <w:jc w:val="both"/>
        <w:rPr>
          <w:rFonts w:ascii="Times New Roman" w:hAnsi="Times New Roman"/>
          <w:spacing w:val="-1"/>
          <w:sz w:val="24"/>
          <w:szCs w:val="24"/>
        </w:rPr>
      </w:pPr>
    </w:p>
    <w:p w:rsidR="00513069" w:rsidRPr="00E36E20" w:rsidRDefault="004839A0" w:rsidP="00513069">
      <w:pPr>
        <w:pStyle w:val="af0"/>
        <w:spacing w:before="0" w:beforeAutospacing="0" w:after="0" w:afterAutospacing="0"/>
        <w:ind w:firstLine="709"/>
        <w:jc w:val="both"/>
      </w:pPr>
      <w:r w:rsidRPr="008651BC">
        <w:t xml:space="preserve">Несмотря на превышение расходов консолидированного бюджета в </w:t>
      </w:r>
      <w:r w:rsidRPr="008651BC">
        <w:rPr>
          <w:lang w:val="en-US"/>
        </w:rPr>
        <w:t>I</w:t>
      </w:r>
      <w:r w:rsidRPr="008651BC">
        <w:t xml:space="preserve"> полугодии 2015 году (на 37,5%) над доходами, отмечено сокращение размера дефицита </w:t>
      </w:r>
      <w:r w:rsidRPr="00B3408A">
        <w:t xml:space="preserve">консолидированного бюджета к соответствующему периоду 2014 года на 5,8% в виду сокращения финансирования расходов на содержание бюджетной сферы. Фактическое значение дефицита консолидированного бюджета сложилось в размере 401 940 980 руб. и составило </w:t>
      </w:r>
      <w:r w:rsidR="00B3408A" w:rsidRPr="00B3408A">
        <w:t>10,7</w:t>
      </w:r>
      <w:r w:rsidRPr="00B3408A">
        <w:t>% к ВВП.</w:t>
      </w:r>
    </w:p>
    <w:p w:rsidR="004839A0" w:rsidRPr="008651BC" w:rsidRDefault="004839A0" w:rsidP="004839A0">
      <w:pPr>
        <w:pStyle w:val="af0"/>
        <w:spacing w:before="0" w:beforeAutospacing="0" w:after="0" w:afterAutospacing="0"/>
        <w:ind w:firstLine="709"/>
        <w:jc w:val="right"/>
      </w:pPr>
      <w:r w:rsidRPr="008651BC">
        <w:lastRenderedPageBreak/>
        <w:t>Таблица №</w:t>
      </w:r>
      <w:r w:rsidR="00D75287">
        <w:t>9</w:t>
      </w:r>
    </w:p>
    <w:p w:rsidR="004839A0" w:rsidRPr="008651BC" w:rsidRDefault="004839A0" w:rsidP="004839A0">
      <w:pPr>
        <w:pStyle w:val="af0"/>
        <w:spacing w:before="0" w:beforeAutospacing="0" w:after="0" w:afterAutospacing="0"/>
        <w:ind w:firstLine="709"/>
        <w:jc w:val="center"/>
        <w:rPr>
          <w:b/>
        </w:rPr>
      </w:pPr>
      <w:r w:rsidRPr="008651BC">
        <w:rPr>
          <w:b/>
        </w:rPr>
        <w:t>Структура дефицита Консолидированного бюджета</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1202"/>
        <w:gridCol w:w="834"/>
        <w:gridCol w:w="744"/>
        <w:gridCol w:w="1242"/>
        <w:gridCol w:w="908"/>
        <w:gridCol w:w="722"/>
        <w:gridCol w:w="1239"/>
      </w:tblGrid>
      <w:tr w:rsidR="004839A0" w:rsidRPr="008651BC" w:rsidTr="00513069">
        <w:trPr>
          <w:trHeight w:val="741"/>
          <w:jc w:val="center"/>
        </w:trPr>
        <w:tc>
          <w:tcPr>
            <w:tcW w:w="2707" w:type="dxa"/>
            <w:vMerge w:val="restart"/>
            <w:vAlign w:val="center"/>
          </w:tcPr>
          <w:p w:rsidR="004839A0" w:rsidRPr="008651BC" w:rsidRDefault="004839A0" w:rsidP="004839A0">
            <w:pPr>
              <w:spacing w:after="0" w:line="240" w:lineRule="auto"/>
              <w:jc w:val="center"/>
              <w:rPr>
                <w:rFonts w:ascii="Times New Roman" w:hAnsi="Times New Roman"/>
                <w:b/>
              </w:rPr>
            </w:pPr>
          </w:p>
        </w:tc>
        <w:tc>
          <w:tcPr>
            <w:tcW w:w="2780" w:type="dxa"/>
            <w:gridSpan w:val="3"/>
            <w:vAlign w:val="center"/>
          </w:tcPr>
          <w:p w:rsidR="004839A0" w:rsidRPr="008651BC" w:rsidRDefault="004839A0" w:rsidP="004839A0">
            <w:pPr>
              <w:spacing w:after="0" w:line="240" w:lineRule="auto"/>
              <w:jc w:val="center"/>
              <w:rPr>
                <w:rFonts w:ascii="Times New Roman" w:hAnsi="Times New Roman"/>
                <w:b/>
                <w:sz w:val="24"/>
                <w:szCs w:val="24"/>
              </w:rPr>
            </w:pPr>
            <w:r w:rsidRPr="008651BC">
              <w:rPr>
                <w:rFonts w:ascii="Times New Roman" w:hAnsi="Times New Roman"/>
                <w:b/>
                <w:sz w:val="24"/>
                <w:szCs w:val="24"/>
              </w:rPr>
              <w:t>1 полугодие 2014 года</w:t>
            </w:r>
          </w:p>
        </w:tc>
        <w:tc>
          <w:tcPr>
            <w:tcW w:w="2872" w:type="dxa"/>
            <w:gridSpan w:val="3"/>
            <w:vAlign w:val="center"/>
          </w:tcPr>
          <w:p w:rsidR="004839A0" w:rsidRPr="008651BC" w:rsidRDefault="004839A0" w:rsidP="004839A0">
            <w:pPr>
              <w:spacing w:after="0" w:line="240" w:lineRule="auto"/>
              <w:jc w:val="center"/>
              <w:rPr>
                <w:rFonts w:ascii="Times New Roman" w:hAnsi="Times New Roman"/>
                <w:b/>
                <w:sz w:val="24"/>
                <w:szCs w:val="24"/>
              </w:rPr>
            </w:pPr>
            <w:r w:rsidRPr="008651BC">
              <w:rPr>
                <w:rFonts w:ascii="Times New Roman" w:hAnsi="Times New Roman"/>
                <w:b/>
                <w:sz w:val="24"/>
                <w:szCs w:val="24"/>
              </w:rPr>
              <w:t>1 полугодие 2015 года</w:t>
            </w:r>
          </w:p>
        </w:tc>
        <w:tc>
          <w:tcPr>
            <w:tcW w:w="1239" w:type="dxa"/>
            <w:vMerge w:val="restart"/>
            <w:vAlign w:val="center"/>
          </w:tcPr>
          <w:p w:rsidR="004839A0" w:rsidRPr="008651BC" w:rsidRDefault="004839A0" w:rsidP="004839A0">
            <w:pPr>
              <w:spacing w:after="0" w:line="240" w:lineRule="auto"/>
              <w:ind w:left="-70" w:right="-165"/>
              <w:jc w:val="center"/>
              <w:rPr>
                <w:rFonts w:ascii="Times New Roman" w:hAnsi="Times New Roman"/>
                <w:b/>
              </w:rPr>
            </w:pPr>
            <w:r w:rsidRPr="008651BC">
              <w:rPr>
                <w:rFonts w:ascii="Times New Roman" w:hAnsi="Times New Roman"/>
                <w:b/>
              </w:rPr>
              <w:t xml:space="preserve">Темп роста. 2015г. к </w:t>
            </w:r>
          </w:p>
          <w:p w:rsidR="004839A0" w:rsidRPr="008651BC" w:rsidRDefault="004839A0" w:rsidP="004839A0">
            <w:pPr>
              <w:spacing w:after="0" w:line="240" w:lineRule="auto"/>
              <w:ind w:left="-70" w:right="-165"/>
              <w:jc w:val="center"/>
              <w:rPr>
                <w:rFonts w:ascii="Times New Roman" w:hAnsi="Times New Roman"/>
                <w:b/>
              </w:rPr>
            </w:pPr>
            <w:r w:rsidRPr="008651BC">
              <w:rPr>
                <w:rFonts w:ascii="Times New Roman" w:hAnsi="Times New Roman"/>
                <w:b/>
              </w:rPr>
              <w:t xml:space="preserve"> 2014г., % </w:t>
            </w:r>
          </w:p>
        </w:tc>
      </w:tr>
      <w:tr w:rsidR="004839A0" w:rsidRPr="00B3408A" w:rsidTr="00513069">
        <w:trPr>
          <w:trHeight w:val="128"/>
          <w:jc w:val="center"/>
        </w:trPr>
        <w:tc>
          <w:tcPr>
            <w:tcW w:w="2707" w:type="dxa"/>
            <w:vMerge/>
            <w:vAlign w:val="center"/>
          </w:tcPr>
          <w:p w:rsidR="004839A0" w:rsidRPr="008651BC" w:rsidRDefault="004839A0" w:rsidP="004839A0">
            <w:pPr>
              <w:spacing w:after="0" w:line="240" w:lineRule="auto"/>
              <w:jc w:val="center"/>
              <w:rPr>
                <w:rFonts w:ascii="Times New Roman" w:hAnsi="Times New Roman"/>
                <w:b/>
              </w:rPr>
            </w:pPr>
          </w:p>
        </w:tc>
        <w:tc>
          <w:tcPr>
            <w:tcW w:w="1202" w:type="dxa"/>
            <w:vAlign w:val="center"/>
          </w:tcPr>
          <w:p w:rsidR="004839A0" w:rsidRPr="00B3408A" w:rsidRDefault="004839A0" w:rsidP="004839A0">
            <w:pPr>
              <w:spacing w:after="0" w:line="240" w:lineRule="auto"/>
              <w:jc w:val="center"/>
              <w:rPr>
                <w:rFonts w:ascii="Times New Roman" w:hAnsi="Times New Roman"/>
                <w:b/>
              </w:rPr>
            </w:pPr>
            <w:r w:rsidRPr="00B3408A">
              <w:rPr>
                <w:rFonts w:ascii="Times New Roman" w:hAnsi="Times New Roman"/>
                <w:b/>
              </w:rPr>
              <w:t>факт</w:t>
            </w:r>
          </w:p>
        </w:tc>
        <w:tc>
          <w:tcPr>
            <w:tcW w:w="834" w:type="dxa"/>
            <w:vAlign w:val="center"/>
          </w:tcPr>
          <w:p w:rsidR="004839A0" w:rsidRPr="00B3408A" w:rsidRDefault="004839A0" w:rsidP="004839A0">
            <w:pPr>
              <w:spacing w:after="0" w:line="240" w:lineRule="auto"/>
              <w:jc w:val="center"/>
              <w:rPr>
                <w:rFonts w:ascii="Times New Roman" w:hAnsi="Times New Roman"/>
                <w:b/>
              </w:rPr>
            </w:pPr>
            <w:r w:rsidRPr="00B3408A">
              <w:rPr>
                <w:rFonts w:ascii="Times New Roman" w:hAnsi="Times New Roman"/>
                <w:b/>
              </w:rPr>
              <w:t>% к расх. части</w:t>
            </w:r>
          </w:p>
        </w:tc>
        <w:tc>
          <w:tcPr>
            <w:tcW w:w="744" w:type="dxa"/>
            <w:vAlign w:val="center"/>
          </w:tcPr>
          <w:p w:rsidR="004839A0" w:rsidRPr="00B3408A" w:rsidRDefault="004839A0" w:rsidP="004839A0">
            <w:pPr>
              <w:spacing w:after="0" w:line="240" w:lineRule="auto"/>
              <w:jc w:val="center"/>
              <w:rPr>
                <w:rFonts w:ascii="Times New Roman" w:hAnsi="Times New Roman"/>
                <w:b/>
              </w:rPr>
            </w:pPr>
            <w:r w:rsidRPr="00B3408A">
              <w:rPr>
                <w:rFonts w:ascii="Times New Roman" w:hAnsi="Times New Roman"/>
                <w:b/>
              </w:rPr>
              <w:t>% к ВВП</w:t>
            </w:r>
          </w:p>
        </w:tc>
        <w:tc>
          <w:tcPr>
            <w:tcW w:w="1242" w:type="dxa"/>
            <w:vAlign w:val="center"/>
          </w:tcPr>
          <w:p w:rsidR="004839A0" w:rsidRPr="00B3408A" w:rsidRDefault="004839A0" w:rsidP="004839A0">
            <w:pPr>
              <w:spacing w:after="0" w:line="240" w:lineRule="auto"/>
              <w:jc w:val="center"/>
              <w:rPr>
                <w:rFonts w:ascii="Times New Roman" w:hAnsi="Times New Roman"/>
                <w:b/>
              </w:rPr>
            </w:pPr>
            <w:r w:rsidRPr="00B3408A">
              <w:rPr>
                <w:rFonts w:ascii="Times New Roman" w:hAnsi="Times New Roman"/>
                <w:b/>
              </w:rPr>
              <w:t>факт</w:t>
            </w:r>
          </w:p>
        </w:tc>
        <w:tc>
          <w:tcPr>
            <w:tcW w:w="908" w:type="dxa"/>
            <w:vAlign w:val="center"/>
          </w:tcPr>
          <w:p w:rsidR="004839A0" w:rsidRPr="00B3408A" w:rsidRDefault="004839A0" w:rsidP="004839A0">
            <w:pPr>
              <w:spacing w:after="0" w:line="240" w:lineRule="auto"/>
              <w:jc w:val="center"/>
              <w:rPr>
                <w:rFonts w:ascii="Times New Roman" w:hAnsi="Times New Roman"/>
                <w:b/>
              </w:rPr>
            </w:pPr>
            <w:r w:rsidRPr="00B3408A">
              <w:rPr>
                <w:rFonts w:ascii="Times New Roman" w:hAnsi="Times New Roman"/>
                <w:b/>
              </w:rPr>
              <w:t>% к расх. части</w:t>
            </w:r>
          </w:p>
        </w:tc>
        <w:tc>
          <w:tcPr>
            <w:tcW w:w="722" w:type="dxa"/>
            <w:vAlign w:val="center"/>
          </w:tcPr>
          <w:p w:rsidR="004839A0" w:rsidRPr="00B3408A" w:rsidRDefault="004839A0" w:rsidP="004839A0">
            <w:pPr>
              <w:spacing w:after="0" w:line="240" w:lineRule="auto"/>
              <w:jc w:val="center"/>
              <w:rPr>
                <w:rFonts w:ascii="Times New Roman" w:hAnsi="Times New Roman"/>
                <w:b/>
              </w:rPr>
            </w:pPr>
            <w:r w:rsidRPr="00B3408A">
              <w:rPr>
                <w:rFonts w:ascii="Times New Roman" w:hAnsi="Times New Roman"/>
                <w:b/>
              </w:rPr>
              <w:t>% к ВВП</w:t>
            </w:r>
          </w:p>
        </w:tc>
        <w:tc>
          <w:tcPr>
            <w:tcW w:w="1239" w:type="dxa"/>
            <w:vMerge/>
            <w:vAlign w:val="center"/>
          </w:tcPr>
          <w:p w:rsidR="004839A0" w:rsidRPr="00B3408A" w:rsidRDefault="004839A0" w:rsidP="004839A0">
            <w:pPr>
              <w:spacing w:after="0" w:line="240" w:lineRule="auto"/>
              <w:jc w:val="center"/>
              <w:rPr>
                <w:rFonts w:ascii="Times New Roman" w:hAnsi="Times New Roman"/>
                <w:b/>
              </w:rPr>
            </w:pPr>
          </w:p>
        </w:tc>
      </w:tr>
      <w:tr w:rsidR="004839A0" w:rsidRPr="00B3408A" w:rsidTr="00513069">
        <w:trPr>
          <w:trHeight w:val="849"/>
          <w:jc w:val="center"/>
        </w:trPr>
        <w:tc>
          <w:tcPr>
            <w:tcW w:w="2707" w:type="dxa"/>
          </w:tcPr>
          <w:p w:rsidR="004839A0" w:rsidRPr="00B3408A" w:rsidRDefault="004839A0" w:rsidP="004839A0">
            <w:pPr>
              <w:spacing w:after="0" w:line="240" w:lineRule="auto"/>
              <w:ind w:left="-101" w:right="-161"/>
              <w:rPr>
                <w:rFonts w:ascii="Times New Roman" w:hAnsi="Times New Roman"/>
                <w:b/>
              </w:rPr>
            </w:pPr>
            <w:r w:rsidRPr="00B3408A">
              <w:rPr>
                <w:rFonts w:ascii="Times New Roman" w:hAnsi="Times New Roman"/>
              </w:rPr>
              <w:t>Дефицит консолидированного бюджета</w:t>
            </w:r>
          </w:p>
        </w:tc>
        <w:tc>
          <w:tcPr>
            <w:tcW w:w="1202" w:type="dxa"/>
            <w:vAlign w:val="center"/>
          </w:tcPr>
          <w:p w:rsidR="004839A0" w:rsidRPr="00B3408A" w:rsidRDefault="004839A0" w:rsidP="004839A0">
            <w:pPr>
              <w:spacing w:after="0" w:line="240" w:lineRule="auto"/>
              <w:ind w:left="-124"/>
              <w:jc w:val="right"/>
              <w:rPr>
                <w:rFonts w:ascii="Times New Roman" w:hAnsi="Times New Roman"/>
              </w:rPr>
            </w:pPr>
            <w:r w:rsidRPr="00B3408A">
              <w:rPr>
                <w:rFonts w:ascii="Times New Roman" w:hAnsi="Times New Roman"/>
              </w:rPr>
              <w:t>426 692 453</w:t>
            </w:r>
          </w:p>
        </w:tc>
        <w:tc>
          <w:tcPr>
            <w:tcW w:w="834"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21,1</w:t>
            </w:r>
          </w:p>
        </w:tc>
        <w:tc>
          <w:tcPr>
            <w:tcW w:w="744"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8,9</w:t>
            </w:r>
          </w:p>
        </w:tc>
        <w:tc>
          <w:tcPr>
            <w:tcW w:w="1242" w:type="dxa"/>
            <w:vAlign w:val="center"/>
          </w:tcPr>
          <w:p w:rsidR="004839A0" w:rsidRPr="00B3408A" w:rsidRDefault="004839A0" w:rsidP="004839A0">
            <w:pPr>
              <w:spacing w:after="0" w:line="240" w:lineRule="auto"/>
              <w:ind w:left="-124"/>
              <w:jc w:val="right"/>
              <w:rPr>
                <w:rFonts w:ascii="Times New Roman" w:hAnsi="Times New Roman"/>
              </w:rPr>
            </w:pPr>
            <w:r w:rsidRPr="00B3408A">
              <w:rPr>
                <w:rFonts w:ascii="Times New Roman" w:hAnsi="Times New Roman"/>
              </w:rPr>
              <w:t>401 940 980</w:t>
            </w:r>
          </w:p>
        </w:tc>
        <w:tc>
          <w:tcPr>
            <w:tcW w:w="908"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27,3</w:t>
            </w:r>
          </w:p>
        </w:tc>
        <w:tc>
          <w:tcPr>
            <w:tcW w:w="722" w:type="dxa"/>
            <w:vAlign w:val="center"/>
          </w:tcPr>
          <w:p w:rsidR="004839A0" w:rsidRPr="00B3408A" w:rsidRDefault="00B3408A" w:rsidP="004839A0">
            <w:pPr>
              <w:spacing w:after="0" w:line="240" w:lineRule="auto"/>
              <w:jc w:val="right"/>
              <w:rPr>
                <w:rFonts w:ascii="Times New Roman" w:hAnsi="Times New Roman"/>
              </w:rPr>
            </w:pPr>
            <w:r w:rsidRPr="00B3408A">
              <w:rPr>
                <w:rFonts w:ascii="Times New Roman" w:hAnsi="Times New Roman"/>
              </w:rPr>
              <w:t>10,7</w:t>
            </w:r>
          </w:p>
        </w:tc>
        <w:tc>
          <w:tcPr>
            <w:tcW w:w="1239"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94,2</w:t>
            </w:r>
          </w:p>
        </w:tc>
      </w:tr>
      <w:tr w:rsidR="004839A0" w:rsidRPr="00B3408A" w:rsidTr="00513069">
        <w:trPr>
          <w:trHeight w:val="480"/>
          <w:jc w:val="center"/>
        </w:trPr>
        <w:tc>
          <w:tcPr>
            <w:tcW w:w="2707" w:type="dxa"/>
          </w:tcPr>
          <w:p w:rsidR="004839A0" w:rsidRPr="00B3408A" w:rsidRDefault="004839A0" w:rsidP="004839A0">
            <w:pPr>
              <w:spacing w:after="0" w:line="240" w:lineRule="auto"/>
              <w:ind w:left="-91" w:right="-132"/>
              <w:rPr>
                <w:rFonts w:ascii="Times New Roman" w:hAnsi="Times New Roman"/>
              </w:rPr>
            </w:pPr>
            <w:r w:rsidRPr="00B3408A">
              <w:rPr>
                <w:rFonts w:ascii="Times New Roman" w:hAnsi="Times New Roman"/>
              </w:rPr>
              <w:t>Дефицит республиканского бюджета</w:t>
            </w:r>
          </w:p>
        </w:tc>
        <w:tc>
          <w:tcPr>
            <w:tcW w:w="1202" w:type="dxa"/>
            <w:vAlign w:val="center"/>
          </w:tcPr>
          <w:p w:rsidR="004839A0" w:rsidRPr="00B3408A" w:rsidRDefault="004839A0" w:rsidP="004839A0">
            <w:pPr>
              <w:spacing w:after="0" w:line="240" w:lineRule="auto"/>
              <w:ind w:left="-124"/>
              <w:jc w:val="right"/>
              <w:rPr>
                <w:rFonts w:ascii="Times New Roman" w:hAnsi="Times New Roman"/>
                <w:bCs/>
              </w:rPr>
            </w:pPr>
            <w:r w:rsidRPr="00B3408A">
              <w:rPr>
                <w:rFonts w:ascii="Times New Roman" w:hAnsi="Times New Roman"/>
                <w:bCs/>
              </w:rPr>
              <w:t>315 204 783</w:t>
            </w:r>
          </w:p>
        </w:tc>
        <w:tc>
          <w:tcPr>
            <w:tcW w:w="834" w:type="dxa"/>
            <w:vAlign w:val="center"/>
          </w:tcPr>
          <w:p w:rsidR="004839A0" w:rsidRPr="00B3408A" w:rsidRDefault="004839A0" w:rsidP="004839A0">
            <w:pPr>
              <w:spacing w:after="0" w:line="240" w:lineRule="auto"/>
              <w:jc w:val="right"/>
              <w:rPr>
                <w:rFonts w:ascii="Times New Roman" w:hAnsi="Times New Roman"/>
                <w:bCs/>
              </w:rPr>
            </w:pPr>
            <w:r w:rsidRPr="00B3408A">
              <w:rPr>
                <w:rFonts w:ascii="Times New Roman" w:hAnsi="Times New Roman"/>
                <w:bCs/>
              </w:rPr>
              <w:t>21,6</w:t>
            </w:r>
          </w:p>
        </w:tc>
        <w:tc>
          <w:tcPr>
            <w:tcW w:w="744" w:type="dxa"/>
            <w:vAlign w:val="center"/>
          </w:tcPr>
          <w:p w:rsidR="004839A0" w:rsidRPr="00B3408A" w:rsidRDefault="004839A0" w:rsidP="004839A0">
            <w:pPr>
              <w:spacing w:after="0" w:line="240" w:lineRule="auto"/>
              <w:jc w:val="right"/>
              <w:rPr>
                <w:rFonts w:ascii="Times New Roman" w:hAnsi="Times New Roman"/>
                <w:bCs/>
              </w:rPr>
            </w:pPr>
            <w:r w:rsidRPr="00B3408A">
              <w:rPr>
                <w:rFonts w:ascii="Times New Roman" w:hAnsi="Times New Roman"/>
                <w:bCs/>
              </w:rPr>
              <w:t>6,6</w:t>
            </w:r>
          </w:p>
        </w:tc>
        <w:tc>
          <w:tcPr>
            <w:tcW w:w="1242" w:type="dxa"/>
            <w:vAlign w:val="center"/>
          </w:tcPr>
          <w:p w:rsidR="004839A0" w:rsidRPr="00B3408A" w:rsidRDefault="004839A0" w:rsidP="004839A0">
            <w:pPr>
              <w:spacing w:after="0" w:line="240" w:lineRule="auto"/>
              <w:ind w:left="-124"/>
              <w:jc w:val="right"/>
              <w:rPr>
                <w:rFonts w:ascii="Times New Roman" w:hAnsi="Times New Roman"/>
                <w:bCs/>
              </w:rPr>
            </w:pPr>
            <w:r w:rsidRPr="00B3408A">
              <w:rPr>
                <w:rFonts w:ascii="Times New Roman" w:hAnsi="Times New Roman"/>
                <w:bCs/>
              </w:rPr>
              <w:t>326 884 644</w:t>
            </w:r>
          </w:p>
        </w:tc>
        <w:tc>
          <w:tcPr>
            <w:tcW w:w="908" w:type="dxa"/>
            <w:vAlign w:val="center"/>
          </w:tcPr>
          <w:p w:rsidR="004839A0" w:rsidRPr="00B3408A" w:rsidRDefault="004839A0" w:rsidP="004839A0">
            <w:pPr>
              <w:spacing w:after="0" w:line="240" w:lineRule="auto"/>
              <w:jc w:val="right"/>
              <w:rPr>
                <w:rFonts w:ascii="Times New Roman" w:hAnsi="Times New Roman"/>
                <w:bCs/>
              </w:rPr>
            </w:pPr>
            <w:r w:rsidRPr="00B3408A">
              <w:rPr>
                <w:rFonts w:ascii="Times New Roman" w:hAnsi="Times New Roman"/>
                <w:bCs/>
              </w:rPr>
              <w:t>32,4</w:t>
            </w:r>
          </w:p>
        </w:tc>
        <w:tc>
          <w:tcPr>
            <w:tcW w:w="722" w:type="dxa"/>
            <w:vAlign w:val="center"/>
          </w:tcPr>
          <w:p w:rsidR="004839A0" w:rsidRPr="00B3408A" w:rsidRDefault="00B3408A" w:rsidP="004839A0">
            <w:pPr>
              <w:spacing w:after="0" w:line="240" w:lineRule="auto"/>
              <w:jc w:val="right"/>
              <w:rPr>
                <w:rFonts w:ascii="Times New Roman" w:hAnsi="Times New Roman"/>
                <w:bCs/>
              </w:rPr>
            </w:pPr>
            <w:r w:rsidRPr="00B3408A">
              <w:rPr>
                <w:rFonts w:ascii="Times New Roman" w:hAnsi="Times New Roman"/>
                <w:bCs/>
              </w:rPr>
              <w:t>8,7</w:t>
            </w:r>
          </w:p>
        </w:tc>
        <w:tc>
          <w:tcPr>
            <w:tcW w:w="1239"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103,7</w:t>
            </w:r>
          </w:p>
        </w:tc>
      </w:tr>
      <w:tr w:rsidR="004839A0" w:rsidRPr="00095D4F" w:rsidTr="00513069">
        <w:trPr>
          <w:trHeight w:val="258"/>
          <w:jc w:val="center"/>
        </w:trPr>
        <w:tc>
          <w:tcPr>
            <w:tcW w:w="2707" w:type="dxa"/>
          </w:tcPr>
          <w:p w:rsidR="004839A0" w:rsidRPr="00B3408A" w:rsidRDefault="004839A0" w:rsidP="004839A0">
            <w:pPr>
              <w:spacing w:after="0" w:line="240" w:lineRule="auto"/>
              <w:ind w:left="-91" w:right="-132"/>
              <w:rPr>
                <w:rFonts w:ascii="Times New Roman" w:hAnsi="Times New Roman"/>
              </w:rPr>
            </w:pPr>
            <w:r w:rsidRPr="00B3408A">
              <w:rPr>
                <w:rFonts w:ascii="Times New Roman" w:hAnsi="Times New Roman"/>
              </w:rPr>
              <w:t>Дефицит местного бюджета,</w:t>
            </w:r>
          </w:p>
        </w:tc>
        <w:tc>
          <w:tcPr>
            <w:tcW w:w="1202" w:type="dxa"/>
            <w:vAlign w:val="center"/>
          </w:tcPr>
          <w:p w:rsidR="004839A0" w:rsidRPr="00B3408A" w:rsidRDefault="004839A0" w:rsidP="004839A0">
            <w:pPr>
              <w:spacing w:after="0" w:line="240" w:lineRule="auto"/>
              <w:ind w:left="-124"/>
              <w:jc w:val="right"/>
              <w:rPr>
                <w:rFonts w:ascii="Times New Roman" w:hAnsi="Times New Roman"/>
              </w:rPr>
            </w:pPr>
            <w:r w:rsidRPr="00B3408A">
              <w:rPr>
                <w:rFonts w:ascii="Times New Roman" w:hAnsi="Times New Roman"/>
              </w:rPr>
              <w:t>111 487 670</w:t>
            </w:r>
          </w:p>
        </w:tc>
        <w:tc>
          <w:tcPr>
            <w:tcW w:w="834"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19,8</w:t>
            </w:r>
          </w:p>
        </w:tc>
        <w:tc>
          <w:tcPr>
            <w:tcW w:w="744"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2,3</w:t>
            </w:r>
          </w:p>
        </w:tc>
        <w:tc>
          <w:tcPr>
            <w:tcW w:w="1242" w:type="dxa"/>
            <w:vAlign w:val="center"/>
          </w:tcPr>
          <w:p w:rsidR="004839A0" w:rsidRPr="00B3408A" w:rsidRDefault="004839A0" w:rsidP="004839A0">
            <w:pPr>
              <w:spacing w:after="0" w:line="240" w:lineRule="auto"/>
              <w:ind w:left="-124"/>
              <w:jc w:val="right"/>
              <w:rPr>
                <w:rFonts w:ascii="Times New Roman" w:hAnsi="Times New Roman"/>
              </w:rPr>
            </w:pPr>
            <w:r w:rsidRPr="00B3408A">
              <w:rPr>
                <w:rFonts w:ascii="Times New Roman" w:hAnsi="Times New Roman"/>
              </w:rPr>
              <w:t>75 056 336</w:t>
            </w:r>
          </w:p>
        </w:tc>
        <w:tc>
          <w:tcPr>
            <w:tcW w:w="908" w:type="dxa"/>
            <w:vAlign w:val="center"/>
          </w:tcPr>
          <w:p w:rsidR="004839A0" w:rsidRPr="00B3408A" w:rsidRDefault="004839A0" w:rsidP="004839A0">
            <w:pPr>
              <w:spacing w:after="0" w:line="240" w:lineRule="auto"/>
              <w:jc w:val="right"/>
              <w:rPr>
                <w:rFonts w:ascii="Times New Roman" w:hAnsi="Times New Roman"/>
              </w:rPr>
            </w:pPr>
            <w:r w:rsidRPr="00B3408A">
              <w:rPr>
                <w:rFonts w:ascii="Times New Roman" w:hAnsi="Times New Roman"/>
              </w:rPr>
              <w:t>16,2</w:t>
            </w:r>
          </w:p>
        </w:tc>
        <w:tc>
          <w:tcPr>
            <w:tcW w:w="722" w:type="dxa"/>
            <w:vAlign w:val="center"/>
          </w:tcPr>
          <w:p w:rsidR="004839A0" w:rsidRPr="00B3408A" w:rsidRDefault="004839A0" w:rsidP="00B3408A">
            <w:pPr>
              <w:spacing w:after="0" w:line="240" w:lineRule="auto"/>
              <w:jc w:val="right"/>
              <w:rPr>
                <w:rFonts w:ascii="Times New Roman" w:hAnsi="Times New Roman"/>
              </w:rPr>
            </w:pPr>
            <w:r w:rsidRPr="00B3408A">
              <w:rPr>
                <w:rFonts w:ascii="Times New Roman" w:hAnsi="Times New Roman"/>
              </w:rPr>
              <w:t>2,</w:t>
            </w:r>
            <w:r w:rsidR="00B3408A" w:rsidRPr="00B3408A">
              <w:rPr>
                <w:rFonts w:ascii="Times New Roman" w:hAnsi="Times New Roman"/>
              </w:rPr>
              <w:t>0</w:t>
            </w:r>
          </w:p>
        </w:tc>
        <w:tc>
          <w:tcPr>
            <w:tcW w:w="1239" w:type="dxa"/>
            <w:vAlign w:val="center"/>
          </w:tcPr>
          <w:p w:rsidR="004839A0" w:rsidRPr="00EA52D1" w:rsidRDefault="004839A0" w:rsidP="004839A0">
            <w:pPr>
              <w:spacing w:after="0" w:line="240" w:lineRule="auto"/>
              <w:jc w:val="right"/>
              <w:rPr>
                <w:rFonts w:ascii="Times New Roman" w:hAnsi="Times New Roman"/>
              </w:rPr>
            </w:pPr>
            <w:r w:rsidRPr="00B3408A">
              <w:rPr>
                <w:rFonts w:ascii="Times New Roman" w:hAnsi="Times New Roman"/>
              </w:rPr>
              <w:t>67,3</w:t>
            </w:r>
          </w:p>
        </w:tc>
      </w:tr>
    </w:tbl>
    <w:p w:rsidR="004839A0" w:rsidRDefault="004839A0" w:rsidP="004839A0">
      <w:pPr>
        <w:pStyle w:val="af0"/>
        <w:spacing w:before="0" w:beforeAutospacing="0" w:after="0" w:afterAutospacing="0"/>
        <w:ind w:firstLine="720"/>
        <w:jc w:val="both"/>
      </w:pPr>
    </w:p>
    <w:p w:rsidR="00335844" w:rsidRDefault="004839A0" w:rsidP="00CA1A34">
      <w:pPr>
        <w:pStyle w:val="af0"/>
        <w:shd w:val="clear" w:color="auto" w:fill="FFFFFF"/>
        <w:spacing w:before="0" w:beforeAutospacing="0" w:after="0" w:afterAutospacing="0"/>
        <w:ind w:firstLine="709"/>
        <w:jc w:val="both"/>
      </w:pPr>
      <w:r w:rsidRPr="00232E79">
        <w:t>В январе – июне 2015 года отмечено недостаточное финансирование расходов республиканского бюджета, а также неисполнение доходной части бюджета, что приводит к ограничению возможностей маневра в распределении поступающих ресурсов, в виду необходимости поддержания социальной сферы. Кроме того, из-за постоянного недостатка бюджетных средств</w:t>
      </w:r>
      <w:r w:rsidRPr="00232E79">
        <w:rPr>
          <w:shd w:val="clear" w:color="auto" w:fill="FFFFFF"/>
        </w:rPr>
        <w:t>, а также процессов мировой и региональной политической, экономической нестабильности,</w:t>
      </w:r>
      <w:r w:rsidRPr="00232E79">
        <w:t xml:space="preserve"> государство не в состоянии поддерживать инвестиционную активность и стимулировать экономический рост.</w:t>
      </w:r>
    </w:p>
    <w:p w:rsidR="00641EB5" w:rsidRPr="00641EB5" w:rsidRDefault="00641EB5" w:rsidP="00335844">
      <w:pPr>
        <w:widowControl w:val="0"/>
        <w:tabs>
          <w:tab w:val="left" w:pos="630"/>
        </w:tabs>
        <w:autoSpaceDE w:val="0"/>
        <w:autoSpaceDN w:val="0"/>
        <w:adjustRightInd w:val="0"/>
        <w:spacing w:after="0" w:line="240" w:lineRule="auto"/>
        <w:ind w:firstLine="720"/>
        <w:jc w:val="both"/>
        <w:rPr>
          <w:rFonts w:ascii="Times New Roman" w:hAnsi="Times New Roman"/>
          <w:sz w:val="24"/>
          <w:szCs w:val="24"/>
        </w:rPr>
      </w:pPr>
    </w:p>
    <w:p w:rsidR="00335844" w:rsidRPr="005C10BD" w:rsidRDefault="00335844" w:rsidP="00335844">
      <w:pPr>
        <w:shd w:val="clear" w:color="auto" w:fill="FFFFFF"/>
        <w:spacing w:after="0" w:line="240" w:lineRule="auto"/>
        <w:ind w:firstLine="709"/>
        <w:jc w:val="both"/>
        <w:rPr>
          <w:rFonts w:ascii="Times New Roman" w:hAnsi="Times New Roman"/>
          <w:b/>
          <w:color w:val="000000"/>
          <w:sz w:val="24"/>
          <w:szCs w:val="24"/>
        </w:rPr>
      </w:pPr>
      <w:r w:rsidRPr="005C10BD">
        <w:rPr>
          <w:rFonts w:ascii="Times New Roman" w:hAnsi="Times New Roman"/>
          <w:b/>
          <w:color w:val="000000"/>
          <w:sz w:val="24"/>
          <w:szCs w:val="24"/>
        </w:rPr>
        <w:t>Внешнеэкономическая деятельность</w:t>
      </w:r>
    </w:p>
    <w:p w:rsidR="00335844" w:rsidRPr="005C10BD" w:rsidRDefault="00335844" w:rsidP="00335844">
      <w:pPr>
        <w:spacing w:after="0" w:line="240" w:lineRule="auto"/>
        <w:ind w:firstLine="709"/>
        <w:jc w:val="both"/>
        <w:rPr>
          <w:rFonts w:ascii="Times New Roman" w:hAnsi="Times New Roman"/>
          <w:sz w:val="24"/>
          <w:szCs w:val="24"/>
        </w:rPr>
      </w:pPr>
    </w:p>
    <w:p w:rsidR="003F67B2" w:rsidRPr="001D5119" w:rsidRDefault="003F67B2" w:rsidP="003F67B2">
      <w:pPr>
        <w:pStyle w:val="af0"/>
        <w:tabs>
          <w:tab w:val="left" w:pos="851"/>
          <w:tab w:val="left" w:pos="993"/>
        </w:tabs>
        <w:spacing w:before="0" w:beforeAutospacing="0" w:after="0" w:afterAutospacing="0"/>
        <w:ind w:firstLine="709"/>
        <w:jc w:val="both"/>
      </w:pPr>
      <w:r w:rsidRPr="001D5119">
        <w:t xml:space="preserve">Внешнеэкономическая деятельность республики в январе-июне 2015 года формировалась на фоне обострения негативных факторов, обусловленных внешнеполитической и экономической конъюнктурной ситуацией в сопредельных государствах (Украине, Республике Молдова), в Российской Федерации и странах дальнего зарубежья (страны еврозоны и др.) в совокупности с волатильностью курсов валют основных стран партнеров Приднестровской Молдавской Республики, а также с потерей рынков сбыта вследствие приостановки деятельности внешних заказчиков продукции и торгово-закупочных предприятий Украины. </w:t>
      </w:r>
    </w:p>
    <w:p w:rsidR="003F67B2" w:rsidRPr="001D5119" w:rsidRDefault="003F67B2" w:rsidP="003F67B2">
      <w:pPr>
        <w:spacing w:after="0" w:line="240" w:lineRule="auto"/>
        <w:ind w:firstLine="709"/>
        <w:jc w:val="both"/>
        <w:rPr>
          <w:rFonts w:ascii="Times New Roman" w:hAnsi="Times New Roman"/>
          <w:sz w:val="24"/>
          <w:szCs w:val="24"/>
        </w:rPr>
      </w:pPr>
      <w:r w:rsidRPr="001D5119">
        <w:rPr>
          <w:rFonts w:ascii="Times New Roman" w:hAnsi="Times New Roman"/>
          <w:sz w:val="24"/>
          <w:szCs w:val="24"/>
        </w:rPr>
        <w:t>Мировая конъюнктура и складывающаяся ситуация в реальном секторе экономики обусловили сокращение совокупного объема внешнеторгового оборота за январь-июнь                2015 года по отношению к базовому показателю 2014 года на 23,8%</w:t>
      </w:r>
      <w:r>
        <w:rPr>
          <w:rFonts w:ascii="Times New Roman" w:hAnsi="Times New Roman"/>
          <w:sz w:val="24"/>
          <w:szCs w:val="24"/>
        </w:rPr>
        <w:t xml:space="preserve"> (до                           905,2 млн. долл. США)</w:t>
      </w:r>
      <w:r w:rsidRPr="001D5119">
        <w:rPr>
          <w:rFonts w:ascii="Times New Roman" w:hAnsi="Times New Roman"/>
          <w:sz w:val="24"/>
          <w:szCs w:val="24"/>
        </w:rPr>
        <w:t>, при этом объем экспортных и импортных поставок сократился на 20,5%</w:t>
      </w:r>
      <w:r>
        <w:rPr>
          <w:rFonts w:ascii="Times New Roman" w:hAnsi="Times New Roman"/>
          <w:sz w:val="24"/>
          <w:szCs w:val="24"/>
        </w:rPr>
        <w:t xml:space="preserve"> (до 288,6</w:t>
      </w:r>
      <w:r w:rsidRPr="00EF54F3">
        <w:rPr>
          <w:rFonts w:ascii="Times New Roman" w:hAnsi="Times New Roman"/>
          <w:sz w:val="24"/>
          <w:szCs w:val="24"/>
        </w:rPr>
        <w:t xml:space="preserve"> </w:t>
      </w:r>
      <w:r>
        <w:rPr>
          <w:rFonts w:ascii="Times New Roman" w:hAnsi="Times New Roman"/>
          <w:sz w:val="24"/>
          <w:szCs w:val="24"/>
        </w:rPr>
        <w:t>млн. долл. США)</w:t>
      </w:r>
      <w:r w:rsidRPr="001D5119">
        <w:rPr>
          <w:rFonts w:ascii="Times New Roman" w:hAnsi="Times New Roman"/>
          <w:sz w:val="24"/>
          <w:szCs w:val="24"/>
        </w:rPr>
        <w:t xml:space="preserve"> и 25,2%</w:t>
      </w:r>
      <w:r>
        <w:rPr>
          <w:rFonts w:ascii="Times New Roman" w:hAnsi="Times New Roman"/>
          <w:sz w:val="24"/>
          <w:szCs w:val="24"/>
        </w:rPr>
        <w:t xml:space="preserve"> (до 616,6</w:t>
      </w:r>
      <w:r w:rsidRPr="00EF54F3">
        <w:rPr>
          <w:rFonts w:ascii="Times New Roman" w:hAnsi="Times New Roman"/>
          <w:sz w:val="24"/>
          <w:szCs w:val="24"/>
        </w:rPr>
        <w:t xml:space="preserve"> </w:t>
      </w:r>
      <w:r>
        <w:rPr>
          <w:rFonts w:ascii="Times New Roman" w:hAnsi="Times New Roman"/>
          <w:sz w:val="24"/>
          <w:szCs w:val="24"/>
        </w:rPr>
        <w:t>млн. долл. США)</w:t>
      </w:r>
      <w:r w:rsidRPr="001D5119">
        <w:rPr>
          <w:rFonts w:ascii="Times New Roman" w:hAnsi="Times New Roman"/>
          <w:sz w:val="24"/>
          <w:szCs w:val="24"/>
        </w:rPr>
        <w:t xml:space="preserve"> соответственно. </w:t>
      </w:r>
    </w:p>
    <w:p w:rsidR="003F67B2" w:rsidRPr="001D5119" w:rsidRDefault="003F67B2" w:rsidP="003F67B2">
      <w:pPr>
        <w:spacing w:after="0" w:line="240" w:lineRule="auto"/>
        <w:ind w:firstLine="709"/>
        <w:jc w:val="center"/>
        <w:rPr>
          <w:rFonts w:ascii="Times New Roman" w:hAnsi="Times New Roman"/>
          <w:b/>
          <w:sz w:val="24"/>
          <w:szCs w:val="24"/>
        </w:rPr>
      </w:pPr>
    </w:p>
    <w:p w:rsidR="003F67B2" w:rsidRPr="001D5119" w:rsidRDefault="003F67B2" w:rsidP="003F67B2">
      <w:pPr>
        <w:spacing w:after="0" w:line="240" w:lineRule="auto"/>
        <w:ind w:firstLine="709"/>
        <w:jc w:val="center"/>
        <w:rPr>
          <w:rFonts w:ascii="Times New Roman" w:hAnsi="Times New Roman"/>
          <w:b/>
          <w:sz w:val="24"/>
          <w:szCs w:val="24"/>
        </w:rPr>
      </w:pPr>
      <w:r w:rsidRPr="001D5119">
        <w:rPr>
          <w:rFonts w:ascii="Times New Roman" w:hAnsi="Times New Roman"/>
          <w:b/>
          <w:sz w:val="24"/>
          <w:szCs w:val="24"/>
        </w:rPr>
        <w:t>Динамика внешнеторгового оборота, млн. долл. США</w:t>
      </w:r>
    </w:p>
    <w:p w:rsidR="00D75287" w:rsidRPr="00513069" w:rsidRDefault="003F67B2" w:rsidP="00513069">
      <w:pPr>
        <w:spacing w:after="0" w:line="240" w:lineRule="auto"/>
        <w:jc w:val="center"/>
        <w:rPr>
          <w:rFonts w:ascii="Times New Roman" w:hAnsi="Times New Roman"/>
          <w:b/>
          <w:sz w:val="24"/>
          <w:szCs w:val="24"/>
        </w:rPr>
      </w:pPr>
      <w:r w:rsidRPr="001D5119">
        <w:rPr>
          <w:rFonts w:ascii="Times New Roman" w:hAnsi="Times New Roman"/>
          <w:b/>
          <w:noProof/>
          <w:sz w:val="24"/>
          <w:szCs w:val="24"/>
        </w:rPr>
        <w:drawing>
          <wp:inline distT="0" distB="0" distL="0" distR="0">
            <wp:extent cx="5905500" cy="2352675"/>
            <wp:effectExtent l="0" t="0" r="0" b="0"/>
            <wp:docPr id="5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67B2" w:rsidRPr="001D5119" w:rsidRDefault="003F67B2" w:rsidP="00D75287">
      <w:pPr>
        <w:pStyle w:val="a4"/>
      </w:pPr>
      <w:r w:rsidRPr="001D5119">
        <w:lastRenderedPageBreak/>
        <w:t>Товарная структура экспорта в январе-июне 2015 года, на фоне неблагоприятной ценовой конъюнктуры и недостаточном уровне спроса на отечественную продукцию, характеризовалась следующим образом:</w:t>
      </w:r>
    </w:p>
    <w:p w:rsidR="003F67B2" w:rsidRPr="001D5119" w:rsidRDefault="003F67B2" w:rsidP="003F67B2">
      <w:pPr>
        <w:spacing w:after="0" w:line="240" w:lineRule="auto"/>
        <w:ind w:firstLine="709"/>
        <w:jc w:val="center"/>
        <w:rPr>
          <w:rFonts w:ascii="Times New Roman" w:hAnsi="Times New Roman"/>
          <w:b/>
          <w:sz w:val="24"/>
          <w:szCs w:val="24"/>
        </w:rPr>
      </w:pPr>
      <w:r w:rsidRPr="001D5119">
        <w:rPr>
          <w:rFonts w:ascii="Times New Roman" w:hAnsi="Times New Roman"/>
          <w:b/>
          <w:sz w:val="24"/>
          <w:szCs w:val="24"/>
        </w:rPr>
        <w:t>Товарная структура экспорта, млн. долл. США</w:t>
      </w:r>
    </w:p>
    <w:p w:rsidR="003F67B2" w:rsidRPr="00DD0B3F" w:rsidRDefault="003F67B2" w:rsidP="00DD0B3F">
      <w:pPr>
        <w:spacing w:after="0" w:line="240" w:lineRule="auto"/>
        <w:jc w:val="center"/>
        <w:rPr>
          <w:rFonts w:ascii="Times New Roman" w:hAnsi="Times New Roman"/>
          <w:b/>
          <w:sz w:val="24"/>
          <w:szCs w:val="24"/>
        </w:rPr>
      </w:pPr>
      <w:r w:rsidRPr="001D5119">
        <w:rPr>
          <w:rFonts w:ascii="Times New Roman" w:hAnsi="Times New Roman"/>
          <w:b/>
          <w:noProof/>
          <w:sz w:val="24"/>
          <w:szCs w:val="24"/>
        </w:rPr>
        <w:drawing>
          <wp:inline distT="0" distB="0" distL="0" distR="0">
            <wp:extent cx="5943600" cy="2495550"/>
            <wp:effectExtent l="0" t="0" r="0" b="0"/>
            <wp:docPr id="5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67B2" w:rsidRPr="003F67B2" w:rsidRDefault="003F67B2" w:rsidP="003F67B2">
      <w:pPr>
        <w:pStyle w:val="a4"/>
      </w:pPr>
      <w:r w:rsidRPr="001D5119">
        <w:rPr>
          <w:szCs w:val="24"/>
        </w:rPr>
        <w:t xml:space="preserve">Увеличение объемов </w:t>
      </w:r>
      <w:r w:rsidRPr="003F67B2">
        <w:rPr>
          <w:szCs w:val="24"/>
        </w:rPr>
        <w:t>производства в подотрасли электроэнергетики позволило расширить в январе – июне 2015 года экспорт топливно-энергетических товаров на 32,4%, в итоге удельное представление данной позиции в совокупном экспорте заняло доминирующую позицию (37,2%), расширившись на 14,9 процентных пункта.</w:t>
      </w:r>
    </w:p>
    <w:p w:rsidR="003F67B2" w:rsidRPr="003F67B2" w:rsidRDefault="003F67B2" w:rsidP="003F67B2">
      <w:pPr>
        <w:pStyle w:val="a4"/>
      </w:pPr>
      <w:r w:rsidRPr="003F67B2">
        <w:t xml:space="preserve">Второй составляющей по величине долевого участия в формировании совокупного объема экспорта </w:t>
      </w:r>
      <w:r w:rsidRPr="003F67B2">
        <w:rPr>
          <w:szCs w:val="24"/>
        </w:rPr>
        <w:t xml:space="preserve">в январе – июне 2015 года </w:t>
      </w:r>
      <w:r w:rsidRPr="003F67B2">
        <w:t xml:space="preserve">выступили </w:t>
      </w:r>
      <w:r w:rsidRPr="003F67B2">
        <w:rPr>
          <w:szCs w:val="24"/>
        </w:rPr>
        <w:t xml:space="preserve">металлы и изделия из них </w:t>
      </w:r>
      <w:r w:rsidRPr="003F67B2">
        <w:t xml:space="preserve">(22,2% совокупного экспорта), при этом, их доля сократилась на 12,2 процентных пункта при сокращении объема на 48,6%, что вызвано приостановкой производственных мощностей на ОАО «Молдавский металлургический завод» в период января – февраля текущего года, а также ухудшением ситуации на сырьевом рынке и рынке готовой продукции. </w:t>
      </w:r>
    </w:p>
    <w:p w:rsidR="003F67B2" w:rsidRPr="001D5119" w:rsidRDefault="003F67B2" w:rsidP="003F67B2">
      <w:pPr>
        <w:pStyle w:val="a4"/>
      </w:pPr>
      <w:r w:rsidRPr="003F67B2">
        <w:t>Вклад товаров легкой промышленности</w:t>
      </w:r>
      <w:r w:rsidRPr="003F67B2">
        <w:rPr>
          <w:szCs w:val="24"/>
        </w:rPr>
        <w:t xml:space="preserve"> в январе – июне 2015 года</w:t>
      </w:r>
      <w:r w:rsidRPr="003F67B2">
        <w:t>, на фоне сокращения их объемов на 25,7%, сложился на уровне 17,7% от совокупного экспорта, сократив долевое участие на 1,2 процентных пункта.</w:t>
      </w:r>
      <w:r w:rsidRPr="003F67B2">
        <w:rPr>
          <w:szCs w:val="24"/>
        </w:rPr>
        <w:t xml:space="preserve"> Определяющее</w:t>
      </w:r>
      <w:r w:rsidRPr="001D5119">
        <w:rPr>
          <w:szCs w:val="24"/>
        </w:rPr>
        <w:t xml:space="preserve"> влияние на отраслевой показатель оказывает работа крупнейшего предприятия отрасли                   ЗАО «Тиротекс» (45,0% отраслевого выпуска), сократившего свой товарный выпуск в рассматриваемом периоде на 24,0%.</w:t>
      </w:r>
    </w:p>
    <w:p w:rsidR="003F67B2" w:rsidRPr="001D5119" w:rsidRDefault="003F67B2" w:rsidP="003F67B2">
      <w:pPr>
        <w:pStyle w:val="a4"/>
      </w:pPr>
      <w:r w:rsidRPr="001D5119">
        <w:t xml:space="preserve">Экспорт продовольствия в </w:t>
      </w:r>
      <w:r>
        <w:t>январе – июне 2015 года</w:t>
      </w:r>
      <w:r w:rsidRPr="001D5119">
        <w:t xml:space="preserve"> сократился на 26,0%, уступив 0,9 процентных пункта удельного веса в товарной структуре показателю минувшего года и составил 11,9%, что вызвано с</w:t>
      </w:r>
      <w:r w:rsidRPr="001D5119">
        <w:rPr>
          <w:szCs w:val="24"/>
        </w:rPr>
        <w:t>нижением объем</w:t>
      </w:r>
      <w:r>
        <w:rPr>
          <w:szCs w:val="24"/>
        </w:rPr>
        <w:t>а</w:t>
      </w:r>
      <w:r w:rsidRPr="001D5119">
        <w:rPr>
          <w:szCs w:val="24"/>
        </w:rPr>
        <w:t xml:space="preserve"> </w:t>
      </w:r>
      <w:r>
        <w:rPr>
          <w:szCs w:val="24"/>
        </w:rPr>
        <w:t xml:space="preserve">экспорта </w:t>
      </w:r>
      <w:r w:rsidRPr="001D5119">
        <w:rPr>
          <w:szCs w:val="24"/>
        </w:rPr>
        <w:t xml:space="preserve">ведущего </w:t>
      </w:r>
      <w:r>
        <w:rPr>
          <w:szCs w:val="24"/>
        </w:rPr>
        <w:t xml:space="preserve">представителя данной товарной группы </w:t>
      </w:r>
      <w:r w:rsidRPr="001D5119">
        <w:rPr>
          <w:szCs w:val="24"/>
        </w:rPr>
        <w:t>ЗАО «Тираспольски</w:t>
      </w:r>
      <w:r>
        <w:rPr>
          <w:szCs w:val="24"/>
        </w:rPr>
        <w:t>й винно-коньячный завод «KVINT»</w:t>
      </w:r>
      <w:r w:rsidRPr="00DD784F">
        <w:rPr>
          <w:szCs w:val="24"/>
        </w:rPr>
        <w:t xml:space="preserve"> </w:t>
      </w:r>
      <w:r>
        <w:rPr>
          <w:szCs w:val="24"/>
        </w:rPr>
        <w:t>(</w:t>
      </w:r>
      <w:r w:rsidRPr="001D5119">
        <w:rPr>
          <w:szCs w:val="24"/>
        </w:rPr>
        <w:t xml:space="preserve">на </w:t>
      </w:r>
      <w:r>
        <w:rPr>
          <w:szCs w:val="24"/>
        </w:rPr>
        <w:t xml:space="preserve">31,2%). </w:t>
      </w:r>
    </w:p>
    <w:p w:rsidR="003F67B2" w:rsidRPr="001D5119" w:rsidRDefault="003F67B2" w:rsidP="003F67B2">
      <w:pPr>
        <w:pStyle w:val="a4"/>
      </w:pPr>
      <w:r w:rsidRPr="001D5119">
        <w:t xml:space="preserve">Экспорт машиностроительной продукции в январе – июне 2015 года увеличил свое удельное представление в общей структуре экспорта по сравнению с аналогичным периодом прошлого года на 0,8 процентных пункта до 4,5%, при этом </w:t>
      </w:r>
      <w:r>
        <w:t>ее</w:t>
      </w:r>
      <w:r w:rsidRPr="001D5119">
        <w:t xml:space="preserve"> объем сократился на 4,4%.</w:t>
      </w:r>
    </w:p>
    <w:p w:rsidR="003F67B2" w:rsidRPr="001D5119" w:rsidRDefault="003F67B2" w:rsidP="003F67B2">
      <w:pPr>
        <w:pStyle w:val="a4"/>
      </w:pPr>
      <w:r w:rsidRPr="001D5119">
        <w:t>В тоже время глубоким спадом характеризовались объемы продаж за рубеж минеральных продуктов</w:t>
      </w:r>
      <w:r>
        <w:t>, включая цемент («-»</w:t>
      </w:r>
      <w:r w:rsidRPr="001D5119">
        <w:t xml:space="preserve">45,1%), сократив долевое участие в общей структуре экспорта в январе – июне 2015 года на 1,7 процентных пункта до 3,88%. </w:t>
      </w:r>
    </w:p>
    <w:p w:rsidR="003F67B2" w:rsidRPr="001D5119" w:rsidRDefault="003F67B2" w:rsidP="003F67B2">
      <w:pPr>
        <w:pStyle w:val="a4"/>
      </w:pPr>
      <w:r w:rsidRPr="001D5119">
        <w:t>Основными торговыми партнерами Приднестровья по экспортным поставкам в  январе-июне 2015 года были Республика Молдова (49,7% совокупного экспорта, «+»6,5% к уровню января-июня 2014 года), Румыния (15,3%, «-»3,9%), Российская Федерация (8,2%, «-»52,7%), Италия (7,5%, «-»18,2%), Украина (6,2%, «-»1,1%).</w:t>
      </w:r>
    </w:p>
    <w:p w:rsidR="003F67B2" w:rsidRPr="001D5119" w:rsidRDefault="003F67B2" w:rsidP="00D75287">
      <w:pPr>
        <w:pStyle w:val="a4"/>
        <w:ind w:hanging="284"/>
      </w:pPr>
      <w:r w:rsidRPr="001D5119">
        <w:rPr>
          <w:noProof/>
        </w:rPr>
        <w:lastRenderedPageBreak/>
        <w:drawing>
          <wp:inline distT="0" distB="0" distL="0" distR="0">
            <wp:extent cx="6276975" cy="2828925"/>
            <wp:effectExtent l="0" t="0" r="0" b="0"/>
            <wp:docPr id="5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67B2" w:rsidRPr="001D5119" w:rsidRDefault="003F67B2" w:rsidP="003F67B2">
      <w:pPr>
        <w:spacing w:after="0" w:line="240" w:lineRule="auto"/>
        <w:ind w:firstLine="709"/>
        <w:jc w:val="both"/>
        <w:rPr>
          <w:rFonts w:ascii="Times New Roman" w:hAnsi="Times New Roman"/>
          <w:sz w:val="24"/>
          <w:szCs w:val="24"/>
        </w:rPr>
      </w:pPr>
    </w:p>
    <w:p w:rsidR="003F67B2" w:rsidRPr="001D5119" w:rsidRDefault="003F67B2" w:rsidP="003F67B2">
      <w:pPr>
        <w:spacing w:after="0" w:line="240" w:lineRule="auto"/>
        <w:ind w:firstLine="709"/>
        <w:jc w:val="both"/>
        <w:rPr>
          <w:rFonts w:ascii="Times New Roman" w:hAnsi="Times New Roman"/>
          <w:sz w:val="24"/>
          <w:szCs w:val="24"/>
        </w:rPr>
      </w:pPr>
      <w:r w:rsidRPr="001D5119">
        <w:rPr>
          <w:rFonts w:ascii="Times New Roman" w:hAnsi="Times New Roman"/>
          <w:sz w:val="24"/>
          <w:szCs w:val="24"/>
        </w:rPr>
        <w:t>Динамика структурных составляющих импорта товаров в республику в                   январе-июне 2015 года обуславливалась востребованностью крупных предприятий индустрии в сырьевых материалах и ресурсах.</w:t>
      </w:r>
    </w:p>
    <w:p w:rsidR="003F67B2" w:rsidRPr="001D5119" w:rsidRDefault="003F67B2" w:rsidP="003F67B2">
      <w:pPr>
        <w:pStyle w:val="a4"/>
      </w:pPr>
      <w:r w:rsidRPr="001D5119">
        <w:t xml:space="preserve">В товарной структуре импорта в январе – июне 2015 года традиционно преобладал ввоз топливно-энергетических товаров (57,0% совокупного импорта, против 46,6% в январе – июне 2014 года), в абсолютной величине их объем сократился на </w:t>
      </w:r>
      <w:r>
        <w:t>10</w:t>
      </w:r>
      <w:r w:rsidRPr="001D5119">
        <w:t xml:space="preserve">,4%. </w:t>
      </w:r>
    </w:p>
    <w:p w:rsidR="003F67B2" w:rsidRPr="001D5119" w:rsidRDefault="003F67B2" w:rsidP="003F67B2">
      <w:pPr>
        <w:pStyle w:val="a4"/>
      </w:pPr>
      <w:r w:rsidRPr="001D5119">
        <w:t>Импорт металлов и изделий из них в результате приостановки производственных мощностей ОАО «Молдавский металлургический завод» в период января-февраля текущего года, по итогам января-июня 2015 года сократился на 31,9% от фактического базового показателя, сузив долевое представительство в товарной структуре до 10,2% против 11,3% в базовом периоде 2014 года.</w:t>
      </w:r>
    </w:p>
    <w:p w:rsidR="003F67B2" w:rsidRPr="001D5119" w:rsidRDefault="003F67B2" w:rsidP="003F67B2">
      <w:pPr>
        <w:pStyle w:val="ad"/>
        <w:tabs>
          <w:tab w:val="left" w:pos="900"/>
        </w:tabs>
        <w:spacing w:after="0"/>
        <w:jc w:val="both"/>
      </w:pPr>
      <w:r w:rsidRPr="001D5119">
        <w:rPr>
          <w:noProof/>
          <w:lang w:eastAsia="ru-RU"/>
        </w:rPr>
        <w:drawing>
          <wp:inline distT="0" distB="0" distL="0" distR="0">
            <wp:extent cx="5943600" cy="2543175"/>
            <wp:effectExtent l="0" t="0" r="0" b="0"/>
            <wp:docPr id="5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67B2" w:rsidRPr="001D5119" w:rsidRDefault="003F67B2" w:rsidP="003F67B2">
      <w:pPr>
        <w:pStyle w:val="ad"/>
        <w:tabs>
          <w:tab w:val="left" w:pos="900"/>
        </w:tabs>
        <w:spacing w:after="0"/>
        <w:ind w:firstLine="709"/>
        <w:jc w:val="both"/>
        <w:rPr>
          <w:rFonts w:ascii="Times New Roman" w:hAnsi="Times New Roman"/>
          <w:sz w:val="24"/>
          <w:szCs w:val="24"/>
        </w:rPr>
      </w:pPr>
      <w:r w:rsidRPr="001D5119">
        <w:rPr>
          <w:rFonts w:ascii="Times New Roman" w:hAnsi="Times New Roman"/>
          <w:sz w:val="24"/>
          <w:szCs w:val="24"/>
        </w:rPr>
        <w:t>В связи со снижением ввоза текстильных материалов на 34,0%, обуви и частей обуви на 13,4%, стоимостной объем импорта сырья и продукции легкой промышленности сократился на 33,2%, при этом доля данных компонент в структуре поставок уменьшилась с 3,7</w:t>
      </w:r>
      <w:r>
        <w:rPr>
          <w:rFonts w:ascii="Times New Roman" w:hAnsi="Times New Roman"/>
          <w:sz w:val="24"/>
          <w:szCs w:val="24"/>
        </w:rPr>
        <w:t>%</w:t>
      </w:r>
      <w:r w:rsidRPr="001D5119">
        <w:rPr>
          <w:rFonts w:ascii="Times New Roman" w:hAnsi="Times New Roman"/>
          <w:sz w:val="24"/>
          <w:szCs w:val="24"/>
        </w:rPr>
        <w:t xml:space="preserve"> до 3,3%.</w:t>
      </w:r>
    </w:p>
    <w:p w:rsidR="003F67B2" w:rsidRPr="001D5119" w:rsidRDefault="003F67B2" w:rsidP="003F67B2">
      <w:pPr>
        <w:pStyle w:val="ad"/>
        <w:tabs>
          <w:tab w:val="left" w:pos="900"/>
        </w:tabs>
        <w:spacing w:after="0"/>
        <w:ind w:firstLine="709"/>
        <w:jc w:val="both"/>
        <w:rPr>
          <w:rFonts w:ascii="Times New Roman" w:hAnsi="Times New Roman"/>
          <w:sz w:val="24"/>
          <w:szCs w:val="24"/>
        </w:rPr>
      </w:pPr>
      <w:r w:rsidRPr="001D5119">
        <w:rPr>
          <w:rFonts w:ascii="Times New Roman" w:hAnsi="Times New Roman"/>
          <w:sz w:val="24"/>
          <w:szCs w:val="24"/>
        </w:rPr>
        <w:t>Изменения других структурных составляющих импорта в январе-июне 2015 года также характеризовались понижательной динамикой. Спрос экономических агентов на машиностроительную продукцию и на продовольственные товары понизился по отношению к базовой величине января-июня 2014 года на 34,8% и 44,5% соответственно, сократив при этом долевое представительство в товарной структуре импорта на 1,4 процентных пункта (до 9,6%) и на 2,6 процентных пункта (до 7,6%).</w:t>
      </w:r>
    </w:p>
    <w:p w:rsidR="003F67B2" w:rsidRPr="001D5119" w:rsidRDefault="003F67B2" w:rsidP="003F67B2">
      <w:pPr>
        <w:pStyle w:val="a4"/>
      </w:pPr>
      <w:r w:rsidRPr="001D5119">
        <w:rPr>
          <w:color w:val="000000"/>
        </w:rPr>
        <w:lastRenderedPageBreak/>
        <w:t xml:space="preserve">Главными представителями в сфере импортных операций в обозначенном периоде выступали контрагенты </w:t>
      </w:r>
      <w:r w:rsidRPr="001D5119">
        <w:t>Российской Федерации (58,5% совокупного импорта, «-»6,3% к уровню базового показателя 2014 года), Украины (11,0%, «-»38,7%), Республики Молдова (6,7%, «-»26,0%), Германии (3,9%, «-»45,4%), Республики Беларусь (3,7%, «-»64,8%).</w:t>
      </w:r>
    </w:p>
    <w:p w:rsidR="003F67B2" w:rsidRPr="001D5119" w:rsidRDefault="003F67B2" w:rsidP="003F67B2">
      <w:pPr>
        <w:pStyle w:val="a4"/>
        <w:jc w:val="center"/>
        <w:rPr>
          <w:b/>
        </w:rPr>
      </w:pPr>
      <w:r w:rsidRPr="001D5119">
        <w:rPr>
          <w:b/>
        </w:rPr>
        <w:t>Импорт товаров в разрезе стран, млн. долл. США</w:t>
      </w:r>
    </w:p>
    <w:p w:rsidR="003F67B2" w:rsidRDefault="003F67B2" w:rsidP="003F67B2">
      <w:pPr>
        <w:pStyle w:val="a4"/>
        <w:ind w:firstLine="0"/>
        <w:rPr>
          <w:szCs w:val="24"/>
        </w:rPr>
      </w:pPr>
      <w:r w:rsidRPr="001D5119">
        <w:rPr>
          <w:noProof/>
          <w:szCs w:val="24"/>
        </w:rPr>
        <w:drawing>
          <wp:inline distT="0" distB="0" distL="0" distR="0">
            <wp:extent cx="5943600" cy="2790825"/>
            <wp:effectExtent l="0" t="19050" r="0" b="0"/>
            <wp:docPr id="5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35844" w:rsidRPr="005C10BD" w:rsidRDefault="00335844" w:rsidP="00335844">
      <w:pPr>
        <w:spacing w:after="0" w:line="240" w:lineRule="auto"/>
        <w:ind w:firstLine="709"/>
        <w:jc w:val="both"/>
        <w:rPr>
          <w:rFonts w:ascii="Times New Roman" w:hAnsi="Times New Roman"/>
          <w:sz w:val="24"/>
          <w:szCs w:val="24"/>
        </w:rPr>
      </w:pPr>
    </w:p>
    <w:p w:rsidR="00335844" w:rsidRPr="004D746D" w:rsidRDefault="00335844" w:rsidP="00335844">
      <w:pPr>
        <w:widowControl w:val="0"/>
        <w:autoSpaceDE w:val="0"/>
        <w:autoSpaceDN w:val="0"/>
        <w:adjustRightInd w:val="0"/>
        <w:spacing w:after="0" w:line="240" w:lineRule="auto"/>
        <w:ind w:firstLine="720"/>
        <w:jc w:val="both"/>
        <w:rPr>
          <w:rFonts w:ascii="Times New Roman" w:hAnsi="Times New Roman"/>
          <w:b/>
          <w:sz w:val="24"/>
          <w:szCs w:val="24"/>
        </w:rPr>
      </w:pPr>
      <w:r w:rsidRPr="004D746D">
        <w:rPr>
          <w:rFonts w:ascii="Times New Roman" w:hAnsi="Times New Roman"/>
          <w:b/>
          <w:sz w:val="24"/>
          <w:szCs w:val="24"/>
        </w:rPr>
        <w:t>Состояние реального сектора экономики</w:t>
      </w:r>
    </w:p>
    <w:p w:rsidR="00335844" w:rsidRPr="004D746D" w:rsidRDefault="00335844" w:rsidP="00335844">
      <w:pPr>
        <w:widowControl w:val="0"/>
        <w:autoSpaceDE w:val="0"/>
        <w:autoSpaceDN w:val="0"/>
        <w:adjustRightInd w:val="0"/>
        <w:spacing w:after="0" w:line="240" w:lineRule="auto"/>
        <w:ind w:firstLine="720"/>
        <w:jc w:val="both"/>
        <w:rPr>
          <w:rFonts w:ascii="Times New Roman" w:hAnsi="Times New Roman"/>
          <w:b/>
          <w:sz w:val="24"/>
          <w:szCs w:val="24"/>
          <w:highlight w:val="darkGray"/>
        </w:rPr>
      </w:pPr>
    </w:p>
    <w:p w:rsidR="00335844" w:rsidRPr="00826D68" w:rsidRDefault="00335844" w:rsidP="00335844">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26D68">
        <w:rPr>
          <w:rFonts w:ascii="Times New Roman" w:eastAsia="Calibri" w:hAnsi="Times New Roman"/>
          <w:b/>
          <w:sz w:val="24"/>
          <w:szCs w:val="24"/>
        </w:rPr>
        <w:t>Промышленность</w:t>
      </w:r>
    </w:p>
    <w:p w:rsidR="00335844" w:rsidRPr="00826D68" w:rsidRDefault="00335844" w:rsidP="00335844">
      <w:pPr>
        <w:autoSpaceDE w:val="0"/>
        <w:autoSpaceDN w:val="0"/>
        <w:adjustRightInd w:val="0"/>
        <w:spacing w:after="0" w:line="240" w:lineRule="auto"/>
        <w:ind w:firstLine="709"/>
        <w:jc w:val="both"/>
        <w:rPr>
          <w:rFonts w:ascii="Times New Roman" w:eastAsia="Calibri" w:hAnsi="Times New Roman"/>
          <w:sz w:val="24"/>
          <w:szCs w:val="24"/>
          <w:highlight w:val="yellow"/>
        </w:rPr>
      </w:pPr>
      <w:bookmarkStart w:id="8" w:name="_Toc185403094"/>
      <w:bookmarkEnd w:id="8"/>
    </w:p>
    <w:p w:rsidR="003F67B2" w:rsidRPr="003F67B2" w:rsidRDefault="003F67B2" w:rsidP="003F67B2">
      <w:pPr>
        <w:autoSpaceDE w:val="0"/>
        <w:autoSpaceDN w:val="0"/>
        <w:adjustRightInd w:val="0"/>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Ситуация в индустриальном секторе республики в рассматриваемом периоде складывалась под влиянием ряда как внешних, так и внутренних факторов, а также рисков осуществления внешнеэкономической деятельности хозяйствующими субъектами республики.</w:t>
      </w:r>
    </w:p>
    <w:p w:rsidR="003F67B2" w:rsidRPr="003F67B2" w:rsidRDefault="003F67B2" w:rsidP="003F67B2">
      <w:pPr>
        <w:autoSpaceDE w:val="0"/>
        <w:autoSpaceDN w:val="0"/>
        <w:adjustRightInd w:val="0"/>
        <w:spacing w:after="0" w:line="240" w:lineRule="auto"/>
        <w:ind w:firstLine="709"/>
        <w:jc w:val="both"/>
        <w:rPr>
          <w:rFonts w:ascii="Times New Roman" w:eastAsia="Calibri" w:hAnsi="Times New Roman"/>
          <w:snapToGrid w:val="0"/>
          <w:sz w:val="24"/>
          <w:szCs w:val="24"/>
        </w:rPr>
      </w:pPr>
      <w:r w:rsidRPr="003F67B2">
        <w:rPr>
          <w:rFonts w:ascii="Times New Roman" w:eastAsia="Calibri" w:hAnsi="Times New Roman"/>
          <w:snapToGrid w:val="0"/>
          <w:sz w:val="24"/>
          <w:szCs w:val="24"/>
        </w:rPr>
        <w:t xml:space="preserve">В целом промышленными предприятиями с учетом оценки объемов производства предприятий малого предпринимательства, а также объемов продукции подсобных промышленных производств при непромышленных предприятиях, в январе-июне            2015 года произведено продукции на 4 404,6 млн. руб., что составляет 83,7% от уровня               </w:t>
      </w:r>
      <w:r w:rsidRPr="003F67B2">
        <w:rPr>
          <w:rFonts w:ascii="Times New Roman" w:eastAsia="Calibri" w:hAnsi="Times New Roman"/>
          <w:snapToGrid w:val="0"/>
          <w:sz w:val="24"/>
          <w:szCs w:val="24"/>
          <w:lang w:val="en-US"/>
        </w:rPr>
        <w:t>I</w:t>
      </w:r>
      <w:r w:rsidRPr="003F67B2">
        <w:rPr>
          <w:rFonts w:ascii="Times New Roman" w:eastAsia="Calibri" w:hAnsi="Times New Roman"/>
          <w:snapToGrid w:val="0"/>
          <w:sz w:val="24"/>
          <w:szCs w:val="24"/>
        </w:rPr>
        <w:t xml:space="preserve"> полугодия 2014 года.</w:t>
      </w:r>
    </w:p>
    <w:p w:rsidR="003F67B2" w:rsidRPr="003F67B2" w:rsidRDefault="003F67B2" w:rsidP="003F67B2">
      <w:pPr>
        <w:autoSpaceDE w:val="0"/>
        <w:autoSpaceDN w:val="0"/>
        <w:adjustRightInd w:val="0"/>
        <w:spacing w:after="0" w:line="240" w:lineRule="auto"/>
        <w:ind w:firstLine="709"/>
        <w:jc w:val="both"/>
        <w:rPr>
          <w:rFonts w:ascii="Times New Roman" w:eastAsia="Calibri" w:hAnsi="Times New Roman"/>
          <w:snapToGrid w:val="0"/>
          <w:sz w:val="24"/>
          <w:szCs w:val="24"/>
        </w:rPr>
      </w:pPr>
      <w:r w:rsidRPr="003F67B2">
        <w:rPr>
          <w:rFonts w:ascii="Times New Roman" w:eastAsia="Calibri" w:hAnsi="Times New Roman"/>
          <w:snapToGrid w:val="0"/>
          <w:sz w:val="24"/>
          <w:szCs w:val="24"/>
        </w:rPr>
        <w:t>Индекс физического объема важнейших видов промышленной продукции в рассматриваемом периоде, в результате значительного сокращения производства проката черных металлов (на 30,7%), цемента (на 34,9%) и литейных машин (на 83,3%) составил 87,3% к уровню 2014 года.</w:t>
      </w:r>
    </w:p>
    <w:p w:rsidR="003F67B2" w:rsidRPr="003F67B2" w:rsidRDefault="003F67B2" w:rsidP="003F67B2">
      <w:pPr>
        <w:spacing w:after="0" w:line="240" w:lineRule="auto"/>
        <w:ind w:firstLine="709"/>
        <w:jc w:val="both"/>
        <w:rPr>
          <w:rFonts w:ascii="Times New Roman" w:eastAsia="Calibri" w:hAnsi="Times New Roman"/>
          <w:snapToGrid w:val="0"/>
          <w:sz w:val="24"/>
          <w:szCs w:val="24"/>
        </w:rPr>
      </w:pPr>
      <w:r w:rsidRPr="003F67B2">
        <w:rPr>
          <w:rFonts w:ascii="Times New Roman" w:eastAsia="Calibri" w:hAnsi="Times New Roman"/>
          <w:sz w:val="24"/>
          <w:szCs w:val="24"/>
        </w:rPr>
        <w:t>За первое полугодие 2015 года промышленными предприятиями республики (без учета субъектов малого предпринимательства) произведено продукции на сумму              4 216,0 млн. руб., что составило в текущих ценах 87,5% от уровня данного показателя в 2014 году.</w:t>
      </w:r>
    </w:p>
    <w:p w:rsidR="003F67B2" w:rsidRPr="003F67B2" w:rsidRDefault="003F67B2" w:rsidP="003F67B2">
      <w:pPr>
        <w:spacing w:after="0" w:line="240" w:lineRule="auto"/>
        <w:ind w:firstLine="720"/>
        <w:jc w:val="both"/>
        <w:rPr>
          <w:rFonts w:ascii="Times New Roman" w:eastAsia="Calibri" w:hAnsi="Times New Roman"/>
          <w:sz w:val="24"/>
          <w:szCs w:val="24"/>
        </w:rPr>
      </w:pPr>
      <w:r w:rsidRPr="003F67B2">
        <w:rPr>
          <w:rFonts w:ascii="Times New Roman" w:eastAsia="Calibri" w:hAnsi="Times New Roman"/>
          <w:sz w:val="24"/>
          <w:szCs w:val="24"/>
        </w:rPr>
        <w:t>Доход от реализации промышленной продукции за рассматриваемый период сложился в сумме 4 260,9 млн. руб., сократившись на 13,4% к базисному показателю            2014 года. При этом объем отгруженной продукции в I полугодии 2015 года составил 4 154,6 млн. руб., что на 16,3% ниже соответствующего уровня 2014 года.</w:t>
      </w:r>
    </w:p>
    <w:p w:rsidR="003F67B2" w:rsidRPr="003F67B2" w:rsidRDefault="003F67B2" w:rsidP="003F67B2">
      <w:pPr>
        <w:spacing w:after="0" w:line="240" w:lineRule="auto"/>
        <w:ind w:firstLine="709"/>
        <w:jc w:val="both"/>
        <w:rPr>
          <w:rFonts w:ascii="Times New Roman" w:eastAsia="Calibri" w:hAnsi="Times New Roman"/>
          <w:color w:val="000000"/>
          <w:sz w:val="28"/>
          <w:szCs w:val="28"/>
        </w:rPr>
      </w:pPr>
      <w:r w:rsidRPr="003F67B2">
        <w:rPr>
          <w:rFonts w:ascii="Times New Roman" w:eastAsia="Calibri" w:hAnsi="Times New Roman"/>
          <w:color w:val="000000"/>
          <w:sz w:val="24"/>
          <w:szCs w:val="24"/>
        </w:rPr>
        <w:t>В целом к концу января - июня 2015 года по республике отмечено сокращение остатков готовой продукции на складе по сравнению с началом года на 5,6%, с</w:t>
      </w:r>
      <w:r w:rsidRPr="003F67B2">
        <w:rPr>
          <w:rFonts w:ascii="Times New Roman" w:eastAsia="Calibri" w:hAnsi="Times New Roman"/>
          <w:sz w:val="24"/>
          <w:szCs w:val="24"/>
        </w:rPr>
        <w:t>тоимостное значение</w:t>
      </w:r>
      <w:r w:rsidRPr="003F67B2">
        <w:rPr>
          <w:rFonts w:ascii="Times New Roman" w:eastAsia="Calibri" w:hAnsi="Times New Roman"/>
          <w:color w:val="000000"/>
          <w:sz w:val="24"/>
          <w:szCs w:val="24"/>
        </w:rPr>
        <w:t xml:space="preserve"> которых</w:t>
      </w:r>
      <w:r w:rsidRPr="003F67B2">
        <w:rPr>
          <w:rFonts w:ascii="Times New Roman" w:eastAsia="Calibri" w:hAnsi="Times New Roman"/>
          <w:sz w:val="24"/>
          <w:szCs w:val="24"/>
        </w:rPr>
        <w:t xml:space="preserve"> по состоянию</w:t>
      </w:r>
      <w:r w:rsidRPr="003F67B2">
        <w:rPr>
          <w:rFonts w:ascii="Times New Roman" w:eastAsia="Calibri" w:hAnsi="Times New Roman"/>
          <w:sz w:val="28"/>
          <w:szCs w:val="28"/>
        </w:rPr>
        <w:t xml:space="preserve"> </w:t>
      </w:r>
      <w:r w:rsidRPr="003F67B2">
        <w:rPr>
          <w:rFonts w:ascii="Times New Roman" w:eastAsia="Calibri" w:hAnsi="Times New Roman"/>
          <w:color w:val="000000"/>
          <w:sz w:val="24"/>
          <w:szCs w:val="24"/>
        </w:rPr>
        <w:t>на 1 июля 2015 года составило</w:t>
      </w:r>
      <w:r w:rsidRPr="003F67B2">
        <w:rPr>
          <w:rFonts w:ascii="Times New Roman" w:eastAsia="Calibri" w:hAnsi="Times New Roman"/>
          <w:sz w:val="24"/>
          <w:szCs w:val="24"/>
        </w:rPr>
        <w:t xml:space="preserve"> 379,0 </w:t>
      </w:r>
      <w:r w:rsidRPr="003F67B2">
        <w:rPr>
          <w:rFonts w:ascii="Times New Roman" w:eastAsia="Calibri" w:hAnsi="Times New Roman"/>
          <w:color w:val="000000"/>
          <w:sz w:val="24"/>
          <w:szCs w:val="24"/>
        </w:rPr>
        <w:t>млн. руб.</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 xml:space="preserve">В </w:t>
      </w:r>
      <w:r w:rsidRPr="003F67B2">
        <w:rPr>
          <w:rFonts w:ascii="Times New Roman" w:eastAsia="Calibri" w:hAnsi="Times New Roman"/>
          <w:color w:val="000000"/>
          <w:sz w:val="24"/>
          <w:szCs w:val="24"/>
        </w:rPr>
        <w:t xml:space="preserve">январе - июне 2015 года </w:t>
      </w:r>
      <w:r w:rsidRPr="003F67B2">
        <w:rPr>
          <w:rFonts w:ascii="Times New Roman" w:eastAsia="Calibri" w:hAnsi="Times New Roman"/>
          <w:sz w:val="24"/>
          <w:szCs w:val="24"/>
        </w:rPr>
        <w:t>увеличили выпуск промышленной продукции                 27</w:t>
      </w:r>
      <w:r w:rsidRPr="003F67B2">
        <w:rPr>
          <w:rFonts w:ascii="Times New Roman" w:eastAsia="Calibri" w:hAnsi="Times New Roman"/>
          <w:color w:val="0000FF"/>
          <w:sz w:val="24"/>
          <w:szCs w:val="24"/>
        </w:rPr>
        <w:t xml:space="preserve"> </w:t>
      </w:r>
      <w:r w:rsidRPr="003F67B2">
        <w:rPr>
          <w:rFonts w:ascii="Times New Roman" w:eastAsia="Calibri" w:hAnsi="Times New Roman"/>
          <w:sz w:val="24"/>
          <w:szCs w:val="24"/>
        </w:rPr>
        <w:t xml:space="preserve">предприятий или 28,4% от их общего числа (в </w:t>
      </w:r>
      <w:r w:rsidRPr="003F67B2">
        <w:rPr>
          <w:rFonts w:ascii="Times New Roman" w:eastAsia="Calibri" w:hAnsi="Times New Roman"/>
          <w:color w:val="000000"/>
          <w:sz w:val="24"/>
          <w:szCs w:val="24"/>
        </w:rPr>
        <w:t xml:space="preserve">I полугодии 2014 года </w:t>
      </w:r>
      <w:r w:rsidRPr="003F67B2">
        <w:rPr>
          <w:rFonts w:ascii="Times New Roman" w:eastAsia="Calibri" w:hAnsi="Times New Roman"/>
          <w:sz w:val="24"/>
          <w:szCs w:val="24"/>
        </w:rPr>
        <w:t xml:space="preserve">- 47 предприятий), </w:t>
      </w:r>
      <w:r w:rsidRPr="003F67B2">
        <w:rPr>
          <w:rFonts w:ascii="Times New Roman" w:eastAsia="Calibri" w:hAnsi="Times New Roman"/>
          <w:sz w:val="24"/>
          <w:szCs w:val="24"/>
        </w:rPr>
        <w:lastRenderedPageBreak/>
        <w:t xml:space="preserve">спад допущен на 60 предприятиях, что составляет 63,2% соответственно (в </w:t>
      </w:r>
      <w:r w:rsidRPr="003F67B2">
        <w:rPr>
          <w:rFonts w:ascii="Times New Roman" w:eastAsia="Calibri" w:hAnsi="Times New Roman"/>
          <w:color w:val="000000"/>
          <w:sz w:val="24"/>
          <w:szCs w:val="24"/>
        </w:rPr>
        <w:t xml:space="preserve">I полугодии 2014 года </w:t>
      </w:r>
      <w:r w:rsidRPr="003F67B2">
        <w:rPr>
          <w:rFonts w:ascii="Times New Roman" w:eastAsia="Calibri" w:hAnsi="Times New Roman"/>
          <w:sz w:val="24"/>
          <w:szCs w:val="24"/>
        </w:rPr>
        <w:t>- 45 предприятий).</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К выпуску промышленной продукции с начала года не приступило                                   6</w:t>
      </w:r>
      <w:r w:rsidRPr="003F67B2">
        <w:rPr>
          <w:rFonts w:ascii="Times New Roman" w:eastAsia="Calibri" w:hAnsi="Times New Roman"/>
          <w:color w:val="0000FF"/>
          <w:sz w:val="24"/>
          <w:szCs w:val="24"/>
        </w:rPr>
        <w:t xml:space="preserve"> </w:t>
      </w:r>
      <w:r w:rsidRPr="003F67B2">
        <w:rPr>
          <w:rFonts w:ascii="Times New Roman" w:eastAsia="Calibri" w:hAnsi="Times New Roman"/>
          <w:sz w:val="24"/>
          <w:szCs w:val="24"/>
        </w:rPr>
        <w:t xml:space="preserve">промышленных предприятий (в </w:t>
      </w:r>
      <w:r w:rsidRPr="003F67B2">
        <w:rPr>
          <w:rFonts w:ascii="Times New Roman" w:eastAsia="Calibri" w:hAnsi="Times New Roman"/>
          <w:color w:val="000000"/>
          <w:sz w:val="24"/>
          <w:szCs w:val="24"/>
        </w:rPr>
        <w:t xml:space="preserve">I полугодии 2014 года </w:t>
      </w:r>
      <w:r w:rsidRPr="003F67B2">
        <w:rPr>
          <w:rFonts w:ascii="Times New Roman" w:eastAsia="Calibri" w:hAnsi="Times New Roman"/>
          <w:sz w:val="24"/>
          <w:szCs w:val="24"/>
        </w:rPr>
        <w:t>- 10 предприятий):</w:t>
      </w:r>
    </w:p>
    <w:p w:rsidR="003F67B2" w:rsidRPr="003F67B2" w:rsidRDefault="003F67B2" w:rsidP="003F67B2">
      <w:pPr>
        <w:tabs>
          <w:tab w:val="left" w:pos="1080"/>
        </w:tabs>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w:t>
      </w:r>
      <w:r w:rsidRPr="003F67B2">
        <w:rPr>
          <w:rFonts w:ascii="Times New Roman" w:eastAsia="Calibri" w:hAnsi="Times New Roman"/>
          <w:sz w:val="24"/>
          <w:szCs w:val="24"/>
        </w:rPr>
        <w:tab/>
        <w:t xml:space="preserve">ГУП «Дубоссарское хлебоприемное предприятие» и ОАО «Бендерский </w:t>
      </w:r>
      <w:r w:rsidRPr="003F67B2">
        <w:rPr>
          <w:rFonts w:ascii="Times New Roman" w:eastAsia="Calibri" w:hAnsi="Times New Roman"/>
          <w:color w:val="000000"/>
          <w:sz w:val="24"/>
          <w:szCs w:val="24"/>
        </w:rPr>
        <w:t xml:space="preserve">маслоэкстракционный </w:t>
      </w:r>
      <w:r w:rsidRPr="003F67B2">
        <w:rPr>
          <w:rFonts w:ascii="Times New Roman" w:eastAsia="Calibri" w:hAnsi="Times New Roman"/>
          <w:sz w:val="24"/>
          <w:szCs w:val="24"/>
        </w:rPr>
        <w:t>завод» - не работают по причине отсутствия сырья;</w:t>
      </w:r>
    </w:p>
    <w:p w:rsidR="003F67B2" w:rsidRPr="003F67B2" w:rsidRDefault="003F67B2" w:rsidP="003F67B2">
      <w:pPr>
        <w:tabs>
          <w:tab w:val="left" w:pos="1080"/>
        </w:tabs>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w:t>
      </w:r>
      <w:r w:rsidRPr="003F67B2">
        <w:rPr>
          <w:rFonts w:ascii="Times New Roman" w:eastAsia="Calibri" w:hAnsi="Times New Roman"/>
          <w:sz w:val="24"/>
          <w:szCs w:val="24"/>
        </w:rPr>
        <w:tab/>
        <w:t xml:space="preserve">МУП «Автосервис и торговля» г.Дубоссары, МУП «Ветбиофарм» и </w:t>
      </w:r>
      <w:r w:rsidR="00D25279">
        <w:rPr>
          <w:rFonts w:ascii="Times New Roman" w:eastAsia="Calibri" w:hAnsi="Times New Roman"/>
          <w:sz w:val="24"/>
          <w:szCs w:val="24"/>
        </w:rPr>
        <w:t xml:space="preserve">                    </w:t>
      </w:r>
      <w:r w:rsidRPr="003F67B2">
        <w:rPr>
          <w:rFonts w:ascii="Times New Roman" w:eastAsia="Calibri" w:hAnsi="Times New Roman"/>
          <w:sz w:val="24"/>
          <w:szCs w:val="24"/>
        </w:rPr>
        <w:t>ООО «Торговый дом – Электроаппаратный» - находятся в процессе ликвидации;</w:t>
      </w:r>
    </w:p>
    <w:p w:rsidR="003F67B2" w:rsidRPr="003F67B2" w:rsidRDefault="003F67B2" w:rsidP="003F67B2">
      <w:pPr>
        <w:tabs>
          <w:tab w:val="left" w:pos="1080"/>
        </w:tabs>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w:t>
      </w:r>
      <w:r w:rsidRPr="003F67B2">
        <w:rPr>
          <w:rFonts w:ascii="Times New Roman" w:eastAsia="Calibri" w:hAnsi="Times New Roman"/>
          <w:sz w:val="24"/>
          <w:szCs w:val="24"/>
        </w:rPr>
        <w:tab/>
        <w:t>ООО «Энергоспецсервисобслуживание» - оказывает услуги в сфере ЖКХ.</w:t>
      </w:r>
    </w:p>
    <w:p w:rsidR="003F67B2" w:rsidRPr="003F67B2" w:rsidRDefault="003F67B2" w:rsidP="003F67B2">
      <w:pPr>
        <w:spacing w:after="0" w:line="240" w:lineRule="auto"/>
        <w:ind w:firstLine="709"/>
        <w:jc w:val="both"/>
        <w:rPr>
          <w:rFonts w:ascii="Times New Roman" w:hAnsi="Times New Roman"/>
          <w:sz w:val="24"/>
          <w:szCs w:val="24"/>
          <w:lang w:eastAsia="en-US"/>
        </w:rPr>
      </w:pPr>
      <w:r w:rsidRPr="003F67B2">
        <w:rPr>
          <w:rFonts w:ascii="Times New Roman" w:hAnsi="Times New Roman"/>
          <w:sz w:val="24"/>
          <w:szCs w:val="24"/>
          <w:lang w:eastAsia="en-US"/>
        </w:rPr>
        <w:t>В январе-июне 2015 года в разрезе отраслей ситуация складывалась следующим образом.</w:t>
      </w:r>
    </w:p>
    <w:p w:rsidR="003F67B2" w:rsidRPr="003F67B2" w:rsidRDefault="003F67B2" w:rsidP="003F67B2">
      <w:pPr>
        <w:spacing w:after="0" w:line="240" w:lineRule="auto"/>
        <w:ind w:firstLine="709"/>
        <w:contextualSpacing/>
        <w:jc w:val="both"/>
        <w:rPr>
          <w:rFonts w:ascii="Times New Roman" w:hAnsi="Times New Roman"/>
          <w:sz w:val="24"/>
          <w:szCs w:val="24"/>
        </w:rPr>
      </w:pPr>
      <w:r w:rsidRPr="003F67B2">
        <w:rPr>
          <w:rFonts w:ascii="Times New Roman" w:hAnsi="Times New Roman"/>
          <w:sz w:val="24"/>
          <w:szCs w:val="24"/>
        </w:rPr>
        <w:t xml:space="preserve">В </w:t>
      </w:r>
      <w:r w:rsidRPr="003F67B2">
        <w:rPr>
          <w:rFonts w:ascii="Times New Roman" w:hAnsi="Times New Roman"/>
          <w:b/>
          <w:sz w:val="24"/>
          <w:szCs w:val="24"/>
        </w:rPr>
        <w:t>электроэнергетическом комплексе</w:t>
      </w:r>
      <w:r w:rsidRPr="003F67B2">
        <w:rPr>
          <w:rFonts w:ascii="Times New Roman" w:hAnsi="Times New Roman"/>
          <w:sz w:val="24"/>
          <w:szCs w:val="24"/>
        </w:rPr>
        <w:t xml:space="preserve"> республики по итогам </w:t>
      </w:r>
      <w:r w:rsidRPr="003F67B2">
        <w:rPr>
          <w:rFonts w:ascii="Times New Roman" w:hAnsi="Times New Roman"/>
          <w:sz w:val="24"/>
          <w:szCs w:val="24"/>
          <w:lang w:val="en-US"/>
        </w:rPr>
        <w:t>I</w:t>
      </w:r>
      <w:r w:rsidRPr="003F67B2">
        <w:rPr>
          <w:rFonts w:ascii="Times New Roman" w:hAnsi="Times New Roman"/>
          <w:sz w:val="24"/>
          <w:szCs w:val="24"/>
        </w:rPr>
        <w:t xml:space="preserve"> полугодия           2015 года отмечается увеличение выработки электроэнергии в натуральном выражении в целом по отрасли на 16,9% по сравнению с соответствующим периодом 2014 года, в стоимостном выражении товарный выпуск отрасли вырос на 21,7%.</w:t>
      </w:r>
    </w:p>
    <w:p w:rsidR="003F67B2" w:rsidRPr="003F67B2" w:rsidRDefault="003F67B2" w:rsidP="003F67B2">
      <w:pPr>
        <w:spacing w:after="0" w:line="240" w:lineRule="auto"/>
        <w:ind w:firstLine="709"/>
        <w:contextualSpacing/>
        <w:jc w:val="both"/>
        <w:rPr>
          <w:rFonts w:ascii="Times New Roman" w:hAnsi="Times New Roman"/>
          <w:sz w:val="24"/>
          <w:szCs w:val="24"/>
        </w:rPr>
      </w:pPr>
      <w:r w:rsidRPr="003F67B2">
        <w:rPr>
          <w:rFonts w:ascii="Times New Roman" w:hAnsi="Times New Roman"/>
          <w:sz w:val="24"/>
          <w:szCs w:val="24"/>
        </w:rPr>
        <w:t>В целом объем производства на крупнейшем предприятии электроэнергетической отрасли ЗАО «Молдавская ГРЭС» в течение рассматриваемого периода в сопоставимых ценах увеличился на 19,5%;</w:t>
      </w:r>
    </w:p>
    <w:p w:rsidR="003F67B2" w:rsidRPr="003F67B2" w:rsidRDefault="003F67B2" w:rsidP="003F67B2">
      <w:pPr>
        <w:spacing w:after="0" w:line="240" w:lineRule="auto"/>
        <w:ind w:left="-142"/>
        <w:contextualSpacing/>
        <w:jc w:val="both"/>
        <w:rPr>
          <w:rFonts w:ascii="Times New Roman" w:hAnsi="Times New Roman"/>
          <w:sz w:val="24"/>
          <w:szCs w:val="24"/>
        </w:rPr>
      </w:pPr>
      <w:r w:rsidRPr="003F67B2">
        <w:rPr>
          <w:noProof/>
        </w:rPr>
        <w:drawing>
          <wp:inline distT="0" distB="0" distL="0" distR="0">
            <wp:extent cx="6477000" cy="2066925"/>
            <wp:effectExtent l="19050" t="0" r="0" b="0"/>
            <wp:docPr id="5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В </w:t>
      </w:r>
      <w:r w:rsidRPr="003F67B2">
        <w:rPr>
          <w:rFonts w:ascii="Times New Roman" w:hAnsi="Times New Roman"/>
          <w:b/>
          <w:sz w:val="24"/>
          <w:szCs w:val="24"/>
        </w:rPr>
        <w:t xml:space="preserve">черной металлургии </w:t>
      </w:r>
      <w:r w:rsidRPr="003F67B2">
        <w:rPr>
          <w:rFonts w:ascii="Times New Roman" w:hAnsi="Times New Roman"/>
          <w:sz w:val="24"/>
          <w:szCs w:val="24"/>
        </w:rPr>
        <w:t>по итогам января - июня 2015 года отмечено снижение производства стали на 20,2%, проката черных металлов на 30,7%. В целом по отрасли объем производства в стоимостном выражении в январе – июне 2015 года на 52,4% не достиг базового показателя 2014 года. При этом в июне месяце на фоне ритмичной работы ОАО «Молдавский металлургический завод» объем производства отрасли увеличился по отношению к маю месяцу в сопоставимых ценах на 34,7%. Однако основной проблемой в деятельности предприятия по-прежнему остаются негативные тенденции ценовой конъюнктуры на сырьевом рынке и рынке готовой продукции.</w:t>
      </w:r>
    </w:p>
    <w:p w:rsidR="003F67B2" w:rsidRPr="003F67B2" w:rsidRDefault="003F67B2" w:rsidP="003F67B2">
      <w:pPr>
        <w:shd w:val="clear" w:color="auto" w:fill="FFFFFF" w:themeFill="background1"/>
        <w:spacing w:after="0" w:line="240" w:lineRule="auto"/>
        <w:ind w:firstLine="709"/>
        <w:jc w:val="both"/>
        <w:rPr>
          <w:rFonts w:ascii="Times New Roman" w:hAnsi="Times New Roman"/>
          <w:sz w:val="24"/>
          <w:szCs w:val="24"/>
          <w:shd w:val="clear" w:color="auto" w:fill="D2E9FE"/>
        </w:rPr>
      </w:pPr>
      <w:r w:rsidRPr="003F67B2">
        <w:rPr>
          <w:rFonts w:ascii="Times New Roman" w:hAnsi="Times New Roman"/>
          <w:sz w:val="24"/>
          <w:szCs w:val="24"/>
          <w:shd w:val="clear" w:color="auto" w:fill="FFFFFF" w:themeFill="background1"/>
        </w:rPr>
        <w:t>В целях разрешения данной проблемы, руководство предприятия осуществляет ряд мероприятий по увеличению объема производства и расширению ассортимента продукции, рассматривается вопрос создания на базе ОАО «Молдавский металлургический завод» дополнительных производств, в частности – по выпуску ферросплавов, а именно, ферросиликомарганца. Данный продукт широко используется во всех металлургических технологиях и пользуется широким спросом на всех рынках сбыта</w:t>
      </w:r>
      <w:r w:rsidRPr="003F67B2">
        <w:rPr>
          <w:rFonts w:ascii="Times New Roman" w:hAnsi="Times New Roman"/>
          <w:sz w:val="24"/>
          <w:szCs w:val="24"/>
        </w:rPr>
        <w:t>;</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b/>
          <w:sz w:val="24"/>
          <w:szCs w:val="24"/>
        </w:rPr>
        <w:t xml:space="preserve">В химической промышленности </w:t>
      </w:r>
      <w:r w:rsidRPr="003F67B2">
        <w:rPr>
          <w:rFonts w:ascii="Times New Roman" w:eastAsia="Calibri" w:hAnsi="Times New Roman"/>
          <w:sz w:val="24"/>
          <w:szCs w:val="24"/>
        </w:rPr>
        <w:t>в январе – июне 2015 года наблюдается падение уровня производства на 35,7% к уровню 2014 года, достигнув в стоимостном выражении 67,0 млн.руб. Основное негативное влияние на отрицательную динамику отрасли в             2015 году оказало снижение объемов производства крупнейшего предприятия отрасли                  ЗАО «Завод «Молдавизолит» (на 28,9%), что обусловлено сложной внешнеторговой конъюнктурой (90% экспорта ориентировано на Российскую Федерацию).</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В натуральном выражении наблюдается уменьшение производства изделий из пластмасс на 13,0%, синтетических смол и пластмасс на 39,2%; пленки полимерной на 9,2%;</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lastRenderedPageBreak/>
        <w:t xml:space="preserve">Предприятия </w:t>
      </w:r>
      <w:r w:rsidRPr="003F67B2">
        <w:rPr>
          <w:rFonts w:ascii="Times New Roman" w:hAnsi="Times New Roman"/>
          <w:b/>
          <w:sz w:val="24"/>
          <w:szCs w:val="24"/>
        </w:rPr>
        <w:t>отрасли машиностроения и металлообработки</w:t>
      </w:r>
      <w:r w:rsidRPr="003F67B2">
        <w:rPr>
          <w:rFonts w:ascii="Times New Roman" w:hAnsi="Times New Roman"/>
          <w:sz w:val="24"/>
          <w:szCs w:val="24"/>
        </w:rPr>
        <w:t xml:space="preserve"> в рассматриваемом периоде демонстрируют спад объема производства по отношению к сопоставимому периоду прошлого года на 13,5%. Отрицательной динамике отраслевых показателей способствовало снижение промышленного производства на ОАО «Литмаш» (на 68,0%), в связи с потерей рынков сбыта на Украине, хозяйствующие субъекты которой являются одним из основных деловых партнеров предприятия, также сокращение товарного выпуска наблюдается на предприятии Филиал «Завод «Прибор» ФГУП «ММПП «Салют» (на 21,4%). В то же время наблюдается увеличение спроса на продукцию                                 ЗАО «Российское предприятие «Бендерский машиностроительный завод» (+33,1%), в целом указанные три предприятия обеспечили свыше 97,6% общеотраслевого объема производства;</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В </w:t>
      </w:r>
      <w:r w:rsidRPr="003F67B2">
        <w:rPr>
          <w:rFonts w:ascii="Times New Roman" w:hAnsi="Times New Roman"/>
          <w:sz w:val="24"/>
          <w:szCs w:val="24"/>
          <w:lang w:val="en-US"/>
        </w:rPr>
        <w:t>I</w:t>
      </w:r>
      <w:r w:rsidRPr="003F67B2">
        <w:rPr>
          <w:rFonts w:ascii="Times New Roman" w:hAnsi="Times New Roman"/>
          <w:sz w:val="24"/>
          <w:szCs w:val="24"/>
        </w:rPr>
        <w:t xml:space="preserve"> полугодии 2015 года </w:t>
      </w:r>
      <w:r w:rsidRPr="003F67B2">
        <w:rPr>
          <w:rFonts w:ascii="Times New Roman" w:hAnsi="Times New Roman"/>
          <w:b/>
          <w:sz w:val="24"/>
          <w:szCs w:val="24"/>
        </w:rPr>
        <w:t>в электротехнической промышленности</w:t>
      </w:r>
      <w:r w:rsidRPr="003F67B2">
        <w:rPr>
          <w:rFonts w:ascii="Times New Roman" w:hAnsi="Times New Roman"/>
          <w:sz w:val="24"/>
          <w:szCs w:val="24"/>
        </w:rPr>
        <w:t xml:space="preserve"> уменьшение товарного выпуска в стоимостном выражении на ЗАО «Молдавкабель» на 32,0%, на фоне закрытия рынков Украины и сложностей доставки продукции в Российскую Федерацию, обусловило сокращение совокупного отраслевого выпуска на 14,7%.</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При этом на НП ЗАО «Электромаш» (50,5% отраслевого выпуска) в анализируемом периоде наблюдается увеличение товарного выпуска в стоимостном выражении на 18,5%;</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 xml:space="preserve">Предприятия </w:t>
      </w:r>
      <w:r w:rsidRPr="003F67B2">
        <w:rPr>
          <w:rFonts w:ascii="Times New Roman" w:eastAsia="Calibri" w:hAnsi="Times New Roman"/>
          <w:b/>
          <w:sz w:val="24"/>
          <w:szCs w:val="24"/>
        </w:rPr>
        <w:t>лесной и</w:t>
      </w:r>
      <w:r w:rsidRPr="003F67B2">
        <w:rPr>
          <w:rFonts w:ascii="Times New Roman" w:eastAsia="Calibri" w:hAnsi="Times New Roman"/>
          <w:sz w:val="24"/>
          <w:szCs w:val="24"/>
        </w:rPr>
        <w:t xml:space="preserve"> </w:t>
      </w:r>
      <w:r w:rsidRPr="003F67B2">
        <w:rPr>
          <w:rFonts w:ascii="Times New Roman" w:eastAsia="Calibri" w:hAnsi="Times New Roman"/>
          <w:b/>
          <w:sz w:val="24"/>
          <w:szCs w:val="24"/>
        </w:rPr>
        <w:t>деревообрабатывающей промышленности</w:t>
      </w:r>
      <w:r w:rsidRPr="003F67B2">
        <w:rPr>
          <w:rFonts w:ascii="Times New Roman" w:eastAsia="Calibri" w:hAnsi="Times New Roman"/>
          <w:sz w:val="24"/>
          <w:szCs w:val="24"/>
        </w:rPr>
        <w:t xml:space="preserve"> по итогам января – июня 2015 года демонстрируют спад объемов производственной деятельности, в результате чего, объем произведенной продукции на 12,3% не достиг сопоставимый уровень 2014 года, достигнув в стоимостном выражении за январь-июнь 2015 года                8,5 млн. руб. В натуральном выражении наблюдается сокращение производства мебели – на 12,5% и производства пиломатериалов - на 58,4%.</w:t>
      </w:r>
    </w:p>
    <w:p w:rsidR="003F67B2" w:rsidRPr="003F67B2" w:rsidRDefault="003F67B2" w:rsidP="003F67B2">
      <w:pPr>
        <w:spacing w:after="0" w:line="240" w:lineRule="auto"/>
        <w:ind w:firstLine="709"/>
        <w:jc w:val="both"/>
        <w:rPr>
          <w:rFonts w:ascii="Times New Roman" w:hAnsi="Times New Roman"/>
          <w:noProof/>
          <w:sz w:val="24"/>
          <w:szCs w:val="24"/>
        </w:rPr>
      </w:pPr>
      <w:r w:rsidRPr="003F67B2">
        <w:rPr>
          <w:rFonts w:ascii="Times New Roman" w:hAnsi="Times New Roman"/>
          <w:sz w:val="24"/>
          <w:szCs w:val="24"/>
        </w:rPr>
        <w:t xml:space="preserve">В </w:t>
      </w:r>
      <w:r w:rsidRPr="003F67B2">
        <w:rPr>
          <w:rFonts w:ascii="Times New Roman" w:hAnsi="Times New Roman"/>
          <w:b/>
          <w:sz w:val="24"/>
          <w:szCs w:val="24"/>
        </w:rPr>
        <w:t>промышленности строительных материалов</w:t>
      </w:r>
      <w:r w:rsidRPr="003F67B2">
        <w:rPr>
          <w:rFonts w:ascii="Times New Roman" w:hAnsi="Times New Roman"/>
          <w:sz w:val="24"/>
          <w:szCs w:val="24"/>
        </w:rPr>
        <w:t xml:space="preserve"> по итогам января – июня           2015 года зафиксировано снижение производственных показателей как на крупнейшем предприятии отрасли (ЗАО «Рыбницкий цементный комбинат» на 48,8% до 103,6 млн. руб.), так и по отрасли в целом (на 44,5% до 152,0 млн. руб.). Между тем в июне по отношению к маю 2015 года отрасль демонстрирует спад объема производства в сопоставимых ценах на 1,3%, что вызвано жесткими условиями конкуренции в отрасли, а также </w:t>
      </w:r>
      <w:r w:rsidRPr="003F67B2">
        <w:rPr>
          <w:rFonts w:ascii="Times New Roman" w:hAnsi="Times New Roman"/>
          <w:color w:val="262626"/>
          <w:sz w:val="24"/>
          <w:szCs w:val="24"/>
        </w:rPr>
        <w:t>импортом строительных материалов из сопредельных государств по более низким ценам</w:t>
      </w:r>
      <w:r w:rsidRPr="003F67B2">
        <w:rPr>
          <w:rFonts w:ascii="Times New Roman" w:hAnsi="Times New Roman"/>
          <w:sz w:val="24"/>
          <w:szCs w:val="24"/>
        </w:rPr>
        <w:t>. В натуральном выражении в рассматриваемом периоде отмечено снижение производства клинкера на 29,0%, цемента на 34,9%, и.т.д.</w:t>
      </w:r>
      <w:r w:rsidRPr="003F67B2">
        <w:rPr>
          <w:rFonts w:ascii="Times New Roman" w:hAnsi="Times New Roman"/>
          <w:noProof/>
          <w:sz w:val="24"/>
          <w:szCs w:val="24"/>
        </w:rPr>
        <w:t>;</w:t>
      </w:r>
    </w:p>
    <w:p w:rsidR="003F67B2" w:rsidRPr="003F67B2" w:rsidRDefault="003F67B2" w:rsidP="003F67B2">
      <w:pPr>
        <w:spacing w:after="0" w:line="240" w:lineRule="auto"/>
        <w:jc w:val="both"/>
        <w:rPr>
          <w:rFonts w:ascii="Times New Roman" w:hAnsi="Times New Roman"/>
          <w:sz w:val="24"/>
          <w:szCs w:val="24"/>
        </w:rPr>
      </w:pPr>
      <w:r w:rsidRPr="003F67B2">
        <w:rPr>
          <w:rFonts w:ascii="Times New Roman" w:hAnsi="Times New Roman"/>
          <w:noProof/>
          <w:sz w:val="24"/>
          <w:szCs w:val="24"/>
        </w:rPr>
        <w:drawing>
          <wp:inline distT="0" distB="0" distL="0" distR="0">
            <wp:extent cx="6086475" cy="1819275"/>
            <wp:effectExtent l="19050" t="0" r="0" b="0"/>
            <wp:docPr id="5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В I полугодии 2015 года на предприятиях </w:t>
      </w:r>
      <w:r w:rsidRPr="003F67B2">
        <w:rPr>
          <w:rFonts w:ascii="Times New Roman" w:hAnsi="Times New Roman"/>
          <w:b/>
          <w:sz w:val="24"/>
          <w:szCs w:val="24"/>
        </w:rPr>
        <w:t xml:space="preserve">легкой промышленности </w:t>
      </w:r>
      <w:r w:rsidRPr="003F67B2">
        <w:rPr>
          <w:rFonts w:ascii="Times New Roman" w:hAnsi="Times New Roman"/>
          <w:sz w:val="24"/>
          <w:szCs w:val="24"/>
        </w:rPr>
        <w:t>объем отраслевого выпуска в сопоставимых ценах сложился на 25,1% ниже уровня 2014 года достигнув в стоимостном выражении 474,2 млн. руб. Определяющее влияние на отраслевой показатель оказывает работа крупнейшего предприятия отрасли                            ЗАО «Тиротекс» (70,8% отраслевого выпуска), сократившего свой товарный выпуск за рассматриваемый период на 24,0%. В июне по отношению к маю 2015 года предприятия отрасли демонстрируют прирост объема промышленного производства в сопоставимых ценах на 26,6%.</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В то же время следует отметить, что достаточно сложной остается ситуация на предприятиях обувной промышленности. Объем производства обуви по подотрасли сократился на 9,8%, что явилось результатом сложной внешнеэкономической ситуации.</w:t>
      </w:r>
    </w:p>
    <w:p w:rsidR="003F67B2" w:rsidRPr="003F67B2" w:rsidRDefault="003F67B2" w:rsidP="003F67B2">
      <w:pPr>
        <w:spacing w:after="0" w:line="240" w:lineRule="auto"/>
        <w:jc w:val="both"/>
        <w:rPr>
          <w:rFonts w:ascii="Times New Roman" w:hAnsi="Times New Roman"/>
          <w:sz w:val="24"/>
          <w:szCs w:val="24"/>
        </w:rPr>
      </w:pPr>
      <w:r w:rsidRPr="003F67B2">
        <w:rPr>
          <w:rFonts w:ascii="Times New Roman" w:hAnsi="Times New Roman"/>
          <w:noProof/>
          <w:sz w:val="24"/>
          <w:szCs w:val="24"/>
        </w:rPr>
        <w:lastRenderedPageBreak/>
        <w:drawing>
          <wp:inline distT="0" distB="0" distL="0" distR="0">
            <wp:extent cx="6172200" cy="1619250"/>
            <wp:effectExtent l="0" t="0" r="0" b="0"/>
            <wp:docPr id="6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В рассматриваемом периоде в </w:t>
      </w:r>
      <w:r w:rsidRPr="003F67B2">
        <w:rPr>
          <w:rFonts w:ascii="Times New Roman" w:hAnsi="Times New Roman"/>
          <w:b/>
          <w:snapToGrid w:val="0"/>
          <w:sz w:val="24"/>
          <w:szCs w:val="24"/>
        </w:rPr>
        <w:t xml:space="preserve">пищевой промышленности </w:t>
      </w:r>
      <w:r w:rsidRPr="003F67B2">
        <w:rPr>
          <w:rFonts w:ascii="Times New Roman" w:hAnsi="Times New Roman"/>
          <w:snapToGrid w:val="0"/>
          <w:sz w:val="24"/>
          <w:szCs w:val="24"/>
        </w:rPr>
        <w:t xml:space="preserve">республики наблюдалось </w:t>
      </w:r>
      <w:r w:rsidRPr="003F67B2">
        <w:rPr>
          <w:rFonts w:ascii="Times New Roman" w:hAnsi="Times New Roman"/>
          <w:sz w:val="24"/>
          <w:szCs w:val="24"/>
        </w:rPr>
        <w:t>уменьшение товарного выпуска в текущих ценах на 21,4%, при этом в июне               2015 года по отношению к маю отмечается снижение объемов производства в сопоставимых ценах на 3,6%, что вызвано снижением объемов производства крупнейших предприятий отрасли.</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Снижение объемов производства было характерно для ведущего предприятия отрасли ЗАО «Тираспольский винно-коньячный завод «KVINT»» - 36,3%, что обусловлено падением реализации продукции на местном рынке, на что существенно повлияла, учитывая логистическое перенаправление грузов, сложная нестабильная ситуация на Украине.</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В целом, по итогам I полугодия 2014 года отмечено снижение производства в натуральном выражении по консервам – на 72,4%; кондитерским изделиям – на 33,9%; коньяку – на 33,3%, пиву – на 16,5%, цельномолочной продукции – на 10,8%, хлебу и хлебобулочным изделиям – на 5,9%, маслу животному – на 5,1%,и др. При этом произошел прирост в таких направлениях как, производство водки и ликероводочных изделий – 3,5%; мороженое – на 15,4%.</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 xml:space="preserve">В </w:t>
      </w:r>
      <w:r w:rsidRPr="003F67B2">
        <w:rPr>
          <w:rFonts w:ascii="Times New Roman" w:hAnsi="Times New Roman"/>
          <w:b/>
          <w:sz w:val="24"/>
          <w:szCs w:val="24"/>
        </w:rPr>
        <w:t>мукомольно-крупяной и комбикормовой промышленности</w:t>
      </w:r>
      <w:r w:rsidRPr="003F67B2">
        <w:rPr>
          <w:rFonts w:ascii="Times New Roman" w:hAnsi="Times New Roman"/>
          <w:sz w:val="24"/>
          <w:szCs w:val="24"/>
        </w:rPr>
        <w:t xml:space="preserve"> в </w:t>
      </w:r>
      <w:r w:rsidRPr="003F67B2">
        <w:rPr>
          <w:rFonts w:ascii="Times New Roman" w:hAnsi="Times New Roman"/>
          <w:sz w:val="24"/>
          <w:szCs w:val="24"/>
          <w:lang w:val="en-US"/>
        </w:rPr>
        <w:t>I</w:t>
      </w:r>
      <w:r w:rsidRPr="003F67B2">
        <w:rPr>
          <w:rFonts w:ascii="Times New Roman" w:hAnsi="Times New Roman"/>
          <w:sz w:val="24"/>
          <w:szCs w:val="24"/>
        </w:rPr>
        <w:t xml:space="preserve"> полугодии 2015 года на фоне снижения цен наблюдается сокращение выпуска готовой продукции в текущих ценах на 10,7%, что вызвано в основном сокращением объемов производства на                  ЗАО «Бендерский комбинат хлебопродуктов» на 34,6%.</w:t>
      </w:r>
    </w:p>
    <w:p w:rsidR="003F67B2" w:rsidRPr="003F67B2" w:rsidRDefault="003F67B2" w:rsidP="003F67B2">
      <w:pPr>
        <w:spacing w:after="0" w:line="240" w:lineRule="auto"/>
        <w:ind w:firstLine="709"/>
        <w:jc w:val="both"/>
        <w:rPr>
          <w:rFonts w:ascii="Times New Roman" w:hAnsi="Times New Roman"/>
          <w:sz w:val="24"/>
          <w:szCs w:val="24"/>
        </w:rPr>
      </w:pPr>
      <w:r w:rsidRPr="003F67B2">
        <w:rPr>
          <w:rFonts w:ascii="Times New Roman" w:hAnsi="Times New Roman"/>
          <w:sz w:val="24"/>
          <w:szCs w:val="24"/>
        </w:rPr>
        <w:t>В натуральном выражении в рассматриваемом периоде отмечено снижение объема производства муки на 22,0%.</w:t>
      </w:r>
    </w:p>
    <w:p w:rsidR="003F67B2" w:rsidRPr="003F67B2" w:rsidRDefault="003F67B2" w:rsidP="003F67B2">
      <w:pPr>
        <w:shd w:val="clear" w:color="auto" w:fill="FFFFFF"/>
        <w:spacing w:after="0" w:line="240" w:lineRule="auto"/>
        <w:ind w:firstLine="709"/>
        <w:jc w:val="both"/>
        <w:rPr>
          <w:rFonts w:ascii="Times New Roman" w:eastAsia="Calibri" w:hAnsi="Times New Roman"/>
          <w:color w:val="000000"/>
          <w:sz w:val="24"/>
          <w:szCs w:val="24"/>
        </w:rPr>
      </w:pPr>
      <w:r w:rsidRPr="003F67B2">
        <w:rPr>
          <w:rFonts w:ascii="Times New Roman" w:eastAsia="Calibri" w:hAnsi="Times New Roman"/>
          <w:color w:val="000000"/>
          <w:sz w:val="24"/>
          <w:szCs w:val="24"/>
        </w:rPr>
        <w:t xml:space="preserve">В январе-июне 2015 года в </w:t>
      </w:r>
      <w:r w:rsidRPr="003F67B2">
        <w:rPr>
          <w:rFonts w:ascii="Times New Roman" w:eastAsia="Calibri" w:hAnsi="Times New Roman"/>
          <w:b/>
          <w:color w:val="000000"/>
          <w:sz w:val="24"/>
          <w:szCs w:val="24"/>
        </w:rPr>
        <w:t>полиграфической промышленности</w:t>
      </w:r>
      <w:r w:rsidRPr="003F67B2">
        <w:rPr>
          <w:rFonts w:ascii="Times New Roman" w:eastAsia="Calibri" w:hAnsi="Times New Roman"/>
          <w:color w:val="000000"/>
          <w:sz w:val="24"/>
          <w:szCs w:val="24"/>
        </w:rPr>
        <w:t xml:space="preserve"> на фоне расширения спроса на отечественную полиграфическую продукцию, совокупная стоимостная величина товарного выпуска отрасли в январе – июне 2015 года увеличилась к базисному значению 2014 года в 2,8 раз, что вызвано увеличением объемов производства на ГУИП Типография «Полиграфист» в 3,6 раз, в результате расширения потребительского спроса на такие виды продукции как книги (в 15,9 раз), бумага потребительская («+» 33,3%), товары бумажно-беловые («+» 21,3%), и др.</w:t>
      </w:r>
    </w:p>
    <w:p w:rsidR="003F67B2" w:rsidRPr="003F67B2" w:rsidRDefault="003F67B2" w:rsidP="003F67B2">
      <w:pPr>
        <w:spacing w:after="0" w:line="240" w:lineRule="auto"/>
        <w:ind w:firstLine="709"/>
        <w:jc w:val="both"/>
        <w:rPr>
          <w:rFonts w:ascii="Times New Roman" w:eastAsia="Calibri" w:hAnsi="Times New Roman"/>
          <w:sz w:val="24"/>
          <w:szCs w:val="24"/>
        </w:rPr>
      </w:pPr>
      <w:r w:rsidRPr="003F67B2">
        <w:rPr>
          <w:rFonts w:ascii="Times New Roman" w:eastAsia="Calibri" w:hAnsi="Times New Roman"/>
          <w:sz w:val="24"/>
          <w:szCs w:val="24"/>
        </w:rPr>
        <w:t xml:space="preserve">В целом, в </w:t>
      </w:r>
      <w:r w:rsidRPr="003F67B2">
        <w:rPr>
          <w:rFonts w:ascii="Times New Roman" w:eastAsia="Calibri" w:hAnsi="Times New Roman"/>
          <w:sz w:val="24"/>
          <w:szCs w:val="24"/>
          <w:lang w:val="en-US"/>
        </w:rPr>
        <w:t>I</w:t>
      </w:r>
      <w:r w:rsidRPr="003F67B2">
        <w:rPr>
          <w:rFonts w:ascii="Times New Roman" w:eastAsia="Calibri" w:hAnsi="Times New Roman"/>
          <w:sz w:val="24"/>
          <w:szCs w:val="24"/>
        </w:rPr>
        <w:t xml:space="preserve"> полугодии 2015 года следует отметить ухудшение параметров деятельности большинства отечественных предприятий, вызванное сдержанным спросом на отечественную продукцию как на внутреннем, так и внешнем рынках, а также сложной ситуацией в Украине, хозяйствующие субъекты которой являлись одними из основных деловых партнеров приднестровских предприятий, а также волатильность курсов валют основных стран партнеров. Данные факты свидетельствуют о неустойчивом характере как самой производственной деятельности предприятий, так и достигнутых ими результатов.</w:t>
      </w:r>
    </w:p>
    <w:p w:rsidR="00335844" w:rsidRDefault="00335844" w:rsidP="00335844">
      <w:pPr>
        <w:widowControl w:val="0"/>
        <w:autoSpaceDE w:val="0"/>
        <w:autoSpaceDN w:val="0"/>
        <w:adjustRightInd w:val="0"/>
        <w:spacing w:after="0" w:line="240" w:lineRule="auto"/>
        <w:ind w:firstLine="720"/>
        <w:jc w:val="both"/>
        <w:rPr>
          <w:rFonts w:ascii="Times New Roman" w:eastAsia="Calibri" w:hAnsi="Times New Roman"/>
          <w:b/>
          <w:sz w:val="24"/>
          <w:szCs w:val="24"/>
        </w:rPr>
      </w:pPr>
    </w:p>
    <w:p w:rsidR="00335844" w:rsidRDefault="00335844" w:rsidP="00B953F1">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79088E">
        <w:rPr>
          <w:rFonts w:ascii="Times New Roman" w:eastAsia="Calibri" w:hAnsi="Times New Roman"/>
          <w:b/>
          <w:sz w:val="24"/>
          <w:szCs w:val="24"/>
        </w:rPr>
        <w:t>Агропромышленный комплекс</w:t>
      </w:r>
    </w:p>
    <w:p w:rsidR="00B953F1" w:rsidRPr="00B953F1" w:rsidRDefault="00B953F1" w:rsidP="00B953F1">
      <w:pPr>
        <w:widowControl w:val="0"/>
        <w:autoSpaceDE w:val="0"/>
        <w:autoSpaceDN w:val="0"/>
        <w:adjustRightInd w:val="0"/>
        <w:spacing w:after="0" w:line="240" w:lineRule="auto"/>
        <w:ind w:firstLine="720"/>
        <w:jc w:val="both"/>
        <w:rPr>
          <w:rFonts w:ascii="Times New Roman" w:hAnsi="Times New Roman"/>
          <w:b/>
          <w:sz w:val="24"/>
          <w:szCs w:val="24"/>
        </w:rPr>
      </w:pPr>
    </w:p>
    <w:p w:rsidR="00B953F1" w:rsidRPr="00B953F1" w:rsidRDefault="00B953F1" w:rsidP="00B953F1">
      <w:pPr>
        <w:spacing w:after="0" w:line="240" w:lineRule="auto"/>
        <w:ind w:firstLine="709"/>
        <w:jc w:val="both"/>
        <w:rPr>
          <w:rFonts w:ascii="Times New Roman" w:hAnsi="Times New Roman"/>
          <w:sz w:val="24"/>
          <w:szCs w:val="24"/>
        </w:rPr>
      </w:pPr>
      <w:r w:rsidRPr="00B953F1">
        <w:rPr>
          <w:rFonts w:ascii="Times New Roman" w:hAnsi="Times New Roman"/>
          <w:sz w:val="24"/>
          <w:szCs w:val="24"/>
        </w:rPr>
        <w:t>По итогам января-июня 2015 года</w:t>
      </w:r>
      <w:r w:rsidRPr="00B953F1">
        <w:rPr>
          <w:rFonts w:ascii="Times New Roman" w:hAnsi="Times New Roman"/>
          <w:b/>
          <w:sz w:val="24"/>
          <w:szCs w:val="24"/>
        </w:rPr>
        <w:t xml:space="preserve"> объём валовой продукции сельского хозяйства, </w:t>
      </w:r>
      <w:r w:rsidRPr="00B953F1">
        <w:rPr>
          <w:rFonts w:ascii="Times New Roman" w:hAnsi="Times New Roman"/>
          <w:sz w:val="24"/>
          <w:szCs w:val="24"/>
        </w:rPr>
        <w:t>произведенный всеми категориями хозяйств согласно оценке, сложился в размере 438,9 млн. руб. в текущих ценах, что на 12,1% больше сопоставимого значения прошлого года. Индекс физического объёма сельскохозяйственной продукции составил 93,0% к базисному уровню 2014 года.</w:t>
      </w:r>
    </w:p>
    <w:p w:rsidR="00B953F1" w:rsidRPr="00B953F1" w:rsidRDefault="00B953F1" w:rsidP="00B953F1">
      <w:pPr>
        <w:shd w:val="clear" w:color="auto" w:fill="FFFFFF"/>
        <w:spacing w:after="0" w:line="240" w:lineRule="auto"/>
        <w:jc w:val="both"/>
        <w:rPr>
          <w:rFonts w:ascii="Times New Roman" w:hAnsi="Times New Roman"/>
          <w:b/>
          <w:sz w:val="24"/>
          <w:szCs w:val="24"/>
        </w:rPr>
      </w:pPr>
      <w:r w:rsidRPr="00B953F1">
        <w:rPr>
          <w:rFonts w:ascii="Times New Roman" w:hAnsi="Times New Roman"/>
          <w:b/>
          <w:noProof/>
          <w:color w:val="0070C0"/>
          <w:sz w:val="24"/>
          <w:szCs w:val="24"/>
        </w:rPr>
        <w:lastRenderedPageBreak/>
        <w:drawing>
          <wp:inline distT="0" distB="0" distL="0" distR="0">
            <wp:extent cx="6086475" cy="2066925"/>
            <wp:effectExtent l="0" t="0" r="0" b="0"/>
            <wp:docPr id="8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953F1" w:rsidRPr="00B953F1" w:rsidRDefault="00B953F1" w:rsidP="00B953F1">
      <w:pPr>
        <w:spacing w:after="0" w:line="240" w:lineRule="auto"/>
        <w:jc w:val="both"/>
        <w:rPr>
          <w:rFonts w:ascii="Times New Roman" w:hAnsi="Times New Roman"/>
          <w:sz w:val="20"/>
          <w:szCs w:val="20"/>
        </w:rPr>
      </w:pPr>
      <w:r w:rsidRPr="00B953F1">
        <w:rPr>
          <w:rFonts w:ascii="Times New Roman" w:hAnsi="Times New Roman"/>
        </w:rPr>
        <w:t xml:space="preserve">        </w:t>
      </w:r>
      <w:r w:rsidRPr="00B953F1">
        <w:rPr>
          <w:rFonts w:ascii="Times New Roman" w:hAnsi="Times New Roman"/>
          <w:sz w:val="20"/>
          <w:szCs w:val="20"/>
        </w:rPr>
        <w:t>*- темп роста (спада) приведён к уточнённым данным соответствующего периода 2014 года, %</w:t>
      </w:r>
    </w:p>
    <w:p w:rsidR="00B953F1" w:rsidRPr="00B953F1" w:rsidRDefault="00B953F1" w:rsidP="00B953F1">
      <w:pPr>
        <w:shd w:val="clear" w:color="auto" w:fill="FFFFFF"/>
        <w:spacing w:after="0" w:line="240" w:lineRule="auto"/>
        <w:ind w:firstLine="709"/>
        <w:jc w:val="both"/>
        <w:rPr>
          <w:rFonts w:ascii="Times New Roman" w:hAnsi="Times New Roman"/>
          <w:b/>
          <w:sz w:val="24"/>
          <w:szCs w:val="24"/>
        </w:rPr>
      </w:pPr>
    </w:p>
    <w:p w:rsidR="00B953F1" w:rsidRPr="00B953F1" w:rsidRDefault="00B953F1" w:rsidP="00D25279">
      <w:pPr>
        <w:shd w:val="clear" w:color="auto" w:fill="FFFFFF"/>
        <w:spacing w:after="0" w:line="240" w:lineRule="auto"/>
        <w:ind w:firstLine="709"/>
        <w:jc w:val="both"/>
        <w:rPr>
          <w:rFonts w:ascii="Times New Roman" w:hAnsi="Times New Roman"/>
          <w:sz w:val="24"/>
          <w:szCs w:val="24"/>
        </w:rPr>
      </w:pPr>
      <w:r w:rsidRPr="00B953F1">
        <w:rPr>
          <w:rFonts w:ascii="Times New Roman" w:hAnsi="Times New Roman"/>
          <w:b/>
          <w:sz w:val="24"/>
          <w:szCs w:val="24"/>
        </w:rPr>
        <w:t xml:space="preserve">Растениеводство. </w:t>
      </w:r>
      <w:r w:rsidRPr="00B953F1">
        <w:rPr>
          <w:rFonts w:ascii="Times New Roman" w:hAnsi="Times New Roman"/>
          <w:sz w:val="24"/>
          <w:szCs w:val="24"/>
        </w:rPr>
        <w:t>По данным статистической отчетности вся посевная площадь озимых и яровых культур под урожай 2015 года в хозяйствах всех категорий (без учёта хозяйств населения) увеличилась на 3,2% по отношению к уровню 2014 года и составила 190,4 тыс. га. Площадь пашни по итогам сева озимых и яровых культур расширилась к аналогичному показателю 2014 года на</w:t>
      </w:r>
      <w:r w:rsidR="00D25279">
        <w:rPr>
          <w:rFonts w:ascii="Times New Roman" w:hAnsi="Times New Roman"/>
          <w:sz w:val="24"/>
          <w:szCs w:val="24"/>
        </w:rPr>
        <w:t xml:space="preserve"> 2,4% и достигла 204,4 тыс. га.</w:t>
      </w:r>
    </w:p>
    <w:p w:rsidR="00B953F1" w:rsidRPr="00B953F1" w:rsidRDefault="00B953F1" w:rsidP="00B953F1">
      <w:pPr>
        <w:shd w:val="clear" w:color="auto" w:fill="FFFFFF"/>
        <w:tabs>
          <w:tab w:val="left" w:pos="7797"/>
        </w:tabs>
        <w:spacing w:after="0" w:line="240" w:lineRule="auto"/>
        <w:ind w:firstLine="709"/>
        <w:jc w:val="right"/>
        <w:rPr>
          <w:rFonts w:ascii="Times New Roman" w:hAnsi="Times New Roman"/>
          <w:sz w:val="24"/>
          <w:szCs w:val="24"/>
        </w:rPr>
      </w:pPr>
      <w:r w:rsidRPr="00B953F1">
        <w:rPr>
          <w:rFonts w:ascii="Times New Roman" w:hAnsi="Times New Roman"/>
          <w:sz w:val="24"/>
          <w:szCs w:val="24"/>
        </w:rPr>
        <w:t>Таблица №</w:t>
      </w:r>
      <w:r w:rsidR="00B0566B">
        <w:rPr>
          <w:rFonts w:ascii="Times New Roman" w:hAnsi="Times New Roman"/>
          <w:sz w:val="24"/>
          <w:szCs w:val="24"/>
        </w:rPr>
        <w:t>10</w:t>
      </w:r>
      <w:r w:rsidRPr="00B953F1">
        <w:rPr>
          <w:rFonts w:ascii="Times New Roman" w:hAnsi="Times New Roman"/>
          <w:sz w:val="24"/>
          <w:szCs w:val="24"/>
        </w:rPr>
        <w:t xml:space="preserve"> </w:t>
      </w:r>
    </w:p>
    <w:p w:rsidR="00B953F1" w:rsidRPr="00B953F1" w:rsidRDefault="00B953F1" w:rsidP="00B953F1">
      <w:pPr>
        <w:spacing w:after="0" w:line="240" w:lineRule="auto"/>
        <w:jc w:val="center"/>
        <w:rPr>
          <w:rFonts w:ascii="Times New Roman" w:hAnsi="Times New Roman"/>
          <w:b/>
          <w:sz w:val="24"/>
          <w:szCs w:val="24"/>
        </w:rPr>
      </w:pPr>
      <w:r w:rsidRPr="00B953F1">
        <w:rPr>
          <w:rFonts w:ascii="Times New Roman" w:hAnsi="Times New Roman"/>
          <w:b/>
          <w:sz w:val="24"/>
          <w:szCs w:val="24"/>
        </w:rPr>
        <w:t xml:space="preserve">Посевные площади озимых и яровых культур под урожай 2015 года </w:t>
      </w:r>
    </w:p>
    <w:p w:rsidR="00B953F1" w:rsidRPr="00B953F1" w:rsidRDefault="00B953F1" w:rsidP="00B953F1">
      <w:pPr>
        <w:spacing w:after="0" w:line="240" w:lineRule="auto"/>
        <w:jc w:val="center"/>
        <w:rPr>
          <w:rFonts w:ascii="Times New Roman" w:hAnsi="Times New Roman"/>
          <w:b/>
          <w:sz w:val="24"/>
          <w:szCs w:val="24"/>
        </w:rPr>
      </w:pPr>
      <w:r w:rsidRPr="00B953F1">
        <w:rPr>
          <w:rFonts w:ascii="Times New Roman" w:hAnsi="Times New Roman"/>
          <w:b/>
          <w:sz w:val="24"/>
          <w:szCs w:val="24"/>
        </w:rPr>
        <w:t>в хозяйствах всех категорий (без учёта хозяйств населения)</w:t>
      </w:r>
    </w:p>
    <w:tbl>
      <w:tblPr>
        <w:tblW w:w="94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0"/>
        <w:gridCol w:w="977"/>
        <w:gridCol w:w="1287"/>
        <w:gridCol w:w="915"/>
        <w:gridCol w:w="6"/>
        <w:gridCol w:w="1351"/>
        <w:gridCol w:w="1435"/>
      </w:tblGrid>
      <w:tr w:rsidR="00B953F1" w:rsidRPr="00B953F1" w:rsidTr="00513069">
        <w:trPr>
          <w:trHeight w:val="258"/>
        </w:trPr>
        <w:tc>
          <w:tcPr>
            <w:tcW w:w="3430" w:type="dxa"/>
            <w:vMerge w:val="restart"/>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Культуры</w:t>
            </w:r>
          </w:p>
        </w:tc>
        <w:tc>
          <w:tcPr>
            <w:tcW w:w="4536" w:type="dxa"/>
            <w:gridSpan w:val="5"/>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Посевные площади, тыс. га</w:t>
            </w:r>
          </w:p>
        </w:tc>
        <w:tc>
          <w:tcPr>
            <w:tcW w:w="1435" w:type="dxa"/>
            <w:vMerge w:val="restart"/>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ind w:left="-141"/>
              <w:jc w:val="center"/>
              <w:rPr>
                <w:rFonts w:ascii="Times New Roman" w:hAnsi="Times New Roman"/>
                <w:b/>
                <w:bCs/>
                <w:sz w:val="21"/>
                <w:szCs w:val="21"/>
              </w:rPr>
            </w:pPr>
            <w:r w:rsidRPr="00513069">
              <w:rPr>
                <w:rFonts w:ascii="Times New Roman" w:hAnsi="Times New Roman"/>
                <w:b/>
                <w:bCs/>
                <w:sz w:val="21"/>
                <w:szCs w:val="21"/>
              </w:rPr>
              <w:t xml:space="preserve">Темп роста    2015 г. к </w:t>
            </w:r>
          </w:p>
          <w:p w:rsidR="00B953F1" w:rsidRPr="00513069" w:rsidRDefault="00B953F1" w:rsidP="00B953F1">
            <w:pPr>
              <w:tabs>
                <w:tab w:val="left" w:pos="4140"/>
                <w:tab w:val="left" w:pos="6173"/>
              </w:tabs>
              <w:spacing w:after="0" w:line="240" w:lineRule="auto"/>
              <w:ind w:left="-141"/>
              <w:jc w:val="center"/>
              <w:rPr>
                <w:rFonts w:ascii="Times New Roman" w:hAnsi="Times New Roman"/>
                <w:b/>
                <w:sz w:val="21"/>
                <w:szCs w:val="21"/>
              </w:rPr>
            </w:pPr>
            <w:r w:rsidRPr="00513069">
              <w:rPr>
                <w:rFonts w:ascii="Times New Roman" w:hAnsi="Times New Roman"/>
                <w:b/>
                <w:bCs/>
                <w:sz w:val="21"/>
                <w:szCs w:val="21"/>
              </w:rPr>
              <w:t>2014 г., %</w:t>
            </w:r>
          </w:p>
        </w:tc>
      </w:tr>
      <w:tr w:rsidR="00B953F1" w:rsidRPr="00B953F1" w:rsidTr="00513069">
        <w:trPr>
          <w:trHeight w:val="136"/>
        </w:trPr>
        <w:tc>
          <w:tcPr>
            <w:tcW w:w="3430" w:type="dxa"/>
            <w:vMerge/>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rPr>
                <w:rFonts w:ascii="Times New Roman" w:hAnsi="Times New Roman"/>
                <w:b/>
                <w:sz w:val="21"/>
                <w:szCs w:val="21"/>
              </w:rPr>
            </w:pP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ind w:left="-108"/>
              <w:jc w:val="center"/>
              <w:rPr>
                <w:rFonts w:ascii="Times New Roman" w:hAnsi="Times New Roman"/>
                <w:b/>
                <w:sz w:val="21"/>
                <w:szCs w:val="21"/>
              </w:rPr>
            </w:pPr>
            <w:r w:rsidRPr="00513069">
              <w:rPr>
                <w:rFonts w:ascii="Times New Roman" w:hAnsi="Times New Roman"/>
                <w:b/>
                <w:sz w:val="21"/>
                <w:szCs w:val="21"/>
              </w:rPr>
              <w:t xml:space="preserve">2014 </w:t>
            </w:r>
          </w:p>
          <w:p w:rsidR="00B953F1" w:rsidRPr="00513069" w:rsidRDefault="00B953F1" w:rsidP="00B953F1">
            <w:pPr>
              <w:tabs>
                <w:tab w:val="left" w:pos="4140"/>
                <w:tab w:val="left" w:pos="6173"/>
              </w:tabs>
              <w:spacing w:after="0" w:line="240" w:lineRule="auto"/>
              <w:ind w:left="-108"/>
              <w:jc w:val="center"/>
              <w:rPr>
                <w:rFonts w:ascii="Times New Roman" w:hAnsi="Times New Roman"/>
                <w:b/>
                <w:sz w:val="21"/>
                <w:szCs w:val="21"/>
              </w:rPr>
            </w:pPr>
            <w:r w:rsidRPr="00513069">
              <w:rPr>
                <w:rFonts w:ascii="Times New Roman" w:hAnsi="Times New Roman"/>
                <w:b/>
                <w:sz w:val="21"/>
                <w:szCs w:val="21"/>
              </w:rPr>
              <w:t>год</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Удельный вес, %</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ind w:left="-109"/>
              <w:jc w:val="center"/>
              <w:rPr>
                <w:rFonts w:ascii="Times New Roman" w:hAnsi="Times New Roman"/>
                <w:b/>
                <w:sz w:val="21"/>
                <w:szCs w:val="21"/>
              </w:rPr>
            </w:pPr>
            <w:r w:rsidRPr="00513069">
              <w:rPr>
                <w:rFonts w:ascii="Times New Roman" w:hAnsi="Times New Roman"/>
                <w:b/>
                <w:sz w:val="21"/>
                <w:szCs w:val="21"/>
              </w:rPr>
              <w:t>2015</w:t>
            </w:r>
          </w:p>
          <w:p w:rsidR="00B953F1" w:rsidRPr="00513069" w:rsidRDefault="00B953F1" w:rsidP="00B953F1">
            <w:pPr>
              <w:tabs>
                <w:tab w:val="left" w:pos="4140"/>
                <w:tab w:val="left" w:pos="6173"/>
              </w:tabs>
              <w:spacing w:after="0" w:line="240" w:lineRule="auto"/>
              <w:ind w:left="-109"/>
              <w:jc w:val="center"/>
              <w:rPr>
                <w:rFonts w:ascii="Times New Roman" w:hAnsi="Times New Roman"/>
                <w:b/>
                <w:sz w:val="21"/>
                <w:szCs w:val="21"/>
              </w:rPr>
            </w:pPr>
            <w:r w:rsidRPr="00513069">
              <w:rPr>
                <w:rFonts w:ascii="Times New Roman" w:hAnsi="Times New Roman"/>
                <w:b/>
                <w:sz w:val="21"/>
                <w:szCs w:val="21"/>
              </w:rPr>
              <w:t>год</w:t>
            </w:r>
          </w:p>
        </w:tc>
        <w:tc>
          <w:tcPr>
            <w:tcW w:w="1350"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Удельный вес, %</w:t>
            </w:r>
          </w:p>
        </w:tc>
        <w:tc>
          <w:tcPr>
            <w:tcW w:w="1435" w:type="dxa"/>
            <w:vMerge/>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120" w:line="480" w:lineRule="auto"/>
              <w:ind w:left="283"/>
              <w:rPr>
                <w:rFonts w:ascii="Times New Roman" w:hAnsi="Times New Roman"/>
                <w:b/>
                <w:sz w:val="21"/>
                <w:szCs w:val="21"/>
              </w:rPr>
            </w:pPr>
          </w:p>
        </w:tc>
      </w:tr>
      <w:tr w:rsidR="00B953F1" w:rsidRPr="00B953F1" w:rsidTr="00513069">
        <w:trPr>
          <w:trHeight w:val="136"/>
        </w:trPr>
        <w:tc>
          <w:tcPr>
            <w:tcW w:w="3430" w:type="dxa"/>
            <w:tcBorders>
              <w:top w:val="single" w:sz="4" w:space="0" w:color="auto"/>
              <w:left w:val="single" w:sz="4" w:space="0" w:color="auto"/>
              <w:bottom w:val="single" w:sz="4" w:space="0" w:color="auto"/>
              <w:right w:val="single" w:sz="4" w:space="0" w:color="auto"/>
            </w:tcBorders>
          </w:tcPr>
          <w:p w:rsidR="00B953F1" w:rsidRPr="00513069" w:rsidRDefault="00B953F1" w:rsidP="00B953F1">
            <w:pPr>
              <w:tabs>
                <w:tab w:val="left" w:pos="4140"/>
                <w:tab w:val="left" w:pos="6173"/>
              </w:tabs>
              <w:spacing w:after="0" w:line="240" w:lineRule="auto"/>
              <w:jc w:val="both"/>
              <w:rPr>
                <w:rFonts w:ascii="Times New Roman" w:hAnsi="Times New Roman"/>
                <w:sz w:val="21"/>
                <w:szCs w:val="21"/>
              </w:rPr>
            </w:pPr>
            <w:r w:rsidRPr="00513069">
              <w:rPr>
                <w:rFonts w:ascii="Times New Roman" w:hAnsi="Times New Roman"/>
                <w:sz w:val="21"/>
                <w:szCs w:val="21"/>
              </w:rPr>
              <w:t>Зерновые и зернобобовые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111,7</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60,5</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116,9</w:t>
            </w:r>
          </w:p>
        </w:tc>
        <w:tc>
          <w:tcPr>
            <w:tcW w:w="1350"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61,4</w:t>
            </w:r>
          </w:p>
        </w:tc>
        <w:tc>
          <w:tcPr>
            <w:tcW w:w="143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jc w:val="center"/>
              <w:rPr>
                <w:rFonts w:ascii="Times New Roman" w:hAnsi="Times New Roman"/>
                <w:sz w:val="21"/>
                <w:szCs w:val="21"/>
              </w:rPr>
            </w:pPr>
            <w:r w:rsidRPr="00513069">
              <w:rPr>
                <w:rFonts w:ascii="Times New Roman" w:hAnsi="Times New Roman"/>
                <w:sz w:val="21"/>
                <w:szCs w:val="21"/>
              </w:rPr>
              <w:t>104,7</w:t>
            </w:r>
          </w:p>
        </w:tc>
      </w:tr>
      <w:tr w:rsidR="00B953F1" w:rsidRPr="00B953F1" w:rsidTr="00513069">
        <w:trPr>
          <w:trHeight w:val="136"/>
        </w:trPr>
        <w:tc>
          <w:tcPr>
            <w:tcW w:w="3430" w:type="dxa"/>
            <w:tcBorders>
              <w:top w:val="single" w:sz="4" w:space="0" w:color="auto"/>
              <w:left w:val="single" w:sz="4" w:space="0" w:color="auto"/>
              <w:bottom w:val="single" w:sz="4" w:space="0" w:color="auto"/>
              <w:right w:val="single" w:sz="4" w:space="0" w:color="auto"/>
            </w:tcBorders>
          </w:tcPr>
          <w:p w:rsidR="00B953F1" w:rsidRPr="00513069" w:rsidRDefault="00B953F1" w:rsidP="00B953F1">
            <w:pPr>
              <w:tabs>
                <w:tab w:val="left" w:pos="4140"/>
                <w:tab w:val="left" w:pos="6173"/>
              </w:tabs>
              <w:spacing w:after="0" w:line="240" w:lineRule="auto"/>
              <w:jc w:val="both"/>
              <w:rPr>
                <w:rFonts w:ascii="Times New Roman" w:hAnsi="Times New Roman"/>
                <w:sz w:val="21"/>
                <w:szCs w:val="21"/>
              </w:rPr>
            </w:pPr>
            <w:r w:rsidRPr="00513069">
              <w:rPr>
                <w:rFonts w:ascii="Times New Roman" w:hAnsi="Times New Roman"/>
                <w:sz w:val="21"/>
                <w:szCs w:val="21"/>
              </w:rPr>
              <w:t>Технические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 xml:space="preserve">  62,2</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33,7</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63,4</w:t>
            </w:r>
          </w:p>
        </w:tc>
        <w:tc>
          <w:tcPr>
            <w:tcW w:w="1350"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33,3</w:t>
            </w:r>
          </w:p>
        </w:tc>
        <w:tc>
          <w:tcPr>
            <w:tcW w:w="143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jc w:val="center"/>
              <w:rPr>
                <w:rFonts w:ascii="Times New Roman" w:hAnsi="Times New Roman"/>
                <w:sz w:val="21"/>
                <w:szCs w:val="21"/>
              </w:rPr>
            </w:pPr>
            <w:r w:rsidRPr="00513069">
              <w:rPr>
                <w:rFonts w:ascii="Times New Roman" w:hAnsi="Times New Roman"/>
                <w:sz w:val="21"/>
                <w:szCs w:val="21"/>
              </w:rPr>
              <w:t>101,9</w:t>
            </w:r>
          </w:p>
        </w:tc>
      </w:tr>
      <w:tr w:rsidR="00B953F1" w:rsidRPr="00B953F1" w:rsidTr="00513069">
        <w:trPr>
          <w:trHeight w:val="136"/>
        </w:trPr>
        <w:tc>
          <w:tcPr>
            <w:tcW w:w="3430" w:type="dxa"/>
            <w:tcBorders>
              <w:top w:val="single" w:sz="4" w:space="0" w:color="auto"/>
              <w:left w:val="single" w:sz="4" w:space="0" w:color="auto"/>
              <w:bottom w:val="single" w:sz="4" w:space="0" w:color="auto"/>
              <w:right w:val="single" w:sz="4" w:space="0" w:color="auto"/>
            </w:tcBorders>
          </w:tcPr>
          <w:p w:rsidR="00B953F1" w:rsidRPr="00513069" w:rsidRDefault="00B953F1" w:rsidP="00B953F1">
            <w:pPr>
              <w:tabs>
                <w:tab w:val="left" w:pos="4140"/>
                <w:tab w:val="left" w:pos="6173"/>
              </w:tabs>
              <w:spacing w:after="0" w:line="240" w:lineRule="auto"/>
              <w:jc w:val="both"/>
              <w:rPr>
                <w:rFonts w:ascii="Times New Roman" w:hAnsi="Times New Roman"/>
                <w:sz w:val="21"/>
                <w:szCs w:val="21"/>
              </w:rPr>
            </w:pPr>
            <w:r w:rsidRPr="00513069">
              <w:rPr>
                <w:rFonts w:ascii="Times New Roman" w:hAnsi="Times New Roman"/>
                <w:sz w:val="21"/>
                <w:szCs w:val="21"/>
              </w:rPr>
              <w:t>Картофель, овощи и бахчевые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ind w:left="-44" w:hanging="82"/>
              <w:jc w:val="center"/>
              <w:rPr>
                <w:rFonts w:ascii="Times New Roman" w:hAnsi="Times New Roman"/>
                <w:sz w:val="21"/>
                <w:szCs w:val="21"/>
              </w:rPr>
            </w:pPr>
            <w:r w:rsidRPr="00513069">
              <w:rPr>
                <w:rFonts w:ascii="Times New Roman" w:hAnsi="Times New Roman"/>
                <w:sz w:val="21"/>
                <w:szCs w:val="21"/>
              </w:rPr>
              <w:t>3,9</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ind w:left="-68"/>
              <w:jc w:val="center"/>
              <w:rPr>
                <w:rFonts w:ascii="Times New Roman" w:hAnsi="Times New Roman"/>
                <w:sz w:val="21"/>
                <w:szCs w:val="21"/>
              </w:rPr>
            </w:pPr>
            <w:r w:rsidRPr="00513069">
              <w:rPr>
                <w:rFonts w:ascii="Times New Roman" w:hAnsi="Times New Roman"/>
                <w:sz w:val="21"/>
                <w:szCs w:val="21"/>
              </w:rPr>
              <w:t>2,1</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2,2</w:t>
            </w:r>
          </w:p>
        </w:tc>
        <w:tc>
          <w:tcPr>
            <w:tcW w:w="1350"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ind w:left="-44" w:hanging="138"/>
              <w:jc w:val="center"/>
              <w:rPr>
                <w:rFonts w:ascii="Times New Roman" w:hAnsi="Times New Roman"/>
                <w:sz w:val="21"/>
                <w:szCs w:val="21"/>
              </w:rPr>
            </w:pPr>
            <w:r w:rsidRPr="00513069">
              <w:rPr>
                <w:rFonts w:ascii="Times New Roman" w:hAnsi="Times New Roman"/>
                <w:sz w:val="21"/>
                <w:szCs w:val="21"/>
              </w:rPr>
              <w:t>1,2</w:t>
            </w:r>
          </w:p>
        </w:tc>
        <w:tc>
          <w:tcPr>
            <w:tcW w:w="143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jc w:val="center"/>
              <w:rPr>
                <w:rFonts w:ascii="Times New Roman" w:hAnsi="Times New Roman"/>
                <w:sz w:val="21"/>
                <w:szCs w:val="21"/>
              </w:rPr>
            </w:pPr>
            <w:r w:rsidRPr="00513069">
              <w:rPr>
                <w:rFonts w:ascii="Times New Roman" w:hAnsi="Times New Roman"/>
                <w:sz w:val="21"/>
                <w:szCs w:val="21"/>
              </w:rPr>
              <w:t>56,4</w:t>
            </w:r>
          </w:p>
        </w:tc>
      </w:tr>
      <w:tr w:rsidR="00B953F1" w:rsidRPr="00B953F1" w:rsidTr="00513069">
        <w:trPr>
          <w:trHeight w:val="136"/>
        </w:trPr>
        <w:tc>
          <w:tcPr>
            <w:tcW w:w="3430" w:type="dxa"/>
            <w:tcBorders>
              <w:top w:val="single" w:sz="4" w:space="0" w:color="auto"/>
              <w:left w:val="single" w:sz="4" w:space="0" w:color="auto"/>
              <w:bottom w:val="single" w:sz="4" w:space="0" w:color="auto"/>
              <w:right w:val="single" w:sz="4" w:space="0" w:color="auto"/>
            </w:tcBorders>
          </w:tcPr>
          <w:p w:rsidR="00B953F1" w:rsidRPr="00513069" w:rsidRDefault="00B953F1" w:rsidP="00B953F1">
            <w:pPr>
              <w:tabs>
                <w:tab w:val="left" w:pos="4140"/>
                <w:tab w:val="left" w:pos="6173"/>
              </w:tabs>
              <w:spacing w:after="0" w:line="240" w:lineRule="auto"/>
              <w:jc w:val="both"/>
              <w:rPr>
                <w:rFonts w:ascii="Times New Roman" w:hAnsi="Times New Roman"/>
                <w:sz w:val="21"/>
                <w:szCs w:val="21"/>
              </w:rPr>
            </w:pPr>
            <w:r w:rsidRPr="00513069">
              <w:rPr>
                <w:rFonts w:ascii="Times New Roman" w:hAnsi="Times New Roman"/>
                <w:sz w:val="21"/>
                <w:szCs w:val="21"/>
              </w:rPr>
              <w:t>Кормовые культуры</w:t>
            </w: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6,8</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3,7</w:t>
            </w:r>
          </w:p>
        </w:tc>
        <w:tc>
          <w:tcPr>
            <w:tcW w:w="91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7,9</w:t>
            </w:r>
          </w:p>
        </w:tc>
        <w:tc>
          <w:tcPr>
            <w:tcW w:w="1357"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sz w:val="21"/>
                <w:szCs w:val="21"/>
              </w:rPr>
            </w:pPr>
            <w:r w:rsidRPr="00513069">
              <w:rPr>
                <w:rFonts w:ascii="Times New Roman" w:hAnsi="Times New Roman"/>
                <w:sz w:val="21"/>
                <w:szCs w:val="21"/>
              </w:rPr>
              <w:t>4,1</w:t>
            </w:r>
          </w:p>
        </w:tc>
        <w:tc>
          <w:tcPr>
            <w:tcW w:w="143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jc w:val="center"/>
              <w:rPr>
                <w:rFonts w:ascii="Times New Roman" w:hAnsi="Times New Roman"/>
                <w:sz w:val="21"/>
                <w:szCs w:val="21"/>
              </w:rPr>
            </w:pPr>
            <w:r w:rsidRPr="00513069">
              <w:rPr>
                <w:rFonts w:ascii="Times New Roman" w:hAnsi="Times New Roman"/>
                <w:sz w:val="21"/>
                <w:szCs w:val="21"/>
              </w:rPr>
              <w:t>116,2</w:t>
            </w:r>
          </w:p>
        </w:tc>
      </w:tr>
      <w:tr w:rsidR="00B953F1" w:rsidRPr="00B953F1" w:rsidTr="00513069">
        <w:trPr>
          <w:trHeight w:val="136"/>
        </w:trPr>
        <w:tc>
          <w:tcPr>
            <w:tcW w:w="3430"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rPr>
                <w:rFonts w:ascii="Times New Roman" w:hAnsi="Times New Roman"/>
                <w:b/>
                <w:sz w:val="21"/>
                <w:szCs w:val="21"/>
              </w:rPr>
            </w:pPr>
            <w:r w:rsidRPr="00513069">
              <w:rPr>
                <w:rFonts w:ascii="Times New Roman" w:hAnsi="Times New Roman"/>
                <w:b/>
                <w:sz w:val="21"/>
                <w:szCs w:val="21"/>
              </w:rPr>
              <w:t>Вся посевная площадь</w:t>
            </w: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184,6</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100,0</w:t>
            </w:r>
          </w:p>
        </w:tc>
        <w:tc>
          <w:tcPr>
            <w:tcW w:w="91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190,4</w:t>
            </w:r>
          </w:p>
        </w:tc>
        <w:tc>
          <w:tcPr>
            <w:tcW w:w="1357"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100,0</w:t>
            </w:r>
          </w:p>
        </w:tc>
        <w:tc>
          <w:tcPr>
            <w:tcW w:w="143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jc w:val="center"/>
              <w:rPr>
                <w:rFonts w:ascii="Times New Roman" w:hAnsi="Times New Roman"/>
                <w:b/>
                <w:sz w:val="21"/>
                <w:szCs w:val="21"/>
              </w:rPr>
            </w:pPr>
            <w:r w:rsidRPr="00513069">
              <w:rPr>
                <w:rFonts w:ascii="Times New Roman" w:hAnsi="Times New Roman"/>
                <w:b/>
                <w:sz w:val="21"/>
                <w:szCs w:val="21"/>
              </w:rPr>
              <w:t>103,2</w:t>
            </w:r>
          </w:p>
        </w:tc>
      </w:tr>
      <w:tr w:rsidR="00B953F1" w:rsidRPr="00B953F1" w:rsidTr="00513069">
        <w:trPr>
          <w:trHeight w:val="136"/>
        </w:trPr>
        <w:tc>
          <w:tcPr>
            <w:tcW w:w="3430" w:type="dxa"/>
            <w:tcBorders>
              <w:top w:val="single" w:sz="4" w:space="0" w:color="auto"/>
              <w:left w:val="single" w:sz="4" w:space="0" w:color="auto"/>
              <w:bottom w:val="single" w:sz="4" w:space="0" w:color="auto"/>
              <w:right w:val="single" w:sz="4" w:space="0" w:color="auto"/>
            </w:tcBorders>
          </w:tcPr>
          <w:p w:rsidR="00B953F1" w:rsidRPr="00513069" w:rsidRDefault="00B953F1" w:rsidP="00B953F1">
            <w:pPr>
              <w:tabs>
                <w:tab w:val="left" w:pos="4140"/>
                <w:tab w:val="left" w:pos="6173"/>
              </w:tabs>
              <w:spacing w:after="0" w:line="240" w:lineRule="auto"/>
              <w:rPr>
                <w:rFonts w:ascii="Times New Roman" w:hAnsi="Times New Roman"/>
                <w:b/>
                <w:sz w:val="21"/>
                <w:szCs w:val="21"/>
              </w:rPr>
            </w:pPr>
            <w:r w:rsidRPr="00513069">
              <w:rPr>
                <w:rFonts w:ascii="Times New Roman" w:hAnsi="Times New Roman"/>
                <w:b/>
                <w:sz w:val="21"/>
                <w:szCs w:val="21"/>
              </w:rPr>
              <w:t>Площадь пашни</w:t>
            </w:r>
          </w:p>
        </w:tc>
        <w:tc>
          <w:tcPr>
            <w:tcW w:w="97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199,7</w:t>
            </w:r>
          </w:p>
        </w:tc>
        <w:tc>
          <w:tcPr>
            <w:tcW w:w="1287"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204,4</w:t>
            </w:r>
          </w:p>
        </w:tc>
        <w:tc>
          <w:tcPr>
            <w:tcW w:w="1350"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tabs>
                <w:tab w:val="left" w:pos="4140"/>
                <w:tab w:val="left" w:pos="6173"/>
              </w:tabs>
              <w:spacing w:after="0" w:line="240" w:lineRule="auto"/>
              <w:jc w:val="center"/>
              <w:rPr>
                <w:rFonts w:ascii="Times New Roman" w:hAnsi="Times New Roman"/>
                <w:b/>
                <w:sz w:val="21"/>
                <w:szCs w:val="21"/>
              </w:rPr>
            </w:pPr>
            <w:r w:rsidRPr="00513069">
              <w:rPr>
                <w:rFonts w:ascii="Times New Roman" w:hAnsi="Times New Roman"/>
                <w:b/>
                <w:sz w:val="21"/>
                <w:szCs w:val="21"/>
              </w:rPr>
              <w:t>-</w:t>
            </w:r>
          </w:p>
        </w:tc>
        <w:tc>
          <w:tcPr>
            <w:tcW w:w="1435" w:type="dxa"/>
            <w:tcBorders>
              <w:top w:val="single" w:sz="4" w:space="0" w:color="auto"/>
              <w:left w:val="single" w:sz="4" w:space="0" w:color="auto"/>
              <w:bottom w:val="single" w:sz="4" w:space="0" w:color="auto"/>
              <w:right w:val="single" w:sz="4" w:space="0" w:color="auto"/>
            </w:tcBorders>
            <w:vAlign w:val="center"/>
          </w:tcPr>
          <w:p w:rsidR="00B953F1" w:rsidRPr="00513069" w:rsidRDefault="00B953F1" w:rsidP="00B953F1">
            <w:pPr>
              <w:spacing w:after="0" w:line="240" w:lineRule="auto"/>
              <w:jc w:val="center"/>
              <w:rPr>
                <w:rFonts w:ascii="Times New Roman" w:hAnsi="Times New Roman"/>
                <w:b/>
                <w:sz w:val="21"/>
                <w:szCs w:val="21"/>
              </w:rPr>
            </w:pPr>
            <w:r w:rsidRPr="00513069">
              <w:rPr>
                <w:rFonts w:ascii="Times New Roman" w:hAnsi="Times New Roman"/>
                <w:b/>
                <w:sz w:val="21"/>
                <w:szCs w:val="21"/>
              </w:rPr>
              <w:t>102,4</w:t>
            </w:r>
          </w:p>
        </w:tc>
      </w:tr>
    </w:tbl>
    <w:p w:rsidR="00B953F1" w:rsidRPr="00B953F1" w:rsidRDefault="00B953F1" w:rsidP="00B953F1">
      <w:pPr>
        <w:spacing w:after="0" w:line="240" w:lineRule="auto"/>
        <w:ind w:firstLine="709"/>
        <w:jc w:val="both"/>
        <w:rPr>
          <w:rFonts w:ascii="Times New Roman" w:hAnsi="Times New Roman"/>
          <w:sz w:val="24"/>
          <w:szCs w:val="24"/>
        </w:rPr>
      </w:pPr>
    </w:p>
    <w:p w:rsidR="00B953F1" w:rsidRPr="00B953F1" w:rsidRDefault="00B953F1" w:rsidP="00B953F1">
      <w:pPr>
        <w:tabs>
          <w:tab w:val="left" w:pos="8080"/>
        </w:tabs>
        <w:spacing w:after="0" w:line="240" w:lineRule="auto"/>
        <w:ind w:right="-1" w:firstLine="709"/>
        <w:jc w:val="both"/>
        <w:rPr>
          <w:rFonts w:ascii="Times New Roman" w:hAnsi="Times New Roman"/>
          <w:sz w:val="24"/>
          <w:szCs w:val="24"/>
        </w:rPr>
      </w:pPr>
      <w:r w:rsidRPr="00B953F1">
        <w:rPr>
          <w:rFonts w:ascii="Times New Roman" w:hAnsi="Times New Roman"/>
          <w:sz w:val="24"/>
          <w:szCs w:val="24"/>
        </w:rPr>
        <w:t xml:space="preserve">В аграрном секторе республики в </w:t>
      </w:r>
      <w:r w:rsidRPr="00B953F1">
        <w:rPr>
          <w:rFonts w:ascii="Times New Roman" w:hAnsi="Times New Roman"/>
          <w:sz w:val="24"/>
          <w:szCs w:val="24"/>
          <w:lang w:val="en-US"/>
        </w:rPr>
        <w:t>I</w:t>
      </w:r>
      <w:r w:rsidRPr="00B953F1">
        <w:rPr>
          <w:rFonts w:ascii="Times New Roman" w:hAnsi="Times New Roman"/>
          <w:sz w:val="24"/>
          <w:szCs w:val="24"/>
        </w:rPr>
        <w:t xml:space="preserve"> полугодии 2015 года основная работа сельскохозяйственных производителей была направлена на проведение весенне-полевых работ, а также на уборку урожая зерновых и зернобобовых культур первой группы.</w:t>
      </w:r>
    </w:p>
    <w:p w:rsidR="00B953F1" w:rsidRPr="00B953F1" w:rsidRDefault="00B953F1" w:rsidP="00B953F1">
      <w:pPr>
        <w:spacing w:after="0" w:line="240" w:lineRule="auto"/>
        <w:ind w:firstLine="709"/>
        <w:jc w:val="both"/>
        <w:rPr>
          <w:rFonts w:ascii="Times New Roman" w:hAnsi="Times New Roman"/>
          <w:sz w:val="24"/>
          <w:szCs w:val="24"/>
        </w:rPr>
      </w:pPr>
      <w:r w:rsidRPr="00B953F1">
        <w:rPr>
          <w:rFonts w:ascii="Times New Roman" w:hAnsi="Times New Roman"/>
          <w:sz w:val="24"/>
          <w:szCs w:val="24"/>
        </w:rPr>
        <w:t xml:space="preserve">По оперативным данным Министерства сельского хозяйства и природных ресурсов Приднестровской Молдавской Республики, валовой сбор зерновых и зернобобовых культур первой группы по состоянию на 14 августа 2015 года достиг 328,4 тыс. тонн, в том числе озимой пшеницы – 263,2 тыс. тонн, что составляет 96,8% и 99,5% к аналогичной дате 2014 года. Средняя урожайность зерновых и зернобобовых культур первой группы составила 35,4 ц/га, озимой пшеницы – 37,8 ц/га против 40,6 ц/га и </w:t>
      </w:r>
      <w:r w:rsidRPr="00B953F1">
        <w:rPr>
          <w:rFonts w:ascii="Times New Roman" w:hAnsi="Times New Roman"/>
          <w:sz w:val="24"/>
          <w:szCs w:val="24"/>
        </w:rPr>
        <w:br/>
        <w:t>в 2014 году соответственно. Полученный объем продовольственной пшеницы позволяет полностью удовлетворить потребность республики в хлебе и обеспечить наличие переходящих запасов зерна.</w:t>
      </w:r>
    </w:p>
    <w:p w:rsidR="00B953F1" w:rsidRPr="00B953F1" w:rsidRDefault="00B953F1" w:rsidP="00B953F1">
      <w:pPr>
        <w:shd w:val="clear" w:color="auto" w:fill="FFFFFF"/>
        <w:tabs>
          <w:tab w:val="left" w:pos="7655"/>
        </w:tabs>
        <w:spacing w:after="0" w:line="240" w:lineRule="auto"/>
        <w:ind w:firstLine="709"/>
        <w:jc w:val="right"/>
        <w:rPr>
          <w:rFonts w:ascii="Times New Roman" w:hAnsi="Times New Roman"/>
          <w:sz w:val="24"/>
          <w:szCs w:val="24"/>
        </w:rPr>
      </w:pPr>
      <w:r w:rsidRPr="00B953F1">
        <w:rPr>
          <w:rFonts w:ascii="Times New Roman" w:hAnsi="Times New Roman"/>
          <w:sz w:val="24"/>
          <w:szCs w:val="24"/>
        </w:rPr>
        <w:t>Таблица №</w:t>
      </w:r>
      <w:r w:rsidR="00B0566B">
        <w:rPr>
          <w:rFonts w:ascii="Times New Roman" w:hAnsi="Times New Roman"/>
          <w:sz w:val="24"/>
          <w:szCs w:val="24"/>
        </w:rPr>
        <w:t>11</w:t>
      </w:r>
      <w:r w:rsidRPr="00B953F1">
        <w:rPr>
          <w:rFonts w:ascii="Times New Roman" w:hAnsi="Times New Roman"/>
          <w:sz w:val="24"/>
          <w:szCs w:val="24"/>
        </w:rPr>
        <w:t xml:space="preserve"> </w:t>
      </w:r>
    </w:p>
    <w:p w:rsidR="00B953F1" w:rsidRPr="00B953F1" w:rsidRDefault="00B953F1" w:rsidP="00494A9C">
      <w:pPr>
        <w:suppressAutoHyphens/>
        <w:spacing w:after="0" w:line="240" w:lineRule="auto"/>
        <w:jc w:val="center"/>
        <w:rPr>
          <w:rFonts w:ascii="Times New Roman" w:hAnsi="Times New Roman"/>
          <w:b/>
          <w:sz w:val="24"/>
          <w:szCs w:val="24"/>
        </w:rPr>
      </w:pPr>
      <w:r w:rsidRPr="00B953F1">
        <w:rPr>
          <w:rFonts w:ascii="Times New Roman" w:hAnsi="Times New Roman"/>
          <w:b/>
          <w:sz w:val="24"/>
          <w:szCs w:val="24"/>
        </w:rPr>
        <w:t>Оперативная информация о валовом сборе зерновых и зернобобовых культур</w:t>
      </w:r>
      <w:r w:rsidR="00494A9C">
        <w:rPr>
          <w:rFonts w:ascii="Times New Roman" w:hAnsi="Times New Roman"/>
          <w:b/>
          <w:sz w:val="24"/>
          <w:szCs w:val="24"/>
        </w:rPr>
        <w:t xml:space="preserve"> </w:t>
      </w:r>
      <w:r w:rsidRPr="00B953F1">
        <w:rPr>
          <w:rFonts w:ascii="Times New Roman" w:hAnsi="Times New Roman"/>
          <w:b/>
          <w:sz w:val="24"/>
          <w:szCs w:val="24"/>
        </w:rPr>
        <w:t>первой группы всеми категориями хозяйств ПМР по состоянию на 14 августа 2015 года</w:t>
      </w:r>
    </w:p>
    <w:tbl>
      <w:tblPr>
        <w:tblW w:w="9372" w:type="dxa"/>
        <w:tblInd w:w="250" w:type="dxa"/>
        <w:tblLayout w:type="fixed"/>
        <w:tblLook w:val="0000"/>
      </w:tblPr>
      <w:tblGrid>
        <w:gridCol w:w="2757"/>
        <w:gridCol w:w="1218"/>
        <w:gridCol w:w="994"/>
        <w:gridCol w:w="1136"/>
        <w:gridCol w:w="1136"/>
        <w:gridCol w:w="994"/>
        <w:gridCol w:w="1137"/>
      </w:tblGrid>
      <w:tr w:rsidR="00B953F1" w:rsidRPr="00B953F1" w:rsidTr="008C7AFF">
        <w:trPr>
          <w:trHeight w:val="273"/>
        </w:trPr>
        <w:tc>
          <w:tcPr>
            <w:tcW w:w="27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53F1" w:rsidRPr="00CE1DEA" w:rsidRDefault="00B953F1" w:rsidP="00B953F1">
            <w:pPr>
              <w:spacing w:after="0" w:line="240" w:lineRule="auto"/>
              <w:jc w:val="center"/>
              <w:rPr>
                <w:rFonts w:ascii="Times New Roman" w:hAnsi="Times New Roman"/>
                <w:b/>
                <w:bCs/>
              </w:rPr>
            </w:pPr>
            <w:r w:rsidRPr="00CE1DEA">
              <w:rPr>
                <w:rFonts w:ascii="Times New Roman" w:hAnsi="Times New Roman"/>
                <w:b/>
                <w:bCs/>
              </w:rPr>
              <w:t>Культуры</w:t>
            </w: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jc w:val="center"/>
              <w:rPr>
                <w:rFonts w:ascii="Times New Roman" w:hAnsi="Times New Roman"/>
                <w:b/>
                <w:bCs/>
              </w:rPr>
            </w:pPr>
            <w:r w:rsidRPr="00CE1DEA">
              <w:rPr>
                <w:rFonts w:ascii="Times New Roman" w:hAnsi="Times New Roman"/>
                <w:b/>
                <w:bCs/>
              </w:rPr>
              <w:t>Валовой сбор, тыс. тонн</w:t>
            </w:r>
          </w:p>
        </w:tc>
        <w:tc>
          <w:tcPr>
            <w:tcW w:w="3266" w:type="dxa"/>
            <w:gridSpan w:val="3"/>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ind w:left="-288"/>
              <w:jc w:val="center"/>
              <w:rPr>
                <w:rFonts w:ascii="Times New Roman" w:hAnsi="Times New Roman"/>
                <w:b/>
                <w:bCs/>
              </w:rPr>
            </w:pPr>
            <w:r w:rsidRPr="00CE1DEA">
              <w:rPr>
                <w:rFonts w:ascii="Times New Roman" w:hAnsi="Times New Roman"/>
                <w:b/>
                <w:bCs/>
              </w:rPr>
              <w:t>Средняя урожайность, ц/га</w:t>
            </w:r>
          </w:p>
        </w:tc>
      </w:tr>
      <w:tr w:rsidR="00B953F1" w:rsidRPr="00B953F1" w:rsidTr="008C7AFF">
        <w:trPr>
          <w:trHeight w:val="803"/>
        </w:trPr>
        <w:tc>
          <w:tcPr>
            <w:tcW w:w="2757" w:type="dxa"/>
            <w:vMerge/>
            <w:tcBorders>
              <w:top w:val="single" w:sz="4" w:space="0" w:color="auto"/>
              <w:left w:val="single" w:sz="4" w:space="0" w:color="auto"/>
              <w:bottom w:val="single" w:sz="4" w:space="0" w:color="auto"/>
              <w:right w:val="single" w:sz="4" w:space="0" w:color="auto"/>
            </w:tcBorders>
            <w:vAlign w:val="center"/>
          </w:tcPr>
          <w:p w:rsidR="00B953F1" w:rsidRPr="00CE1DEA" w:rsidRDefault="00B953F1" w:rsidP="00B953F1">
            <w:pPr>
              <w:spacing w:after="0" w:line="240" w:lineRule="auto"/>
              <w:rPr>
                <w:rFonts w:ascii="Times New Roman" w:hAnsi="Times New Roman"/>
                <w:b/>
                <w:bCs/>
              </w:rPr>
            </w:pPr>
          </w:p>
        </w:tc>
        <w:tc>
          <w:tcPr>
            <w:tcW w:w="1218" w:type="dxa"/>
            <w:tcBorders>
              <w:top w:val="nil"/>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ind w:left="-288"/>
              <w:jc w:val="center"/>
              <w:rPr>
                <w:rFonts w:ascii="Times New Roman" w:hAnsi="Times New Roman"/>
                <w:b/>
                <w:bCs/>
              </w:rPr>
            </w:pPr>
            <w:r w:rsidRPr="00CE1DEA">
              <w:rPr>
                <w:rFonts w:ascii="Times New Roman" w:hAnsi="Times New Roman"/>
                <w:b/>
                <w:bCs/>
              </w:rPr>
              <w:t xml:space="preserve">2014  </w:t>
            </w:r>
          </w:p>
          <w:p w:rsidR="00B953F1" w:rsidRPr="00CE1DEA" w:rsidRDefault="00B953F1" w:rsidP="00B953F1">
            <w:pPr>
              <w:spacing w:after="0" w:line="240" w:lineRule="auto"/>
              <w:ind w:left="-288"/>
              <w:jc w:val="center"/>
              <w:rPr>
                <w:rFonts w:ascii="Times New Roman" w:hAnsi="Times New Roman"/>
                <w:b/>
                <w:bCs/>
              </w:rPr>
            </w:pPr>
            <w:r w:rsidRPr="00CE1DEA">
              <w:rPr>
                <w:rFonts w:ascii="Times New Roman" w:hAnsi="Times New Roman"/>
                <w:b/>
                <w:bCs/>
              </w:rPr>
              <w:t>год</w:t>
            </w:r>
          </w:p>
        </w:tc>
        <w:tc>
          <w:tcPr>
            <w:tcW w:w="994" w:type="dxa"/>
            <w:tcBorders>
              <w:top w:val="nil"/>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ind w:left="-288"/>
              <w:jc w:val="center"/>
              <w:rPr>
                <w:rFonts w:ascii="Times New Roman" w:hAnsi="Times New Roman"/>
                <w:b/>
                <w:bCs/>
              </w:rPr>
            </w:pPr>
            <w:r w:rsidRPr="00CE1DEA">
              <w:rPr>
                <w:rFonts w:ascii="Times New Roman" w:hAnsi="Times New Roman"/>
                <w:b/>
                <w:bCs/>
              </w:rPr>
              <w:t xml:space="preserve">2015  </w:t>
            </w:r>
          </w:p>
          <w:p w:rsidR="00B953F1" w:rsidRPr="00CE1DEA" w:rsidRDefault="00B953F1" w:rsidP="00B953F1">
            <w:pPr>
              <w:spacing w:after="0" w:line="240" w:lineRule="auto"/>
              <w:ind w:left="-288"/>
              <w:jc w:val="center"/>
              <w:rPr>
                <w:rFonts w:ascii="Times New Roman" w:hAnsi="Times New Roman"/>
                <w:b/>
                <w:bCs/>
              </w:rPr>
            </w:pPr>
            <w:r w:rsidRPr="00CE1DEA">
              <w:rPr>
                <w:rFonts w:ascii="Times New Roman" w:hAnsi="Times New Roman"/>
                <w:b/>
                <w:bCs/>
              </w:rPr>
              <w:t>год</w:t>
            </w:r>
          </w:p>
        </w:tc>
        <w:tc>
          <w:tcPr>
            <w:tcW w:w="1136" w:type="dxa"/>
            <w:tcBorders>
              <w:top w:val="nil"/>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ind w:left="-108"/>
              <w:jc w:val="center"/>
              <w:rPr>
                <w:rFonts w:ascii="Times New Roman" w:hAnsi="Times New Roman"/>
                <w:b/>
                <w:bCs/>
              </w:rPr>
            </w:pPr>
            <w:r w:rsidRPr="00CE1DEA">
              <w:rPr>
                <w:rFonts w:ascii="Times New Roman" w:hAnsi="Times New Roman"/>
                <w:b/>
                <w:bCs/>
              </w:rPr>
              <w:t xml:space="preserve">Темп роста </w:t>
            </w:r>
          </w:p>
          <w:p w:rsidR="00B953F1" w:rsidRPr="00CE1DEA" w:rsidRDefault="00B953F1" w:rsidP="00B953F1">
            <w:pPr>
              <w:spacing w:after="0" w:line="240" w:lineRule="auto"/>
              <w:ind w:left="-108"/>
              <w:jc w:val="center"/>
              <w:rPr>
                <w:rFonts w:ascii="Times New Roman" w:hAnsi="Times New Roman"/>
                <w:b/>
                <w:bCs/>
              </w:rPr>
            </w:pPr>
            <w:r w:rsidRPr="00CE1DEA">
              <w:rPr>
                <w:rFonts w:ascii="Times New Roman" w:hAnsi="Times New Roman"/>
                <w:b/>
                <w:bCs/>
              </w:rPr>
              <w:t xml:space="preserve">в % к </w:t>
            </w:r>
          </w:p>
          <w:p w:rsidR="00B953F1" w:rsidRPr="00CE1DEA" w:rsidRDefault="00B953F1" w:rsidP="00B953F1">
            <w:pPr>
              <w:spacing w:after="0" w:line="240" w:lineRule="auto"/>
              <w:jc w:val="center"/>
              <w:rPr>
                <w:rFonts w:ascii="Times New Roman" w:hAnsi="Times New Roman"/>
                <w:b/>
                <w:bCs/>
              </w:rPr>
            </w:pPr>
            <w:r w:rsidRPr="00CE1DEA">
              <w:rPr>
                <w:rFonts w:ascii="Times New Roman" w:hAnsi="Times New Roman"/>
                <w:b/>
                <w:bCs/>
              </w:rPr>
              <w:t>2014 г.*</w:t>
            </w:r>
          </w:p>
        </w:tc>
        <w:tc>
          <w:tcPr>
            <w:tcW w:w="1136" w:type="dxa"/>
            <w:tcBorders>
              <w:top w:val="nil"/>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jc w:val="center"/>
              <w:rPr>
                <w:rFonts w:ascii="Times New Roman" w:hAnsi="Times New Roman"/>
                <w:b/>
                <w:bCs/>
              </w:rPr>
            </w:pPr>
            <w:r w:rsidRPr="00CE1DEA">
              <w:rPr>
                <w:rFonts w:ascii="Times New Roman" w:hAnsi="Times New Roman"/>
                <w:b/>
                <w:bCs/>
              </w:rPr>
              <w:t xml:space="preserve">2014 </w:t>
            </w:r>
          </w:p>
          <w:p w:rsidR="00B953F1" w:rsidRPr="00CE1DEA" w:rsidRDefault="00B953F1" w:rsidP="00B953F1">
            <w:pPr>
              <w:spacing w:after="0" w:line="240" w:lineRule="auto"/>
              <w:jc w:val="center"/>
              <w:rPr>
                <w:rFonts w:ascii="Times New Roman" w:hAnsi="Times New Roman"/>
                <w:b/>
                <w:bCs/>
              </w:rPr>
            </w:pPr>
            <w:r w:rsidRPr="00CE1DEA">
              <w:rPr>
                <w:rFonts w:ascii="Times New Roman" w:hAnsi="Times New Roman"/>
                <w:b/>
                <w:bCs/>
              </w:rPr>
              <w:t>год</w:t>
            </w:r>
          </w:p>
        </w:tc>
        <w:tc>
          <w:tcPr>
            <w:tcW w:w="994" w:type="dxa"/>
            <w:tcBorders>
              <w:top w:val="nil"/>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ind w:right="224"/>
              <w:jc w:val="center"/>
              <w:rPr>
                <w:rFonts w:ascii="Times New Roman" w:hAnsi="Times New Roman"/>
                <w:b/>
                <w:bCs/>
              </w:rPr>
            </w:pPr>
            <w:r w:rsidRPr="00CE1DEA">
              <w:rPr>
                <w:rFonts w:ascii="Times New Roman" w:hAnsi="Times New Roman"/>
                <w:b/>
                <w:bCs/>
              </w:rPr>
              <w:t xml:space="preserve">2015 год </w:t>
            </w:r>
          </w:p>
        </w:tc>
        <w:tc>
          <w:tcPr>
            <w:tcW w:w="1137" w:type="dxa"/>
            <w:tcBorders>
              <w:top w:val="nil"/>
              <w:left w:val="nil"/>
              <w:bottom w:val="single" w:sz="4" w:space="0" w:color="auto"/>
              <w:right w:val="single" w:sz="4" w:space="0" w:color="auto"/>
            </w:tcBorders>
            <w:shd w:val="clear" w:color="auto" w:fill="auto"/>
            <w:vAlign w:val="center"/>
          </w:tcPr>
          <w:p w:rsidR="00B953F1" w:rsidRPr="00CE1DEA" w:rsidRDefault="00B953F1" w:rsidP="00B953F1">
            <w:pPr>
              <w:spacing w:after="0" w:line="240" w:lineRule="auto"/>
              <w:ind w:left="-141"/>
              <w:jc w:val="center"/>
              <w:rPr>
                <w:rFonts w:ascii="Times New Roman" w:hAnsi="Times New Roman"/>
                <w:b/>
                <w:bCs/>
              </w:rPr>
            </w:pPr>
            <w:r w:rsidRPr="00CE1DEA">
              <w:rPr>
                <w:rFonts w:ascii="Times New Roman" w:hAnsi="Times New Roman"/>
                <w:b/>
                <w:bCs/>
              </w:rPr>
              <w:t>Темп роста</w:t>
            </w:r>
          </w:p>
          <w:p w:rsidR="00B953F1" w:rsidRPr="00CE1DEA" w:rsidRDefault="00B953F1" w:rsidP="00B953F1">
            <w:pPr>
              <w:spacing w:after="0" w:line="240" w:lineRule="auto"/>
              <w:ind w:left="-141"/>
              <w:jc w:val="center"/>
              <w:rPr>
                <w:rFonts w:ascii="Times New Roman" w:hAnsi="Times New Roman"/>
                <w:b/>
                <w:bCs/>
              </w:rPr>
            </w:pPr>
            <w:r w:rsidRPr="00CE1DEA">
              <w:rPr>
                <w:rFonts w:ascii="Times New Roman" w:hAnsi="Times New Roman"/>
                <w:b/>
                <w:bCs/>
              </w:rPr>
              <w:t xml:space="preserve">в % к </w:t>
            </w:r>
          </w:p>
          <w:p w:rsidR="00B953F1" w:rsidRPr="00CE1DEA" w:rsidRDefault="00B953F1" w:rsidP="00B953F1">
            <w:pPr>
              <w:spacing w:after="0" w:line="240" w:lineRule="auto"/>
              <w:ind w:left="-141"/>
              <w:jc w:val="center"/>
              <w:rPr>
                <w:rFonts w:ascii="Times New Roman" w:hAnsi="Times New Roman"/>
                <w:b/>
                <w:bCs/>
              </w:rPr>
            </w:pPr>
            <w:r w:rsidRPr="00CE1DEA">
              <w:rPr>
                <w:rFonts w:ascii="Times New Roman" w:hAnsi="Times New Roman"/>
                <w:b/>
                <w:bCs/>
              </w:rPr>
              <w:t>2014 г.*</w:t>
            </w:r>
          </w:p>
        </w:tc>
      </w:tr>
      <w:tr w:rsidR="00B953F1" w:rsidRPr="00B953F1" w:rsidTr="008C7AFF">
        <w:trPr>
          <w:trHeight w:val="292"/>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rsidR="00B953F1" w:rsidRPr="00CE1DEA" w:rsidRDefault="00B953F1" w:rsidP="00B953F1">
            <w:pPr>
              <w:spacing w:after="0" w:line="240" w:lineRule="auto"/>
              <w:rPr>
                <w:rFonts w:ascii="Times New Roman" w:hAnsi="Times New Roman"/>
                <w:bCs/>
              </w:rPr>
            </w:pPr>
            <w:r w:rsidRPr="00CE1DEA">
              <w:rPr>
                <w:rFonts w:ascii="Times New Roman" w:hAnsi="Times New Roman"/>
                <w:bCs/>
              </w:rPr>
              <w:t xml:space="preserve">Зерновые и зернобобовые </w:t>
            </w:r>
            <w:r w:rsidRPr="00CE1DEA">
              <w:rPr>
                <w:rFonts w:ascii="Times New Roman" w:hAnsi="Times New Roman"/>
                <w:bCs/>
              </w:rPr>
              <w:lastRenderedPageBreak/>
              <w:t>культуры - всего</w:t>
            </w:r>
          </w:p>
        </w:tc>
        <w:tc>
          <w:tcPr>
            <w:tcW w:w="1218"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lastRenderedPageBreak/>
              <w:t>339,2</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328,4</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96,8</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37,5</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35,4</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94,4</w:t>
            </w:r>
          </w:p>
        </w:tc>
      </w:tr>
      <w:tr w:rsidR="00B953F1" w:rsidRPr="00B953F1" w:rsidTr="008C7AFF">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B953F1" w:rsidRPr="00CE1DEA" w:rsidRDefault="00B953F1" w:rsidP="00B953F1">
            <w:pPr>
              <w:spacing w:after="0" w:line="240" w:lineRule="auto"/>
              <w:rPr>
                <w:rFonts w:ascii="Times New Roman" w:hAnsi="Times New Roman"/>
                <w:bCs/>
              </w:rPr>
            </w:pPr>
            <w:r w:rsidRPr="00CE1DEA">
              <w:rPr>
                <w:rFonts w:ascii="Times New Roman" w:hAnsi="Times New Roman"/>
                <w:bCs/>
              </w:rPr>
              <w:lastRenderedPageBreak/>
              <w:t>из них: озимая пшеница</w:t>
            </w:r>
          </w:p>
        </w:tc>
        <w:tc>
          <w:tcPr>
            <w:tcW w:w="1218"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264,5</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263,2</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99,5</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40,6</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37,8</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93,1</w:t>
            </w:r>
          </w:p>
        </w:tc>
      </w:tr>
      <w:tr w:rsidR="00B953F1" w:rsidRPr="00B953F1" w:rsidTr="008C7AFF">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B953F1" w:rsidRPr="00CE1DEA" w:rsidRDefault="00B953F1" w:rsidP="00B953F1">
            <w:pPr>
              <w:spacing w:after="0" w:line="240" w:lineRule="auto"/>
              <w:rPr>
                <w:rFonts w:ascii="Times New Roman" w:hAnsi="Times New Roman"/>
                <w:bCs/>
              </w:rPr>
            </w:pPr>
            <w:r w:rsidRPr="00CE1DEA">
              <w:rPr>
                <w:rFonts w:ascii="Times New Roman" w:hAnsi="Times New Roman"/>
                <w:bCs/>
              </w:rPr>
              <w:t>озимый ячмень</w:t>
            </w:r>
          </w:p>
        </w:tc>
        <w:tc>
          <w:tcPr>
            <w:tcW w:w="1218"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48,6</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39,2</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80,7</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32,9</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31,9</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97,0</w:t>
            </w:r>
          </w:p>
        </w:tc>
      </w:tr>
      <w:tr w:rsidR="00B953F1" w:rsidRPr="00B953F1" w:rsidTr="008C7AFF">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B953F1" w:rsidRPr="00CE1DEA" w:rsidRDefault="00B953F1" w:rsidP="00B953F1">
            <w:pPr>
              <w:spacing w:after="0" w:line="240" w:lineRule="auto"/>
              <w:rPr>
                <w:rFonts w:ascii="Times New Roman" w:hAnsi="Times New Roman"/>
                <w:bCs/>
              </w:rPr>
            </w:pPr>
            <w:r w:rsidRPr="00CE1DEA">
              <w:rPr>
                <w:rFonts w:ascii="Times New Roman" w:hAnsi="Times New Roman"/>
                <w:bCs/>
              </w:rPr>
              <w:t>яровой ячмень</w:t>
            </w:r>
          </w:p>
        </w:tc>
        <w:tc>
          <w:tcPr>
            <w:tcW w:w="1218"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21,9</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18,3</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83,6</w:t>
            </w:r>
          </w:p>
        </w:tc>
        <w:tc>
          <w:tcPr>
            <w:tcW w:w="1136"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24,5</w:t>
            </w:r>
          </w:p>
        </w:tc>
        <w:tc>
          <w:tcPr>
            <w:tcW w:w="994" w:type="dxa"/>
            <w:tcBorders>
              <w:top w:val="single" w:sz="4" w:space="0" w:color="auto"/>
              <w:left w:val="nil"/>
              <w:bottom w:val="single" w:sz="4" w:space="0" w:color="auto"/>
              <w:right w:val="single" w:sz="4" w:space="0" w:color="auto"/>
            </w:tcBorders>
            <w:shd w:val="clear" w:color="auto" w:fill="auto"/>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23,1</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B953F1" w:rsidRPr="00CE1DEA" w:rsidRDefault="00B953F1" w:rsidP="00B953F1">
            <w:pPr>
              <w:spacing w:after="0" w:line="240" w:lineRule="auto"/>
              <w:jc w:val="right"/>
              <w:rPr>
                <w:rFonts w:ascii="Times New Roman" w:hAnsi="Times New Roman"/>
              </w:rPr>
            </w:pPr>
            <w:r w:rsidRPr="00CE1DEA">
              <w:rPr>
                <w:rFonts w:ascii="Times New Roman" w:hAnsi="Times New Roman"/>
              </w:rPr>
              <w:t>94,3</w:t>
            </w:r>
          </w:p>
        </w:tc>
      </w:tr>
    </w:tbl>
    <w:p w:rsidR="00B953F1" w:rsidRPr="00B953F1" w:rsidRDefault="00B953F1" w:rsidP="00B953F1">
      <w:pPr>
        <w:tabs>
          <w:tab w:val="left" w:pos="7020"/>
          <w:tab w:val="left" w:pos="8460"/>
        </w:tabs>
        <w:spacing w:after="0" w:line="240" w:lineRule="auto"/>
        <w:ind w:left="-142" w:firstLine="142"/>
        <w:rPr>
          <w:rFonts w:ascii="Times New Roman" w:hAnsi="Times New Roman"/>
        </w:rPr>
      </w:pPr>
      <w:r w:rsidRPr="00B953F1">
        <w:rPr>
          <w:rFonts w:ascii="Times New Roman" w:hAnsi="Times New Roman"/>
          <w:sz w:val="20"/>
          <w:szCs w:val="20"/>
        </w:rPr>
        <w:t xml:space="preserve">     </w:t>
      </w:r>
      <w:r w:rsidRPr="00B953F1">
        <w:rPr>
          <w:rFonts w:ascii="Times New Roman" w:hAnsi="Times New Roman"/>
        </w:rPr>
        <w:t>*- темп роста (спада) к соответствующей дате 2014 года, %</w:t>
      </w:r>
    </w:p>
    <w:p w:rsidR="00B953F1" w:rsidRPr="00B953F1" w:rsidRDefault="00B953F1" w:rsidP="00B953F1">
      <w:pPr>
        <w:tabs>
          <w:tab w:val="left" w:pos="7020"/>
          <w:tab w:val="left" w:pos="8460"/>
        </w:tabs>
        <w:spacing w:after="0" w:line="240" w:lineRule="auto"/>
        <w:rPr>
          <w:rFonts w:ascii="Times New Roman" w:hAnsi="Times New Roman"/>
          <w:sz w:val="20"/>
          <w:szCs w:val="20"/>
        </w:rPr>
      </w:pPr>
    </w:p>
    <w:p w:rsidR="00B953F1" w:rsidRPr="00B953F1" w:rsidRDefault="00B953F1" w:rsidP="00B953F1">
      <w:pPr>
        <w:spacing w:after="0" w:line="240" w:lineRule="auto"/>
        <w:jc w:val="both"/>
        <w:rPr>
          <w:rFonts w:ascii="Times New Roman" w:hAnsi="Times New Roman"/>
          <w:sz w:val="28"/>
          <w:szCs w:val="28"/>
        </w:rPr>
      </w:pPr>
      <w:r w:rsidRPr="00B953F1">
        <w:rPr>
          <w:rFonts w:ascii="Times New Roman" w:hAnsi="Times New Roman"/>
          <w:noProof/>
          <w:sz w:val="28"/>
          <w:szCs w:val="28"/>
        </w:rPr>
        <w:drawing>
          <wp:inline distT="0" distB="0" distL="0" distR="0">
            <wp:extent cx="6000750" cy="2590800"/>
            <wp:effectExtent l="0" t="0" r="0" b="0"/>
            <wp:docPr id="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53F1" w:rsidRPr="00B953F1" w:rsidRDefault="00B953F1" w:rsidP="00B953F1">
      <w:pPr>
        <w:tabs>
          <w:tab w:val="left" w:pos="7020"/>
          <w:tab w:val="left" w:pos="8460"/>
        </w:tabs>
        <w:spacing w:after="0" w:line="240" w:lineRule="auto"/>
        <w:ind w:left="284"/>
        <w:rPr>
          <w:rFonts w:ascii="Times New Roman" w:hAnsi="Times New Roman"/>
          <w:sz w:val="20"/>
          <w:szCs w:val="20"/>
        </w:rPr>
      </w:pPr>
      <w:r w:rsidRPr="00B953F1">
        <w:rPr>
          <w:rFonts w:ascii="Times New Roman" w:hAnsi="Times New Roman"/>
          <w:sz w:val="20"/>
          <w:szCs w:val="20"/>
        </w:rPr>
        <w:t>*- темп роста (спада) к соответствующей дате 2014 года, %</w:t>
      </w:r>
    </w:p>
    <w:p w:rsidR="00B953F1" w:rsidRPr="00B953F1" w:rsidRDefault="00B953F1" w:rsidP="00B953F1">
      <w:pPr>
        <w:tabs>
          <w:tab w:val="left" w:pos="7020"/>
          <w:tab w:val="left" w:pos="8460"/>
        </w:tabs>
        <w:spacing w:after="0" w:line="240" w:lineRule="auto"/>
        <w:ind w:left="284"/>
        <w:rPr>
          <w:rFonts w:ascii="Times New Roman" w:hAnsi="Times New Roman"/>
          <w:sz w:val="20"/>
          <w:szCs w:val="20"/>
        </w:rPr>
      </w:pP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b/>
          <w:sz w:val="24"/>
          <w:szCs w:val="24"/>
        </w:rPr>
        <w:t xml:space="preserve">Мелиорация. </w:t>
      </w:r>
      <w:r w:rsidRPr="00B953F1">
        <w:rPr>
          <w:rFonts w:ascii="Times New Roman" w:hAnsi="Times New Roman"/>
          <w:sz w:val="24"/>
          <w:szCs w:val="24"/>
        </w:rPr>
        <w:t xml:space="preserve">В </w:t>
      </w:r>
      <w:r w:rsidRPr="00B953F1">
        <w:rPr>
          <w:rFonts w:ascii="Times New Roman" w:hAnsi="Times New Roman"/>
          <w:sz w:val="24"/>
          <w:szCs w:val="24"/>
          <w:lang w:val="en-US"/>
        </w:rPr>
        <w:t>I</w:t>
      </w:r>
      <w:r w:rsidRPr="00B953F1">
        <w:rPr>
          <w:rFonts w:ascii="Times New Roman" w:hAnsi="Times New Roman"/>
          <w:sz w:val="24"/>
          <w:szCs w:val="24"/>
        </w:rPr>
        <w:t xml:space="preserve"> полугодии 2015 года оказаны услуги по подаче воды на полив 60 землепользователям против 66 за аналогичный период 2014 года. Несмотря на засушливые погодные условия в текущем году, по состоянию на 14 августа 2015 года подано 10,3 млн. м</w:t>
      </w:r>
      <w:r w:rsidRPr="00B953F1">
        <w:rPr>
          <w:rFonts w:ascii="Times New Roman" w:hAnsi="Times New Roman"/>
          <w:sz w:val="24"/>
          <w:szCs w:val="24"/>
          <w:vertAlign w:val="superscript"/>
        </w:rPr>
        <w:t xml:space="preserve">3 </w:t>
      </w:r>
      <w:r w:rsidRPr="00B953F1">
        <w:rPr>
          <w:rFonts w:ascii="Times New Roman" w:hAnsi="Times New Roman"/>
          <w:sz w:val="24"/>
          <w:szCs w:val="24"/>
        </w:rPr>
        <w:t>воды на полив, что на 3,4 млн. м</w:t>
      </w:r>
      <w:r w:rsidRPr="00B953F1">
        <w:rPr>
          <w:rFonts w:ascii="Times New Roman" w:hAnsi="Times New Roman"/>
          <w:sz w:val="24"/>
          <w:szCs w:val="24"/>
          <w:vertAlign w:val="superscript"/>
        </w:rPr>
        <w:t>3</w:t>
      </w:r>
      <w:r w:rsidRPr="00B953F1">
        <w:rPr>
          <w:rFonts w:ascii="Times New Roman" w:hAnsi="Times New Roman"/>
          <w:sz w:val="24"/>
          <w:szCs w:val="24"/>
        </w:rPr>
        <w:t xml:space="preserve"> меньше, чем за аналогичный период прошлого года. Данное обстоятельство объясняется сокращением посевных площадей под овощные культуры, предназначенные для промышленной переработки, в связи с возникшими проблемами по реализации готовой продукции.</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b/>
          <w:sz w:val="24"/>
          <w:szCs w:val="24"/>
        </w:rPr>
        <w:t>Фитосанитарное обслуживание.</w:t>
      </w:r>
      <w:r w:rsidRPr="00B953F1">
        <w:rPr>
          <w:rFonts w:ascii="Times New Roman" w:hAnsi="Times New Roman"/>
          <w:sz w:val="24"/>
          <w:szCs w:val="24"/>
        </w:rPr>
        <w:t xml:space="preserve"> В январе-июне 2015 года в растениеводческой отрасли проводились мероприятия по выявлению очагов карантинных сорняков, вредителей и возбудителей болезней растений, было обследовано 52,5 тыс. га (в январе-июне 2014 года – 111,7 тыс. га) земель сельскохозяйственного назначения, карантинные объекты выявлены на площади 35,0 тыс. га (в январе-июне 2014 года – 21,2 тыс. га) земельных угодий. Локализация и ликвидация очагов вредных организмов была успешно проведена на площади 3,9 тыс. га (в январе-июне 2014 года – 20,3 тыс. га). Выдано </w:t>
      </w:r>
      <w:r w:rsidRPr="00B953F1">
        <w:rPr>
          <w:rFonts w:ascii="Times New Roman" w:hAnsi="Times New Roman"/>
          <w:sz w:val="24"/>
          <w:szCs w:val="24"/>
        </w:rPr>
        <w:br/>
        <w:t xml:space="preserve">4 767 разрешительных документов для ввоза, вывоза и перемещения подконтрольных грузов на территории ПМР (в январе-июне 2014 года – 8 486 разрешительных документов). Проведено 3 222 досмотров (в январе-июне 2014 года – 4 718 досмотров) импортно-экспортных грузов, общим весом 168,2 тыс. тонн (в январе-июне 2014 года </w:t>
      </w:r>
      <w:r w:rsidR="00D57ABD">
        <w:rPr>
          <w:rFonts w:ascii="Times New Roman" w:hAnsi="Times New Roman"/>
          <w:sz w:val="24"/>
          <w:szCs w:val="24"/>
        </w:rPr>
        <w:t xml:space="preserve">             </w:t>
      </w:r>
      <w:r w:rsidRPr="00B953F1">
        <w:rPr>
          <w:rFonts w:ascii="Times New Roman" w:hAnsi="Times New Roman"/>
          <w:sz w:val="24"/>
          <w:szCs w:val="24"/>
        </w:rPr>
        <w:t xml:space="preserve">– 148,3 тыс. тонн), отобрано и направлено на исследование 1 330 проб                                          (в январе-июне 2014 года – 1 821 проба), выдано 1 309 свидетельств карантинной экспертизы (в январе-июне 2014 года – 1 639 свидетельств). Общая сумма платежей по оказанным услугам за январь-июнь 2015 года составила 835,9 тыс. руб. ПМР, что на 3,9% меньше по отношению к соответствующему периоду 2014 года. </w:t>
      </w:r>
    </w:p>
    <w:p w:rsidR="00B953F1" w:rsidRPr="00B953F1" w:rsidRDefault="00B953F1" w:rsidP="00B953F1">
      <w:pPr>
        <w:spacing w:after="0" w:line="240" w:lineRule="auto"/>
        <w:ind w:firstLine="709"/>
        <w:jc w:val="both"/>
        <w:rPr>
          <w:rFonts w:ascii="Times New Roman" w:hAnsi="Times New Roman"/>
          <w:sz w:val="24"/>
          <w:szCs w:val="24"/>
        </w:rPr>
      </w:pPr>
      <w:r w:rsidRPr="00B953F1">
        <w:rPr>
          <w:rFonts w:ascii="Times New Roman" w:hAnsi="Times New Roman"/>
          <w:b/>
          <w:sz w:val="24"/>
          <w:szCs w:val="24"/>
        </w:rPr>
        <w:t xml:space="preserve">Животноводство. </w:t>
      </w:r>
      <w:r w:rsidRPr="00B953F1">
        <w:rPr>
          <w:rFonts w:ascii="Times New Roman" w:hAnsi="Times New Roman"/>
          <w:sz w:val="24"/>
          <w:szCs w:val="24"/>
        </w:rPr>
        <w:t>В животноводческой отрасли в январе-июне 2015 года отмечается тенденция роста производственных показателей, включая поголовье основных видов скота и птицы. Данному приросту способствовали принимаемые государством меры тарифного регулирования и мероприятия по импортозамещению.</w:t>
      </w:r>
    </w:p>
    <w:p w:rsidR="00B953F1" w:rsidRPr="00B953F1" w:rsidRDefault="00B953F1" w:rsidP="00B953F1">
      <w:pPr>
        <w:spacing w:after="0" w:line="240" w:lineRule="auto"/>
        <w:ind w:firstLine="709"/>
        <w:jc w:val="both"/>
        <w:rPr>
          <w:rFonts w:ascii="Times New Roman" w:hAnsi="Times New Roman"/>
          <w:sz w:val="24"/>
          <w:szCs w:val="24"/>
        </w:rPr>
      </w:pPr>
      <w:r w:rsidRPr="00B953F1">
        <w:rPr>
          <w:rFonts w:ascii="Times New Roman" w:hAnsi="Times New Roman"/>
          <w:sz w:val="24"/>
          <w:szCs w:val="24"/>
        </w:rPr>
        <w:t xml:space="preserve">По состоянию на 1 июля 2015 года к аналогичной дате 2014 года в организациях, осуществляющих сельскохозяйственное производство (без учёта хозяйств населения), поголовье крупного рогатого скота возросло на 0,7% до 6 779 голов, свиней – на 14,9% до </w:t>
      </w:r>
      <w:r w:rsidRPr="00B953F1">
        <w:rPr>
          <w:rFonts w:ascii="Times New Roman" w:hAnsi="Times New Roman"/>
          <w:sz w:val="24"/>
          <w:szCs w:val="24"/>
        </w:rPr>
        <w:br/>
      </w:r>
      <w:r w:rsidRPr="00B953F1">
        <w:rPr>
          <w:rFonts w:ascii="Times New Roman" w:hAnsi="Times New Roman"/>
          <w:sz w:val="24"/>
          <w:szCs w:val="24"/>
        </w:rPr>
        <w:lastRenderedPageBreak/>
        <w:t>12 237 голов, птицы всех возрастов – на 32,5% до 380 555 голов. В то же время поголовье мелкого рогатого скота сократилось на 12,8%, составив 1 844 головы.</w:t>
      </w:r>
    </w:p>
    <w:p w:rsidR="00B953F1" w:rsidRPr="00B953F1" w:rsidRDefault="00B953F1" w:rsidP="00B953F1">
      <w:pPr>
        <w:spacing w:after="0" w:line="240" w:lineRule="auto"/>
        <w:jc w:val="both"/>
        <w:rPr>
          <w:rFonts w:ascii="Times New Roman" w:hAnsi="Times New Roman"/>
          <w:sz w:val="24"/>
          <w:szCs w:val="24"/>
        </w:rPr>
      </w:pPr>
      <w:r w:rsidRPr="00B953F1">
        <w:rPr>
          <w:rFonts w:ascii="Times New Roman" w:hAnsi="Times New Roman"/>
          <w:noProof/>
          <w:sz w:val="24"/>
          <w:szCs w:val="24"/>
        </w:rPr>
        <w:drawing>
          <wp:inline distT="0" distB="0" distL="0" distR="0">
            <wp:extent cx="5934075" cy="3743325"/>
            <wp:effectExtent l="0" t="0" r="0" b="0"/>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53F1" w:rsidRPr="00B953F1" w:rsidRDefault="00B953F1" w:rsidP="00B953F1">
      <w:pPr>
        <w:spacing w:after="0" w:line="240" w:lineRule="auto"/>
        <w:ind w:firstLine="708"/>
        <w:jc w:val="both"/>
        <w:rPr>
          <w:rFonts w:ascii="Times New Roman" w:hAnsi="Times New Roman"/>
          <w:sz w:val="24"/>
          <w:szCs w:val="24"/>
        </w:rPr>
      </w:pP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В январе-июне 2015 года в сравнении с соответствующим периодом 2014 года в организациях, осуществляющих сельскохозяйственное производство, увеличилось производство молока коровьего и яиц куриных соответственно на 4,2% и на 0,6%, а также значительно возрос объем реализации скота и птицы на убой (в живом весе) на 97,7%.</w:t>
      </w:r>
    </w:p>
    <w:p w:rsidR="00B953F1" w:rsidRPr="00B953F1" w:rsidRDefault="00B953F1" w:rsidP="00B953F1">
      <w:pPr>
        <w:spacing w:after="0" w:line="240" w:lineRule="auto"/>
        <w:jc w:val="both"/>
        <w:rPr>
          <w:rFonts w:ascii="Times New Roman" w:hAnsi="Times New Roman"/>
          <w:sz w:val="24"/>
          <w:szCs w:val="24"/>
        </w:rPr>
      </w:pPr>
      <w:r w:rsidRPr="00B953F1">
        <w:rPr>
          <w:rFonts w:ascii="Times New Roman" w:hAnsi="Times New Roman"/>
          <w:noProof/>
          <w:sz w:val="24"/>
          <w:szCs w:val="24"/>
        </w:rPr>
        <w:drawing>
          <wp:inline distT="0" distB="0" distL="0" distR="0">
            <wp:extent cx="5934075" cy="3362325"/>
            <wp:effectExtent l="0" t="0" r="0" b="0"/>
            <wp:docPr id="8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53F1" w:rsidRPr="00B953F1" w:rsidRDefault="00B953F1" w:rsidP="00B953F1">
      <w:pPr>
        <w:ind w:left="435"/>
        <w:rPr>
          <w:rFonts w:ascii="Times New Roman" w:hAnsi="Times New Roman"/>
          <w:b/>
          <w:sz w:val="20"/>
          <w:szCs w:val="20"/>
        </w:rPr>
      </w:pPr>
      <w:r w:rsidRPr="00B953F1">
        <w:rPr>
          <w:rFonts w:ascii="Times New Roman" w:hAnsi="Times New Roman"/>
          <w:b/>
          <w:sz w:val="20"/>
          <w:szCs w:val="20"/>
        </w:rPr>
        <w:t xml:space="preserve">*- темп роста (спада) к предыдущему периоду, % </w:t>
      </w:r>
    </w:p>
    <w:p w:rsidR="00B953F1" w:rsidRPr="00B953F1" w:rsidRDefault="00B953F1" w:rsidP="00D54854">
      <w:pPr>
        <w:spacing w:after="0" w:line="240" w:lineRule="auto"/>
        <w:ind w:firstLine="435"/>
        <w:jc w:val="both"/>
        <w:rPr>
          <w:rFonts w:ascii="Times New Roman" w:hAnsi="Times New Roman"/>
          <w:sz w:val="24"/>
          <w:szCs w:val="24"/>
        </w:rPr>
      </w:pPr>
      <w:r w:rsidRPr="00B953F1">
        <w:rPr>
          <w:rFonts w:ascii="Times New Roman" w:hAnsi="Times New Roman"/>
          <w:sz w:val="24"/>
          <w:szCs w:val="24"/>
        </w:rPr>
        <w:t>Продуктивность скота выросла на 6,0% (составив 1 854 кг) за счёт выбраковки малопродуктивных коров молочного стада, а продуктивность птицы снизилась на 11,4%</w:t>
      </w:r>
      <w:r w:rsidRPr="00B953F1">
        <w:rPr>
          <w:rFonts w:ascii="Times New Roman" w:hAnsi="Times New Roman"/>
          <w:sz w:val="24"/>
          <w:szCs w:val="24"/>
        </w:rPr>
        <w:br/>
        <w:t>к аналогичному периоду 2014 года, составив 109 штук, что обусловлено цикличностью производства.</w:t>
      </w:r>
    </w:p>
    <w:p w:rsidR="00B953F1" w:rsidRPr="00B953F1" w:rsidRDefault="00B953F1" w:rsidP="00057CA6">
      <w:pPr>
        <w:spacing w:after="0"/>
        <w:jc w:val="center"/>
      </w:pPr>
      <w:r w:rsidRPr="00B953F1">
        <w:rPr>
          <w:noProof/>
          <w:color w:val="DAEEF3" w:themeColor="accent5" w:themeTint="33"/>
        </w:rPr>
        <w:lastRenderedPageBreak/>
        <w:drawing>
          <wp:inline distT="0" distB="0" distL="0" distR="0">
            <wp:extent cx="5619750" cy="3248025"/>
            <wp:effectExtent l="0" t="0" r="0" b="0"/>
            <wp:docPr id="9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953F1" w:rsidRDefault="00B953F1" w:rsidP="00057CA6">
      <w:pPr>
        <w:spacing w:after="0"/>
        <w:rPr>
          <w:rFonts w:ascii="Times New Roman" w:hAnsi="Times New Roman"/>
          <w:b/>
          <w:sz w:val="20"/>
          <w:szCs w:val="20"/>
        </w:rPr>
      </w:pPr>
      <w:r w:rsidRPr="00B953F1">
        <w:rPr>
          <w:rFonts w:ascii="Times New Roman" w:hAnsi="Times New Roman"/>
          <w:b/>
          <w:sz w:val="20"/>
          <w:szCs w:val="20"/>
        </w:rPr>
        <w:t xml:space="preserve">*- темп роста (спада) к предыдущему периоду, % </w:t>
      </w:r>
    </w:p>
    <w:p w:rsidR="00057CA6" w:rsidRPr="00B953F1" w:rsidRDefault="00057CA6" w:rsidP="00057CA6">
      <w:pPr>
        <w:spacing w:after="0"/>
        <w:rPr>
          <w:rFonts w:ascii="Times New Roman" w:hAnsi="Times New Roman"/>
          <w:b/>
          <w:sz w:val="20"/>
          <w:szCs w:val="20"/>
        </w:rPr>
      </w:pPr>
    </w:p>
    <w:p w:rsidR="00B953F1" w:rsidRPr="00B953F1" w:rsidRDefault="00B953F1" w:rsidP="00B953F1">
      <w:pPr>
        <w:suppressAutoHyphens/>
        <w:spacing w:after="0" w:line="240" w:lineRule="auto"/>
        <w:ind w:firstLine="708"/>
        <w:jc w:val="both"/>
        <w:rPr>
          <w:rFonts w:ascii="Times New Roman" w:eastAsia="Calibri" w:hAnsi="Times New Roman"/>
          <w:sz w:val="24"/>
          <w:szCs w:val="24"/>
        </w:rPr>
      </w:pPr>
      <w:r w:rsidRPr="00B953F1">
        <w:rPr>
          <w:rFonts w:ascii="Times New Roman" w:eastAsia="Calibri" w:hAnsi="Times New Roman"/>
          <w:sz w:val="24"/>
          <w:szCs w:val="24"/>
        </w:rPr>
        <w:t xml:space="preserve">В январе-июне 2015 года Министерством сельского хозяйства и природных ресурсов ПМР совместно с ГУ «Республиканское управление ветеринарной медицины» продолжились мероприятия по учету крупного рогатого скота в республике методом биркования. </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xml:space="preserve">По состоянию на 1 июля 2015 года пробирковано 9 990 голов крупного рогатого скота (в январе-июне 2014 года 8 930 голов), всем животным выданы ветеринарные паспорта. </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xml:space="preserve">За </w:t>
      </w:r>
      <w:r w:rsidRPr="00B953F1">
        <w:rPr>
          <w:rFonts w:ascii="Times New Roman" w:hAnsi="Times New Roman"/>
          <w:sz w:val="24"/>
          <w:szCs w:val="24"/>
          <w:lang w:val="en-US"/>
        </w:rPr>
        <w:t>I</w:t>
      </w:r>
      <w:r w:rsidRPr="00B953F1">
        <w:rPr>
          <w:rFonts w:ascii="Times New Roman" w:hAnsi="Times New Roman"/>
          <w:sz w:val="24"/>
          <w:szCs w:val="24"/>
        </w:rPr>
        <w:t xml:space="preserve"> полугодие 2015 года ГУ «Республиканское управление ветеринарной медицины» исследовало (% к плану):</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КРС на туберкулез – 13 319 гол. (98%);</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КРС на лейкоз РИД – 12 898 гол. (98%).</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Ветеринарными работниками проведены вакцинации:</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КРС против сибирской язвы – 18 066 гол. (98%);</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свиней против классической чумы – 17 330 гол. (80%);</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свиней против рожи – 11 025 гол. (85%);</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 птицы против псевдочумы – 655 448 гол. (74%).</w:t>
      </w:r>
    </w:p>
    <w:p w:rsidR="00B953F1" w:rsidRPr="00B953F1" w:rsidRDefault="00B953F1" w:rsidP="00B953F1">
      <w:pPr>
        <w:spacing w:after="0" w:line="240" w:lineRule="auto"/>
        <w:ind w:firstLine="708"/>
        <w:jc w:val="both"/>
        <w:rPr>
          <w:rFonts w:ascii="Times New Roman" w:eastAsia="Calibri" w:hAnsi="Times New Roman"/>
          <w:b/>
          <w:sz w:val="24"/>
          <w:szCs w:val="24"/>
          <w:lang w:eastAsia="en-US"/>
        </w:rPr>
      </w:pPr>
      <w:r w:rsidRPr="00B953F1">
        <w:rPr>
          <w:rFonts w:ascii="Times New Roman" w:eastAsia="Calibri" w:hAnsi="Times New Roman"/>
          <w:b/>
          <w:sz w:val="24"/>
          <w:szCs w:val="24"/>
          <w:lang w:eastAsia="en-US"/>
        </w:rPr>
        <w:t>Инвестиционные вложения в развитие АПК</w:t>
      </w:r>
    </w:p>
    <w:p w:rsidR="00B953F1" w:rsidRPr="00B953F1" w:rsidRDefault="00B953F1" w:rsidP="00B953F1">
      <w:pPr>
        <w:spacing w:after="0" w:line="240" w:lineRule="auto"/>
        <w:ind w:firstLine="708"/>
        <w:jc w:val="both"/>
        <w:rPr>
          <w:rFonts w:ascii="Times New Roman" w:eastAsia="Calibri" w:hAnsi="Times New Roman"/>
          <w:sz w:val="24"/>
          <w:szCs w:val="24"/>
          <w:lang w:eastAsia="en-US"/>
        </w:rPr>
      </w:pPr>
      <w:r w:rsidRPr="00B953F1">
        <w:rPr>
          <w:rFonts w:ascii="Times New Roman" w:eastAsia="Calibri" w:hAnsi="Times New Roman"/>
          <w:sz w:val="24"/>
          <w:szCs w:val="24"/>
          <w:lang w:eastAsia="en-US"/>
        </w:rPr>
        <w:t>В целях стимулирования рационального использования земель, а также повышения эффективности экономической политики государства в сфере землепользования заключены соглашения и договора с рядом землепользователей республики.</w:t>
      </w:r>
    </w:p>
    <w:p w:rsidR="00B953F1" w:rsidRPr="00B953F1" w:rsidRDefault="00B953F1" w:rsidP="00B953F1">
      <w:pPr>
        <w:shd w:val="clear" w:color="auto" w:fill="FFFFFF"/>
        <w:spacing w:after="0" w:line="240" w:lineRule="auto"/>
        <w:ind w:firstLine="709"/>
        <w:jc w:val="both"/>
        <w:rPr>
          <w:rFonts w:ascii="Times New Roman" w:hAnsi="Times New Roman"/>
          <w:sz w:val="24"/>
          <w:szCs w:val="24"/>
        </w:rPr>
      </w:pPr>
      <w:r w:rsidRPr="00B953F1">
        <w:rPr>
          <w:rFonts w:ascii="Times New Roman" w:hAnsi="Times New Roman"/>
          <w:sz w:val="24"/>
          <w:szCs w:val="24"/>
        </w:rPr>
        <w:t>Данными соглашениями и договорами предусматриваются инвестиционные вложения, как в сельскохозяйственное производство, так и в инфраструктуру сел, близ которых расположены земли сельскохозяйственного назначения, используемые данными хозяйствующими субъектами.</w:t>
      </w:r>
    </w:p>
    <w:p w:rsidR="00B953F1" w:rsidRPr="00B953F1" w:rsidRDefault="00B953F1" w:rsidP="00B953F1">
      <w:pPr>
        <w:shd w:val="clear" w:color="auto" w:fill="FFFFFF"/>
        <w:spacing w:after="0" w:line="240" w:lineRule="auto"/>
        <w:ind w:firstLine="709"/>
        <w:jc w:val="both"/>
        <w:rPr>
          <w:rFonts w:ascii="Times New Roman" w:hAnsi="Times New Roman"/>
          <w:sz w:val="24"/>
          <w:szCs w:val="24"/>
        </w:rPr>
      </w:pPr>
      <w:r w:rsidRPr="00B953F1">
        <w:rPr>
          <w:rFonts w:ascii="Times New Roman" w:hAnsi="Times New Roman"/>
          <w:sz w:val="24"/>
          <w:szCs w:val="24"/>
        </w:rPr>
        <w:t>За январь-июнь 2015 года заключено 7 инвестиционных соглашений и 32 договора  (в январе-июне 2014 года – 5 инвестиционных соглашений и 2 договора), в рамках которых охвачено 23 733,24 га земель сельскохозяйственного назначения, что в 3,7 раза больше, чем в первом полугодии 2014 года. Наибольшее количество земель приходится</w:t>
      </w:r>
      <w:r w:rsidRPr="00B953F1">
        <w:rPr>
          <w:rFonts w:ascii="Times New Roman" w:hAnsi="Times New Roman"/>
          <w:sz w:val="24"/>
          <w:szCs w:val="24"/>
        </w:rPr>
        <w:br/>
        <w:t>на Рыбницкий район – 12 493,33 га (52,6% от общей площади охваченных земель).</w:t>
      </w:r>
    </w:p>
    <w:p w:rsidR="00B953F1" w:rsidRPr="00B953F1" w:rsidRDefault="00B953F1" w:rsidP="00B953F1">
      <w:pPr>
        <w:shd w:val="clear" w:color="auto" w:fill="FFFFFF"/>
        <w:spacing w:after="0" w:line="240" w:lineRule="auto"/>
        <w:ind w:firstLine="540"/>
        <w:jc w:val="both"/>
        <w:rPr>
          <w:rFonts w:ascii="Times New Roman" w:hAnsi="Times New Roman"/>
          <w:sz w:val="24"/>
          <w:szCs w:val="24"/>
        </w:rPr>
      </w:pPr>
      <w:r w:rsidRPr="00B953F1">
        <w:rPr>
          <w:rFonts w:ascii="Times New Roman" w:hAnsi="Times New Roman"/>
          <w:sz w:val="24"/>
          <w:szCs w:val="24"/>
        </w:rPr>
        <w:t xml:space="preserve">Общая сумма предполагаемых инвестиций согласно заключенным соглашениям и договорам за первое полугодие 2015 года составит 58 095,08 тыс. руб. против </w:t>
      </w:r>
      <w:r w:rsidRPr="00B953F1">
        <w:rPr>
          <w:rFonts w:ascii="Times New Roman" w:hAnsi="Times New Roman"/>
          <w:sz w:val="24"/>
          <w:szCs w:val="24"/>
        </w:rPr>
        <w:br/>
        <w:t xml:space="preserve">45 823,8 тыс. руб. за аналогичный период 2014 года. В сельскохозяйственное производство предполагается инвестировать 55 183,0 тыс. руб. (123,8% к уровню </w:t>
      </w:r>
      <w:r w:rsidRPr="00B953F1">
        <w:rPr>
          <w:rFonts w:ascii="Times New Roman" w:hAnsi="Times New Roman"/>
          <w:sz w:val="24"/>
          <w:szCs w:val="24"/>
        </w:rPr>
        <w:br/>
      </w:r>
      <w:r w:rsidRPr="00B953F1">
        <w:rPr>
          <w:rFonts w:ascii="Times New Roman" w:hAnsi="Times New Roman"/>
          <w:sz w:val="24"/>
          <w:szCs w:val="24"/>
        </w:rPr>
        <w:lastRenderedPageBreak/>
        <w:t xml:space="preserve">2014 года), в инфраструктуру села – 2 912,08  тыс. руб. (в 2,3 раза больше к уровню </w:t>
      </w:r>
      <w:r w:rsidRPr="00B953F1">
        <w:rPr>
          <w:rFonts w:ascii="Times New Roman" w:hAnsi="Times New Roman"/>
          <w:sz w:val="24"/>
          <w:szCs w:val="24"/>
        </w:rPr>
        <w:br/>
        <w:t>2014 года). В основном данные средства будут направлены на ремонт социальных объектов (детские сады, общеобразовательные школы, сельские врачебные амбулатории и др.). газификацию домов культуры, административных зданий,</w:t>
      </w:r>
      <w:r w:rsidRPr="00B953F1">
        <w:rPr>
          <w:rFonts w:ascii="Arial" w:hAnsi="Arial" w:cs="Arial"/>
          <w:sz w:val="24"/>
          <w:szCs w:val="24"/>
        </w:rPr>
        <w:t xml:space="preserve"> </w:t>
      </w:r>
      <w:r w:rsidRPr="00B953F1">
        <w:rPr>
          <w:rFonts w:ascii="Times New Roman" w:hAnsi="Times New Roman"/>
          <w:sz w:val="24"/>
          <w:szCs w:val="24"/>
        </w:rPr>
        <w:t xml:space="preserve">благоустройство и ремонт общественных колодцев в отдельных селах республики. </w:t>
      </w:r>
    </w:p>
    <w:p w:rsidR="00B953F1" w:rsidRPr="00B953F1" w:rsidRDefault="00B953F1" w:rsidP="00B953F1">
      <w:pPr>
        <w:spacing w:after="0" w:line="240" w:lineRule="auto"/>
        <w:ind w:firstLine="708"/>
        <w:jc w:val="both"/>
        <w:rPr>
          <w:rFonts w:ascii="Times New Roman" w:eastAsia="Calibri" w:hAnsi="Times New Roman"/>
          <w:b/>
          <w:sz w:val="24"/>
          <w:szCs w:val="24"/>
        </w:rPr>
      </w:pPr>
      <w:r w:rsidRPr="00B953F1">
        <w:rPr>
          <w:rFonts w:ascii="Times New Roman" w:eastAsia="Calibri" w:hAnsi="Times New Roman"/>
          <w:b/>
          <w:sz w:val="24"/>
          <w:szCs w:val="24"/>
        </w:rPr>
        <w:t>Государственная поддержка хозяйствующим субъектам АПК</w:t>
      </w:r>
    </w:p>
    <w:p w:rsidR="00B953F1" w:rsidRPr="00B953F1" w:rsidRDefault="00B953F1" w:rsidP="00B953F1">
      <w:pPr>
        <w:tabs>
          <w:tab w:val="left" w:pos="709"/>
        </w:tabs>
        <w:spacing w:after="0" w:line="240" w:lineRule="auto"/>
        <w:jc w:val="both"/>
        <w:rPr>
          <w:rFonts w:ascii="Times New Roman" w:hAnsi="Times New Roman"/>
          <w:sz w:val="24"/>
          <w:szCs w:val="24"/>
        </w:rPr>
      </w:pPr>
      <w:r w:rsidRPr="00B953F1">
        <w:tab/>
      </w:r>
      <w:r w:rsidRPr="00B953F1">
        <w:rPr>
          <w:rFonts w:ascii="Times New Roman" w:hAnsi="Times New Roman"/>
          <w:sz w:val="24"/>
          <w:szCs w:val="24"/>
        </w:rPr>
        <w:t xml:space="preserve">В </w:t>
      </w:r>
      <w:r w:rsidRPr="00B953F1">
        <w:rPr>
          <w:rFonts w:ascii="Times New Roman" w:hAnsi="Times New Roman"/>
          <w:sz w:val="24"/>
          <w:szCs w:val="24"/>
          <w:lang w:val="en-US"/>
        </w:rPr>
        <w:t>I</w:t>
      </w:r>
      <w:r w:rsidRPr="00B953F1">
        <w:rPr>
          <w:rFonts w:ascii="Times New Roman" w:hAnsi="Times New Roman"/>
          <w:sz w:val="24"/>
          <w:szCs w:val="24"/>
        </w:rPr>
        <w:t xml:space="preserve"> полугодии 2015 года в связи с сложной экономической ситуацией в республике и в условиях острого дефицита бюджетных средств финансовая поддержка агропромышленному комплексу не оказывалась.</w:t>
      </w:r>
    </w:p>
    <w:p w:rsidR="00B953F1" w:rsidRPr="00B953F1" w:rsidRDefault="00B953F1" w:rsidP="00B953F1">
      <w:pPr>
        <w:tabs>
          <w:tab w:val="left" w:pos="709"/>
        </w:tabs>
        <w:spacing w:after="0" w:line="240" w:lineRule="auto"/>
        <w:jc w:val="both"/>
        <w:rPr>
          <w:rFonts w:ascii="Times New Roman" w:hAnsi="Times New Roman"/>
          <w:sz w:val="24"/>
          <w:szCs w:val="24"/>
        </w:rPr>
      </w:pPr>
      <w:r w:rsidRPr="00B953F1">
        <w:rPr>
          <w:rFonts w:ascii="Times New Roman" w:hAnsi="Times New Roman"/>
          <w:sz w:val="24"/>
          <w:szCs w:val="24"/>
        </w:rPr>
        <w:tab/>
        <w:t>В то же время, землепользователям предоставлялись преференции в виде полного освобождения  от уплаты налогов, а именно:</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sz w:val="24"/>
          <w:szCs w:val="24"/>
        </w:rPr>
        <w:t>-при посадке многолетних насаждений до вступления их в плодоношение;</w:t>
      </w:r>
    </w:p>
    <w:p w:rsidR="00B953F1" w:rsidRPr="00B953F1" w:rsidRDefault="00B953F1" w:rsidP="00B953F1">
      <w:pPr>
        <w:spacing w:after="0" w:line="240" w:lineRule="auto"/>
        <w:jc w:val="both"/>
        <w:rPr>
          <w:rFonts w:ascii="Times New Roman" w:hAnsi="Times New Roman"/>
          <w:sz w:val="24"/>
          <w:szCs w:val="24"/>
        </w:rPr>
      </w:pPr>
      <w:r w:rsidRPr="00B953F1">
        <w:rPr>
          <w:rFonts w:ascii="Times New Roman" w:hAnsi="Times New Roman"/>
          <w:sz w:val="24"/>
          <w:szCs w:val="24"/>
        </w:rPr>
        <w:tab/>
        <w:t>-при раскорчевке многолетних насаждений;</w:t>
      </w:r>
    </w:p>
    <w:p w:rsidR="00B953F1" w:rsidRPr="00B953F1" w:rsidRDefault="00B953F1" w:rsidP="00B953F1">
      <w:pPr>
        <w:spacing w:after="0" w:line="240" w:lineRule="auto"/>
        <w:jc w:val="both"/>
        <w:rPr>
          <w:rFonts w:ascii="Times New Roman" w:hAnsi="Times New Roman"/>
          <w:sz w:val="24"/>
          <w:szCs w:val="24"/>
        </w:rPr>
      </w:pPr>
      <w:r w:rsidRPr="00B953F1">
        <w:rPr>
          <w:rFonts w:ascii="Times New Roman" w:hAnsi="Times New Roman"/>
          <w:sz w:val="24"/>
          <w:szCs w:val="24"/>
        </w:rPr>
        <w:tab/>
        <w:t>-при образовании крестьянских (фермерских) хозяйств с момента их государственной регистрации.</w:t>
      </w:r>
    </w:p>
    <w:p w:rsidR="00B953F1" w:rsidRPr="00B953F1" w:rsidRDefault="00B953F1" w:rsidP="00B953F1">
      <w:pPr>
        <w:spacing w:after="0" w:line="240" w:lineRule="auto"/>
        <w:ind w:firstLine="708"/>
        <w:jc w:val="both"/>
        <w:rPr>
          <w:rFonts w:ascii="Times New Roman" w:hAnsi="Times New Roman"/>
          <w:sz w:val="24"/>
          <w:szCs w:val="24"/>
        </w:rPr>
      </w:pPr>
      <w:r w:rsidRPr="00B953F1">
        <w:rPr>
          <w:rFonts w:ascii="Times New Roman" w:hAnsi="Times New Roman"/>
          <w:color w:val="262626"/>
          <w:sz w:val="24"/>
          <w:szCs w:val="24"/>
          <w:shd w:val="clear" w:color="auto" w:fill="FFFFFF"/>
        </w:rPr>
        <w:t>С целью предотвращения роста цен на овощную продукцию и снижения всплеска инфляции на товары сельскохозяйственного производства в период увеличения спроса (предпраздничные дни), а также привлечения на рынок отечественных товаропроизводителей для обеспечения жителей и гостей Приднестровской Молдавской Республики широким ассортиментом продукции, го</w:t>
      </w:r>
      <w:r w:rsidRPr="00B953F1">
        <w:rPr>
          <w:rFonts w:ascii="Times New Roman" w:hAnsi="Times New Roman"/>
          <w:sz w:val="24"/>
          <w:szCs w:val="24"/>
        </w:rPr>
        <w:t xml:space="preserve">сударственными администрациями городов и районов республики были определены места и проводились ярмарки выходного дня. Более 25% торговых мест на централизованных рынках предоставлено лицам, реализующим продукцию, произведенную в личных подсобных хозяйствах, садах и огородах. </w:t>
      </w:r>
    </w:p>
    <w:p w:rsidR="00B953F1" w:rsidRPr="00B953F1" w:rsidRDefault="00B953F1" w:rsidP="00B953F1">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B953F1">
        <w:rPr>
          <w:rFonts w:ascii="Times New Roman" w:hAnsi="Times New Roman"/>
          <w:sz w:val="24"/>
          <w:szCs w:val="24"/>
        </w:rPr>
        <w:t>Таким образом, несмотря на сложную социально-экономическую ситуацию</w:t>
      </w:r>
      <w:r w:rsidRPr="00B953F1">
        <w:rPr>
          <w:rFonts w:ascii="Times New Roman" w:hAnsi="Times New Roman"/>
          <w:sz w:val="24"/>
          <w:szCs w:val="24"/>
        </w:rPr>
        <w:br/>
        <w:t>в республике, в агропромышленном комплексе в январе-июне 2015 года удалось сохранить положительные тенденции в развитии сельскохозяйственной отрасли. Данная тенденция, обусловленная расширением площадей орошаемых земель, смещением ориентиров в сторону выращивания и производства сельскохозяйственной продукции с более высокой добавленной стоимостью, внедрением интенсивных и ресурсосберегающих технологий в отрасли растениеводства и животноводства, а также использованием современной высокопроизводительной техники. В животноводческой отрасли отмечен прирост производственных показателей, включая поголовье основных видов скота и птицы. Однако, основными сдерживающими факторами развития животноводческой отрасли, помимо высоких цен на энергоносители и корма, продолжают выступать отсутствие рынков сбыта и недостаточность инвестиционных вложений в развитие отдельных подотраслей животноводства.</w:t>
      </w:r>
    </w:p>
    <w:p w:rsidR="00CA1A34" w:rsidRPr="00182792" w:rsidRDefault="00CA1A34" w:rsidP="00335844">
      <w:pPr>
        <w:widowControl w:val="0"/>
        <w:autoSpaceDE w:val="0"/>
        <w:autoSpaceDN w:val="0"/>
        <w:adjustRightInd w:val="0"/>
        <w:spacing w:after="0" w:line="240" w:lineRule="auto"/>
        <w:jc w:val="both"/>
        <w:rPr>
          <w:rFonts w:ascii="Times New Roman" w:hAnsi="Times New Roman"/>
          <w:b/>
          <w:sz w:val="24"/>
          <w:szCs w:val="24"/>
        </w:rPr>
      </w:pPr>
    </w:p>
    <w:p w:rsidR="00335844" w:rsidRPr="00A3395A" w:rsidRDefault="00335844" w:rsidP="00335844">
      <w:pPr>
        <w:widowControl w:val="0"/>
        <w:autoSpaceDE w:val="0"/>
        <w:autoSpaceDN w:val="0"/>
        <w:adjustRightInd w:val="0"/>
        <w:spacing w:after="0" w:line="240" w:lineRule="auto"/>
        <w:ind w:firstLine="709"/>
        <w:jc w:val="both"/>
        <w:rPr>
          <w:rFonts w:ascii="Times New Roman" w:eastAsia="Calibri" w:hAnsi="Times New Roman"/>
          <w:b/>
          <w:sz w:val="24"/>
          <w:szCs w:val="24"/>
          <w:lang w:eastAsia="en-US"/>
        </w:rPr>
      </w:pPr>
      <w:r w:rsidRPr="00A3395A">
        <w:rPr>
          <w:rFonts w:ascii="Times New Roman" w:eastAsia="Calibri" w:hAnsi="Times New Roman"/>
          <w:b/>
          <w:sz w:val="24"/>
          <w:szCs w:val="24"/>
          <w:lang w:eastAsia="en-US"/>
        </w:rPr>
        <w:t>Инвестиционная деятельность</w:t>
      </w:r>
    </w:p>
    <w:p w:rsidR="00335844" w:rsidRPr="00A3395A" w:rsidRDefault="00335844" w:rsidP="00335844">
      <w:pPr>
        <w:widowControl w:val="0"/>
        <w:shd w:val="clear" w:color="auto" w:fill="FFFFFF"/>
        <w:spacing w:after="0" w:line="240" w:lineRule="auto"/>
        <w:ind w:firstLine="709"/>
        <w:jc w:val="both"/>
        <w:rPr>
          <w:rFonts w:ascii="Times New Roman" w:eastAsia="Calibri" w:hAnsi="Times New Roman"/>
          <w:sz w:val="24"/>
          <w:szCs w:val="24"/>
          <w:lang w:eastAsia="en-US"/>
        </w:rPr>
      </w:pPr>
    </w:p>
    <w:p w:rsidR="00335844" w:rsidRPr="000B56F8" w:rsidRDefault="00335844" w:rsidP="00335844">
      <w:pPr>
        <w:spacing w:after="0" w:line="240" w:lineRule="auto"/>
        <w:ind w:firstLine="709"/>
        <w:jc w:val="both"/>
        <w:rPr>
          <w:rFonts w:ascii="Times New Roman" w:eastAsia="Calibri" w:hAnsi="Times New Roman"/>
          <w:sz w:val="24"/>
          <w:szCs w:val="24"/>
          <w:lang w:eastAsia="en-US"/>
        </w:rPr>
      </w:pPr>
      <w:r w:rsidRPr="000B56F8">
        <w:rPr>
          <w:rFonts w:ascii="Times New Roman" w:eastAsia="Calibri" w:hAnsi="Times New Roman"/>
          <w:sz w:val="24"/>
          <w:szCs w:val="24"/>
          <w:lang w:eastAsia="en-US"/>
        </w:rPr>
        <w:t>По итогам января-июня 2015 года зафиксировано снижение объема инвестиций в основной капитал (с учетом субъектов малого предпринимательства и индивидуальных застройщиков) на 41,1% к уровню 2014 года, объём которых составил 462,1 млн. руб.</w:t>
      </w:r>
    </w:p>
    <w:p w:rsidR="00335844" w:rsidRDefault="00335844" w:rsidP="00335844">
      <w:pPr>
        <w:spacing w:after="0" w:line="240" w:lineRule="auto"/>
        <w:ind w:firstLine="709"/>
        <w:jc w:val="both"/>
        <w:rPr>
          <w:rFonts w:ascii="Times New Roman" w:hAnsi="Times New Roman"/>
          <w:spacing w:val="4"/>
          <w:sz w:val="24"/>
          <w:szCs w:val="24"/>
        </w:rPr>
      </w:pPr>
      <w:r w:rsidRPr="000B56F8">
        <w:rPr>
          <w:rFonts w:ascii="Times New Roman" w:hAnsi="Times New Roman"/>
          <w:sz w:val="24"/>
          <w:szCs w:val="24"/>
        </w:rPr>
        <w:t xml:space="preserve">По организациям всех форм собственности (кроме субъектов малого предпринимательства) величина инвестиций в основной капитал не достигла соответствующего показателя 2014 года на 36,3% (в сопоставимой оценке) и сложилась в размере 400,7 млн. руб. (в текущих ценах). При этом, </w:t>
      </w:r>
      <w:r>
        <w:rPr>
          <w:rFonts w:ascii="Times New Roman" w:hAnsi="Times New Roman"/>
          <w:sz w:val="24"/>
          <w:szCs w:val="24"/>
        </w:rPr>
        <w:t xml:space="preserve">отмечается сокращение </w:t>
      </w:r>
      <w:r w:rsidRPr="000B56F8">
        <w:rPr>
          <w:rFonts w:ascii="Times New Roman" w:hAnsi="Times New Roman"/>
          <w:sz w:val="24"/>
          <w:szCs w:val="24"/>
        </w:rPr>
        <w:t>объем</w:t>
      </w:r>
      <w:r>
        <w:rPr>
          <w:rFonts w:ascii="Times New Roman" w:hAnsi="Times New Roman"/>
          <w:sz w:val="24"/>
          <w:szCs w:val="24"/>
        </w:rPr>
        <w:t>а</w:t>
      </w:r>
      <w:r w:rsidRPr="000B56F8">
        <w:rPr>
          <w:rFonts w:ascii="Times New Roman" w:hAnsi="Times New Roman"/>
          <w:sz w:val="24"/>
          <w:szCs w:val="24"/>
        </w:rPr>
        <w:t xml:space="preserve"> средств, затраченных </w:t>
      </w:r>
      <w:r>
        <w:rPr>
          <w:rFonts w:ascii="Times New Roman" w:hAnsi="Times New Roman"/>
          <w:sz w:val="24"/>
          <w:szCs w:val="24"/>
        </w:rPr>
        <w:t xml:space="preserve">как </w:t>
      </w:r>
      <w:r w:rsidRPr="000B56F8">
        <w:rPr>
          <w:rFonts w:ascii="Times New Roman" w:hAnsi="Times New Roman"/>
          <w:sz w:val="24"/>
          <w:szCs w:val="24"/>
        </w:rPr>
        <w:t xml:space="preserve">на </w:t>
      </w:r>
      <w:r w:rsidRPr="000B56F8">
        <w:rPr>
          <w:rFonts w:ascii="Times New Roman" w:hAnsi="Times New Roman"/>
          <w:spacing w:val="4"/>
          <w:sz w:val="24"/>
          <w:szCs w:val="24"/>
        </w:rPr>
        <w:t>обновление машин, оборудовани</w:t>
      </w:r>
      <w:r>
        <w:rPr>
          <w:rFonts w:ascii="Times New Roman" w:hAnsi="Times New Roman"/>
          <w:spacing w:val="4"/>
          <w:sz w:val="24"/>
          <w:szCs w:val="24"/>
        </w:rPr>
        <w:t>я</w:t>
      </w:r>
      <w:r w:rsidRPr="000B56F8">
        <w:rPr>
          <w:rFonts w:ascii="Times New Roman" w:hAnsi="Times New Roman"/>
          <w:spacing w:val="4"/>
          <w:sz w:val="24"/>
          <w:szCs w:val="24"/>
        </w:rPr>
        <w:t>, транспортных средств</w:t>
      </w:r>
      <w:r w:rsidRPr="00AD61F5">
        <w:rPr>
          <w:rFonts w:ascii="Times New Roman" w:hAnsi="Times New Roman"/>
          <w:sz w:val="24"/>
          <w:szCs w:val="24"/>
        </w:rPr>
        <w:t xml:space="preserve"> </w:t>
      </w:r>
      <w:r>
        <w:rPr>
          <w:rFonts w:ascii="Times New Roman" w:hAnsi="Times New Roman"/>
          <w:sz w:val="24"/>
          <w:szCs w:val="24"/>
        </w:rPr>
        <w:t>(</w:t>
      </w:r>
      <w:r w:rsidRPr="000B56F8">
        <w:rPr>
          <w:rFonts w:ascii="Times New Roman" w:hAnsi="Times New Roman"/>
          <w:sz w:val="24"/>
          <w:szCs w:val="24"/>
        </w:rPr>
        <w:t>на 38,7% до 229,8 млн. руб.</w:t>
      </w:r>
      <w:r>
        <w:rPr>
          <w:rFonts w:ascii="Times New Roman" w:hAnsi="Times New Roman"/>
          <w:sz w:val="24"/>
          <w:szCs w:val="24"/>
        </w:rPr>
        <w:t xml:space="preserve">), так и на </w:t>
      </w:r>
      <w:r w:rsidRPr="000B56F8">
        <w:rPr>
          <w:rFonts w:ascii="Times New Roman" w:hAnsi="Times New Roman"/>
          <w:spacing w:val="4"/>
          <w:sz w:val="24"/>
          <w:szCs w:val="24"/>
        </w:rPr>
        <w:t>строительно-монтажны</w:t>
      </w:r>
      <w:r>
        <w:rPr>
          <w:rFonts w:ascii="Times New Roman" w:hAnsi="Times New Roman"/>
          <w:spacing w:val="4"/>
          <w:sz w:val="24"/>
          <w:szCs w:val="24"/>
        </w:rPr>
        <w:t xml:space="preserve">е </w:t>
      </w:r>
      <w:r w:rsidRPr="000B56F8">
        <w:rPr>
          <w:rFonts w:ascii="Times New Roman" w:hAnsi="Times New Roman"/>
          <w:spacing w:val="4"/>
          <w:sz w:val="24"/>
          <w:szCs w:val="24"/>
        </w:rPr>
        <w:t>работ</w:t>
      </w:r>
      <w:r>
        <w:rPr>
          <w:rFonts w:ascii="Times New Roman" w:hAnsi="Times New Roman"/>
          <w:spacing w:val="4"/>
          <w:sz w:val="24"/>
          <w:szCs w:val="24"/>
        </w:rPr>
        <w:t>ы</w:t>
      </w:r>
      <w:r w:rsidRPr="000B56F8">
        <w:rPr>
          <w:rFonts w:ascii="Times New Roman" w:hAnsi="Times New Roman"/>
          <w:spacing w:val="4"/>
          <w:sz w:val="24"/>
          <w:szCs w:val="24"/>
        </w:rPr>
        <w:t xml:space="preserve"> </w:t>
      </w:r>
      <w:r>
        <w:rPr>
          <w:rFonts w:ascii="Times New Roman" w:hAnsi="Times New Roman"/>
          <w:spacing w:val="4"/>
          <w:sz w:val="24"/>
          <w:szCs w:val="24"/>
        </w:rPr>
        <w:t>(</w:t>
      </w:r>
      <w:r w:rsidRPr="000B56F8">
        <w:rPr>
          <w:rFonts w:ascii="Times New Roman" w:hAnsi="Times New Roman"/>
          <w:sz w:val="24"/>
          <w:szCs w:val="24"/>
        </w:rPr>
        <w:t xml:space="preserve">на 33,1% до 153,2 </w:t>
      </w:r>
      <w:r w:rsidRPr="000B56F8">
        <w:rPr>
          <w:rFonts w:ascii="Times New Roman" w:hAnsi="Times New Roman"/>
          <w:spacing w:val="4"/>
          <w:sz w:val="24"/>
          <w:szCs w:val="24"/>
        </w:rPr>
        <w:t>млн. руб.</w:t>
      </w:r>
      <w:r>
        <w:rPr>
          <w:rFonts w:ascii="Times New Roman" w:hAnsi="Times New Roman"/>
          <w:spacing w:val="4"/>
          <w:sz w:val="24"/>
          <w:szCs w:val="24"/>
        </w:rPr>
        <w:t>).</w:t>
      </w:r>
    </w:p>
    <w:p w:rsidR="00335844" w:rsidRDefault="00335844" w:rsidP="00335844">
      <w:pPr>
        <w:tabs>
          <w:tab w:val="left" w:pos="9639"/>
        </w:tabs>
        <w:spacing w:after="0" w:line="240" w:lineRule="auto"/>
        <w:jc w:val="both"/>
        <w:rPr>
          <w:rFonts w:ascii="Times New Roman" w:eastAsia="Calibri" w:hAnsi="Times New Roman"/>
          <w:b/>
          <w:sz w:val="20"/>
          <w:szCs w:val="20"/>
          <w:lang w:eastAsia="en-US"/>
        </w:rPr>
      </w:pPr>
    </w:p>
    <w:p w:rsidR="00335844" w:rsidRPr="000B56F8" w:rsidRDefault="00335844" w:rsidP="00335844">
      <w:pPr>
        <w:tabs>
          <w:tab w:val="left" w:pos="9639"/>
        </w:tabs>
        <w:spacing w:after="0" w:line="240" w:lineRule="auto"/>
        <w:jc w:val="both"/>
        <w:rPr>
          <w:rFonts w:ascii="Times New Roman" w:eastAsia="Calibri" w:hAnsi="Times New Roman"/>
          <w:b/>
          <w:sz w:val="20"/>
          <w:szCs w:val="20"/>
          <w:lang w:eastAsia="en-US"/>
        </w:rPr>
      </w:pPr>
    </w:p>
    <w:p w:rsidR="00335844" w:rsidRPr="000B56F8" w:rsidRDefault="00335844" w:rsidP="00335844">
      <w:pPr>
        <w:spacing w:after="0" w:line="240" w:lineRule="auto"/>
        <w:ind w:hanging="993"/>
        <w:jc w:val="both"/>
        <w:rPr>
          <w:rFonts w:ascii="Times New Roman" w:eastAsia="Calibri" w:hAnsi="Times New Roman"/>
          <w:b/>
          <w:sz w:val="20"/>
          <w:szCs w:val="20"/>
          <w:lang w:eastAsia="en-US"/>
        </w:rPr>
      </w:pPr>
      <w:r>
        <w:rPr>
          <w:rFonts w:ascii="Times New Roman" w:eastAsia="Calibri" w:hAnsi="Times New Roman"/>
          <w:b/>
          <w:noProof/>
          <w:sz w:val="20"/>
          <w:szCs w:val="20"/>
        </w:rPr>
        <w:lastRenderedPageBreak/>
        <w:drawing>
          <wp:anchor distT="0" distB="12192" distL="114300" distR="116586" simplePos="0" relativeHeight="251661312" behindDoc="0" locked="0" layoutInCell="1" allowOverlap="1">
            <wp:simplePos x="0" y="0"/>
            <wp:positionH relativeFrom="column">
              <wp:posOffset>3022981</wp:posOffset>
            </wp:positionH>
            <wp:positionV relativeFrom="paragraph">
              <wp:posOffset>78740</wp:posOffset>
            </wp:positionV>
            <wp:extent cx="3333877" cy="3200146"/>
            <wp:effectExtent l="19050" t="0" r="0" b="0"/>
            <wp:wrapSquare wrapText="bothSides"/>
            <wp:docPr id="2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0B56F8">
        <w:rPr>
          <w:rFonts w:ascii="Times New Roman" w:eastAsia="Calibri" w:hAnsi="Times New Roman"/>
          <w:b/>
          <w:sz w:val="20"/>
          <w:szCs w:val="20"/>
          <w:lang w:eastAsia="en-US"/>
        </w:rPr>
        <w:t xml:space="preserve">                  Инвестиции в основной капитал, млн. руб.</w:t>
      </w:r>
    </w:p>
    <w:p w:rsidR="00335844" w:rsidRPr="000B56F8" w:rsidRDefault="00335844" w:rsidP="00335844">
      <w:pPr>
        <w:tabs>
          <w:tab w:val="right" w:pos="9354"/>
        </w:tabs>
        <w:spacing w:after="0"/>
        <w:ind w:hanging="567"/>
        <w:jc w:val="both"/>
        <w:rPr>
          <w:rFonts w:ascii="Times New Roman" w:hAnsi="Times New Roman"/>
          <w:sz w:val="24"/>
          <w:szCs w:val="24"/>
        </w:rPr>
      </w:pPr>
      <w:r w:rsidRPr="000B56F8">
        <w:rPr>
          <w:rFonts w:ascii="Times New Roman" w:hAnsi="Times New Roman"/>
          <w:sz w:val="20"/>
          <w:szCs w:val="20"/>
        </w:rPr>
        <w:t xml:space="preserve">           (без субъектов малого предпринимательства</w:t>
      </w:r>
      <w:r w:rsidRPr="000B56F8">
        <w:rPr>
          <w:rFonts w:ascii="Times New Roman" w:hAnsi="Times New Roman"/>
          <w:sz w:val="24"/>
          <w:szCs w:val="24"/>
        </w:rPr>
        <w:t xml:space="preserve">)         </w:t>
      </w:r>
      <w:r w:rsidRPr="000B56F8">
        <w:rPr>
          <w:rFonts w:ascii="Times New Roman" w:hAnsi="Times New Roman"/>
          <w:sz w:val="24"/>
          <w:szCs w:val="24"/>
        </w:rPr>
        <w:tab/>
      </w:r>
    </w:p>
    <w:tbl>
      <w:tblPr>
        <w:tblpPr w:leftFromText="180" w:rightFromText="180" w:vertAnchor="text" w:tblpX="-885" w:tblpY="1"/>
        <w:tblOverlap w:val="never"/>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850"/>
        <w:gridCol w:w="850"/>
        <w:gridCol w:w="851"/>
        <w:gridCol w:w="851"/>
      </w:tblGrid>
      <w:tr w:rsidR="00335844" w:rsidRPr="000B56F8" w:rsidTr="003F67B2">
        <w:tc>
          <w:tcPr>
            <w:tcW w:w="1668" w:type="dxa"/>
            <w:vMerge w:val="restart"/>
            <w:vAlign w:val="center"/>
          </w:tcPr>
          <w:p w:rsidR="00335844" w:rsidRPr="000B56F8" w:rsidRDefault="00335844" w:rsidP="003F67B2">
            <w:pPr>
              <w:spacing w:after="0" w:line="240" w:lineRule="auto"/>
              <w:ind w:left="-534" w:firstLine="392"/>
              <w:jc w:val="center"/>
              <w:rPr>
                <w:rFonts w:ascii="Times New Roman" w:eastAsia="Calibri" w:hAnsi="Times New Roman"/>
                <w:b/>
                <w:sz w:val="18"/>
                <w:szCs w:val="18"/>
                <w:lang w:eastAsia="en-US"/>
              </w:rPr>
            </w:pPr>
            <w:r w:rsidRPr="000B56F8">
              <w:rPr>
                <w:rFonts w:ascii="Times New Roman" w:eastAsia="Calibri" w:hAnsi="Times New Roman"/>
                <w:b/>
                <w:spacing w:val="2"/>
                <w:sz w:val="18"/>
                <w:szCs w:val="18"/>
                <w:lang w:eastAsia="en-US"/>
              </w:rPr>
              <w:t>Показатели</w:t>
            </w:r>
          </w:p>
        </w:tc>
        <w:tc>
          <w:tcPr>
            <w:tcW w:w="850" w:type="dxa"/>
            <w:vMerge w:val="restart"/>
            <w:vAlign w:val="center"/>
          </w:tcPr>
          <w:p w:rsidR="00335844" w:rsidRPr="000B56F8" w:rsidRDefault="00335844" w:rsidP="003F67B2">
            <w:pPr>
              <w:spacing w:after="0" w:line="240" w:lineRule="auto"/>
              <w:ind w:left="-108"/>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январь-июнь</w:t>
            </w:r>
          </w:p>
          <w:p w:rsidR="00335844" w:rsidRPr="000B56F8" w:rsidRDefault="00335844" w:rsidP="003F67B2">
            <w:pPr>
              <w:spacing w:after="0" w:line="240" w:lineRule="auto"/>
              <w:ind w:left="-108"/>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2014 г.</w:t>
            </w:r>
          </w:p>
        </w:tc>
        <w:tc>
          <w:tcPr>
            <w:tcW w:w="850" w:type="dxa"/>
            <w:vMerge w:val="restart"/>
            <w:vAlign w:val="center"/>
          </w:tcPr>
          <w:p w:rsidR="00335844" w:rsidRPr="000B56F8" w:rsidRDefault="00335844" w:rsidP="003F67B2">
            <w:pPr>
              <w:spacing w:after="0" w:line="240" w:lineRule="auto"/>
              <w:ind w:left="-108"/>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январь-июнь</w:t>
            </w:r>
          </w:p>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2015 г.</w:t>
            </w:r>
          </w:p>
        </w:tc>
        <w:tc>
          <w:tcPr>
            <w:tcW w:w="1702" w:type="dxa"/>
            <w:gridSpan w:val="2"/>
            <w:vAlign w:val="center"/>
          </w:tcPr>
          <w:p w:rsidR="00335844" w:rsidRPr="000B56F8" w:rsidRDefault="00335844" w:rsidP="003F67B2">
            <w:pPr>
              <w:tabs>
                <w:tab w:val="left" w:pos="33"/>
              </w:tabs>
              <w:spacing w:after="0" w:line="240" w:lineRule="auto"/>
              <w:ind w:left="-420" w:firstLine="420"/>
              <w:jc w:val="center"/>
              <w:rPr>
                <w:rFonts w:ascii="Times New Roman" w:eastAsia="Calibri" w:hAnsi="Times New Roman"/>
                <w:b/>
                <w:bCs/>
                <w:sz w:val="18"/>
                <w:szCs w:val="18"/>
                <w:lang w:eastAsia="en-US"/>
              </w:rPr>
            </w:pPr>
            <w:r w:rsidRPr="000B56F8">
              <w:rPr>
                <w:rFonts w:ascii="Times New Roman" w:eastAsia="Calibri" w:hAnsi="Times New Roman"/>
                <w:b/>
                <w:bCs/>
                <w:sz w:val="18"/>
                <w:szCs w:val="18"/>
                <w:lang w:eastAsia="en-US"/>
              </w:rPr>
              <w:t>Темп роста</w:t>
            </w:r>
          </w:p>
          <w:p w:rsidR="00335844" w:rsidRPr="000B56F8" w:rsidRDefault="00335844" w:rsidP="003F67B2">
            <w:pPr>
              <w:spacing w:after="0" w:line="240" w:lineRule="auto"/>
              <w:ind w:left="-420" w:firstLine="420"/>
              <w:jc w:val="center"/>
              <w:rPr>
                <w:rFonts w:ascii="Times New Roman" w:eastAsia="Calibri" w:hAnsi="Times New Roman"/>
                <w:b/>
                <w:sz w:val="18"/>
                <w:szCs w:val="18"/>
                <w:lang w:eastAsia="en-US"/>
              </w:rPr>
            </w:pPr>
            <w:r w:rsidRPr="000B56F8">
              <w:rPr>
                <w:rFonts w:ascii="Times New Roman" w:eastAsia="Calibri" w:hAnsi="Times New Roman"/>
                <w:b/>
                <w:bCs/>
                <w:sz w:val="18"/>
                <w:szCs w:val="18"/>
                <w:lang w:eastAsia="en-US"/>
              </w:rPr>
              <w:t>к 2014 г., %*</w:t>
            </w:r>
          </w:p>
        </w:tc>
      </w:tr>
      <w:tr w:rsidR="00335844" w:rsidRPr="000B56F8" w:rsidTr="003F67B2">
        <w:trPr>
          <w:trHeight w:val="517"/>
        </w:trPr>
        <w:tc>
          <w:tcPr>
            <w:tcW w:w="1668" w:type="dxa"/>
            <w:vMerge/>
            <w:vAlign w:val="center"/>
          </w:tcPr>
          <w:p w:rsidR="00335844" w:rsidRPr="000B56F8" w:rsidRDefault="00335844" w:rsidP="003F67B2">
            <w:pPr>
              <w:spacing w:after="0" w:line="240" w:lineRule="auto"/>
              <w:rPr>
                <w:rFonts w:ascii="Times New Roman" w:eastAsia="Calibri" w:hAnsi="Times New Roman"/>
                <w:b/>
                <w:sz w:val="18"/>
                <w:szCs w:val="18"/>
                <w:lang w:eastAsia="en-US"/>
              </w:rPr>
            </w:pPr>
          </w:p>
        </w:tc>
        <w:tc>
          <w:tcPr>
            <w:tcW w:w="850" w:type="dxa"/>
            <w:vMerge/>
            <w:vAlign w:val="center"/>
          </w:tcPr>
          <w:p w:rsidR="00335844" w:rsidRPr="000B56F8" w:rsidRDefault="00335844" w:rsidP="003F67B2">
            <w:pPr>
              <w:spacing w:after="0" w:line="240" w:lineRule="auto"/>
              <w:ind w:left="-464"/>
              <w:jc w:val="center"/>
              <w:rPr>
                <w:rFonts w:ascii="Times New Roman" w:eastAsia="Calibri" w:hAnsi="Times New Roman"/>
                <w:b/>
                <w:sz w:val="18"/>
                <w:szCs w:val="18"/>
                <w:lang w:eastAsia="en-US"/>
              </w:rPr>
            </w:pPr>
          </w:p>
        </w:tc>
        <w:tc>
          <w:tcPr>
            <w:tcW w:w="850" w:type="dxa"/>
            <w:vMerge/>
            <w:vAlign w:val="center"/>
          </w:tcPr>
          <w:p w:rsidR="00335844" w:rsidRPr="000B56F8" w:rsidRDefault="00335844" w:rsidP="003F67B2">
            <w:pPr>
              <w:spacing w:after="0" w:line="240" w:lineRule="auto"/>
              <w:rPr>
                <w:rFonts w:ascii="Times New Roman" w:eastAsia="Calibri" w:hAnsi="Times New Roman"/>
                <w:b/>
                <w:sz w:val="18"/>
                <w:szCs w:val="18"/>
                <w:lang w:eastAsia="en-US"/>
              </w:rPr>
            </w:pPr>
          </w:p>
        </w:tc>
        <w:tc>
          <w:tcPr>
            <w:tcW w:w="851" w:type="dxa"/>
            <w:vAlign w:val="center"/>
          </w:tcPr>
          <w:p w:rsidR="00335844" w:rsidRPr="000B56F8" w:rsidRDefault="00335844" w:rsidP="003F67B2">
            <w:pPr>
              <w:spacing w:after="0" w:line="240" w:lineRule="auto"/>
              <w:ind w:right="-108"/>
              <w:rPr>
                <w:rFonts w:ascii="Times New Roman" w:eastAsia="Calibri" w:hAnsi="Times New Roman"/>
                <w:b/>
                <w:bCs/>
                <w:sz w:val="18"/>
                <w:szCs w:val="18"/>
                <w:lang w:eastAsia="en-US"/>
              </w:rPr>
            </w:pPr>
            <w:r w:rsidRPr="000B56F8">
              <w:rPr>
                <w:rFonts w:ascii="Times New Roman" w:eastAsia="Calibri" w:hAnsi="Times New Roman"/>
                <w:b/>
                <w:bCs/>
                <w:sz w:val="18"/>
                <w:szCs w:val="18"/>
                <w:lang w:eastAsia="en-US"/>
              </w:rPr>
              <w:t>в теку</w:t>
            </w:r>
          </w:p>
          <w:p w:rsidR="00335844" w:rsidRPr="000B56F8" w:rsidRDefault="00335844" w:rsidP="003F67B2">
            <w:pPr>
              <w:spacing w:after="0" w:line="240" w:lineRule="auto"/>
              <w:ind w:right="-108"/>
              <w:rPr>
                <w:rFonts w:ascii="Times New Roman" w:eastAsia="Calibri" w:hAnsi="Times New Roman"/>
                <w:b/>
                <w:bCs/>
                <w:sz w:val="18"/>
                <w:szCs w:val="18"/>
                <w:lang w:eastAsia="en-US"/>
              </w:rPr>
            </w:pPr>
            <w:r w:rsidRPr="000B56F8">
              <w:rPr>
                <w:rFonts w:ascii="Times New Roman" w:eastAsia="Calibri" w:hAnsi="Times New Roman"/>
                <w:b/>
                <w:bCs/>
                <w:sz w:val="18"/>
                <w:szCs w:val="18"/>
                <w:lang w:eastAsia="en-US"/>
              </w:rPr>
              <w:t>щих</w:t>
            </w:r>
          </w:p>
          <w:p w:rsidR="00335844" w:rsidRPr="000B56F8" w:rsidRDefault="00335844" w:rsidP="003F67B2">
            <w:pPr>
              <w:spacing w:line="240" w:lineRule="auto"/>
              <w:rPr>
                <w:rFonts w:ascii="Times New Roman" w:eastAsia="Calibri" w:hAnsi="Times New Roman"/>
                <w:b/>
                <w:sz w:val="18"/>
                <w:szCs w:val="18"/>
                <w:lang w:eastAsia="en-US"/>
              </w:rPr>
            </w:pPr>
            <w:r w:rsidRPr="000B56F8">
              <w:rPr>
                <w:rFonts w:ascii="Times New Roman" w:eastAsia="Calibri" w:hAnsi="Times New Roman"/>
                <w:b/>
                <w:bCs/>
                <w:sz w:val="18"/>
                <w:szCs w:val="18"/>
                <w:lang w:eastAsia="en-US"/>
              </w:rPr>
              <w:t>ценах</w:t>
            </w:r>
          </w:p>
        </w:tc>
        <w:tc>
          <w:tcPr>
            <w:tcW w:w="851" w:type="dxa"/>
            <w:vAlign w:val="center"/>
          </w:tcPr>
          <w:p w:rsidR="00335844" w:rsidRPr="000B56F8" w:rsidRDefault="00335844" w:rsidP="003F67B2">
            <w:pPr>
              <w:spacing w:after="0" w:line="240" w:lineRule="auto"/>
              <w:rPr>
                <w:rFonts w:ascii="Times New Roman" w:eastAsia="Calibri" w:hAnsi="Times New Roman"/>
                <w:b/>
                <w:sz w:val="18"/>
                <w:szCs w:val="18"/>
                <w:lang w:eastAsia="en-US"/>
              </w:rPr>
            </w:pPr>
            <w:r w:rsidRPr="000B56F8">
              <w:rPr>
                <w:rFonts w:ascii="Times New Roman" w:eastAsia="Calibri" w:hAnsi="Times New Roman"/>
                <w:b/>
                <w:bCs/>
                <w:sz w:val="18"/>
                <w:szCs w:val="18"/>
                <w:lang w:eastAsia="en-US"/>
              </w:rPr>
              <w:t xml:space="preserve">      в сопоставимой оценке</w:t>
            </w:r>
          </w:p>
        </w:tc>
      </w:tr>
      <w:tr w:rsidR="00335844" w:rsidRPr="000B56F8" w:rsidTr="003F67B2">
        <w:tc>
          <w:tcPr>
            <w:tcW w:w="1668" w:type="dxa"/>
            <w:vAlign w:val="center"/>
          </w:tcPr>
          <w:p w:rsidR="00335844" w:rsidRPr="000B56F8" w:rsidRDefault="00335844" w:rsidP="003F67B2">
            <w:pPr>
              <w:spacing w:after="0" w:line="240" w:lineRule="auto"/>
              <w:rPr>
                <w:rFonts w:ascii="Times New Roman" w:eastAsia="Calibri" w:hAnsi="Times New Roman"/>
                <w:sz w:val="18"/>
                <w:szCs w:val="18"/>
                <w:lang w:eastAsia="en-US"/>
              </w:rPr>
            </w:pPr>
            <w:r w:rsidRPr="000B56F8">
              <w:rPr>
                <w:rFonts w:ascii="Times New Roman" w:eastAsia="Calibri" w:hAnsi="Times New Roman"/>
                <w:b/>
                <w:sz w:val="18"/>
                <w:szCs w:val="18"/>
                <w:lang w:eastAsia="en-US"/>
              </w:rPr>
              <w:t>Инвестиции в основной капитал</w:t>
            </w:r>
            <w:r w:rsidRPr="000B56F8">
              <w:rPr>
                <w:rFonts w:ascii="Times New Roman" w:eastAsia="Calibri" w:hAnsi="Times New Roman"/>
                <w:sz w:val="18"/>
                <w:szCs w:val="18"/>
                <w:lang w:eastAsia="en-US"/>
              </w:rPr>
              <w:t xml:space="preserve"> (в части новых и приобретенных по импорту основных средств) – всего</w:t>
            </w:r>
          </w:p>
        </w:tc>
        <w:tc>
          <w:tcPr>
            <w:tcW w:w="850" w:type="dxa"/>
            <w:vAlign w:val="center"/>
          </w:tcPr>
          <w:p w:rsidR="00335844" w:rsidRPr="000B56F8" w:rsidRDefault="00335844" w:rsidP="003F67B2">
            <w:pPr>
              <w:spacing w:after="0" w:line="240" w:lineRule="auto"/>
              <w:ind w:left="-143"/>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629,7</w:t>
            </w:r>
          </w:p>
        </w:tc>
        <w:tc>
          <w:tcPr>
            <w:tcW w:w="850" w:type="dxa"/>
            <w:vAlign w:val="center"/>
          </w:tcPr>
          <w:p w:rsidR="00335844" w:rsidRPr="000B56F8" w:rsidRDefault="00335844" w:rsidP="003F67B2">
            <w:pPr>
              <w:spacing w:after="0" w:line="240" w:lineRule="auto"/>
              <w:ind w:left="-143"/>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400,7</w:t>
            </w:r>
          </w:p>
        </w:tc>
        <w:tc>
          <w:tcPr>
            <w:tcW w:w="851" w:type="dxa"/>
            <w:vAlign w:val="center"/>
          </w:tcPr>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61,4</w:t>
            </w:r>
          </w:p>
        </w:tc>
        <w:tc>
          <w:tcPr>
            <w:tcW w:w="851" w:type="dxa"/>
            <w:vAlign w:val="center"/>
          </w:tcPr>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63,7</w:t>
            </w:r>
          </w:p>
        </w:tc>
      </w:tr>
      <w:tr w:rsidR="00335844" w:rsidRPr="000B56F8" w:rsidTr="003F67B2">
        <w:tc>
          <w:tcPr>
            <w:tcW w:w="1668" w:type="dxa"/>
            <w:vAlign w:val="center"/>
          </w:tcPr>
          <w:p w:rsidR="00335844" w:rsidRPr="000B56F8" w:rsidRDefault="00335844" w:rsidP="003F67B2">
            <w:pPr>
              <w:spacing w:after="0"/>
              <w:rPr>
                <w:rFonts w:ascii="Times New Roman" w:hAnsi="Times New Roman"/>
                <w:sz w:val="18"/>
                <w:szCs w:val="18"/>
              </w:rPr>
            </w:pPr>
            <w:r w:rsidRPr="000B56F8">
              <w:rPr>
                <w:rFonts w:ascii="Times New Roman" w:hAnsi="Times New Roman"/>
                <w:sz w:val="18"/>
                <w:szCs w:val="18"/>
              </w:rPr>
              <w:t>из них:</w:t>
            </w:r>
          </w:p>
          <w:p w:rsidR="00335844" w:rsidRPr="000B56F8" w:rsidRDefault="00335844" w:rsidP="003F67B2">
            <w:pPr>
              <w:spacing w:after="0" w:line="240" w:lineRule="auto"/>
              <w:rPr>
                <w:rFonts w:ascii="Times New Roman" w:eastAsia="Calibri" w:hAnsi="Times New Roman"/>
                <w:sz w:val="18"/>
                <w:szCs w:val="18"/>
                <w:lang w:eastAsia="en-US"/>
              </w:rPr>
            </w:pPr>
            <w:r w:rsidRPr="000B56F8">
              <w:rPr>
                <w:rFonts w:ascii="Times New Roman" w:eastAsia="Calibri" w:hAnsi="Times New Roman"/>
                <w:sz w:val="18"/>
                <w:szCs w:val="18"/>
                <w:lang w:eastAsia="en-US"/>
              </w:rPr>
              <w:t>строительно-монтажные работы</w:t>
            </w:r>
          </w:p>
        </w:tc>
        <w:tc>
          <w:tcPr>
            <w:tcW w:w="850"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240,2</w:t>
            </w:r>
          </w:p>
        </w:tc>
        <w:tc>
          <w:tcPr>
            <w:tcW w:w="850"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153,2</w:t>
            </w:r>
          </w:p>
        </w:tc>
        <w:tc>
          <w:tcPr>
            <w:tcW w:w="851"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60,7</w:t>
            </w:r>
          </w:p>
        </w:tc>
        <w:tc>
          <w:tcPr>
            <w:tcW w:w="851"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66,9</w:t>
            </w:r>
          </w:p>
        </w:tc>
      </w:tr>
      <w:tr w:rsidR="00335844" w:rsidRPr="000B56F8" w:rsidTr="003F67B2">
        <w:tc>
          <w:tcPr>
            <w:tcW w:w="1668" w:type="dxa"/>
            <w:vAlign w:val="center"/>
          </w:tcPr>
          <w:p w:rsidR="00335844" w:rsidRPr="000B56F8" w:rsidRDefault="00335844" w:rsidP="003F67B2">
            <w:pPr>
              <w:spacing w:after="0" w:line="240" w:lineRule="auto"/>
              <w:rPr>
                <w:rFonts w:ascii="Times New Roman" w:eastAsia="Calibri" w:hAnsi="Times New Roman"/>
                <w:sz w:val="18"/>
                <w:szCs w:val="18"/>
                <w:lang w:eastAsia="en-US"/>
              </w:rPr>
            </w:pPr>
            <w:r w:rsidRPr="000B56F8">
              <w:rPr>
                <w:rFonts w:ascii="Times New Roman" w:eastAsia="Calibri" w:hAnsi="Times New Roman"/>
                <w:sz w:val="18"/>
                <w:szCs w:val="18"/>
                <w:lang w:eastAsia="en-US"/>
              </w:rPr>
              <w:t>машины, оборудование, транспортные средства, инструмент, инвентарь</w:t>
            </w:r>
          </w:p>
        </w:tc>
        <w:tc>
          <w:tcPr>
            <w:tcW w:w="850"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364,6</w:t>
            </w:r>
          </w:p>
        </w:tc>
        <w:tc>
          <w:tcPr>
            <w:tcW w:w="850"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229,8</w:t>
            </w:r>
          </w:p>
        </w:tc>
        <w:tc>
          <w:tcPr>
            <w:tcW w:w="851"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61,3</w:t>
            </w:r>
          </w:p>
        </w:tc>
        <w:tc>
          <w:tcPr>
            <w:tcW w:w="851"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61,3</w:t>
            </w:r>
          </w:p>
        </w:tc>
      </w:tr>
    </w:tbl>
    <w:p w:rsidR="00335844" w:rsidRPr="000B56F8" w:rsidRDefault="00335844" w:rsidP="00335844">
      <w:pPr>
        <w:spacing w:after="0" w:line="240" w:lineRule="auto"/>
        <w:ind w:left="360" w:hanging="502"/>
        <w:rPr>
          <w:rFonts w:ascii="Times New Roman" w:eastAsia="Calibri" w:hAnsi="Times New Roman"/>
          <w:spacing w:val="2"/>
          <w:sz w:val="20"/>
          <w:szCs w:val="20"/>
          <w:lang w:eastAsia="en-US"/>
        </w:rPr>
      </w:pPr>
    </w:p>
    <w:p w:rsidR="00335844" w:rsidRPr="000B56F8" w:rsidRDefault="00335844" w:rsidP="00335844">
      <w:pPr>
        <w:spacing w:after="0" w:line="240" w:lineRule="auto"/>
        <w:ind w:hanging="851"/>
        <w:jc w:val="both"/>
        <w:rPr>
          <w:rFonts w:ascii="Times New Roman" w:eastAsia="Calibri" w:hAnsi="Times New Roman"/>
          <w:spacing w:val="3"/>
          <w:sz w:val="18"/>
          <w:szCs w:val="18"/>
          <w:lang w:eastAsia="en-US"/>
        </w:rPr>
      </w:pPr>
      <w:r w:rsidRPr="000B56F8">
        <w:rPr>
          <w:rFonts w:ascii="Times New Roman" w:eastAsia="Calibri" w:hAnsi="Times New Roman"/>
          <w:spacing w:val="3"/>
          <w:sz w:val="18"/>
          <w:szCs w:val="18"/>
          <w:lang w:eastAsia="en-US"/>
        </w:rPr>
        <w:t>*-темпы роста приведены к уточнённым данным</w:t>
      </w:r>
      <w:r>
        <w:rPr>
          <w:rFonts w:ascii="Times New Roman" w:eastAsia="Calibri" w:hAnsi="Times New Roman"/>
          <w:spacing w:val="3"/>
          <w:sz w:val="18"/>
          <w:szCs w:val="18"/>
          <w:lang w:eastAsia="en-US"/>
        </w:rPr>
        <w:t xml:space="preserve"> ГСС</w:t>
      </w:r>
    </w:p>
    <w:p w:rsidR="00335844" w:rsidRDefault="00335844" w:rsidP="00335844">
      <w:pPr>
        <w:spacing w:after="0" w:line="240" w:lineRule="auto"/>
        <w:ind w:firstLine="708"/>
        <w:jc w:val="both"/>
        <w:rPr>
          <w:rFonts w:ascii="Times New Roman" w:eastAsia="Calibri" w:hAnsi="Times New Roman"/>
          <w:spacing w:val="3"/>
          <w:sz w:val="24"/>
          <w:szCs w:val="24"/>
          <w:lang w:eastAsia="en-US"/>
        </w:rPr>
      </w:pPr>
    </w:p>
    <w:p w:rsidR="00335844" w:rsidRPr="000B56F8" w:rsidRDefault="00335844" w:rsidP="00335844">
      <w:pPr>
        <w:spacing w:after="0" w:line="240" w:lineRule="auto"/>
        <w:ind w:firstLine="708"/>
        <w:jc w:val="both"/>
        <w:rPr>
          <w:rFonts w:ascii="Times New Roman" w:eastAsia="Calibri" w:hAnsi="Times New Roman"/>
          <w:spacing w:val="2"/>
          <w:sz w:val="24"/>
          <w:szCs w:val="24"/>
          <w:lang w:eastAsia="en-US"/>
        </w:rPr>
      </w:pPr>
      <w:r w:rsidRPr="000B56F8">
        <w:rPr>
          <w:rFonts w:ascii="Times New Roman" w:eastAsia="Calibri" w:hAnsi="Times New Roman"/>
          <w:spacing w:val="3"/>
          <w:sz w:val="24"/>
          <w:szCs w:val="24"/>
          <w:lang w:eastAsia="en-US"/>
        </w:rPr>
        <w:t xml:space="preserve">Строительство, реконструкция и техническое перевооружение объектов </w:t>
      </w:r>
      <w:r w:rsidRPr="000B56F8">
        <w:rPr>
          <w:rFonts w:ascii="Times New Roman" w:eastAsia="Calibri" w:hAnsi="Times New Roman"/>
          <w:b/>
          <w:spacing w:val="3"/>
          <w:sz w:val="24"/>
          <w:szCs w:val="24"/>
          <w:lang w:eastAsia="en-US"/>
        </w:rPr>
        <w:t xml:space="preserve">производственного назначения </w:t>
      </w:r>
      <w:r w:rsidRPr="00ED03F2">
        <w:rPr>
          <w:rFonts w:ascii="Times New Roman" w:eastAsia="Calibri" w:hAnsi="Times New Roman"/>
          <w:spacing w:val="3"/>
          <w:sz w:val="24"/>
          <w:szCs w:val="24"/>
          <w:lang w:eastAsia="en-US"/>
        </w:rPr>
        <w:t xml:space="preserve">являлись </w:t>
      </w:r>
      <w:r w:rsidRPr="000B56F8">
        <w:rPr>
          <w:rFonts w:ascii="Times New Roman" w:eastAsia="Calibri" w:hAnsi="Times New Roman"/>
          <w:spacing w:val="3"/>
          <w:sz w:val="24"/>
          <w:szCs w:val="24"/>
          <w:lang w:eastAsia="en-US"/>
        </w:rPr>
        <w:t>основными направлениями использования инвестиционных ресурсов, объём которых в январе-июне 2015 года сузился на 39,0%, их доля</w:t>
      </w:r>
      <w:r w:rsidRPr="000B56F8">
        <w:rPr>
          <w:rFonts w:ascii="Times New Roman" w:eastAsia="Calibri" w:hAnsi="Times New Roman"/>
          <w:spacing w:val="2"/>
          <w:sz w:val="24"/>
          <w:szCs w:val="24"/>
          <w:lang w:eastAsia="en-US"/>
        </w:rPr>
        <w:t xml:space="preserve"> в совокупном объеме инвестиций уменьшилась на 0,2% до 87,2% против 87,4% в январе-июне 2014 года.</w:t>
      </w:r>
    </w:p>
    <w:p w:rsidR="00335844" w:rsidRPr="000B56F8" w:rsidRDefault="00335844" w:rsidP="00335844">
      <w:pPr>
        <w:spacing w:after="0" w:line="240" w:lineRule="auto"/>
        <w:ind w:firstLine="708"/>
        <w:jc w:val="both"/>
        <w:rPr>
          <w:rFonts w:ascii="Times New Roman" w:eastAsia="Calibri" w:hAnsi="Times New Roman"/>
          <w:spacing w:val="2"/>
          <w:sz w:val="24"/>
          <w:szCs w:val="24"/>
          <w:lang w:eastAsia="en-US"/>
        </w:rPr>
      </w:pPr>
      <w:r w:rsidRPr="000B56F8">
        <w:rPr>
          <w:rFonts w:ascii="Times New Roman" w:eastAsia="Calibri" w:hAnsi="Times New Roman"/>
          <w:spacing w:val="3"/>
          <w:sz w:val="24"/>
          <w:szCs w:val="24"/>
          <w:lang w:eastAsia="en-US"/>
        </w:rPr>
        <w:t xml:space="preserve">Сумма средств, направленных на обновление объектов </w:t>
      </w:r>
      <w:r w:rsidRPr="000B56F8">
        <w:rPr>
          <w:rFonts w:ascii="Times New Roman" w:eastAsia="Calibri" w:hAnsi="Times New Roman"/>
          <w:b/>
          <w:spacing w:val="2"/>
          <w:sz w:val="24"/>
          <w:szCs w:val="24"/>
          <w:lang w:eastAsia="en-US"/>
        </w:rPr>
        <w:t xml:space="preserve">непроизводственного назначения, </w:t>
      </w:r>
      <w:r w:rsidRPr="000B56F8">
        <w:rPr>
          <w:rFonts w:ascii="Times New Roman" w:eastAsia="Calibri" w:hAnsi="Times New Roman"/>
          <w:spacing w:val="2"/>
          <w:sz w:val="24"/>
          <w:szCs w:val="24"/>
          <w:lang w:eastAsia="en-US"/>
        </w:rPr>
        <w:t xml:space="preserve">сократилась на 35,8% к аналогичному периоду 2014 года, а их вклад </w:t>
      </w:r>
      <w:r>
        <w:rPr>
          <w:rFonts w:ascii="Times New Roman" w:eastAsia="Calibri" w:hAnsi="Times New Roman"/>
          <w:spacing w:val="2"/>
          <w:sz w:val="24"/>
          <w:szCs w:val="24"/>
          <w:lang w:eastAsia="en-US"/>
        </w:rPr>
        <w:br/>
      </w:r>
      <w:r w:rsidRPr="000B56F8">
        <w:rPr>
          <w:rFonts w:ascii="Times New Roman" w:eastAsia="Calibri" w:hAnsi="Times New Roman"/>
          <w:spacing w:val="2"/>
          <w:sz w:val="24"/>
          <w:szCs w:val="24"/>
          <w:lang w:eastAsia="en-US"/>
        </w:rPr>
        <w:t>в совокупный объём инвестиций достиг 12,8% против 12,6% в январе-июне 2014 года.</w:t>
      </w:r>
    </w:p>
    <w:p w:rsidR="00335844" w:rsidRPr="000B56F8" w:rsidRDefault="00335844" w:rsidP="00335844">
      <w:pPr>
        <w:spacing w:after="0" w:line="240" w:lineRule="auto"/>
        <w:ind w:firstLine="708"/>
        <w:jc w:val="both"/>
        <w:rPr>
          <w:rFonts w:ascii="Times New Roman" w:eastAsia="Calibri" w:hAnsi="Times New Roman"/>
          <w:spacing w:val="2"/>
          <w:sz w:val="24"/>
          <w:szCs w:val="24"/>
          <w:lang w:eastAsia="en-US"/>
        </w:rPr>
      </w:pPr>
    </w:p>
    <w:p w:rsidR="00335844" w:rsidRPr="000B56F8" w:rsidRDefault="00335844" w:rsidP="00335844">
      <w:pPr>
        <w:spacing w:after="0" w:line="240" w:lineRule="auto"/>
        <w:rPr>
          <w:rFonts w:ascii="Times New Roman" w:eastAsia="Calibri" w:hAnsi="Times New Roman"/>
          <w:b/>
          <w:noProof/>
          <w:sz w:val="20"/>
          <w:szCs w:val="20"/>
          <w:lang w:eastAsia="en-US"/>
        </w:rPr>
      </w:pPr>
      <w:r>
        <w:rPr>
          <w:rFonts w:ascii="Times New Roman" w:eastAsia="Calibri" w:hAnsi="Times New Roman"/>
          <w:b/>
          <w:noProof/>
          <w:sz w:val="20"/>
          <w:szCs w:val="20"/>
        </w:rPr>
        <w:drawing>
          <wp:anchor distT="0" distB="11430" distL="114300" distR="114300" simplePos="0" relativeHeight="251660288" behindDoc="0" locked="0" layoutInCell="1" allowOverlap="1">
            <wp:simplePos x="0" y="0"/>
            <wp:positionH relativeFrom="column">
              <wp:posOffset>2872486</wp:posOffset>
            </wp:positionH>
            <wp:positionV relativeFrom="paragraph">
              <wp:posOffset>24765</wp:posOffset>
            </wp:positionV>
            <wp:extent cx="3228848" cy="2962275"/>
            <wp:effectExtent l="6096" t="0" r="1651" b="0"/>
            <wp:wrapSquare wrapText="bothSides"/>
            <wp:docPr id="2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0B56F8">
        <w:rPr>
          <w:rFonts w:ascii="Times New Roman" w:eastAsia="Calibri" w:hAnsi="Times New Roman"/>
          <w:b/>
          <w:noProof/>
          <w:sz w:val="20"/>
          <w:szCs w:val="20"/>
          <w:lang w:eastAsia="en-US"/>
        </w:rPr>
        <w:t>Динамика инвестиций по объектам</w:t>
      </w:r>
    </w:p>
    <w:p w:rsidR="00335844" w:rsidRPr="000B56F8" w:rsidRDefault="00335844" w:rsidP="00335844">
      <w:pPr>
        <w:spacing w:after="0" w:line="240" w:lineRule="auto"/>
        <w:ind w:left="-426"/>
        <w:rPr>
          <w:rFonts w:ascii="Times New Roman" w:eastAsia="Calibri" w:hAnsi="Times New Roman"/>
          <w:b/>
          <w:noProof/>
          <w:sz w:val="20"/>
          <w:szCs w:val="20"/>
          <w:lang w:eastAsia="en-US"/>
        </w:rPr>
      </w:pPr>
      <w:r w:rsidRPr="000B56F8">
        <w:rPr>
          <w:rFonts w:ascii="Times New Roman" w:eastAsia="Calibri" w:hAnsi="Times New Roman"/>
          <w:b/>
          <w:noProof/>
          <w:sz w:val="20"/>
          <w:szCs w:val="20"/>
          <w:lang w:eastAsia="en-US"/>
        </w:rPr>
        <w:t>производственного и непроизводственного</w:t>
      </w:r>
    </w:p>
    <w:p w:rsidR="00335844" w:rsidRPr="000B56F8" w:rsidRDefault="00335844" w:rsidP="00335844">
      <w:pPr>
        <w:spacing w:after="0" w:line="240" w:lineRule="auto"/>
        <w:rPr>
          <w:rFonts w:ascii="Times New Roman" w:eastAsia="Calibri" w:hAnsi="Times New Roman"/>
          <w:noProof/>
          <w:sz w:val="20"/>
          <w:szCs w:val="20"/>
          <w:lang w:eastAsia="en-US"/>
        </w:rPr>
      </w:pPr>
      <w:r w:rsidRPr="000B56F8">
        <w:rPr>
          <w:rFonts w:ascii="Times New Roman" w:eastAsia="Calibri" w:hAnsi="Times New Roman"/>
          <w:b/>
          <w:noProof/>
          <w:sz w:val="20"/>
          <w:szCs w:val="20"/>
          <w:lang w:eastAsia="en-US"/>
        </w:rPr>
        <w:t xml:space="preserve">      назначения, млн. руб.</w:t>
      </w:r>
    </w:p>
    <w:tbl>
      <w:tblPr>
        <w:tblpPr w:leftFromText="180" w:rightFromText="180" w:vertAnchor="text" w:tblpX="-601" w:tblpY="1"/>
        <w:tblOverlap w:val="never"/>
        <w:tblW w:w="4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851"/>
        <w:gridCol w:w="816"/>
        <w:gridCol w:w="1027"/>
      </w:tblGrid>
      <w:tr w:rsidR="00335844" w:rsidRPr="000B56F8" w:rsidTr="003F67B2">
        <w:trPr>
          <w:trHeight w:val="710"/>
        </w:trPr>
        <w:tc>
          <w:tcPr>
            <w:tcW w:w="1985" w:type="dxa"/>
            <w:vAlign w:val="center"/>
          </w:tcPr>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pacing w:val="2"/>
                <w:sz w:val="18"/>
                <w:szCs w:val="18"/>
                <w:lang w:eastAsia="en-US"/>
              </w:rPr>
              <w:t>Показатели</w:t>
            </w:r>
          </w:p>
        </w:tc>
        <w:tc>
          <w:tcPr>
            <w:tcW w:w="851" w:type="dxa"/>
            <w:vAlign w:val="center"/>
          </w:tcPr>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январь-июнь 2014 г.</w:t>
            </w:r>
          </w:p>
        </w:tc>
        <w:tc>
          <w:tcPr>
            <w:tcW w:w="816" w:type="dxa"/>
            <w:vAlign w:val="center"/>
          </w:tcPr>
          <w:p w:rsidR="00335844" w:rsidRPr="000B56F8" w:rsidRDefault="00335844" w:rsidP="003F67B2">
            <w:pPr>
              <w:spacing w:after="0" w:line="240" w:lineRule="auto"/>
              <w:ind w:left="-1217" w:firstLine="1217"/>
              <w:jc w:val="center"/>
              <w:rPr>
                <w:rFonts w:ascii="Times New Roman" w:eastAsia="Calibri" w:hAnsi="Times New Roman"/>
                <w:b/>
                <w:sz w:val="18"/>
                <w:szCs w:val="18"/>
                <w:lang w:eastAsia="en-US"/>
              </w:rPr>
            </w:pPr>
          </w:p>
          <w:p w:rsidR="00335844" w:rsidRPr="000B56F8" w:rsidRDefault="00335844" w:rsidP="003F67B2">
            <w:pPr>
              <w:spacing w:after="0" w:line="240" w:lineRule="auto"/>
              <w:ind w:left="-1217" w:firstLine="1217"/>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 xml:space="preserve">январь-июнь 2014  -июнь </w:t>
            </w:r>
          </w:p>
          <w:p w:rsidR="00335844" w:rsidRPr="000B56F8" w:rsidRDefault="00335844" w:rsidP="003F67B2">
            <w:pPr>
              <w:spacing w:after="0" w:line="240" w:lineRule="auto"/>
              <w:ind w:left="-1217" w:firstLine="1217"/>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2015 г.</w:t>
            </w:r>
          </w:p>
          <w:p w:rsidR="00335844" w:rsidRPr="000B56F8" w:rsidRDefault="00335844" w:rsidP="003F67B2">
            <w:pPr>
              <w:spacing w:after="0" w:line="240" w:lineRule="auto"/>
              <w:ind w:left="-1217" w:firstLine="1217"/>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 xml:space="preserve"> </w:t>
            </w:r>
          </w:p>
        </w:tc>
        <w:tc>
          <w:tcPr>
            <w:tcW w:w="1027" w:type="dxa"/>
            <w:vAlign w:val="center"/>
          </w:tcPr>
          <w:p w:rsidR="00335844" w:rsidRPr="000B56F8" w:rsidRDefault="00335844" w:rsidP="003F67B2">
            <w:pPr>
              <w:spacing w:after="0" w:line="240" w:lineRule="auto"/>
              <w:jc w:val="center"/>
              <w:rPr>
                <w:rFonts w:ascii="Times New Roman" w:eastAsia="Calibri" w:hAnsi="Times New Roman"/>
                <w:b/>
                <w:bCs/>
                <w:sz w:val="18"/>
                <w:szCs w:val="18"/>
                <w:lang w:eastAsia="en-US"/>
              </w:rPr>
            </w:pPr>
            <w:r w:rsidRPr="000B56F8">
              <w:rPr>
                <w:rFonts w:ascii="Times New Roman" w:eastAsia="Calibri" w:hAnsi="Times New Roman"/>
                <w:b/>
                <w:bCs/>
                <w:sz w:val="18"/>
                <w:szCs w:val="18"/>
                <w:lang w:eastAsia="en-US"/>
              </w:rPr>
              <w:t>Темп роста</w:t>
            </w:r>
          </w:p>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bCs/>
                <w:sz w:val="18"/>
                <w:szCs w:val="18"/>
                <w:lang w:eastAsia="en-US"/>
              </w:rPr>
              <w:t xml:space="preserve"> в % к 2014 г. *</w:t>
            </w:r>
          </w:p>
        </w:tc>
      </w:tr>
      <w:tr w:rsidR="00335844" w:rsidRPr="000B56F8" w:rsidTr="003F67B2">
        <w:trPr>
          <w:trHeight w:val="1076"/>
        </w:trPr>
        <w:tc>
          <w:tcPr>
            <w:tcW w:w="1985" w:type="dxa"/>
            <w:vAlign w:val="center"/>
          </w:tcPr>
          <w:p w:rsidR="00335844" w:rsidRPr="000B56F8" w:rsidRDefault="00335844" w:rsidP="003F67B2">
            <w:pPr>
              <w:spacing w:after="0" w:line="240" w:lineRule="auto"/>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Инвестиции в основной капитал (в части новых и приобретенных по импорту основных средств) – всего</w:t>
            </w:r>
          </w:p>
        </w:tc>
        <w:tc>
          <w:tcPr>
            <w:tcW w:w="851" w:type="dxa"/>
            <w:vAlign w:val="center"/>
          </w:tcPr>
          <w:p w:rsidR="00335844" w:rsidRPr="000B56F8" w:rsidRDefault="00335844" w:rsidP="003F67B2">
            <w:pPr>
              <w:spacing w:after="0" w:line="240" w:lineRule="auto"/>
              <w:ind w:right="-108"/>
              <w:jc w:val="center"/>
              <w:rPr>
                <w:rFonts w:ascii="Times New Roman" w:eastAsia="Calibri" w:hAnsi="Times New Roman"/>
                <w:b/>
                <w:spacing w:val="2"/>
                <w:sz w:val="18"/>
                <w:szCs w:val="18"/>
                <w:lang w:eastAsia="en-US"/>
              </w:rPr>
            </w:pPr>
            <w:r w:rsidRPr="000B56F8">
              <w:rPr>
                <w:rFonts w:ascii="Times New Roman" w:eastAsia="Calibri" w:hAnsi="Times New Roman"/>
                <w:b/>
                <w:sz w:val="18"/>
                <w:szCs w:val="18"/>
                <w:lang w:eastAsia="en-US"/>
              </w:rPr>
              <w:t>629,7</w:t>
            </w:r>
          </w:p>
        </w:tc>
        <w:tc>
          <w:tcPr>
            <w:tcW w:w="816" w:type="dxa"/>
            <w:vAlign w:val="center"/>
          </w:tcPr>
          <w:p w:rsidR="00335844" w:rsidRPr="000B56F8" w:rsidRDefault="00335844" w:rsidP="003F67B2">
            <w:pPr>
              <w:tabs>
                <w:tab w:val="left" w:pos="1091"/>
              </w:tabs>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400,7</w:t>
            </w:r>
          </w:p>
        </w:tc>
        <w:tc>
          <w:tcPr>
            <w:tcW w:w="1027" w:type="dxa"/>
            <w:vAlign w:val="center"/>
          </w:tcPr>
          <w:p w:rsidR="00335844" w:rsidRPr="000B56F8" w:rsidRDefault="00335844" w:rsidP="003F67B2">
            <w:pPr>
              <w:spacing w:after="0" w:line="240" w:lineRule="auto"/>
              <w:jc w:val="center"/>
              <w:rPr>
                <w:rFonts w:ascii="Times New Roman" w:eastAsia="Calibri" w:hAnsi="Times New Roman"/>
                <w:b/>
                <w:sz w:val="18"/>
                <w:szCs w:val="18"/>
                <w:lang w:eastAsia="en-US"/>
              </w:rPr>
            </w:pPr>
            <w:r w:rsidRPr="000B56F8">
              <w:rPr>
                <w:rFonts w:ascii="Times New Roman" w:eastAsia="Calibri" w:hAnsi="Times New Roman"/>
                <w:b/>
                <w:sz w:val="18"/>
                <w:szCs w:val="18"/>
                <w:lang w:eastAsia="en-US"/>
              </w:rPr>
              <w:t>61,4</w:t>
            </w:r>
          </w:p>
        </w:tc>
      </w:tr>
      <w:tr w:rsidR="00335844" w:rsidRPr="000B56F8" w:rsidTr="003F67B2">
        <w:trPr>
          <w:trHeight w:val="583"/>
        </w:trPr>
        <w:tc>
          <w:tcPr>
            <w:tcW w:w="1985" w:type="dxa"/>
            <w:vAlign w:val="center"/>
          </w:tcPr>
          <w:p w:rsidR="00335844" w:rsidRPr="000B56F8" w:rsidRDefault="00335844" w:rsidP="003F67B2">
            <w:pPr>
              <w:spacing w:after="0"/>
              <w:rPr>
                <w:rFonts w:ascii="Times New Roman" w:hAnsi="Times New Roman"/>
                <w:sz w:val="18"/>
                <w:szCs w:val="18"/>
              </w:rPr>
            </w:pPr>
            <w:r w:rsidRPr="000B56F8">
              <w:rPr>
                <w:rFonts w:ascii="Times New Roman" w:hAnsi="Times New Roman"/>
                <w:sz w:val="18"/>
                <w:szCs w:val="18"/>
              </w:rPr>
              <w:t>в т.ч. по объектам:</w:t>
            </w:r>
          </w:p>
          <w:p w:rsidR="00335844" w:rsidRPr="000B56F8" w:rsidRDefault="00335844" w:rsidP="003F67B2">
            <w:pPr>
              <w:spacing w:after="0"/>
              <w:rPr>
                <w:rFonts w:ascii="Times New Roman" w:hAnsi="Times New Roman"/>
                <w:sz w:val="18"/>
                <w:szCs w:val="18"/>
              </w:rPr>
            </w:pPr>
            <w:r w:rsidRPr="000B56F8">
              <w:rPr>
                <w:rFonts w:ascii="Times New Roman" w:hAnsi="Times New Roman"/>
                <w:sz w:val="18"/>
                <w:szCs w:val="18"/>
              </w:rPr>
              <w:t xml:space="preserve">-производственного назначения </w:t>
            </w:r>
          </w:p>
        </w:tc>
        <w:tc>
          <w:tcPr>
            <w:tcW w:w="851" w:type="dxa"/>
            <w:vAlign w:val="center"/>
          </w:tcPr>
          <w:p w:rsidR="00335844" w:rsidRPr="000B56F8" w:rsidRDefault="00335844" w:rsidP="003F67B2">
            <w:pPr>
              <w:spacing w:after="0" w:line="240" w:lineRule="auto"/>
              <w:jc w:val="center"/>
              <w:rPr>
                <w:rFonts w:ascii="Times New Roman" w:eastAsia="Calibri" w:hAnsi="Times New Roman"/>
                <w:spacing w:val="2"/>
                <w:sz w:val="18"/>
                <w:szCs w:val="18"/>
                <w:lang w:eastAsia="en-US"/>
              </w:rPr>
            </w:pPr>
            <w:r w:rsidRPr="000B56F8">
              <w:rPr>
                <w:rFonts w:ascii="Times New Roman" w:eastAsia="Calibri" w:hAnsi="Times New Roman"/>
                <w:sz w:val="18"/>
                <w:szCs w:val="18"/>
                <w:lang w:eastAsia="en-US"/>
              </w:rPr>
              <w:t>550,5</w:t>
            </w:r>
          </w:p>
        </w:tc>
        <w:tc>
          <w:tcPr>
            <w:tcW w:w="816"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349,6</w:t>
            </w:r>
          </w:p>
        </w:tc>
        <w:tc>
          <w:tcPr>
            <w:tcW w:w="1027" w:type="dxa"/>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61,0</w:t>
            </w:r>
          </w:p>
        </w:tc>
      </w:tr>
      <w:tr w:rsidR="00335844" w:rsidRPr="000B56F8" w:rsidTr="003F67B2">
        <w:trPr>
          <w:trHeight w:val="346"/>
        </w:trPr>
        <w:tc>
          <w:tcPr>
            <w:tcW w:w="1985" w:type="dxa"/>
            <w:tcBorders>
              <w:bottom w:val="single" w:sz="4" w:space="0" w:color="000000"/>
            </w:tcBorders>
            <w:vAlign w:val="center"/>
          </w:tcPr>
          <w:p w:rsidR="00335844" w:rsidRPr="000B56F8" w:rsidRDefault="00335844" w:rsidP="003F67B2">
            <w:pPr>
              <w:spacing w:after="0" w:line="240" w:lineRule="auto"/>
              <w:rPr>
                <w:rFonts w:ascii="Times New Roman" w:eastAsia="Calibri" w:hAnsi="Times New Roman"/>
                <w:sz w:val="18"/>
                <w:szCs w:val="18"/>
                <w:lang w:eastAsia="en-US"/>
              </w:rPr>
            </w:pPr>
            <w:r w:rsidRPr="000B56F8">
              <w:rPr>
                <w:rFonts w:ascii="Times New Roman" w:eastAsia="Calibri" w:hAnsi="Times New Roman"/>
                <w:sz w:val="18"/>
                <w:szCs w:val="18"/>
                <w:lang w:eastAsia="en-US"/>
              </w:rPr>
              <w:t>-непроизводственного назначения</w:t>
            </w:r>
          </w:p>
        </w:tc>
        <w:tc>
          <w:tcPr>
            <w:tcW w:w="851" w:type="dxa"/>
            <w:tcBorders>
              <w:bottom w:val="single" w:sz="4" w:space="0" w:color="000000"/>
            </w:tcBorders>
            <w:vAlign w:val="center"/>
          </w:tcPr>
          <w:p w:rsidR="00335844" w:rsidRPr="000B56F8" w:rsidRDefault="00335844" w:rsidP="003F67B2">
            <w:pPr>
              <w:spacing w:after="0" w:line="240" w:lineRule="auto"/>
              <w:jc w:val="center"/>
              <w:rPr>
                <w:rFonts w:ascii="Times New Roman" w:eastAsia="Calibri" w:hAnsi="Times New Roman"/>
                <w:spacing w:val="2"/>
                <w:sz w:val="18"/>
                <w:szCs w:val="18"/>
                <w:lang w:eastAsia="en-US"/>
              </w:rPr>
            </w:pPr>
            <w:r w:rsidRPr="000B56F8">
              <w:rPr>
                <w:rFonts w:ascii="Times New Roman" w:eastAsia="Calibri" w:hAnsi="Times New Roman"/>
                <w:sz w:val="18"/>
                <w:szCs w:val="18"/>
                <w:lang w:eastAsia="en-US"/>
              </w:rPr>
              <w:t>79,2</w:t>
            </w:r>
          </w:p>
        </w:tc>
        <w:tc>
          <w:tcPr>
            <w:tcW w:w="816" w:type="dxa"/>
            <w:tcBorders>
              <w:bottom w:val="single" w:sz="4" w:space="0" w:color="000000"/>
            </w:tcBorders>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51,1</w:t>
            </w:r>
          </w:p>
        </w:tc>
        <w:tc>
          <w:tcPr>
            <w:tcW w:w="1027" w:type="dxa"/>
            <w:tcBorders>
              <w:bottom w:val="single" w:sz="4" w:space="0" w:color="000000"/>
            </w:tcBorders>
            <w:vAlign w:val="center"/>
          </w:tcPr>
          <w:p w:rsidR="00335844" w:rsidRPr="000B56F8" w:rsidRDefault="00335844" w:rsidP="003F67B2">
            <w:pPr>
              <w:spacing w:after="0" w:line="240" w:lineRule="auto"/>
              <w:jc w:val="center"/>
              <w:rPr>
                <w:rFonts w:ascii="Times New Roman" w:eastAsia="Calibri" w:hAnsi="Times New Roman"/>
                <w:sz w:val="18"/>
                <w:szCs w:val="18"/>
                <w:lang w:eastAsia="en-US"/>
              </w:rPr>
            </w:pPr>
            <w:r w:rsidRPr="000B56F8">
              <w:rPr>
                <w:rFonts w:ascii="Times New Roman" w:eastAsia="Calibri" w:hAnsi="Times New Roman"/>
                <w:sz w:val="18"/>
                <w:szCs w:val="18"/>
                <w:lang w:eastAsia="en-US"/>
              </w:rPr>
              <w:t>64,2</w:t>
            </w:r>
          </w:p>
        </w:tc>
      </w:tr>
      <w:tr w:rsidR="00335844" w:rsidRPr="000B56F8" w:rsidTr="003F67B2">
        <w:trPr>
          <w:trHeight w:val="346"/>
        </w:trPr>
        <w:tc>
          <w:tcPr>
            <w:tcW w:w="4679" w:type="dxa"/>
            <w:gridSpan w:val="4"/>
            <w:tcBorders>
              <w:left w:val="nil"/>
              <w:bottom w:val="nil"/>
              <w:right w:val="nil"/>
            </w:tcBorders>
          </w:tcPr>
          <w:p w:rsidR="00335844" w:rsidRPr="000B56F8" w:rsidRDefault="00335844" w:rsidP="003F67B2">
            <w:pPr>
              <w:spacing w:after="0" w:line="240" w:lineRule="auto"/>
              <w:rPr>
                <w:rFonts w:ascii="Times New Roman" w:eastAsia="Calibri" w:hAnsi="Times New Roman"/>
                <w:b/>
                <w:sz w:val="18"/>
                <w:szCs w:val="18"/>
                <w:lang w:eastAsia="en-US"/>
              </w:rPr>
            </w:pPr>
            <w:r w:rsidRPr="000B56F8">
              <w:rPr>
                <w:rFonts w:ascii="Times New Roman" w:eastAsia="Calibri" w:hAnsi="Times New Roman"/>
                <w:spacing w:val="2"/>
                <w:sz w:val="18"/>
                <w:szCs w:val="18"/>
                <w:lang w:eastAsia="en-US"/>
              </w:rPr>
              <w:t>*- темпы роста приведены к уточнённым данным</w:t>
            </w:r>
            <w:r>
              <w:rPr>
                <w:rFonts w:ascii="Times New Roman" w:eastAsia="Calibri" w:hAnsi="Times New Roman"/>
                <w:spacing w:val="2"/>
                <w:sz w:val="18"/>
                <w:szCs w:val="18"/>
                <w:lang w:eastAsia="en-US"/>
              </w:rPr>
              <w:t xml:space="preserve"> ГСС</w:t>
            </w:r>
          </w:p>
        </w:tc>
      </w:tr>
    </w:tbl>
    <w:p w:rsidR="00335844" w:rsidRPr="000B56F8" w:rsidRDefault="00335844" w:rsidP="00335844">
      <w:pPr>
        <w:spacing w:after="0" w:line="240" w:lineRule="auto"/>
        <w:ind w:firstLine="708"/>
        <w:jc w:val="both"/>
        <w:rPr>
          <w:rFonts w:ascii="Times New Roman" w:eastAsia="Calibri" w:hAnsi="Times New Roman"/>
          <w:noProof/>
          <w:sz w:val="24"/>
          <w:szCs w:val="24"/>
          <w:lang w:eastAsia="en-US"/>
        </w:rPr>
      </w:pPr>
    </w:p>
    <w:p w:rsidR="00335844" w:rsidRPr="000B56F8" w:rsidRDefault="00335844" w:rsidP="00335844">
      <w:pPr>
        <w:spacing w:after="0" w:line="240" w:lineRule="auto"/>
        <w:ind w:firstLine="709"/>
        <w:jc w:val="both"/>
        <w:rPr>
          <w:rFonts w:ascii="Times New Roman" w:eastAsia="Calibri" w:hAnsi="Times New Roman"/>
          <w:spacing w:val="2"/>
          <w:sz w:val="24"/>
          <w:szCs w:val="24"/>
          <w:lang w:eastAsia="en-US"/>
        </w:rPr>
      </w:pPr>
      <w:r w:rsidRPr="000B56F8">
        <w:rPr>
          <w:rFonts w:ascii="Times New Roman" w:eastAsia="Calibri" w:hAnsi="Times New Roman"/>
          <w:spacing w:val="2"/>
          <w:sz w:val="24"/>
          <w:szCs w:val="24"/>
          <w:lang w:eastAsia="en-US"/>
        </w:rPr>
        <w:t xml:space="preserve">Основным источником финансирования долгосрочных проектов в январе-июне 2015 года оставались </w:t>
      </w:r>
      <w:r w:rsidRPr="006D0DEB">
        <w:rPr>
          <w:rFonts w:ascii="Times New Roman" w:eastAsia="Calibri" w:hAnsi="Times New Roman"/>
          <w:b/>
          <w:spacing w:val="2"/>
          <w:sz w:val="24"/>
          <w:szCs w:val="24"/>
          <w:lang w:eastAsia="en-US"/>
        </w:rPr>
        <w:t>собственные средства организаций</w:t>
      </w:r>
      <w:r w:rsidRPr="000B56F8">
        <w:rPr>
          <w:rFonts w:ascii="Times New Roman" w:eastAsia="Calibri" w:hAnsi="Times New Roman"/>
          <w:spacing w:val="2"/>
          <w:sz w:val="24"/>
          <w:szCs w:val="24"/>
          <w:lang w:eastAsia="en-US"/>
        </w:rPr>
        <w:t xml:space="preserve"> (94,4%), их долевое участие увеличилось по отношению к базисному значению 2014 года на 13,5 процентных пункта.</w:t>
      </w:r>
    </w:p>
    <w:p w:rsidR="00335844" w:rsidRPr="000B56F8" w:rsidRDefault="00335844" w:rsidP="00335844">
      <w:pPr>
        <w:spacing w:after="0" w:line="240" w:lineRule="auto"/>
        <w:ind w:firstLine="709"/>
        <w:jc w:val="both"/>
        <w:rPr>
          <w:rFonts w:ascii="Times New Roman" w:eastAsia="Calibri" w:hAnsi="Times New Roman"/>
          <w:spacing w:val="2"/>
          <w:sz w:val="24"/>
          <w:szCs w:val="24"/>
          <w:lang w:eastAsia="en-US"/>
        </w:rPr>
      </w:pPr>
      <w:r w:rsidRPr="000B56F8">
        <w:rPr>
          <w:rFonts w:ascii="Times New Roman" w:eastAsia="Calibri" w:hAnsi="Times New Roman"/>
          <w:spacing w:val="2"/>
          <w:sz w:val="24"/>
          <w:szCs w:val="24"/>
          <w:lang w:eastAsia="en-US"/>
        </w:rPr>
        <w:t xml:space="preserve">В </w:t>
      </w:r>
      <w:r>
        <w:rPr>
          <w:rFonts w:ascii="Times New Roman" w:eastAsia="Calibri" w:hAnsi="Times New Roman"/>
          <w:spacing w:val="2"/>
          <w:sz w:val="24"/>
          <w:szCs w:val="24"/>
          <w:lang w:eastAsia="en-US"/>
        </w:rPr>
        <w:t xml:space="preserve">обозначенном </w:t>
      </w:r>
      <w:r w:rsidRPr="000B56F8">
        <w:rPr>
          <w:rFonts w:ascii="Times New Roman" w:eastAsia="Calibri" w:hAnsi="Times New Roman"/>
          <w:spacing w:val="2"/>
          <w:sz w:val="24"/>
          <w:szCs w:val="24"/>
          <w:lang w:eastAsia="en-US"/>
        </w:rPr>
        <w:t>периоде существенно сократил</w:t>
      </w:r>
      <w:r>
        <w:rPr>
          <w:rFonts w:ascii="Times New Roman" w:eastAsia="Calibri" w:hAnsi="Times New Roman"/>
          <w:spacing w:val="2"/>
          <w:sz w:val="24"/>
          <w:szCs w:val="24"/>
          <w:lang w:eastAsia="en-US"/>
        </w:rPr>
        <w:t>а</w:t>
      </w:r>
      <w:r w:rsidRPr="000B56F8">
        <w:rPr>
          <w:rFonts w:ascii="Times New Roman" w:eastAsia="Calibri" w:hAnsi="Times New Roman"/>
          <w:spacing w:val="2"/>
          <w:sz w:val="24"/>
          <w:szCs w:val="24"/>
          <w:lang w:eastAsia="en-US"/>
        </w:rPr>
        <w:t>сь доля прочих источников финансирования на 12,1 процентных пункта к соответствующему периоду 2014 года.</w:t>
      </w:r>
    </w:p>
    <w:p w:rsidR="00335844" w:rsidRPr="000B56F8" w:rsidRDefault="00335844" w:rsidP="00335844">
      <w:pPr>
        <w:spacing w:after="0" w:line="240" w:lineRule="auto"/>
        <w:ind w:firstLine="708"/>
        <w:jc w:val="both"/>
        <w:rPr>
          <w:rFonts w:ascii="Times New Roman" w:eastAsia="Calibri" w:hAnsi="Times New Roman"/>
          <w:spacing w:val="2"/>
          <w:sz w:val="24"/>
          <w:szCs w:val="24"/>
          <w:lang w:eastAsia="en-US"/>
        </w:rPr>
      </w:pPr>
    </w:p>
    <w:p w:rsidR="00335844" w:rsidRPr="000B56F8" w:rsidRDefault="00335844" w:rsidP="00335844">
      <w:pPr>
        <w:spacing w:after="0" w:line="240" w:lineRule="auto"/>
        <w:ind w:firstLine="567"/>
        <w:jc w:val="center"/>
        <w:rPr>
          <w:rFonts w:ascii="Times New Roman" w:eastAsia="Calibri" w:hAnsi="Times New Roman"/>
          <w:sz w:val="24"/>
          <w:szCs w:val="24"/>
          <w:lang w:eastAsia="en-US"/>
        </w:rPr>
      </w:pPr>
      <w:r w:rsidRPr="000B56F8">
        <w:rPr>
          <w:rFonts w:ascii="Times New Roman" w:eastAsia="Calibri" w:hAnsi="Times New Roman"/>
          <w:b/>
          <w:sz w:val="24"/>
          <w:szCs w:val="24"/>
          <w:lang w:eastAsia="en-US"/>
        </w:rPr>
        <w:lastRenderedPageBreak/>
        <w:t>Структура инвестиций в основной капитал по источникам финансирования, %</w:t>
      </w:r>
    </w:p>
    <w:p w:rsidR="00335844" w:rsidRPr="000B56F8" w:rsidRDefault="00335844" w:rsidP="00335844">
      <w:pPr>
        <w:spacing w:after="0"/>
        <w:ind w:left="-567"/>
        <w:jc w:val="both"/>
        <w:rPr>
          <w:b/>
          <w:sz w:val="24"/>
          <w:szCs w:val="24"/>
        </w:rPr>
      </w:pPr>
      <w:r>
        <w:rPr>
          <w:noProof/>
          <w:sz w:val="16"/>
          <w:szCs w:val="16"/>
        </w:rPr>
        <w:drawing>
          <wp:inline distT="0" distB="0" distL="0" distR="0">
            <wp:extent cx="3590925" cy="18478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b/>
          <w:noProof/>
          <w:sz w:val="24"/>
          <w:szCs w:val="24"/>
        </w:rPr>
        <w:drawing>
          <wp:inline distT="0" distB="0" distL="0" distR="0">
            <wp:extent cx="2638425" cy="1895475"/>
            <wp:effectExtent l="1905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5844" w:rsidRPr="000B56F8" w:rsidRDefault="00335844" w:rsidP="00335844">
      <w:pPr>
        <w:spacing w:after="0" w:line="240" w:lineRule="auto"/>
        <w:ind w:firstLine="709"/>
        <w:jc w:val="both"/>
        <w:rPr>
          <w:rFonts w:ascii="Times New Roman" w:eastAsia="Calibri" w:hAnsi="Times New Roman"/>
          <w:spacing w:val="2"/>
          <w:sz w:val="24"/>
          <w:szCs w:val="24"/>
          <w:lang w:eastAsia="en-US"/>
        </w:rPr>
      </w:pPr>
      <w:r w:rsidRPr="000B56F8">
        <w:rPr>
          <w:rFonts w:ascii="Times New Roman" w:eastAsia="Calibri" w:hAnsi="Times New Roman"/>
          <w:spacing w:val="2"/>
          <w:sz w:val="24"/>
          <w:szCs w:val="24"/>
          <w:lang w:eastAsia="en-US"/>
        </w:rPr>
        <w:t xml:space="preserve">Несмотря на снижение долевого участия в структуре инвестиций в основной капитал (на 3,0 процентных пункта), основное влияние на формирование совокупного показателя оказали организации </w:t>
      </w:r>
      <w:r w:rsidRPr="00722CD4">
        <w:rPr>
          <w:rFonts w:ascii="Times New Roman" w:eastAsia="Calibri" w:hAnsi="Times New Roman"/>
          <w:b/>
          <w:spacing w:val="2"/>
          <w:sz w:val="24"/>
          <w:szCs w:val="24"/>
          <w:lang w:eastAsia="en-US"/>
        </w:rPr>
        <w:t>частной формы собственности</w:t>
      </w:r>
      <w:r w:rsidRPr="000B56F8">
        <w:rPr>
          <w:rFonts w:ascii="Times New Roman" w:eastAsia="Calibri" w:hAnsi="Times New Roman"/>
          <w:spacing w:val="2"/>
          <w:sz w:val="24"/>
          <w:szCs w:val="24"/>
          <w:lang w:eastAsia="en-US"/>
        </w:rPr>
        <w:t xml:space="preserve"> (65,4%), на капитальные вложения </w:t>
      </w:r>
      <w:r>
        <w:rPr>
          <w:rFonts w:ascii="Times New Roman" w:eastAsia="Calibri" w:hAnsi="Times New Roman"/>
          <w:spacing w:val="2"/>
          <w:sz w:val="24"/>
          <w:szCs w:val="24"/>
          <w:lang w:eastAsia="en-US"/>
        </w:rPr>
        <w:t xml:space="preserve">предприятий </w:t>
      </w:r>
      <w:r w:rsidRPr="000B56F8">
        <w:rPr>
          <w:rFonts w:ascii="Times New Roman" w:eastAsia="Calibri" w:hAnsi="Times New Roman"/>
          <w:spacing w:val="2"/>
          <w:sz w:val="24"/>
          <w:szCs w:val="24"/>
          <w:lang w:eastAsia="en-US"/>
        </w:rPr>
        <w:t>государственной формы собственности приходилось 29,8% против 27,8% в январе-июне 2014 года.</w:t>
      </w:r>
    </w:p>
    <w:p w:rsidR="00335844" w:rsidRPr="000B56F8" w:rsidRDefault="00335844" w:rsidP="00335844">
      <w:pPr>
        <w:spacing w:after="0" w:line="240" w:lineRule="auto"/>
        <w:ind w:firstLine="709"/>
        <w:jc w:val="center"/>
        <w:rPr>
          <w:rFonts w:ascii="Times New Roman" w:eastAsia="Calibri" w:hAnsi="Times New Roman"/>
          <w:b/>
          <w:sz w:val="24"/>
          <w:szCs w:val="24"/>
          <w:lang w:eastAsia="en-US"/>
        </w:rPr>
      </w:pPr>
      <w:r w:rsidRPr="000B56F8">
        <w:rPr>
          <w:rFonts w:ascii="Times New Roman" w:eastAsia="Calibri" w:hAnsi="Times New Roman"/>
          <w:b/>
          <w:sz w:val="24"/>
          <w:szCs w:val="24"/>
          <w:lang w:eastAsia="en-US"/>
        </w:rPr>
        <w:t xml:space="preserve">Структура инвестиций в основной капитал по формам собственности, % </w:t>
      </w:r>
    </w:p>
    <w:p w:rsidR="00335844" w:rsidRPr="000B56F8" w:rsidRDefault="00335844" w:rsidP="00335844">
      <w:pPr>
        <w:spacing w:after="0"/>
        <w:ind w:left="-567"/>
        <w:jc w:val="both"/>
        <w:rPr>
          <w:b/>
          <w:color w:val="0000FF"/>
          <w:sz w:val="28"/>
          <w:szCs w:val="28"/>
        </w:rPr>
      </w:pPr>
      <w:r>
        <w:rPr>
          <w:noProof/>
          <w:color w:val="C6D9F1"/>
          <w:sz w:val="16"/>
          <w:szCs w:val="16"/>
        </w:rPr>
        <w:drawing>
          <wp:inline distT="0" distB="0" distL="0" distR="0">
            <wp:extent cx="3057525" cy="151447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b/>
          <w:noProof/>
          <w:color w:val="9BBB59"/>
          <w:sz w:val="16"/>
          <w:szCs w:val="16"/>
        </w:rPr>
        <w:drawing>
          <wp:inline distT="0" distB="0" distL="0" distR="0">
            <wp:extent cx="3200400" cy="162877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35844" w:rsidRPr="000B56F8" w:rsidRDefault="00335844" w:rsidP="00335844">
      <w:pPr>
        <w:spacing w:after="0" w:line="240" w:lineRule="auto"/>
        <w:ind w:firstLine="709"/>
        <w:jc w:val="both"/>
        <w:rPr>
          <w:rFonts w:ascii="Times New Roman" w:eastAsia="Calibri" w:hAnsi="Times New Roman"/>
          <w:sz w:val="24"/>
          <w:szCs w:val="24"/>
          <w:lang w:eastAsia="en-US"/>
        </w:rPr>
      </w:pPr>
      <w:r w:rsidRPr="000B56F8">
        <w:rPr>
          <w:rFonts w:ascii="Times New Roman" w:eastAsia="Calibri" w:hAnsi="Times New Roman"/>
          <w:sz w:val="24"/>
          <w:szCs w:val="24"/>
          <w:lang w:eastAsia="en-US"/>
        </w:rPr>
        <w:t xml:space="preserve">В промышленности, несмотря на снижение объёмов капитальных вложений </w:t>
      </w:r>
      <w:r>
        <w:rPr>
          <w:rFonts w:ascii="Times New Roman" w:eastAsia="Calibri" w:hAnsi="Times New Roman"/>
          <w:sz w:val="24"/>
          <w:szCs w:val="24"/>
          <w:lang w:eastAsia="en-US"/>
        </w:rPr>
        <w:br/>
      </w:r>
      <w:r w:rsidRPr="000B56F8">
        <w:rPr>
          <w:rFonts w:ascii="Times New Roman" w:eastAsia="Calibri" w:hAnsi="Times New Roman"/>
          <w:sz w:val="24"/>
          <w:szCs w:val="24"/>
          <w:lang w:eastAsia="en-US"/>
        </w:rPr>
        <w:t xml:space="preserve">в основной капитал на 43,5% до 151,1 млн. руб., сформировано порядка 37,7% совокупного показателя. Отмечалось увеличение инвестиционных вложений в модернизацию, техническое обновление и перевооружение промышленного производства в индустриальном секторе по таким предприятиям, как ГУП ГК «Днестрэнерго» (на 44,9% или 11,5% по отрасли промышленности), ЗАО «Рыбницкий цементный комбинат» </w:t>
      </w:r>
      <w:r w:rsidRPr="000B56F8">
        <w:rPr>
          <w:rFonts w:ascii="Times New Roman" w:eastAsia="Calibri" w:hAnsi="Times New Roman"/>
          <w:sz w:val="24"/>
          <w:szCs w:val="24"/>
          <w:lang w:eastAsia="en-US"/>
        </w:rPr>
        <w:br/>
        <w:t xml:space="preserve">(на 41,5% или 6,4%), МУП «Тирастеплоэнерго (на 23,1% или 5,5%), </w:t>
      </w:r>
      <w:r w:rsidRPr="000B56F8">
        <w:rPr>
          <w:rFonts w:ascii="Times New Roman" w:eastAsia="Calibri" w:hAnsi="Times New Roman"/>
          <w:sz w:val="24"/>
          <w:szCs w:val="24"/>
          <w:lang w:eastAsia="en-US"/>
        </w:rPr>
        <w:br/>
        <w:t xml:space="preserve">МУП «Бендерытеплоэнерго» (на 51,2% или 5,2%), ООО «Акватир» (в 10,0 раза или 2,4%), </w:t>
      </w:r>
      <w:r w:rsidRPr="000B56F8">
        <w:rPr>
          <w:rFonts w:ascii="Times New Roman" w:eastAsia="Calibri" w:hAnsi="Times New Roman"/>
          <w:sz w:val="24"/>
          <w:szCs w:val="24"/>
          <w:lang w:eastAsia="en-US"/>
        </w:rPr>
        <w:br/>
        <w:t xml:space="preserve">ЗАО «Бендерский мясокомбинат» (в 5,2 раза или 2,4%), НП ЗАО «Электромаш» </w:t>
      </w:r>
      <w:r w:rsidRPr="000B56F8">
        <w:rPr>
          <w:rFonts w:ascii="Times New Roman" w:eastAsia="Calibri" w:hAnsi="Times New Roman"/>
          <w:sz w:val="24"/>
          <w:szCs w:val="24"/>
          <w:lang w:eastAsia="en-US"/>
        </w:rPr>
        <w:br/>
        <w:t>(в 2,6 раза или 1,1%). Суммарный объём инвестиционных потоков данными предприятиями достиг 52,3 млн. руб. (34,6% от общего объёма инвестиций по отрасли промышленности или 13,1% по республике).</w:t>
      </w:r>
    </w:p>
    <w:p w:rsidR="00335844" w:rsidRPr="000B56F8" w:rsidRDefault="00335844" w:rsidP="00335844">
      <w:pPr>
        <w:spacing w:after="0" w:line="240" w:lineRule="auto"/>
        <w:ind w:firstLine="709"/>
        <w:jc w:val="both"/>
        <w:rPr>
          <w:rFonts w:ascii="Times New Roman" w:hAnsi="Times New Roman"/>
          <w:sz w:val="24"/>
          <w:szCs w:val="24"/>
        </w:rPr>
      </w:pPr>
      <w:r w:rsidRPr="000B56F8">
        <w:rPr>
          <w:rFonts w:ascii="Times New Roman" w:hAnsi="Times New Roman"/>
          <w:sz w:val="24"/>
          <w:szCs w:val="24"/>
        </w:rPr>
        <w:t>В январе-июне 2015 года снизились базисные показатели долгосрочного развития сельскохозяйственных организаций, ими было осуществлено инвестиционных вложений на общую сумму 73,0 млн. руб. («-» 34,9%).</w:t>
      </w:r>
    </w:p>
    <w:p w:rsidR="00335844" w:rsidRPr="000B56F8" w:rsidRDefault="00335844" w:rsidP="00335844">
      <w:pPr>
        <w:tabs>
          <w:tab w:val="left" w:pos="5760"/>
        </w:tabs>
        <w:spacing w:after="0" w:line="240" w:lineRule="auto"/>
        <w:ind w:firstLine="709"/>
        <w:jc w:val="both"/>
        <w:rPr>
          <w:rFonts w:ascii="Times New Roman" w:hAnsi="Times New Roman"/>
          <w:sz w:val="24"/>
          <w:szCs w:val="24"/>
        </w:rPr>
      </w:pPr>
      <w:r w:rsidRPr="000B56F8">
        <w:rPr>
          <w:rFonts w:ascii="Times New Roman" w:hAnsi="Times New Roman"/>
          <w:sz w:val="24"/>
          <w:szCs w:val="24"/>
        </w:rPr>
        <w:t>Основная доля инвестиционных вложений была направлена на развитие сельского хозяйства, такими организациями, как:</w:t>
      </w:r>
    </w:p>
    <w:p w:rsidR="00335844" w:rsidRPr="000B56F8" w:rsidRDefault="00335844" w:rsidP="00335844">
      <w:pPr>
        <w:tabs>
          <w:tab w:val="left" w:pos="5760"/>
        </w:tabs>
        <w:spacing w:after="0" w:line="240" w:lineRule="auto"/>
        <w:ind w:firstLine="709"/>
        <w:jc w:val="both"/>
        <w:rPr>
          <w:rFonts w:ascii="Times New Roman" w:hAnsi="Times New Roman"/>
          <w:sz w:val="24"/>
          <w:szCs w:val="24"/>
        </w:rPr>
      </w:pPr>
      <w:r w:rsidRPr="000B56F8">
        <w:rPr>
          <w:rFonts w:ascii="Times New Roman" w:hAnsi="Times New Roman"/>
          <w:sz w:val="24"/>
          <w:szCs w:val="24"/>
        </w:rPr>
        <w:t>а) ООО «Тираспольтрансгаз-Приднестровье» (38,5% от общего объёма инвестиций по отрасли) - на строительство теплиц;</w:t>
      </w:r>
    </w:p>
    <w:p w:rsidR="00335844" w:rsidRPr="000B56F8" w:rsidRDefault="00335844" w:rsidP="00335844">
      <w:pPr>
        <w:tabs>
          <w:tab w:val="left" w:pos="5760"/>
        </w:tabs>
        <w:spacing w:after="0" w:line="240" w:lineRule="auto"/>
        <w:ind w:firstLine="709"/>
        <w:jc w:val="both"/>
        <w:rPr>
          <w:rFonts w:ascii="Times New Roman" w:hAnsi="Times New Roman"/>
          <w:sz w:val="24"/>
          <w:szCs w:val="24"/>
        </w:rPr>
      </w:pPr>
      <w:r w:rsidRPr="000B56F8">
        <w:rPr>
          <w:rFonts w:ascii="Times New Roman" w:hAnsi="Times New Roman"/>
          <w:sz w:val="24"/>
          <w:szCs w:val="24"/>
        </w:rPr>
        <w:t>б) ЗАО «Тираспольский вино-коньячный завод «</w:t>
      </w:r>
      <w:r w:rsidRPr="000B56F8">
        <w:rPr>
          <w:rFonts w:ascii="Times New Roman" w:hAnsi="Times New Roman"/>
          <w:sz w:val="24"/>
          <w:szCs w:val="24"/>
          <w:lang w:val="en-US"/>
        </w:rPr>
        <w:t>K</w:t>
      </w:r>
      <w:r w:rsidRPr="000B56F8">
        <w:rPr>
          <w:rFonts w:ascii="Times New Roman" w:hAnsi="Times New Roman"/>
          <w:sz w:val="24"/>
          <w:szCs w:val="24"/>
        </w:rPr>
        <w:t>винт» (23,6%) - на закладку многолетних насаждений;</w:t>
      </w:r>
    </w:p>
    <w:p w:rsidR="00335844" w:rsidRPr="000B56F8" w:rsidRDefault="00335844" w:rsidP="00335844">
      <w:pPr>
        <w:tabs>
          <w:tab w:val="left" w:pos="5760"/>
        </w:tabs>
        <w:spacing w:after="0" w:line="240" w:lineRule="auto"/>
        <w:ind w:firstLine="709"/>
        <w:jc w:val="both"/>
        <w:rPr>
          <w:rFonts w:ascii="Times New Roman" w:hAnsi="Times New Roman"/>
          <w:sz w:val="24"/>
          <w:szCs w:val="24"/>
        </w:rPr>
      </w:pPr>
      <w:r w:rsidRPr="000B56F8">
        <w:rPr>
          <w:rFonts w:ascii="Times New Roman" w:hAnsi="Times New Roman"/>
          <w:sz w:val="24"/>
          <w:szCs w:val="24"/>
        </w:rPr>
        <w:t>в) ООО «Каменский Колос» (8,8%), ООО «Агро-Компакт» (6,7%), ООО ТПФ «Интрецентр Люкс» (3,6%) - на приобретение сельскохозяйственной техники;</w:t>
      </w:r>
    </w:p>
    <w:p w:rsidR="00335844" w:rsidRPr="000B56F8" w:rsidRDefault="00335844" w:rsidP="00335844">
      <w:pPr>
        <w:tabs>
          <w:tab w:val="left" w:pos="5760"/>
        </w:tabs>
        <w:spacing w:after="0" w:line="240" w:lineRule="auto"/>
        <w:ind w:firstLine="709"/>
        <w:jc w:val="both"/>
        <w:rPr>
          <w:rFonts w:ascii="Times New Roman" w:hAnsi="Times New Roman"/>
          <w:sz w:val="24"/>
          <w:szCs w:val="24"/>
        </w:rPr>
      </w:pPr>
      <w:r w:rsidRPr="000B56F8">
        <w:rPr>
          <w:rFonts w:ascii="Times New Roman" w:hAnsi="Times New Roman"/>
          <w:sz w:val="24"/>
          <w:szCs w:val="24"/>
        </w:rPr>
        <w:t>г) ООО «Фиальт-Агро» (2,5%) - на приобретение фронтальной и ипподромной системы полива;</w:t>
      </w:r>
    </w:p>
    <w:p w:rsidR="00335844" w:rsidRPr="000B56F8" w:rsidRDefault="00335844" w:rsidP="00335844">
      <w:pPr>
        <w:tabs>
          <w:tab w:val="left" w:pos="5760"/>
        </w:tabs>
        <w:spacing w:after="0" w:line="240" w:lineRule="auto"/>
        <w:ind w:firstLine="709"/>
        <w:jc w:val="both"/>
        <w:rPr>
          <w:rFonts w:ascii="Times New Roman" w:hAnsi="Times New Roman"/>
          <w:sz w:val="24"/>
          <w:szCs w:val="24"/>
        </w:rPr>
      </w:pPr>
      <w:r w:rsidRPr="000B56F8">
        <w:rPr>
          <w:rFonts w:ascii="Times New Roman" w:hAnsi="Times New Roman"/>
          <w:sz w:val="24"/>
          <w:szCs w:val="24"/>
        </w:rPr>
        <w:t>д)  ООО «Рист» (1,8%) – на приобретение сельскохозяйственного оборудования.</w:t>
      </w:r>
    </w:p>
    <w:p w:rsidR="00335844" w:rsidRPr="000B56F8" w:rsidRDefault="00335844" w:rsidP="00335844">
      <w:pPr>
        <w:spacing w:after="0" w:line="240" w:lineRule="auto"/>
        <w:ind w:firstLine="709"/>
        <w:jc w:val="both"/>
        <w:rPr>
          <w:rFonts w:ascii="Times New Roman" w:eastAsia="Calibri" w:hAnsi="Times New Roman"/>
          <w:sz w:val="24"/>
          <w:szCs w:val="24"/>
          <w:lang w:eastAsia="en-US"/>
        </w:rPr>
      </w:pPr>
      <w:r w:rsidRPr="000B56F8">
        <w:rPr>
          <w:rFonts w:ascii="Times New Roman" w:eastAsia="Calibri" w:hAnsi="Times New Roman"/>
          <w:sz w:val="24"/>
          <w:szCs w:val="24"/>
          <w:lang w:eastAsia="en-US"/>
        </w:rPr>
        <w:lastRenderedPageBreak/>
        <w:t>В целях стимулирования рационального использования земель, а также повышения эффективности экономической политики государства в сфере землепользования заключены соглашения  и договора с рядом землепользователей республики.</w:t>
      </w:r>
    </w:p>
    <w:p w:rsidR="00335844" w:rsidRPr="000B56F8" w:rsidRDefault="00335844" w:rsidP="00335844">
      <w:pPr>
        <w:shd w:val="clear" w:color="auto" w:fill="FFFFFF"/>
        <w:spacing w:after="0" w:line="240" w:lineRule="auto"/>
        <w:ind w:firstLine="709"/>
        <w:jc w:val="both"/>
        <w:rPr>
          <w:rFonts w:ascii="Times New Roman" w:hAnsi="Times New Roman"/>
          <w:sz w:val="24"/>
          <w:szCs w:val="24"/>
        </w:rPr>
      </w:pPr>
      <w:r w:rsidRPr="000B56F8">
        <w:rPr>
          <w:rFonts w:ascii="Times New Roman" w:hAnsi="Times New Roman"/>
          <w:sz w:val="24"/>
          <w:szCs w:val="24"/>
        </w:rPr>
        <w:t>Данными соглашениями и договорами предусматриваются инвестиционные вложения, как в сельскохозяйственное производство, так и в инфраструктуру сел, близ которых расположены земли сельскохозяйственного назначения, используемые данными хозяйствующими субъектами.</w:t>
      </w:r>
    </w:p>
    <w:p w:rsidR="00335844" w:rsidRPr="000B56F8" w:rsidRDefault="00335844" w:rsidP="00335844">
      <w:pPr>
        <w:shd w:val="clear" w:color="auto" w:fill="FFFFFF"/>
        <w:spacing w:after="0" w:line="240" w:lineRule="auto"/>
        <w:ind w:firstLine="709"/>
        <w:jc w:val="both"/>
        <w:rPr>
          <w:rFonts w:ascii="Times New Roman" w:hAnsi="Times New Roman"/>
          <w:sz w:val="24"/>
          <w:szCs w:val="24"/>
        </w:rPr>
      </w:pPr>
      <w:r w:rsidRPr="000B56F8">
        <w:rPr>
          <w:rFonts w:ascii="Times New Roman" w:hAnsi="Times New Roman"/>
          <w:sz w:val="24"/>
          <w:szCs w:val="24"/>
        </w:rPr>
        <w:t>За январь-июнь 2015 года заключено 7 инвестиционных соглашений и 32 договора  (в январе-июне 2014 года – 5 инвестиционных соглашений и 2 договора), в рамках которых охвачено 23 733,24 га земель сельскохозяйственного назначения, что в 3,7 раза больше, чем в первом полугодии 2014 года. Наибольшее количество земель приходится</w:t>
      </w:r>
      <w:r>
        <w:rPr>
          <w:rFonts w:ascii="Times New Roman" w:hAnsi="Times New Roman"/>
          <w:sz w:val="24"/>
          <w:szCs w:val="24"/>
        </w:rPr>
        <w:br/>
      </w:r>
      <w:r w:rsidRPr="000B56F8">
        <w:rPr>
          <w:rFonts w:ascii="Times New Roman" w:hAnsi="Times New Roman"/>
          <w:sz w:val="24"/>
          <w:szCs w:val="24"/>
        </w:rPr>
        <w:t>на Рыбницкий район – 12 493,33 га (52,6% от общей площади охваченных земель).</w:t>
      </w:r>
    </w:p>
    <w:p w:rsidR="00335844" w:rsidRPr="000B56F8" w:rsidRDefault="00335844" w:rsidP="00335844">
      <w:pPr>
        <w:pStyle w:val="13"/>
        <w:shd w:val="clear" w:color="auto" w:fill="FFFFFF"/>
        <w:ind w:firstLine="709"/>
        <w:jc w:val="both"/>
        <w:rPr>
          <w:rFonts w:ascii="Times New Roman" w:hAnsi="Times New Roman" w:cs="Times New Roman"/>
        </w:rPr>
      </w:pPr>
      <w:r w:rsidRPr="000B56F8">
        <w:rPr>
          <w:rFonts w:ascii="Times New Roman" w:hAnsi="Times New Roman" w:cs="Times New Roman"/>
        </w:rPr>
        <w:t xml:space="preserve">Общая сумма предполагаемых инвестиций согласно заключенным соглашениям и договорам за первое полугодие 2015 года составит 58 095,08 тыс. руб. против </w:t>
      </w:r>
      <w:r w:rsidRPr="000B56F8">
        <w:rPr>
          <w:rFonts w:ascii="Times New Roman" w:hAnsi="Times New Roman" w:cs="Times New Roman"/>
        </w:rPr>
        <w:br/>
        <w:t>45 823,8 тыс. руб. за аналогичный период 2014 года. В сельскохозяйственное производство предполагается инвестировать 55</w:t>
      </w:r>
      <w:r>
        <w:rPr>
          <w:rFonts w:ascii="Times New Roman" w:hAnsi="Times New Roman" w:cs="Times New Roman"/>
        </w:rPr>
        <w:t> </w:t>
      </w:r>
      <w:r w:rsidRPr="000B56F8">
        <w:rPr>
          <w:rFonts w:ascii="Times New Roman" w:hAnsi="Times New Roman" w:cs="Times New Roman"/>
        </w:rPr>
        <w:t>183</w:t>
      </w:r>
      <w:r>
        <w:rPr>
          <w:rFonts w:ascii="Times New Roman" w:hAnsi="Times New Roman" w:cs="Times New Roman"/>
        </w:rPr>
        <w:t>,0</w:t>
      </w:r>
      <w:r w:rsidRPr="000B56F8">
        <w:rPr>
          <w:rFonts w:ascii="Times New Roman" w:hAnsi="Times New Roman" w:cs="Times New Roman"/>
        </w:rPr>
        <w:t xml:space="preserve"> тыс. руб. (123,8% к уровню </w:t>
      </w:r>
      <w:r w:rsidRPr="000B56F8">
        <w:rPr>
          <w:rFonts w:ascii="Times New Roman" w:hAnsi="Times New Roman" w:cs="Times New Roman"/>
        </w:rPr>
        <w:br/>
        <w:t xml:space="preserve">2014 года), в инфраструктуру села – 2 912,08  тыс. руб. (в 2,3 раза больше к уровню </w:t>
      </w:r>
      <w:r>
        <w:rPr>
          <w:rFonts w:ascii="Times New Roman" w:hAnsi="Times New Roman" w:cs="Times New Roman"/>
        </w:rPr>
        <w:br/>
      </w:r>
      <w:r w:rsidRPr="000B56F8">
        <w:rPr>
          <w:rFonts w:ascii="Times New Roman" w:hAnsi="Times New Roman" w:cs="Times New Roman"/>
        </w:rPr>
        <w:t>2014 года). В основном данные средства будут направлены на ремонт социальных объектов (детские сады, общеобразовательные школы, сельские врачебные амбулатории и др.). газификацию домов культуры, административных зданий,</w:t>
      </w:r>
      <w:r w:rsidRPr="000B56F8">
        <w:t xml:space="preserve"> </w:t>
      </w:r>
      <w:r w:rsidRPr="000B56F8">
        <w:rPr>
          <w:rFonts w:ascii="Times New Roman" w:hAnsi="Times New Roman" w:cs="Times New Roman"/>
        </w:rPr>
        <w:t xml:space="preserve">благоустройство и ремонт общественных колодцев в отдельных селах республики. </w:t>
      </w:r>
    </w:p>
    <w:p w:rsidR="00335844" w:rsidRPr="000B56F8" w:rsidRDefault="00335844" w:rsidP="00335844">
      <w:pPr>
        <w:shd w:val="clear" w:color="auto" w:fill="FFFFFF"/>
        <w:spacing w:after="0" w:line="240" w:lineRule="auto"/>
        <w:ind w:firstLine="709"/>
        <w:jc w:val="both"/>
        <w:rPr>
          <w:rFonts w:ascii="Times New Roman" w:hAnsi="Times New Roman"/>
          <w:sz w:val="24"/>
          <w:szCs w:val="24"/>
        </w:rPr>
      </w:pPr>
      <w:r w:rsidRPr="000B56F8">
        <w:rPr>
          <w:rFonts w:ascii="Times New Roman" w:hAnsi="Times New Roman"/>
          <w:sz w:val="24"/>
          <w:szCs w:val="24"/>
        </w:rPr>
        <w:t xml:space="preserve">На фоне существенного роста инвестиционной активности в предыдущие годы </w:t>
      </w:r>
      <w:r w:rsidRPr="000B56F8">
        <w:rPr>
          <w:rFonts w:ascii="Times New Roman" w:hAnsi="Times New Roman"/>
          <w:sz w:val="24"/>
          <w:szCs w:val="24"/>
        </w:rPr>
        <w:br/>
        <w:t xml:space="preserve">в январе-июне 2015 года отмечалось сокращение инвестиций в основной капитал в таких отраслях, как транспорт (на 79,8% до 16,1 млн. руб.), связь (на 23,4% до 26,8 млн. руб.), торговля и общественное питание (на 30,5% до 41,2 млн. руб.), строительство (на 21,9% до 3,9 млн. руб.), жилищное строительство (на 53,6% до 2,4 млн. руб.), коммунальное хозяйство (на 52,9% до 6,2 млн. руб.), здравоохранение и социальное обеспечение </w:t>
      </w:r>
      <w:r w:rsidRPr="000B56F8">
        <w:rPr>
          <w:rFonts w:ascii="Times New Roman" w:hAnsi="Times New Roman"/>
          <w:sz w:val="24"/>
          <w:szCs w:val="24"/>
        </w:rPr>
        <w:br/>
        <w:t>(на 50,6% до 13,0 млн. руб.), образование (на 67,1% до 1,8 млн. руб.).</w:t>
      </w:r>
    </w:p>
    <w:p w:rsidR="00335844" w:rsidRPr="000B56F8" w:rsidRDefault="00335844" w:rsidP="00335844">
      <w:pPr>
        <w:spacing w:after="0" w:line="240" w:lineRule="auto"/>
        <w:ind w:firstLine="708"/>
        <w:jc w:val="right"/>
        <w:rPr>
          <w:rFonts w:ascii="Times New Roman" w:eastAsia="Calibri" w:hAnsi="Times New Roman"/>
          <w:spacing w:val="2"/>
          <w:sz w:val="24"/>
          <w:szCs w:val="24"/>
          <w:lang w:eastAsia="en-US"/>
        </w:rPr>
      </w:pPr>
      <w:r w:rsidRPr="000B56F8">
        <w:rPr>
          <w:rFonts w:ascii="Times New Roman" w:eastAsia="Calibri" w:hAnsi="Times New Roman"/>
          <w:spacing w:val="2"/>
          <w:sz w:val="24"/>
          <w:szCs w:val="24"/>
          <w:lang w:eastAsia="en-US"/>
        </w:rPr>
        <w:t>Таблица №</w:t>
      </w:r>
      <w:r w:rsidR="00B0566B">
        <w:rPr>
          <w:rFonts w:ascii="Times New Roman" w:eastAsia="Calibri" w:hAnsi="Times New Roman"/>
          <w:spacing w:val="2"/>
          <w:sz w:val="24"/>
          <w:szCs w:val="24"/>
          <w:lang w:eastAsia="en-US"/>
        </w:rPr>
        <w:t>12</w:t>
      </w:r>
      <w:r w:rsidRPr="000B56F8">
        <w:rPr>
          <w:rFonts w:ascii="Times New Roman" w:eastAsia="Calibri" w:hAnsi="Times New Roman"/>
          <w:spacing w:val="2"/>
          <w:sz w:val="24"/>
          <w:szCs w:val="24"/>
          <w:lang w:eastAsia="en-US"/>
        </w:rPr>
        <w:t xml:space="preserve"> </w:t>
      </w:r>
    </w:p>
    <w:p w:rsidR="00335844" w:rsidRPr="000B56F8" w:rsidRDefault="00335844" w:rsidP="00335844">
      <w:pPr>
        <w:spacing w:after="0" w:line="240" w:lineRule="auto"/>
        <w:jc w:val="center"/>
        <w:rPr>
          <w:rFonts w:ascii="Times New Roman" w:eastAsia="Calibri" w:hAnsi="Times New Roman"/>
          <w:b/>
          <w:sz w:val="24"/>
          <w:szCs w:val="24"/>
          <w:lang w:eastAsia="en-US"/>
        </w:rPr>
      </w:pPr>
      <w:r w:rsidRPr="000B56F8">
        <w:rPr>
          <w:rFonts w:ascii="Times New Roman" w:eastAsia="Calibri" w:hAnsi="Times New Roman"/>
          <w:b/>
          <w:sz w:val="24"/>
          <w:szCs w:val="24"/>
          <w:lang w:eastAsia="en-US"/>
        </w:rPr>
        <w:t xml:space="preserve">Динамика инвестиций в основной капитал и их структура </w:t>
      </w:r>
    </w:p>
    <w:p w:rsidR="00335844" w:rsidRPr="000B56F8" w:rsidRDefault="00335844" w:rsidP="00335844">
      <w:pPr>
        <w:spacing w:after="0" w:line="240" w:lineRule="auto"/>
        <w:jc w:val="center"/>
        <w:rPr>
          <w:rFonts w:ascii="Times New Roman" w:eastAsia="Calibri" w:hAnsi="Times New Roman"/>
          <w:sz w:val="24"/>
          <w:szCs w:val="24"/>
          <w:lang w:eastAsia="en-US"/>
        </w:rPr>
      </w:pPr>
      <w:r w:rsidRPr="000B56F8">
        <w:rPr>
          <w:rFonts w:ascii="Times New Roman" w:eastAsia="Calibri" w:hAnsi="Times New Roman"/>
          <w:b/>
          <w:sz w:val="24"/>
          <w:szCs w:val="24"/>
          <w:lang w:eastAsia="en-US"/>
        </w:rPr>
        <w:t xml:space="preserve">по основным отраслям экономики </w:t>
      </w:r>
      <w:r w:rsidRPr="000B56F8">
        <w:rPr>
          <w:rFonts w:ascii="Times New Roman" w:eastAsia="Calibri" w:hAnsi="Times New Roman"/>
          <w:sz w:val="24"/>
          <w:szCs w:val="24"/>
          <w:lang w:eastAsia="en-US"/>
        </w:rPr>
        <w:t>(без субъектов малого предпринимательства)</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2"/>
        <w:gridCol w:w="995"/>
        <w:gridCol w:w="854"/>
        <w:gridCol w:w="996"/>
        <w:gridCol w:w="994"/>
        <w:gridCol w:w="1423"/>
      </w:tblGrid>
      <w:tr w:rsidR="00335844" w:rsidRPr="000B56F8" w:rsidTr="00D54854">
        <w:trPr>
          <w:trHeight w:val="372"/>
        </w:trPr>
        <w:tc>
          <w:tcPr>
            <w:tcW w:w="4232" w:type="dxa"/>
            <w:vMerge w:val="restart"/>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pacing w:val="2"/>
                <w:sz w:val="21"/>
                <w:szCs w:val="21"/>
                <w:lang w:eastAsia="en-US"/>
              </w:rPr>
              <w:t>Показатели</w:t>
            </w:r>
          </w:p>
        </w:tc>
        <w:tc>
          <w:tcPr>
            <w:tcW w:w="1849" w:type="dxa"/>
            <w:gridSpan w:val="2"/>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январь - июнь</w:t>
            </w:r>
          </w:p>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2014 г.</w:t>
            </w:r>
          </w:p>
        </w:tc>
        <w:tc>
          <w:tcPr>
            <w:tcW w:w="1990" w:type="dxa"/>
            <w:gridSpan w:val="2"/>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январь-июнь</w:t>
            </w:r>
          </w:p>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2015 г.</w:t>
            </w:r>
          </w:p>
        </w:tc>
        <w:tc>
          <w:tcPr>
            <w:tcW w:w="1423" w:type="dxa"/>
            <w:vMerge w:val="restart"/>
            <w:vAlign w:val="center"/>
          </w:tcPr>
          <w:p w:rsidR="00335844" w:rsidRPr="00FB5017" w:rsidRDefault="00335844" w:rsidP="003F67B2">
            <w:pPr>
              <w:spacing w:after="0" w:line="240" w:lineRule="auto"/>
              <w:jc w:val="center"/>
              <w:rPr>
                <w:rFonts w:ascii="Times New Roman" w:eastAsia="Calibri" w:hAnsi="Times New Roman"/>
                <w:b/>
                <w:bCs/>
                <w:sz w:val="21"/>
                <w:szCs w:val="21"/>
                <w:lang w:eastAsia="en-US"/>
              </w:rPr>
            </w:pPr>
            <w:r w:rsidRPr="00FB5017">
              <w:rPr>
                <w:rFonts w:ascii="Times New Roman" w:eastAsia="Calibri" w:hAnsi="Times New Roman"/>
                <w:b/>
                <w:bCs/>
                <w:sz w:val="21"/>
                <w:szCs w:val="21"/>
                <w:lang w:eastAsia="en-US"/>
              </w:rPr>
              <w:t>Темп роста</w:t>
            </w:r>
          </w:p>
          <w:p w:rsidR="00335844" w:rsidRPr="00FB5017" w:rsidRDefault="00335844" w:rsidP="003F67B2">
            <w:pPr>
              <w:spacing w:after="0" w:line="240" w:lineRule="auto"/>
              <w:jc w:val="center"/>
              <w:rPr>
                <w:rFonts w:ascii="Times New Roman" w:eastAsia="Calibri" w:hAnsi="Times New Roman"/>
                <w:b/>
                <w:bCs/>
                <w:sz w:val="21"/>
                <w:szCs w:val="21"/>
                <w:lang w:eastAsia="en-US"/>
              </w:rPr>
            </w:pPr>
            <w:r w:rsidRPr="00FB5017">
              <w:rPr>
                <w:rFonts w:ascii="Times New Roman" w:eastAsia="Calibri" w:hAnsi="Times New Roman"/>
                <w:b/>
                <w:bCs/>
                <w:sz w:val="21"/>
                <w:szCs w:val="21"/>
                <w:lang w:eastAsia="en-US"/>
              </w:rPr>
              <w:t xml:space="preserve">в % к </w:t>
            </w:r>
          </w:p>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bCs/>
                <w:sz w:val="21"/>
                <w:szCs w:val="21"/>
                <w:lang w:eastAsia="en-US"/>
              </w:rPr>
              <w:t>2014 г.*</w:t>
            </w:r>
          </w:p>
        </w:tc>
      </w:tr>
      <w:tr w:rsidR="00335844" w:rsidRPr="000B56F8" w:rsidTr="00D54854">
        <w:trPr>
          <w:trHeight w:val="691"/>
        </w:trPr>
        <w:tc>
          <w:tcPr>
            <w:tcW w:w="4232" w:type="dxa"/>
            <w:vMerge/>
            <w:tcBorders>
              <w:bottom w:val="single" w:sz="4" w:space="0" w:color="000000"/>
            </w:tcBorders>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p>
        </w:tc>
        <w:tc>
          <w:tcPr>
            <w:tcW w:w="995" w:type="dxa"/>
            <w:tcBorders>
              <w:bottom w:val="single" w:sz="4" w:space="0" w:color="000000"/>
            </w:tcBorders>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млн. руб.</w:t>
            </w:r>
          </w:p>
        </w:tc>
        <w:tc>
          <w:tcPr>
            <w:tcW w:w="854" w:type="dxa"/>
            <w:tcBorders>
              <w:bottom w:val="single" w:sz="4" w:space="0" w:color="000000"/>
            </w:tcBorders>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уд.</w:t>
            </w:r>
          </w:p>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вес, %</w:t>
            </w:r>
          </w:p>
        </w:tc>
        <w:tc>
          <w:tcPr>
            <w:tcW w:w="996" w:type="dxa"/>
            <w:tcBorders>
              <w:bottom w:val="single" w:sz="4" w:space="0" w:color="000000"/>
            </w:tcBorders>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млн. руб.</w:t>
            </w:r>
          </w:p>
        </w:tc>
        <w:tc>
          <w:tcPr>
            <w:tcW w:w="994" w:type="dxa"/>
            <w:tcBorders>
              <w:bottom w:val="single" w:sz="4" w:space="0" w:color="000000"/>
            </w:tcBorders>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уд. вес, %</w:t>
            </w:r>
          </w:p>
        </w:tc>
        <w:tc>
          <w:tcPr>
            <w:tcW w:w="1423" w:type="dxa"/>
            <w:vMerge/>
            <w:tcBorders>
              <w:bottom w:val="single" w:sz="4" w:space="0" w:color="000000"/>
            </w:tcBorders>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p>
        </w:tc>
      </w:tr>
      <w:tr w:rsidR="00335844" w:rsidRPr="000B56F8" w:rsidTr="00D54854">
        <w:trPr>
          <w:trHeight w:val="681"/>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b/>
                <w:sz w:val="21"/>
                <w:szCs w:val="21"/>
                <w:lang w:eastAsia="en-US"/>
              </w:rPr>
              <w:t>Инвестиции в основной капитал</w:t>
            </w:r>
            <w:r w:rsidRPr="00FB5017">
              <w:rPr>
                <w:rFonts w:ascii="Times New Roman" w:eastAsia="Calibri" w:hAnsi="Times New Roman"/>
                <w:sz w:val="21"/>
                <w:szCs w:val="21"/>
                <w:lang w:eastAsia="en-US"/>
              </w:rPr>
              <w:t xml:space="preserve"> (в части новых и приобретенных по импорту основных средств) – всего</w:t>
            </w:r>
          </w:p>
        </w:tc>
        <w:tc>
          <w:tcPr>
            <w:tcW w:w="995" w:type="dxa"/>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629,7</w:t>
            </w:r>
          </w:p>
        </w:tc>
        <w:tc>
          <w:tcPr>
            <w:tcW w:w="854" w:type="dxa"/>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100,0</w:t>
            </w:r>
          </w:p>
        </w:tc>
        <w:tc>
          <w:tcPr>
            <w:tcW w:w="996" w:type="dxa"/>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400,7</w:t>
            </w:r>
          </w:p>
        </w:tc>
        <w:tc>
          <w:tcPr>
            <w:tcW w:w="994" w:type="dxa"/>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100,0</w:t>
            </w:r>
          </w:p>
        </w:tc>
        <w:tc>
          <w:tcPr>
            <w:tcW w:w="1423" w:type="dxa"/>
            <w:vAlign w:val="center"/>
          </w:tcPr>
          <w:p w:rsidR="00335844" w:rsidRPr="00FB5017" w:rsidRDefault="00335844" w:rsidP="003F67B2">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61,4</w:t>
            </w:r>
          </w:p>
        </w:tc>
      </w:tr>
      <w:tr w:rsidR="00335844" w:rsidRPr="000B56F8" w:rsidTr="00D54854">
        <w:trPr>
          <w:trHeight w:val="444"/>
        </w:trPr>
        <w:tc>
          <w:tcPr>
            <w:tcW w:w="4232" w:type="dxa"/>
            <w:vAlign w:val="center"/>
          </w:tcPr>
          <w:p w:rsidR="00335844" w:rsidRPr="00FB5017" w:rsidRDefault="00335844" w:rsidP="003F67B2">
            <w:pPr>
              <w:spacing w:after="0" w:line="240" w:lineRule="auto"/>
              <w:rPr>
                <w:rFonts w:ascii="Times New Roman" w:hAnsi="Times New Roman"/>
                <w:sz w:val="21"/>
                <w:szCs w:val="21"/>
              </w:rPr>
            </w:pPr>
            <w:r w:rsidRPr="00FB5017">
              <w:rPr>
                <w:rFonts w:ascii="Times New Roman" w:hAnsi="Times New Roman"/>
                <w:sz w:val="21"/>
                <w:szCs w:val="21"/>
              </w:rPr>
              <w:t>в том числе:</w:t>
            </w:r>
          </w:p>
          <w:p w:rsidR="00335844" w:rsidRPr="00FB5017" w:rsidRDefault="00335844" w:rsidP="003F67B2">
            <w:pPr>
              <w:spacing w:after="0" w:line="240" w:lineRule="auto"/>
              <w:rPr>
                <w:rFonts w:ascii="Times New Roman" w:hAnsi="Times New Roman"/>
                <w:sz w:val="21"/>
                <w:szCs w:val="21"/>
              </w:rPr>
            </w:pPr>
            <w:r w:rsidRPr="00FB5017">
              <w:rPr>
                <w:rFonts w:ascii="Times New Roman" w:hAnsi="Times New Roman"/>
                <w:sz w:val="21"/>
                <w:szCs w:val="21"/>
              </w:rPr>
              <w:t>промышленность</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258,3</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41,0</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151,1</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37,7</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56,5</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сельское хозяйство</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115,9</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18,4</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73,0</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18,2</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65,1</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транспорт</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77,2</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12,3</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16,1</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4,0</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20,2</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связь</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26,4</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4,2</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26,7</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6,7</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76,6</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строительство</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4,5</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0,7</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3,9</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1,0</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78,1</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торговля и общественное питание</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53,9</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8,6</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41,2</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10,3</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69,5</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жилищное строительство</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5,2</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0,8</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2,4</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0,6</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46,4</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коммунальное хозяйство</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13,5</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2,1</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6,2</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1,5</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47,1</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hAnsi="Times New Roman"/>
                <w:sz w:val="21"/>
                <w:szCs w:val="21"/>
              </w:rPr>
            </w:pPr>
            <w:r w:rsidRPr="00FB5017">
              <w:rPr>
                <w:rFonts w:ascii="Times New Roman" w:hAnsi="Times New Roman"/>
                <w:sz w:val="21"/>
                <w:szCs w:val="21"/>
              </w:rPr>
              <w:t>здравоохранение и соц. обеспечение</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26,4</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4,2</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13,0</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3,2</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49,4</w:t>
            </w:r>
          </w:p>
        </w:tc>
      </w:tr>
      <w:tr w:rsidR="00335844" w:rsidRPr="000B56F8" w:rsidTr="00D54854">
        <w:trPr>
          <w:trHeight w:val="222"/>
        </w:trPr>
        <w:tc>
          <w:tcPr>
            <w:tcW w:w="4232" w:type="dxa"/>
            <w:vAlign w:val="center"/>
          </w:tcPr>
          <w:p w:rsidR="00335844" w:rsidRPr="00FB5017" w:rsidRDefault="00335844" w:rsidP="003F67B2">
            <w:pPr>
              <w:spacing w:after="0" w:line="240" w:lineRule="auto"/>
              <w:rPr>
                <w:rFonts w:ascii="Times New Roman" w:hAnsi="Times New Roman"/>
                <w:sz w:val="21"/>
                <w:szCs w:val="21"/>
              </w:rPr>
            </w:pPr>
            <w:r w:rsidRPr="00FB5017">
              <w:rPr>
                <w:rFonts w:ascii="Times New Roman" w:hAnsi="Times New Roman"/>
                <w:sz w:val="21"/>
                <w:szCs w:val="21"/>
              </w:rPr>
              <w:t>образование</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5,4</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0,9</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1,8</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0,5</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32,9</w:t>
            </w:r>
          </w:p>
        </w:tc>
      </w:tr>
      <w:tr w:rsidR="00335844" w:rsidRPr="000B56F8" w:rsidTr="00D54854">
        <w:trPr>
          <w:trHeight w:val="237"/>
        </w:trPr>
        <w:tc>
          <w:tcPr>
            <w:tcW w:w="4232" w:type="dxa"/>
            <w:vAlign w:val="center"/>
          </w:tcPr>
          <w:p w:rsidR="00335844" w:rsidRPr="00FB5017" w:rsidRDefault="00335844" w:rsidP="003F67B2">
            <w:pPr>
              <w:spacing w:after="0" w:line="240" w:lineRule="auto"/>
              <w:rPr>
                <w:rFonts w:ascii="Times New Roman" w:hAnsi="Times New Roman"/>
                <w:sz w:val="21"/>
                <w:szCs w:val="21"/>
              </w:rPr>
            </w:pPr>
            <w:r w:rsidRPr="00FB5017">
              <w:rPr>
                <w:rFonts w:ascii="Times New Roman" w:hAnsi="Times New Roman"/>
                <w:sz w:val="21"/>
                <w:szCs w:val="21"/>
              </w:rPr>
              <w:t>прочие</w:t>
            </w:r>
          </w:p>
        </w:tc>
        <w:tc>
          <w:tcPr>
            <w:tcW w:w="995"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43,0</w:t>
            </w:r>
          </w:p>
        </w:tc>
        <w:tc>
          <w:tcPr>
            <w:tcW w:w="85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6,8</w:t>
            </w:r>
          </w:p>
        </w:tc>
        <w:tc>
          <w:tcPr>
            <w:tcW w:w="996"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65,3</w:t>
            </w:r>
          </w:p>
        </w:tc>
        <w:tc>
          <w:tcPr>
            <w:tcW w:w="994"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16,3</w:t>
            </w:r>
          </w:p>
        </w:tc>
        <w:tc>
          <w:tcPr>
            <w:tcW w:w="1423" w:type="dxa"/>
            <w:vAlign w:val="center"/>
          </w:tcPr>
          <w:p w:rsidR="00335844" w:rsidRPr="00FB5017" w:rsidRDefault="00335844" w:rsidP="003F67B2">
            <w:pPr>
              <w:spacing w:after="0" w:line="240" w:lineRule="auto"/>
              <w:jc w:val="center"/>
              <w:rPr>
                <w:rFonts w:ascii="Times New Roman" w:eastAsia="Calibri" w:hAnsi="Times New Roman"/>
                <w:sz w:val="21"/>
                <w:szCs w:val="21"/>
                <w:lang w:eastAsia="en-US"/>
              </w:rPr>
            </w:pPr>
            <w:r w:rsidRPr="00FB5017">
              <w:rPr>
                <w:rFonts w:ascii="Times New Roman" w:eastAsia="Calibri" w:hAnsi="Times New Roman"/>
                <w:sz w:val="21"/>
                <w:szCs w:val="21"/>
                <w:lang w:eastAsia="en-US"/>
              </w:rPr>
              <w:t>144,8</w:t>
            </w:r>
          </w:p>
        </w:tc>
      </w:tr>
    </w:tbl>
    <w:p w:rsidR="00D54854" w:rsidRPr="00FB5017" w:rsidRDefault="00335844" w:rsidP="00335844">
      <w:pPr>
        <w:spacing w:after="0" w:line="240" w:lineRule="auto"/>
        <w:rPr>
          <w:rFonts w:ascii="Times New Roman" w:eastAsia="Calibri" w:hAnsi="Times New Roman"/>
          <w:spacing w:val="2"/>
          <w:sz w:val="18"/>
          <w:szCs w:val="18"/>
          <w:lang w:eastAsia="en-US"/>
        </w:rPr>
      </w:pPr>
      <w:r w:rsidRPr="000B56F8">
        <w:rPr>
          <w:rFonts w:ascii="Times New Roman" w:eastAsia="Calibri" w:hAnsi="Times New Roman"/>
          <w:i/>
          <w:spacing w:val="2"/>
          <w:sz w:val="20"/>
          <w:szCs w:val="20"/>
          <w:lang w:eastAsia="en-US"/>
        </w:rPr>
        <w:t xml:space="preserve">    </w:t>
      </w:r>
      <w:r w:rsidRPr="00FB5017">
        <w:rPr>
          <w:rFonts w:ascii="Times New Roman" w:eastAsia="Calibri" w:hAnsi="Times New Roman"/>
          <w:i/>
          <w:spacing w:val="2"/>
          <w:sz w:val="18"/>
          <w:szCs w:val="18"/>
          <w:lang w:eastAsia="en-US"/>
        </w:rPr>
        <w:t>*</w:t>
      </w:r>
      <w:r w:rsidRPr="00FB5017">
        <w:rPr>
          <w:rFonts w:ascii="Times New Roman" w:eastAsia="Calibri" w:hAnsi="Times New Roman"/>
          <w:spacing w:val="2"/>
          <w:sz w:val="18"/>
          <w:szCs w:val="18"/>
          <w:lang w:eastAsia="en-US"/>
        </w:rPr>
        <w:t>-</w:t>
      </w:r>
      <w:r w:rsidRPr="00FB5017">
        <w:rPr>
          <w:rFonts w:ascii="Times New Roman" w:eastAsia="Calibri" w:hAnsi="Times New Roman"/>
          <w:i/>
          <w:spacing w:val="2"/>
          <w:sz w:val="18"/>
          <w:szCs w:val="18"/>
          <w:lang w:eastAsia="en-US"/>
        </w:rPr>
        <w:t xml:space="preserve"> </w:t>
      </w:r>
      <w:r w:rsidRPr="00FB5017">
        <w:rPr>
          <w:rFonts w:ascii="Times New Roman" w:eastAsia="Calibri" w:hAnsi="Times New Roman"/>
          <w:spacing w:val="2"/>
          <w:sz w:val="18"/>
          <w:szCs w:val="18"/>
          <w:lang w:eastAsia="en-US"/>
        </w:rPr>
        <w:t>темпы роста приведены к уточнённым данным ГСС</w:t>
      </w:r>
    </w:p>
    <w:p w:rsidR="00D54854" w:rsidRPr="00D54854" w:rsidRDefault="00D54854" w:rsidP="00335844">
      <w:pPr>
        <w:spacing w:after="0" w:line="240" w:lineRule="auto"/>
        <w:rPr>
          <w:rFonts w:ascii="Times New Roman" w:eastAsia="Calibri" w:hAnsi="Times New Roman"/>
          <w:spacing w:val="2"/>
          <w:sz w:val="20"/>
          <w:szCs w:val="20"/>
          <w:lang w:eastAsia="en-US"/>
        </w:rPr>
      </w:pPr>
    </w:p>
    <w:p w:rsidR="00335844" w:rsidRDefault="00335844" w:rsidP="00335844">
      <w:pPr>
        <w:shd w:val="clear" w:color="auto" w:fill="FFFFFF"/>
        <w:spacing w:after="0" w:line="240" w:lineRule="auto"/>
        <w:ind w:firstLine="709"/>
        <w:jc w:val="both"/>
        <w:rPr>
          <w:rFonts w:ascii="Times New Roman" w:eastAsia="Calibri" w:hAnsi="Times New Roman"/>
          <w:sz w:val="24"/>
          <w:szCs w:val="24"/>
          <w:lang w:eastAsia="en-US"/>
        </w:rPr>
      </w:pPr>
      <w:r w:rsidRPr="000B56F8">
        <w:rPr>
          <w:rFonts w:ascii="Times New Roman" w:eastAsia="Calibri" w:hAnsi="Times New Roman"/>
          <w:sz w:val="24"/>
          <w:szCs w:val="24"/>
          <w:lang w:eastAsia="en-US"/>
        </w:rPr>
        <w:t>Таким образом, сохраняющаяся неопределённость дальнейших перспектив развития</w:t>
      </w:r>
      <w:r>
        <w:rPr>
          <w:rFonts w:ascii="Times New Roman" w:eastAsia="Calibri" w:hAnsi="Times New Roman"/>
          <w:sz w:val="24"/>
          <w:szCs w:val="24"/>
          <w:lang w:eastAsia="en-US"/>
        </w:rPr>
        <w:t xml:space="preserve"> </w:t>
      </w:r>
      <w:r w:rsidRPr="000B56F8">
        <w:rPr>
          <w:rFonts w:ascii="Times New Roman" w:eastAsia="Calibri" w:hAnsi="Times New Roman"/>
          <w:sz w:val="24"/>
          <w:szCs w:val="24"/>
          <w:lang w:eastAsia="en-US"/>
        </w:rPr>
        <w:t xml:space="preserve">в связи с обострением негативных факторов, обусловленных внешнеполитической и экономической конъюнктурной ситуацией на фоне отсутствия </w:t>
      </w:r>
      <w:r w:rsidRPr="000B56F8">
        <w:rPr>
          <w:rFonts w:ascii="Times New Roman" w:eastAsia="Calibri" w:hAnsi="Times New Roman"/>
          <w:sz w:val="24"/>
          <w:szCs w:val="24"/>
          <w:lang w:eastAsia="en-US"/>
        </w:rPr>
        <w:lastRenderedPageBreak/>
        <w:t>доступа к внешнему финансированию и ограниченности внутренних ресурсов</w:t>
      </w:r>
      <w:r>
        <w:rPr>
          <w:rFonts w:ascii="Times New Roman" w:eastAsia="Calibri" w:hAnsi="Times New Roman"/>
          <w:sz w:val="24"/>
          <w:szCs w:val="24"/>
          <w:lang w:eastAsia="en-US"/>
        </w:rPr>
        <w:t xml:space="preserve">, </w:t>
      </w:r>
      <w:r w:rsidRPr="000B56F8">
        <w:rPr>
          <w:rFonts w:ascii="Times New Roman" w:eastAsia="Calibri" w:hAnsi="Times New Roman"/>
          <w:sz w:val="24"/>
          <w:szCs w:val="24"/>
          <w:lang w:eastAsia="en-US"/>
        </w:rPr>
        <w:t>предопределила в январе-июне</w:t>
      </w:r>
      <w:r>
        <w:rPr>
          <w:rFonts w:ascii="Times New Roman" w:eastAsia="Calibri" w:hAnsi="Times New Roman"/>
          <w:sz w:val="24"/>
          <w:szCs w:val="24"/>
          <w:lang w:eastAsia="en-US"/>
        </w:rPr>
        <w:t xml:space="preserve"> 2</w:t>
      </w:r>
      <w:r w:rsidRPr="000B56F8">
        <w:rPr>
          <w:rFonts w:ascii="Times New Roman" w:eastAsia="Calibri" w:hAnsi="Times New Roman"/>
          <w:sz w:val="24"/>
          <w:szCs w:val="24"/>
          <w:lang w:eastAsia="en-US"/>
        </w:rPr>
        <w:t xml:space="preserve">015 года </w:t>
      </w:r>
      <w:r>
        <w:rPr>
          <w:rFonts w:ascii="Times New Roman" w:eastAsia="Calibri" w:hAnsi="Times New Roman"/>
          <w:sz w:val="24"/>
          <w:szCs w:val="24"/>
          <w:lang w:eastAsia="en-US"/>
        </w:rPr>
        <w:t xml:space="preserve">отрицательную </w:t>
      </w:r>
      <w:r w:rsidRPr="000B56F8">
        <w:rPr>
          <w:rFonts w:ascii="Times New Roman" w:eastAsia="Calibri" w:hAnsi="Times New Roman"/>
          <w:sz w:val="24"/>
          <w:szCs w:val="24"/>
          <w:lang w:eastAsia="en-US"/>
        </w:rPr>
        <w:t xml:space="preserve">динамику показателей долгосрочных вложений </w:t>
      </w:r>
      <w:r w:rsidRPr="00D61697">
        <w:rPr>
          <w:rFonts w:ascii="Times New Roman" w:eastAsia="Calibri" w:hAnsi="Times New Roman"/>
          <w:sz w:val="24"/>
          <w:szCs w:val="24"/>
          <w:lang w:eastAsia="en-US"/>
        </w:rPr>
        <w:t>в основной капитал.</w:t>
      </w:r>
    </w:p>
    <w:p w:rsidR="00335844" w:rsidRPr="00C764A8" w:rsidRDefault="00335844" w:rsidP="00335844">
      <w:pPr>
        <w:shd w:val="clear" w:color="auto" w:fill="FFFFFF"/>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Вместе с тем, несмотря на сложную политическую и экономическую обстановку, государство проводит активную политику по выходу из сложившейся ситуации.                 </w:t>
      </w:r>
      <w:r w:rsidRPr="00C764A8">
        <w:rPr>
          <w:rFonts w:ascii="Times New Roman" w:eastAsia="Calibri" w:hAnsi="Times New Roman"/>
          <w:sz w:val="24"/>
          <w:szCs w:val="24"/>
          <w:lang w:eastAsia="en-US"/>
        </w:rPr>
        <w:t xml:space="preserve">В регионе продолжается реализация гуманитарного проекта Российской Федерации по линии АНО «Евразийская интеграция». </w:t>
      </w:r>
      <w:r w:rsidRPr="00C764A8">
        <w:rPr>
          <w:rFonts w:ascii="Times New Roman" w:hAnsi="Times New Roman"/>
          <w:color w:val="333333"/>
          <w:sz w:val="24"/>
          <w:szCs w:val="24"/>
        </w:rPr>
        <w:t xml:space="preserve">В рамках данного проекта возводится 12 объектов социального назначения, среди которых в Тирасполе: здание педиатрического стационара ГУ «Республиканский центр матери и ребенка», корпус химиотерапии </w:t>
      </w:r>
      <w:r w:rsidRPr="00C764A8">
        <w:rPr>
          <w:rFonts w:ascii="Times New Roman" w:hAnsi="Times New Roman"/>
          <w:color w:val="333333"/>
          <w:sz w:val="24"/>
          <w:szCs w:val="24"/>
        </w:rPr>
        <w:br/>
        <w:t>ГУ «Республиканская клиническая больница», корпус медицинского факультета</w:t>
      </w:r>
      <w:r w:rsidRPr="00C764A8">
        <w:rPr>
          <w:rFonts w:ascii="Times New Roman" w:hAnsi="Times New Roman"/>
          <w:color w:val="333333"/>
          <w:sz w:val="24"/>
          <w:szCs w:val="24"/>
        </w:rPr>
        <w:br/>
        <w:t xml:space="preserve">ПГУ им. Т. Г. Шевченко. В Рыбнице: здание противотуберкулезного диспансера </w:t>
      </w:r>
      <w:r w:rsidRPr="00C764A8">
        <w:rPr>
          <w:rFonts w:ascii="Times New Roman" w:hAnsi="Times New Roman"/>
          <w:color w:val="333333"/>
          <w:sz w:val="24"/>
          <w:szCs w:val="24"/>
        </w:rPr>
        <w:br/>
        <w:t xml:space="preserve">ГУ «Рыбницкая центральная районная больница», здание МОУ «Рыбницкая русская средняя общеобразовательная школа №6 с лицейскими классами», здание </w:t>
      </w:r>
      <w:r w:rsidRPr="00C764A8">
        <w:rPr>
          <w:rFonts w:ascii="Times New Roman" w:hAnsi="Times New Roman"/>
          <w:color w:val="333333"/>
          <w:sz w:val="24"/>
          <w:szCs w:val="24"/>
        </w:rPr>
        <w:br/>
        <w:t xml:space="preserve">МДОУ «Рыбницкий детский сад №6 общеразвивающего типа» и в Бендерах здание корпуса ГУ «Республиканская туберкулезная </w:t>
      </w:r>
      <w:r w:rsidRPr="00C764A8">
        <w:rPr>
          <w:rFonts w:ascii="Times New Roman" w:hAnsi="Times New Roman"/>
          <w:sz w:val="24"/>
          <w:szCs w:val="24"/>
        </w:rPr>
        <w:t xml:space="preserve">больница». Введены в эксплуатацию четыре детских сада («Бубуруза» Молдавского теоретического лицея-комплекса, «Капитошка» в Тирасполе, «Волшебная ромашка» в Бендерах, «Колосок» в селе Суклея), а также Бетонный завод в Тирасполе. В целом инвестиционные вложения </w:t>
      </w:r>
      <w:r w:rsidRPr="00C764A8">
        <w:rPr>
          <w:rFonts w:ascii="Times New Roman" w:eastAsia="Calibri" w:hAnsi="Times New Roman"/>
          <w:sz w:val="24"/>
          <w:szCs w:val="24"/>
          <w:lang w:eastAsia="en-US"/>
        </w:rPr>
        <w:t>АНО «Евразийская интеграция» в экономику республики за 2012-2014 годы составили</w:t>
      </w:r>
      <w:r w:rsidRPr="00C764A8">
        <w:rPr>
          <w:rFonts w:ascii="Times New Roman" w:eastAsia="Calibri" w:hAnsi="Times New Roman"/>
          <w:sz w:val="24"/>
          <w:szCs w:val="24"/>
          <w:lang w:eastAsia="en-US"/>
        </w:rPr>
        <w:br/>
        <w:t>порядка 100 млн. долл. США.</w:t>
      </w:r>
    </w:p>
    <w:p w:rsidR="00335844" w:rsidRPr="00C764A8" w:rsidRDefault="00335844" w:rsidP="00335844">
      <w:pPr>
        <w:shd w:val="clear" w:color="auto" w:fill="FFFFFF"/>
        <w:spacing w:after="0" w:line="240" w:lineRule="auto"/>
        <w:ind w:firstLine="709"/>
        <w:jc w:val="both"/>
        <w:rPr>
          <w:rFonts w:ascii="Times New Roman" w:eastAsia="Calibri" w:hAnsi="Times New Roman"/>
          <w:sz w:val="24"/>
          <w:szCs w:val="24"/>
          <w:lang w:eastAsia="en-US"/>
        </w:rPr>
      </w:pPr>
      <w:r w:rsidRPr="00C764A8">
        <w:rPr>
          <w:rFonts w:ascii="Times New Roman" w:eastAsia="Calibri" w:hAnsi="Times New Roman"/>
          <w:sz w:val="24"/>
          <w:szCs w:val="24"/>
          <w:lang w:eastAsia="en-US"/>
        </w:rPr>
        <w:t>С целью оживления инвестиционных процессов в республике планируется проведение следующих мероприятий:</w:t>
      </w:r>
    </w:p>
    <w:p w:rsidR="00335844" w:rsidRPr="00BA6F09" w:rsidRDefault="00335844" w:rsidP="00335844">
      <w:pPr>
        <w:spacing w:after="0" w:line="240" w:lineRule="auto"/>
        <w:ind w:firstLine="709"/>
        <w:jc w:val="both"/>
        <w:rPr>
          <w:rFonts w:ascii="Times New Roman" w:hAnsi="Times New Roman"/>
          <w:sz w:val="24"/>
          <w:szCs w:val="24"/>
        </w:rPr>
      </w:pPr>
      <w:r w:rsidRPr="00BA6F09">
        <w:rPr>
          <w:rFonts w:ascii="Times New Roman" w:hAnsi="Times New Roman"/>
          <w:sz w:val="24"/>
          <w:szCs w:val="24"/>
        </w:rPr>
        <w:t>1) совершенствование нормативной правовой базы в сфере инвестиционной и инновационной деятельности;</w:t>
      </w:r>
    </w:p>
    <w:p w:rsidR="00335844" w:rsidRPr="00BA6F09" w:rsidRDefault="00335844" w:rsidP="00335844">
      <w:pPr>
        <w:spacing w:after="0" w:line="240" w:lineRule="auto"/>
        <w:ind w:firstLine="709"/>
        <w:jc w:val="both"/>
        <w:rPr>
          <w:rFonts w:ascii="Times New Roman" w:hAnsi="Times New Roman"/>
          <w:sz w:val="24"/>
          <w:szCs w:val="24"/>
        </w:rPr>
      </w:pPr>
      <w:r w:rsidRPr="00BA6F09">
        <w:rPr>
          <w:rFonts w:ascii="Times New Roman" w:hAnsi="Times New Roman"/>
          <w:sz w:val="24"/>
          <w:szCs w:val="24"/>
        </w:rPr>
        <w:t>2) разработка нормативной правовой базы в сфере государственно-частного партнерства;</w:t>
      </w:r>
    </w:p>
    <w:p w:rsidR="00335844" w:rsidRDefault="00335844" w:rsidP="00335844">
      <w:pPr>
        <w:spacing w:after="0" w:line="240" w:lineRule="auto"/>
        <w:ind w:firstLine="709"/>
        <w:jc w:val="both"/>
        <w:rPr>
          <w:rFonts w:ascii="Times New Roman" w:hAnsi="Times New Roman"/>
          <w:sz w:val="24"/>
          <w:szCs w:val="24"/>
        </w:rPr>
      </w:pPr>
      <w:r w:rsidRPr="00BA6F09">
        <w:rPr>
          <w:rFonts w:ascii="Times New Roman" w:hAnsi="Times New Roman"/>
          <w:sz w:val="24"/>
          <w:szCs w:val="24"/>
        </w:rPr>
        <w:t>3) создание инвестиционного портала;</w:t>
      </w:r>
    </w:p>
    <w:p w:rsidR="00335844" w:rsidRDefault="00335844" w:rsidP="00335844">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BA6F09">
        <w:rPr>
          <w:rFonts w:ascii="Times New Roman" w:hAnsi="Times New Roman"/>
          <w:sz w:val="24"/>
          <w:szCs w:val="24"/>
        </w:rPr>
        <w:t>привлечение инвесторов (посредством предоставления государственной поддержки) в приоритетные отрасли, нацеленные на развитие высокотехнологичного бизнеса, способные насытить внутренний рынок в определенном сегменте и имеющие перспективный выход с конкурентоспособным продуктом на внешние рынки;</w:t>
      </w:r>
    </w:p>
    <w:p w:rsidR="00335844" w:rsidRDefault="00335844" w:rsidP="0033584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 сопровождение инвестиционных проектов путем оказания инициаторам и (или) инвесторам консультационной, информационной и организационной поддержки в период подготовки, а также в течение всего периода реализации инвестиционного проекта;</w:t>
      </w:r>
    </w:p>
    <w:p w:rsidR="00335844" w:rsidRPr="00BA6F09" w:rsidRDefault="00335844" w:rsidP="0033584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6) проведение </w:t>
      </w:r>
      <w:r w:rsidRPr="00BA6F09">
        <w:rPr>
          <w:rFonts w:ascii="Times New Roman" w:hAnsi="Times New Roman"/>
          <w:sz w:val="24"/>
          <w:szCs w:val="24"/>
        </w:rPr>
        <w:t>активной политики межведомственного сотрудничества с ведомствами Российской Федерации в рамках заключенных Меморандумов о взаимодействии в целях содействия привлечению российских инвестиций в реальный сектор экономики Приднестровской Молдавской Республики;</w:t>
      </w:r>
    </w:p>
    <w:p w:rsidR="00335844" w:rsidRPr="00181F66" w:rsidRDefault="00335844" w:rsidP="00335844">
      <w:pPr>
        <w:tabs>
          <w:tab w:val="left" w:pos="5910"/>
        </w:tabs>
        <w:spacing w:after="0" w:line="240" w:lineRule="auto"/>
        <w:ind w:firstLine="709"/>
        <w:contextualSpacing/>
        <w:jc w:val="both"/>
        <w:rPr>
          <w:rFonts w:ascii="Times New Roman" w:hAnsi="Times New Roman"/>
          <w:sz w:val="24"/>
          <w:szCs w:val="24"/>
        </w:rPr>
      </w:pPr>
      <w:r w:rsidRPr="00181F66">
        <w:rPr>
          <w:rFonts w:ascii="Times New Roman" w:hAnsi="Times New Roman"/>
          <w:sz w:val="24"/>
          <w:szCs w:val="24"/>
        </w:rPr>
        <w:t>7) проведение работы в части непрерывного мониторинга и контроля зарегистрированных инновационных проектов, а также инвестиционных соглашений, подписанных в рамках Третьего Приднестровского инвестиционного Форума.</w:t>
      </w:r>
    </w:p>
    <w:p w:rsidR="00335844" w:rsidRPr="00BD6978" w:rsidRDefault="00335844" w:rsidP="00335844">
      <w:pPr>
        <w:shd w:val="clear" w:color="auto" w:fill="FFFFFF"/>
        <w:spacing w:after="0" w:line="240" w:lineRule="auto"/>
        <w:ind w:firstLine="709"/>
        <w:jc w:val="both"/>
        <w:rPr>
          <w:rFonts w:ascii="Times New Roman" w:eastAsia="Calibri" w:hAnsi="Times New Roman"/>
          <w:sz w:val="24"/>
          <w:szCs w:val="24"/>
          <w:lang w:eastAsia="en-US"/>
        </w:rPr>
      </w:pPr>
    </w:p>
    <w:p w:rsidR="00335844" w:rsidRPr="00290676" w:rsidRDefault="00335844" w:rsidP="00335844">
      <w:pPr>
        <w:spacing w:after="0" w:line="240" w:lineRule="auto"/>
        <w:ind w:firstLine="709"/>
        <w:rPr>
          <w:rFonts w:ascii="Times New Roman" w:hAnsi="Times New Roman"/>
          <w:b/>
          <w:sz w:val="24"/>
          <w:szCs w:val="24"/>
        </w:rPr>
      </w:pPr>
      <w:r w:rsidRPr="00290676">
        <w:rPr>
          <w:rFonts w:ascii="Times New Roman" w:hAnsi="Times New Roman"/>
          <w:b/>
          <w:sz w:val="24"/>
          <w:szCs w:val="24"/>
        </w:rPr>
        <w:t>Транспорт</w:t>
      </w:r>
    </w:p>
    <w:p w:rsidR="00335844" w:rsidRPr="00290676" w:rsidRDefault="00335844" w:rsidP="00335844">
      <w:pPr>
        <w:spacing w:after="0" w:line="240" w:lineRule="auto"/>
        <w:ind w:firstLine="709"/>
        <w:rPr>
          <w:rFonts w:ascii="Times New Roman" w:hAnsi="Times New Roman"/>
          <w:b/>
          <w:sz w:val="24"/>
          <w:szCs w:val="24"/>
        </w:rPr>
      </w:pP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Показатели деятельности организаций </w:t>
      </w:r>
      <w:r w:rsidRPr="0055533C">
        <w:rPr>
          <w:rFonts w:ascii="Times New Roman" w:hAnsi="Times New Roman"/>
          <w:b/>
          <w:i/>
          <w:sz w:val="24"/>
          <w:szCs w:val="24"/>
        </w:rPr>
        <w:t xml:space="preserve">грузового автомобильного транспорта </w:t>
      </w:r>
      <w:r w:rsidRPr="0055533C">
        <w:rPr>
          <w:rFonts w:ascii="Times New Roman" w:hAnsi="Times New Roman"/>
          <w:sz w:val="24"/>
          <w:szCs w:val="24"/>
        </w:rPr>
        <w:t>в январе – июне 2015 года демонстрируют отрицательную динамику, что в большей мере обусловлено сокращением объемов промышленного производства на крупнейших предприятиях индустрии.</w:t>
      </w:r>
    </w:p>
    <w:p w:rsidR="00335844" w:rsidRPr="0055533C" w:rsidRDefault="00335844" w:rsidP="00335844">
      <w:pPr>
        <w:spacing w:after="0" w:line="240" w:lineRule="auto"/>
        <w:ind w:firstLine="709"/>
        <w:jc w:val="both"/>
        <w:rPr>
          <w:rFonts w:ascii="Times New Roman" w:hAnsi="Times New Roman"/>
          <w:spacing w:val="3"/>
          <w:sz w:val="24"/>
          <w:szCs w:val="24"/>
        </w:rPr>
      </w:pPr>
      <w:r w:rsidRPr="0055533C">
        <w:rPr>
          <w:rFonts w:ascii="Times New Roman" w:hAnsi="Times New Roman"/>
          <w:sz w:val="24"/>
          <w:szCs w:val="24"/>
        </w:rPr>
        <w:t xml:space="preserve">Грузооборот по автотранспортным организациям общего пользования 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2015 года, в результате сокращения общего объема перевезенных грузов автомобильным транспортом на 26,5% до 786,9 тыс. тонн, а также в результате снижения</w:t>
      </w:r>
      <w:r w:rsidRPr="0055533C">
        <w:rPr>
          <w:rFonts w:ascii="Times New Roman" w:hAnsi="Times New Roman"/>
          <w:spacing w:val="3"/>
          <w:sz w:val="24"/>
          <w:szCs w:val="24"/>
        </w:rPr>
        <w:t xml:space="preserve"> дальности перевозки 1 тонны груза на 8,6% до 9,6 км., сократился на 32,8% и составил 7 561,5 тыс. т-км.</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lastRenderedPageBreak/>
        <w:t xml:space="preserve">Доходы от оказания услуг автомобильным транспортом за рассматриваемый период уменьшились на 27,7% по сравнению с аналогичным периодом 2014 года и составили 11 809,0 тыс. руб., что обусловлено снижением общего объема перевезенных грузов. Так, снижение доходов отмечается по ГУП «Острог» - на 33,6%, </w:t>
      </w:r>
      <w:r w:rsidRPr="0055533C">
        <w:rPr>
          <w:rFonts w:ascii="Times New Roman" w:hAnsi="Times New Roman"/>
          <w:color w:val="000000"/>
          <w:sz w:val="24"/>
          <w:szCs w:val="24"/>
        </w:rPr>
        <w:t xml:space="preserve">по </w:t>
      </w:r>
      <w:r>
        <w:rPr>
          <w:rFonts w:ascii="Times New Roman" w:hAnsi="Times New Roman"/>
          <w:color w:val="000000"/>
          <w:sz w:val="24"/>
          <w:szCs w:val="24"/>
        </w:rPr>
        <w:t xml:space="preserve">                         </w:t>
      </w:r>
      <w:r w:rsidRPr="0055533C">
        <w:rPr>
          <w:rFonts w:ascii="Times New Roman" w:hAnsi="Times New Roman"/>
          <w:color w:val="000000"/>
          <w:sz w:val="24"/>
          <w:szCs w:val="24"/>
        </w:rPr>
        <w:t>О</w:t>
      </w:r>
      <w:r w:rsidRPr="0055533C">
        <w:rPr>
          <w:rFonts w:ascii="Times New Roman" w:hAnsi="Times New Roman"/>
          <w:sz w:val="24"/>
          <w:szCs w:val="24"/>
        </w:rPr>
        <w:t>АО «Машино – технологическая станция» - на 31,0%, по ЗАО «АТП-3» - на 9,7%, и др.</w:t>
      </w:r>
    </w:p>
    <w:p w:rsidR="00335844" w:rsidRPr="0055533C" w:rsidRDefault="00335844" w:rsidP="00335844">
      <w:pPr>
        <w:spacing w:after="0" w:line="240" w:lineRule="auto"/>
        <w:ind w:firstLine="709"/>
        <w:jc w:val="right"/>
        <w:rPr>
          <w:rFonts w:ascii="Times New Roman" w:hAnsi="Times New Roman"/>
          <w:spacing w:val="3"/>
          <w:sz w:val="24"/>
          <w:szCs w:val="24"/>
        </w:rPr>
      </w:pPr>
      <w:r w:rsidRPr="0055533C">
        <w:rPr>
          <w:rFonts w:ascii="Times New Roman" w:hAnsi="Times New Roman"/>
          <w:spacing w:val="3"/>
          <w:sz w:val="24"/>
          <w:szCs w:val="24"/>
        </w:rPr>
        <w:t>Таблица №</w:t>
      </w:r>
      <w:r w:rsidR="00B0566B">
        <w:rPr>
          <w:rFonts w:ascii="Times New Roman" w:hAnsi="Times New Roman"/>
          <w:spacing w:val="3"/>
          <w:sz w:val="24"/>
          <w:szCs w:val="24"/>
        </w:rPr>
        <w:t>13</w:t>
      </w:r>
    </w:p>
    <w:p w:rsidR="00335844" w:rsidRPr="0055533C" w:rsidRDefault="00335844" w:rsidP="00335844">
      <w:pPr>
        <w:spacing w:after="0" w:line="240" w:lineRule="auto"/>
        <w:jc w:val="center"/>
        <w:rPr>
          <w:rFonts w:ascii="Times New Roman" w:hAnsi="Times New Roman"/>
          <w:b/>
          <w:sz w:val="24"/>
          <w:szCs w:val="24"/>
        </w:rPr>
      </w:pPr>
      <w:r w:rsidRPr="0055533C">
        <w:rPr>
          <w:rFonts w:ascii="Times New Roman" w:hAnsi="Times New Roman"/>
          <w:b/>
          <w:sz w:val="24"/>
          <w:szCs w:val="24"/>
        </w:rPr>
        <w:t>Показатели работы грузового транспорта общего пользования</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3"/>
        <w:gridCol w:w="1365"/>
        <w:gridCol w:w="1154"/>
        <w:gridCol w:w="1298"/>
        <w:gridCol w:w="1299"/>
      </w:tblGrid>
      <w:tr w:rsidR="00335844" w:rsidRPr="0055533C" w:rsidTr="00D54854">
        <w:trPr>
          <w:trHeight w:val="456"/>
        </w:trPr>
        <w:tc>
          <w:tcPr>
            <w:tcW w:w="4263" w:type="dxa"/>
            <w:vAlign w:val="center"/>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Показатели</w:t>
            </w:r>
          </w:p>
        </w:tc>
        <w:tc>
          <w:tcPr>
            <w:tcW w:w="1365" w:type="dxa"/>
            <w:vAlign w:val="center"/>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Ед. изм.</w:t>
            </w:r>
          </w:p>
        </w:tc>
        <w:tc>
          <w:tcPr>
            <w:tcW w:w="1154" w:type="dxa"/>
            <w:vAlign w:val="center"/>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Январь-июнь</w:t>
            </w:r>
          </w:p>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2014 г.</w:t>
            </w:r>
          </w:p>
        </w:tc>
        <w:tc>
          <w:tcPr>
            <w:tcW w:w="1298" w:type="dxa"/>
            <w:vAlign w:val="center"/>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 xml:space="preserve">Январь-июнь </w:t>
            </w:r>
          </w:p>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2015 г.</w:t>
            </w:r>
          </w:p>
        </w:tc>
        <w:tc>
          <w:tcPr>
            <w:tcW w:w="1299" w:type="dxa"/>
            <w:vAlign w:val="center"/>
          </w:tcPr>
          <w:p w:rsidR="00335844" w:rsidRPr="0055533C" w:rsidRDefault="00335844" w:rsidP="003F67B2">
            <w:pPr>
              <w:spacing w:after="0" w:line="240" w:lineRule="auto"/>
              <w:ind w:left="-108" w:right="-51"/>
              <w:jc w:val="center"/>
              <w:rPr>
                <w:rFonts w:ascii="Times New Roman" w:hAnsi="Times New Roman"/>
                <w:b/>
                <w:i/>
              </w:rPr>
            </w:pPr>
            <w:r w:rsidRPr="0055533C">
              <w:rPr>
                <w:rFonts w:ascii="Times New Roman" w:hAnsi="Times New Roman"/>
                <w:b/>
                <w:i/>
              </w:rPr>
              <w:t>2015 г. в % к</w:t>
            </w:r>
          </w:p>
          <w:p w:rsidR="00335844" w:rsidRPr="0055533C" w:rsidRDefault="00335844" w:rsidP="003F67B2">
            <w:pPr>
              <w:spacing w:after="0" w:line="240" w:lineRule="auto"/>
              <w:ind w:left="-108" w:right="-51"/>
              <w:jc w:val="center"/>
              <w:rPr>
                <w:rFonts w:ascii="Times New Roman" w:hAnsi="Times New Roman"/>
                <w:b/>
                <w:i/>
              </w:rPr>
            </w:pPr>
            <w:r w:rsidRPr="0055533C">
              <w:rPr>
                <w:rFonts w:ascii="Times New Roman" w:hAnsi="Times New Roman"/>
                <w:b/>
                <w:i/>
              </w:rPr>
              <w:t>2014 г.</w:t>
            </w:r>
          </w:p>
        </w:tc>
      </w:tr>
      <w:tr w:rsidR="00335844" w:rsidRPr="0055533C" w:rsidTr="00D54854">
        <w:trPr>
          <w:trHeight w:val="250"/>
        </w:trPr>
        <w:tc>
          <w:tcPr>
            <w:tcW w:w="4263" w:type="dxa"/>
            <w:vAlign w:val="center"/>
          </w:tcPr>
          <w:p w:rsidR="00335844" w:rsidRPr="0055533C" w:rsidRDefault="00335844" w:rsidP="003F67B2">
            <w:pPr>
              <w:spacing w:after="0" w:line="240" w:lineRule="auto"/>
              <w:rPr>
                <w:rFonts w:ascii="Times New Roman" w:hAnsi="Times New Roman"/>
                <w:vertAlign w:val="superscript"/>
              </w:rPr>
            </w:pPr>
            <w:r w:rsidRPr="0055533C">
              <w:rPr>
                <w:rFonts w:ascii="Times New Roman" w:hAnsi="Times New Roman"/>
                <w:b/>
              </w:rPr>
              <w:t>Объем перевозок грузов</w:t>
            </w:r>
            <w:r w:rsidRPr="0055533C">
              <w:rPr>
                <w:rFonts w:ascii="Times New Roman" w:hAnsi="Times New Roman"/>
              </w:rPr>
              <w:t xml:space="preserve"> </w:t>
            </w:r>
          </w:p>
        </w:tc>
        <w:tc>
          <w:tcPr>
            <w:tcW w:w="1365"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тыс. т</w:t>
            </w:r>
          </w:p>
        </w:tc>
        <w:tc>
          <w:tcPr>
            <w:tcW w:w="1154"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1 070,2</w:t>
            </w:r>
          </w:p>
        </w:tc>
        <w:tc>
          <w:tcPr>
            <w:tcW w:w="1298"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786,9</w:t>
            </w:r>
          </w:p>
        </w:tc>
        <w:tc>
          <w:tcPr>
            <w:tcW w:w="1299" w:type="dxa"/>
            <w:vAlign w:val="center"/>
          </w:tcPr>
          <w:p w:rsidR="00335844" w:rsidRPr="0055533C" w:rsidRDefault="00335844" w:rsidP="003F67B2">
            <w:pPr>
              <w:spacing w:after="0" w:line="240" w:lineRule="auto"/>
              <w:ind w:left="-108" w:right="-51"/>
              <w:jc w:val="center"/>
              <w:rPr>
                <w:rFonts w:ascii="Times New Roman" w:hAnsi="Times New Roman"/>
                <w:i/>
              </w:rPr>
            </w:pPr>
            <w:r w:rsidRPr="0055533C">
              <w:rPr>
                <w:rFonts w:ascii="Times New Roman" w:hAnsi="Times New Roman"/>
                <w:i/>
              </w:rPr>
              <w:t>73,5</w:t>
            </w:r>
          </w:p>
        </w:tc>
      </w:tr>
      <w:tr w:rsidR="00335844" w:rsidRPr="0055533C" w:rsidTr="00D54854">
        <w:trPr>
          <w:trHeight w:val="292"/>
        </w:trPr>
        <w:tc>
          <w:tcPr>
            <w:tcW w:w="4263" w:type="dxa"/>
            <w:vAlign w:val="center"/>
          </w:tcPr>
          <w:p w:rsidR="00335844" w:rsidRPr="0055533C" w:rsidRDefault="00335844" w:rsidP="003F67B2">
            <w:pPr>
              <w:spacing w:after="0" w:line="240" w:lineRule="auto"/>
              <w:rPr>
                <w:rFonts w:ascii="Times New Roman" w:hAnsi="Times New Roman"/>
              </w:rPr>
            </w:pPr>
            <w:r w:rsidRPr="0055533C">
              <w:rPr>
                <w:rFonts w:ascii="Times New Roman" w:hAnsi="Times New Roman"/>
                <w:b/>
              </w:rPr>
              <w:t>Грузооборот</w:t>
            </w:r>
          </w:p>
        </w:tc>
        <w:tc>
          <w:tcPr>
            <w:tcW w:w="1365"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тыс. т-км.</w:t>
            </w:r>
          </w:p>
        </w:tc>
        <w:tc>
          <w:tcPr>
            <w:tcW w:w="1154"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11 253,6</w:t>
            </w:r>
          </w:p>
        </w:tc>
        <w:tc>
          <w:tcPr>
            <w:tcW w:w="1298"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7 561,5</w:t>
            </w:r>
          </w:p>
        </w:tc>
        <w:tc>
          <w:tcPr>
            <w:tcW w:w="1299" w:type="dxa"/>
            <w:vAlign w:val="center"/>
          </w:tcPr>
          <w:p w:rsidR="00335844" w:rsidRPr="0055533C" w:rsidRDefault="00335844" w:rsidP="003F67B2">
            <w:pPr>
              <w:spacing w:after="0" w:line="240" w:lineRule="auto"/>
              <w:ind w:left="-108" w:right="-51"/>
              <w:jc w:val="center"/>
              <w:rPr>
                <w:rFonts w:ascii="Times New Roman" w:hAnsi="Times New Roman"/>
                <w:i/>
              </w:rPr>
            </w:pPr>
            <w:r w:rsidRPr="0055533C">
              <w:rPr>
                <w:rFonts w:ascii="Times New Roman" w:hAnsi="Times New Roman"/>
                <w:i/>
              </w:rPr>
              <w:t>67,2</w:t>
            </w:r>
          </w:p>
        </w:tc>
      </w:tr>
      <w:tr w:rsidR="00335844" w:rsidRPr="0055533C" w:rsidTr="00D54854">
        <w:trPr>
          <w:trHeight w:val="284"/>
        </w:trPr>
        <w:tc>
          <w:tcPr>
            <w:tcW w:w="4263" w:type="dxa"/>
            <w:vAlign w:val="center"/>
          </w:tcPr>
          <w:p w:rsidR="00335844" w:rsidRPr="0055533C" w:rsidRDefault="00335844" w:rsidP="003F67B2">
            <w:pPr>
              <w:spacing w:after="0" w:line="240" w:lineRule="auto"/>
              <w:rPr>
                <w:rFonts w:ascii="Times New Roman" w:hAnsi="Times New Roman"/>
                <w:b/>
              </w:rPr>
            </w:pPr>
            <w:r w:rsidRPr="0055533C">
              <w:rPr>
                <w:rFonts w:ascii="Times New Roman" w:hAnsi="Times New Roman"/>
                <w:b/>
              </w:rPr>
              <w:t>Средняя дальность перевозки 1 т груза</w:t>
            </w:r>
          </w:p>
        </w:tc>
        <w:tc>
          <w:tcPr>
            <w:tcW w:w="1365"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км</w:t>
            </w:r>
          </w:p>
        </w:tc>
        <w:tc>
          <w:tcPr>
            <w:tcW w:w="1154"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10,5</w:t>
            </w:r>
          </w:p>
        </w:tc>
        <w:tc>
          <w:tcPr>
            <w:tcW w:w="1298"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9,6</w:t>
            </w:r>
          </w:p>
        </w:tc>
        <w:tc>
          <w:tcPr>
            <w:tcW w:w="1299" w:type="dxa"/>
            <w:vAlign w:val="center"/>
          </w:tcPr>
          <w:p w:rsidR="00335844" w:rsidRPr="0055533C" w:rsidRDefault="00335844" w:rsidP="003F67B2">
            <w:pPr>
              <w:spacing w:after="0" w:line="240" w:lineRule="auto"/>
              <w:ind w:left="-108" w:right="-51"/>
              <w:jc w:val="center"/>
              <w:rPr>
                <w:rFonts w:ascii="Times New Roman" w:hAnsi="Times New Roman"/>
                <w:i/>
              </w:rPr>
            </w:pPr>
            <w:r w:rsidRPr="0055533C">
              <w:rPr>
                <w:rFonts w:ascii="Times New Roman" w:hAnsi="Times New Roman"/>
                <w:i/>
              </w:rPr>
              <w:t>91,4</w:t>
            </w:r>
          </w:p>
        </w:tc>
      </w:tr>
      <w:tr w:rsidR="00335844" w:rsidRPr="0055533C" w:rsidTr="00D54854">
        <w:trPr>
          <w:trHeight w:val="284"/>
        </w:trPr>
        <w:tc>
          <w:tcPr>
            <w:tcW w:w="4263" w:type="dxa"/>
            <w:vAlign w:val="center"/>
          </w:tcPr>
          <w:p w:rsidR="00335844" w:rsidRPr="0055533C" w:rsidRDefault="00335844" w:rsidP="003F67B2">
            <w:pPr>
              <w:spacing w:after="0" w:line="240" w:lineRule="auto"/>
              <w:rPr>
                <w:rFonts w:ascii="Times New Roman" w:hAnsi="Times New Roman"/>
              </w:rPr>
            </w:pPr>
            <w:r w:rsidRPr="0055533C">
              <w:rPr>
                <w:rFonts w:ascii="Times New Roman" w:hAnsi="Times New Roman"/>
                <w:b/>
              </w:rPr>
              <w:t>Наличие грузовых автомобилей*</w:t>
            </w:r>
          </w:p>
        </w:tc>
        <w:tc>
          <w:tcPr>
            <w:tcW w:w="1365"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ед.</w:t>
            </w:r>
          </w:p>
        </w:tc>
        <w:tc>
          <w:tcPr>
            <w:tcW w:w="1154"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315</w:t>
            </w:r>
          </w:p>
        </w:tc>
        <w:tc>
          <w:tcPr>
            <w:tcW w:w="1298"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222</w:t>
            </w:r>
          </w:p>
        </w:tc>
        <w:tc>
          <w:tcPr>
            <w:tcW w:w="1299" w:type="dxa"/>
            <w:vAlign w:val="center"/>
          </w:tcPr>
          <w:p w:rsidR="00335844" w:rsidRPr="0055533C" w:rsidRDefault="00335844" w:rsidP="003F67B2">
            <w:pPr>
              <w:spacing w:after="0" w:line="240" w:lineRule="auto"/>
              <w:ind w:left="-108" w:right="-51"/>
              <w:jc w:val="center"/>
              <w:rPr>
                <w:rFonts w:ascii="Times New Roman" w:hAnsi="Times New Roman"/>
                <w:i/>
              </w:rPr>
            </w:pPr>
            <w:r w:rsidRPr="0055533C">
              <w:rPr>
                <w:rFonts w:ascii="Times New Roman" w:hAnsi="Times New Roman"/>
                <w:i/>
              </w:rPr>
              <w:t>70,5</w:t>
            </w:r>
          </w:p>
        </w:tc>
      </w:tr>
      <w:tr w:rsidR="00335844" w:rsidRPr="0055533C" w:rsidTr="00D54854">
        <w:trPr>
          <w:trHeight w:val="219"/>
        </w:trPr>
        <w:tc>
          <w:tcPr>
            <w:tcW w:w="4263" w:type="dxa"/>
            <w:vAlign w:val="center"/>
          </w:tcPr>
          <w:p w:rsidR="00335844" w:rsidRPr="0055533C" w:rsidRDefault="00335844" w:rsidP="003F67B2">
            <w:pPr>
              <w:spacing w:after="0" w:line="240" w:lineRule="auto"/>
              <w:rPr>
                <w:rFonts w:ascii="Times New Roman" w:hAnsi="Times New Roman"/>
              </w:rPr>
            </w:pPr>
            <w:r w:rsidRPr="0055533C">
              <w:rPr>
                <w:rFonts w:ascii="Times New Roman" w:hAnsi="Times New Roman"/>
                <w:b/>
              </w:rPr>
              <w:t>Доход от доставки грузов</w:t>
            </w:r>
          </w:p>
        </w:tc>
        <w:tc>
          <w:tcPr>
            <w:tcW w:w="1365"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тыс. руб.</w:t>
            </w:r>
          </w:p>
        </w:tc>
        <w:tc>
          <w:tcPr>
            <w:tcW w:w="1154"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16 333,9</w:t>
            </w:r>
          </w:p>
        </w:tc>
        <w:tc>
          <w:tcPr>
            <w:tcW w:w="1298" w:type="dxa"/>
            <w:vAlign w:val="center"/>
          </w:tcPr>
          <w:p w:rsidR="00335844" w:rsidRPr="0055533C" w:rsidRDefault="00335844" w:rsidP="003F67B2">
            <w:pPr>
              <w:spacing w:after="0" w:line="240" w:lineRule="auto"/>
              <w:ind w:right="113"/>
              <w:jc w:val="center"/>
              <w:rPr>
                <w:rFonts w:ascii="Times New Roman" w:hAnsi="Times New Roman"/>
              </w:rPr>
            </w:pPr>
            <w:r w:rsidRPr="0055533C">
              <w:rPr>
                <w:rFonts w:ascii="Times New Roman" w:hAnsi="Times New Roman"/>
              </w:rPr>
              <w:t>11 809,0</w:t>
            </w:r>
          </w:p>
        </w:tc>
        <w:tc>
          <w:tcPr>
            <w:tcW w:w="1299" w:type="dxa"/>
            <w:vAlign w:val="center"/>
          </w:tcPr>
          <w:p w:rsidR="00335844" w:rsidRPr="0055533C" w:rsidRDefault="00335844" w:rsidP="003F67B2">
            <w:pPr>
              <w:spacing w:after="0" w:line="240" w:lineRule="auto"/>
              <w:ind w:left="-108" w:right="-51"/>
              <w:jc w:val="center"/>
              <w:rPr>
                <w:rFonts w:ascii="Times New Roman" w:hAnsi="Times New Roman"/>
                <w:i/>
              </w:rPr>
            </w:pPr>
            <w:r w:rsidRPr="0055533C">
              <w:rPr>
                <w:rFonts w:ascii="Times New Roman" w:hAnsi="Times New Roman"/>
                <w:i/>
              </w:rPr>
              <w:t>72,3</w:t>
            </w:r>
          </w:p>
        </w:tc>
      </w:tr>
    </w:tbl>
    <w:p w:rsidR="00335844" w:rsidRPr="008022A1" w:rsidRDefault="00335844" w:rsidP="00335844">
      <w:pPr>
        <w:spacing w:after="0" w:line="240" w:lineRule="auto"/>
        <w:jc w:val="both"/>
        <w:rPr>
          <w:rFonts w:ascii="Times New Roman" w:hAnsi="Times New Roman"/>
          <w:sz w:val="19"/>
          <w:szCs w:val="19"/>
        </w:rPr>
      </w:pPr>
      <w:r w:rsidRPr="008022A1">
        <w:rPr>
          <w:rFonts w:ascii="Times New Roman" w:hAnsi="Times New Roman"/>
          <w:sz w:val="19"/>
          <w:szCs w:val="19"/>
        </w:rPr>
        <w:t>* - без субъектов малого предпринимательства</w:t>
      </w:r>
    </w:p>
    <w:p w:rsidR="00335844" w:rsidRPr="0055533C" w:rsidRDefault="00335844" w:rsidP="00335844">
      <w:pPr>
        <w:spacing w:after="0" w:line="240" w:lineRule="auto"/>
        <w:jc w:val="both"/>
        <w:rPr>
          <w:rFonts w:ascii="Times New Roman" w:hAnsi="Times New Roman"/>
          <w:sz w:val="20"/>
          <w:szCs w:val="20"/>
        </w:rPr>
      </w:pPr>
    </w:p>
    <w:p w:rsidR="00335844" w:rsidRPr="0055533C" w:rsidRDefault="00335844" w:rsidP="00335844">
      <w:pPr>
        <w:spacing w:after="0" w:line="240" w:lineRule="auto"/>
        <w:ind w:firstLine="709"/>
        <w:jc w:val="both"/>
        <w:rPr>
          <w:rFonts w:ascii="Times New Roman" w:hAnsi="Times New Roman"/>
          <w:spacing w:val="3"/>
          <w:sz w:val="24"/>
          <w:szCs w:val="24"/>
        </w:rPr>
      </w:pPr>
      <w:r w:rsidRPr="0055533C">
        <w:rPr>
          <w:rFonts w:ascii="Times New Roman" w:hAnsi="Times New Roman"/>
          <w:spacing w:val="3"/>
          <w:sz w:val="24"/>
          <w:szCs w:val="24"/>
        </w:rPr>
        <w:t xml:space="preserve">В </w:t>
      </w:r>
      <w:r w:rsidRPr="0055533C">
        <w:rPr>
          <w:rFonts w:ascii="Times New Roman" w:hAnsi="Times New Roman"/>
          <w:spacing w:val="3"/>
          <w:sz w:val="24"/>
          <w:szCs w:val="24"/>
          <w:lang w:val="en-US"/>
        </w:rPr>
        <w:t>I</w:t>
      </w:r>
      <w:r w:rsidRPr="0055533C">
        <w:rPr>
          <w:rFonts w:ascii="Times New Roman" w:hAnsi="Times New Roman"/>
          <w:spacing w:val="3"/>
          <w:sz w:val="24"/>
          <w:szCs w:val="24"/>
        </w:rPr>
        <w:t xml:space="preserve"> полугодии 2015 года количество грузовых автомобилей снизилось на 29,5% и составило 222 единицы. Существенное снижение количества транспортных средств отмечено на ОАО «Тираспольтранс», количество автотранспортных средств уменьшилось на 81 единицу или в 2,5 раза, на </w:t>
      </w:r>
      <w:r w:rsidRPr="0055533C">
        <w:rPr>
          <w:rFonts w:ascii="Times New Roman" w:hAnsi="Times New Roman"/>
          <w:sz w:val="24"/>
          <w:szCs w:val="24"/>
        </w:rPr>
        <w:t xml:space="preserve">ЗАО «АТП-3» </w:t>
      </w:r>
      <w:r w:rsidRPr="0055533C">
        <w:rPr>
          <w:rFonts w:ascii="Times New Roman" w:hAnsi="Times New Roman"/>
          <w:spacing w:val="3"/>
          <w:sz w:val="24"/>
          <w:szCs w:val="24"/>
        </w:rPr>
        <w:t>- на 11 единиц или на 22%, на ООО «Ростан плюс» - на 6 единиц или в 1,3 раза.</w:t>
      </w:r>
    </w:p>
    <w:p w:rsidR="00335844" w:rsidRPr="0055533C" w:rsidRDefault="00335844" w:rsidP="00335844">
      <w:pPr>
        <w:spacing w:after="0" w:line="240" w:lineRule="auto"/>
        <w:ind w:firstLine="709"/>
        <w:jc w:val="both"/>
        <w:rPr>
          <w:rFonts w:ascii="Times New Roman" w:hAnsi="Times New Roman"/>
          <w:spacing w:val="4"/>
          <w:sz w:val="24"/>
          <w:szCs w:val="24"/>
        </w:rPr>
      </w:pPr>
      <w:r w:rsidRPr="0055533C">
        <w:rPr>
          <w:rFonts w:ascii="Times New Roman" w:hAnsi="Times New Roman"/>
          <w:spacing w:val="4"/>
          <w:sz w:val="24"/>
          <w:szCs w:val="24"/>
        </w:rPr>
        <w:t xml:space="preserve">Основные показатели работы </w:t>
      </w:r>
      <w:r w:rsidRPr="0055533C">
        <w:rPr>
          <w:rFonts w:ascii="Times New Roman" w:hAnsi="Times New Roman"/>
          <w:b/>
          <w:i/>
          <w:spacing w:val="4"/>
          <w:sz w:val="24"/>
          <w:szCs w:val="24"/>
        </w:rPr>
        <w:t>автомобильного транспорта общего пользования</w:t>
      </w:r>
      <w:r w:rsidRPr="0055533C">
        <w:rPr>
          <w:rFonts w:ascii="Times New Roman" w:hAnsi="Times New Roman"/>
          <w:spacing w:val="4"/>
          <w:sz w:val="24"/>
          <w:szCs w:val="24"/>
        </w:rPr>
        <w:t xml:space="preserve"> в рассматриваемом периоде в целом демонстрируют понижательную динамику развития, что в совокупности с рядом внешних факторов, обусловлено </w:t>
      </w:r>
      <w:r w:rsidRPr="0055533C">
        <w:rPr>
          <w:rFonts w:ascii="Times New Roman" w:hAnsi="Times New Roman"/>
          <w:sz w:val="24"/>
          <w:szCs w:val="24"/>
        </w:rPr>
        <w:t xml:space="preserve">снижением уровня доходов населения. В результате </w:t>
      </w:r>
      <w:r w:rsidRPr="0055533C">
        <w:rPr>
          <w:rFonts w:ascii="Times New Roman" w:hAnsi="Times New Roman"/>
          <w:spacing w:val="4"/>
          <w:sz w:val="24"/>
          <w:szCs w:val="24"/>
        </w:rPr>
        <w:t>автоперевозчиками региона, специализирующимися на предоставлении услуг физическим лицам, перевезено 13,2 млн. пассажиров, что на 4,7% ниже показателя января-июня 2014 года.</w:t>
      </w:r>
    </w:p>
    <w:p w:rsidR="00335844" w:rsidRPr="0055533C" w:rsidRDefault="00335844" w:rsidP="00335844">
      <w:pPr>
        <w:spacing w:after="0" w:line="240" w:lineRule="auto"/>
        <w:ind w:firstLine="709"/>
        <w:jc w:val="both"/>
        <w:rPr>
          <w:rFonts w:ascii="Times New Roman" w:hAnsi="Times New Roman"/>
          <w:spacing w:val="2"/>
          <w:sz w:val="24"/>
          <w:szCs w:val="24"/>
        </w:rPr>
      </w:pPr>
      <w:r w:rsidRPr="0055533C">
        <w:rPr>
          <w:rFonts w:ascii="Times New Roman" w:hAnsi="Times New Roman"/>
          <w:spacing w:val="3"/>
          <w:sz w:val="24"/>
          <w:szCs w:val="24"/>
        </w:rPr>
        <w:t xml:space="preserve">На фоне снижения объема пассажиропотока («-»4,7%), и сокращения средней дальности поездки одного пассажира («-»6,4%) </w:t>
      </w:r>
      <w:r w:rsidRPr="0055533C">
        <w:rPr>
          <w:rFonts w:ascii="Times New Roman" w:hAnsi="Times New Roman"/>
          <w:spacing w:val="4"/>
          <w:sz w:val="24"/>
          <w:szCs w:val="24"/>
        </w:rPr>
        <w:t xml:space="preserve">пассажирооборот в январе-июне текущего года сократился по сравнению с </w:t>
      </w:r>
      <w:r w:rsidRPr="0055533C">
        <w:rPr>
          <w:rFonts w:ascii="Times New Roman" w:hAnsi="Times New Roman"/>
          <w:spacing w:val="4"/>
          <w:sz w:val="24"/>
          <w:szCs w:val="24"/>
          <w:lang w:val="en-US"/>
        </w:rPr>
        <w:t>I</w:t>
      </w:r>
      <w:r w:rsidRPr="0055533C">
        <w:rPr>
          <w:rFonts w:ascii="Times New Roman" w:hAnsi="Times New Roman"/>
          <w:spacing w:val="4"/>
          <w:sz w:val="24"/>
          <w:szCs w:val="24"/>
        </w:rPr>
        <w:t xml:space="preserve"> полугодием 2014 года на 10,4%</w:t>
      </w:r>
      <w:r w:rsidRPr="0055533C">
        <w:rPr>
          <w:rFonts w:ascii="Times New Roman" w:hAnsi="Times New Roman"/>
          <w:color w:val="808080"/>
          <w:spacing w:val="4"/>
          <w:sz w:val="24"/>
          <w:szCs w:val="24"/>
        </w:rPr>
        <w:t xml:space="preserve"> </w:t>
      </w:r>
      <w:r w:rsidRPr="0055533C">
        <w:rPr>
          <w:rFonts w:ascii="Times New Roman" w:hAnsi="Times New Roman"/>
          <w:spacing w:val="4"/>
          <w:sz w:val="24"/>
          <w:szCs w:val="24"/>
        </w:rPr>
        <w:t>и составил 116,4 млн. пассажиро – километров</w:t>
      </w:r>
      <w:r w:rsidRPr="0055533C">
        <w:rPr>
          <w:rFonts w:ascii="Times New Roman" w:hAnsi="Times New Roman"/>
          <w:spacing w:val="3"/>
          <w:sz w:val="24"/>
          <w:szCs w:val="24"/>
        </w:rPr>
        <w:t xml:space="preserve">. При этом, доходы организаций пассажирского автотранспорта за январь-июнь </w:t>
      </w:r>
      <w:r w:rsidRPr="0055533C">
        <w:rPr>
          <w:rFonts w:ascii="Times New Roman" w:hAnsi="Times New Roman"/>
          <w:spacing w:val="2"/>
          <w:sz w:val="24"/>
          <w:szCs w:val="24"/>
        </w:rPr>
        <w:t>2015 года сложились в сумме 68,9</w:t>
      </w:r>
      <w:r w:rsidRPr="0055533C">
        <w:rPr>
          <w:rFonts w:ascii="Times New Roman" w:hAnsi="Times New Roman"/>
          <w:spacing w:val="3"/>
          <w:sz w:val="24"/>
          <w:szCs w:val="24"/>
        </w:rPr>
        <w:t xml:space="preserve"> млн. руб., что ниже аналогичного показателя 2</w:t>
      </w:r>
      <w:r w:rsidRPr="0055533C">
        <w:rPr>
          <w:rFonts w:ascii="Times New Roman" w:hAnsi="Times New Roman"/>
          <w:spacing w:val="2"/>
          <w:sz w:val="24"/>
          <w:szCs w:val="24"/>
        </w:rPr>
        <w:t xml:space="preserve">014 года </w:t>
      </w:r>
      <w:r w:rsidRPr="0055533C">
        <w:rPr>
          <w:rFonts w:ascii="Times New Roman" w:hAnsi="Times New Roman"/>
          <w:spacing w:val="3"/>
          <w:sz w:val="24"/>
          <w:szCs w:val="24"/>
        </w:rPr>
        <w:t>на 8,5</w:t>
      </w:r>
      <w:r w:rsidRPr="0055533C">
        <w:rPr>
          <w:rFonts w:ascii="Times New Roman" w:hAnsi="Times New Roman"/>
          <w:spacing w:val="2"/>
          <w:sz w:val="24"/>
          <w:szCs w:val="24"/>
        </w:rPr>
        <w:t xml:space="preserve">%. Так, на ОАО «Бендерская автоколонна 2836» в результате снижения пассажиропотока на 23,6% и пассажирооборота на 19,4%, отмечено сокращение доходов от оказания услуг по перевозке на 27,2%. На </w:t>
      </w:r>
      <w:r>
        <w:rPr>
          <w:rFonts w:ascii="Times New Roman" w:hAnsi="Times New Roman"/>
          <w:spacing w:val="2"/>
          <w:sz w:val="24"/>
          <w:szCs w:val="24"/>
        </w:rPr>
        <w:t xml:space="preserve">                     </w:t>
      </w:r>
      <w:r w:rsidRPr="0055533C">
        <w:rPr>
          <w:rFonts w:ascii="Times New Roman" w:hAnsi="Times New Roman"/>
          <w:spacing w:val="2"/>
          <w:sz w:val="24"/>
          <w:szCs w:val="24"/>
        </w:rPr>
        <w:t>ОАО «Рыбницкая автоколонна 2831» в результате сокращения числа перевезенных пассажиров на 8,6% и пассажирооборота на 10,5% отмечено снижение доходов на 13,4%. На ООО «Король» соответственно при снижении количества перевезенных пассажиров на 6,6% и пассажирооборота на 10,4%, доходы от оказания услуг по перевозке пассажиров снизились на 12,5%.</w:t>
      </w:r>
    </w:p>
    <w:p w:rsidR="00335844" w:rsidRPr="0055533C" w:rsidRDefault="00335844" w:rsidP="00335844">
      <w:pPr>
        <w:spacing w:after="0" w:line="240" w:lineRule="auto"/>
        <w:ind w:firstLine="709"/>
        <w:jc w:val="right"/>
        <w:rPr>
          <w:rFonts w:ascii="Times New Roman" w:hAnsi="Times New Roman"/>
          <w:spacing w:val="2"/>
          <w:sz w:val="24"/>
          <w:szCs w:val="24"/>
        </w:rPr>
      </w:pPr>
      <w:r w:rsidRPr="0055533C">
        <w:rPr>
          <w:rFonts w:ascii="Times New Roman" w:hAnsi="Times New Roman"/>
          <w:spacing w:val="2"/>
          <w:sz w:val="24"/>
          <w:szCs w:val="24"/>
        </w:rPr>
        <w:t>Таблица №</w:t>
      </w:r>
      <w:r w:rsidR="00B0566B">
        <w:rPr>
          <w:rFonts w:ascii="Times New Roman" w:hAnsi="Times New Roman"/>
          <w:spacing w:val="2"/>
          <w:sz w:val="24"/>
          <w:szCs w:val="24"/>
        </w:rPr>
        <w:t>14</w:t>
      </w:r>
    </w:p>
    <w:p w:rsidR="00335844" w:rsidRPr="0055533C" w:rsidRDefault="00335844" w:rsidP="00335844">
      <w:pPr>
        <w:spacing w:after="0" w:line="240" w:lineRule="auto"/>
        <w:jc w:val="center"/>
        <w:rPr>
          <w:rFonts w:ascii="Times New Roman" w:hAnsi="Times New Roman"/>
          <w:b/>
          <w:sz w:val="24"/>
          <w:szCs w:val="24"/>
        </w:rPr>
      </w:pPr>
      <w:r w:rsidRPr="0055533C">
        <w:rPr>
          <w:rFonts w:ascii="Times New Roman" w:hAnsi="Times New Roman"/>
          <w:b/>
          <w:sz w:val="24"/>
          <w:szCs w:val="24"/>
        </w:rPr>
        <w:t xml:space="preserve">Показатели работы пассажирского автотранспорта </w:t>
      </w:r>
    </w:p>
    <w:p w:rsidR="00335844" w:rsidRPr="0055533C" w:rsidRDefault="00335844" w:rsidP="00335844">
      <w:pPr>
        <w:spacing w:after="0" w:line="240" w:lineRule="auto"/>
        <w:jc w:val="center"/>
        <w:rPr>
          <w:rFonts w:ascii="Times New Roman" w:hAnsi="Times New Roman"/>
          <w:b/>
          <w:sz w:val="24"/>
          <w:szCs w:val="24"/>
        </w:rPr>
      </w:pPr>
      <w:r w:rsidRPr="0055533C">
        <w:rPr>
          <w:rFonts w:ascii="Times New Roman" w:hAnsi="Times New Roman"/>
          <w:b/>
          <w:sz w:val="24"/>
          <w:szCs w:val="24"/>
        </w:rPr>
        <w:t>общего пользования</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5"/>
        <w:gridCol w:w="1456"/>
        <w:gridCol w:w="1274"/>
        <w:gridCol w:w="1274"/>
        <w:gridCol w:w="1309"/>
      </w:tblGrid>
      <w:tr w:rsidR="00335844" w:rsidRPr="0055533C" w:rsidTr="00D54854">
        <w:trPr>
          <w:trHeight w:val="666"/>
        </w:trPr>
        <w:tc>
          <w:tcPr>
            <w:tcW w:w="4005" w:type="dxa"/>
            <w:vAlign w:val="center"/>
          </w:tcPr>
          <w:p w:rsidR="00335844" w:rsidRPr="008022A1" w:rsidRDefault="00335844" w:rsidP="003F67B2">
            <w:pPr>
              <w:spacing w:after="0" w:line="240" w:lineRule="auto"/>
              <w:jc w:val="center"/>
              <w:rPr>
                <w:rFonts w:ascii="Times New Roman" w:hAnsi="Times New Roman"/>
                <w:b/>
                <w:sz w:val="21"/>
                <w:szCs w:val="21"/>
              </w:rPr>
            </w:pPr>
            <w:r w:rsidRPr="008022A1">
              <w:rPr>
                <w:rFonts w:ascii="Times New Roman" w:hAnsi="Times New Roman"/>
                <w:b/>
                <w:sz w:val="21"/>
                <w:szCs w:val="21"/>
              </w:rPr>
              <w:t>Показатели</w:t>
            </w:r>
          </w:p>
        </w:tc>
        <w:tc>
          <w:tcPr>
            <w:tcW w:w="1456" w:type="dxa"/>
            <w:vAlign w:val="center"/>
          </w:tcPr>
          <w:p w:rsidR="00335844" w:rsidRPr="008022A1" w:rsidRDefault="00335844" w:rsidP="003F67B2">
            <w:pPr>
              <w:spacing w:after="0" w:line="240" w:lineRule="auto"/>
              <w:jc w:val="center"/>
              <w:rPr>
                <w:rFonts w:ascii="Times New Roman" w:hAnsi="Times New Roman"/>
                <w:b/>
                <w:sz w:val="21"/>
                <w:szCs w:val="21"/>
              </w:rPr>
            </w:pPr>
            <w:r w:rsidRPr="008022A1">
              <w:rPr>
                <w:rFonts w:ascii="Times New Roman" w:hAnsi="Times New Roman"/>
                <w:b/>
                <w:sz w:val="21"/>
                <w:szCs w:val="21"/>
              </w:rPr>
              <w:t>Ед. изм.</w:t>
            </w:r>
          </w:p>
        </w:tc>
        <w:tc>
          <w:tcPr>
            <w:tcW w:w="1274" w:type="dxa"/>
            <w:vAlign w:val="center"/>
          </w:tcPr>
          <w:p w:rsidR="00335844" w:rsidRPr="008022A1" w:rsidRDefault="00335844" w:rsidP="003F67B2">
            <w:pPr>
              <w:spacing w:after="0" w:line="240" w:lineRule="auto"/>
              <w:jc w:val="center"/>
              <w:rPr>
                <w:rFonts w:ascii="Times New Roman" w:hAnsi="Times New Roman"/>
                <w:b/>
                <w:sz w:val="21"/>
                <w:szCs w:val="21"/>
              </w:rPr>
            </w:pPr>
            <w:r w:rsidRPr="008022A1">
              <w:rPr>
                <w:rFonts w:ascii="Times New Roman" w:hAnsi="Times New Roman"/>
                <w:b/>
                <w:sz w:val="21"/>
                <w:szCs w:val="21"/>
              </w:rPr>
              <w:t>Январь-июнь</w:t>
            </w:r>
          </w:p>
          <w:p w:rsidR="00335844" w:rsidRPr="008022A1" w:rsidRDefault="00335844" w:rsidP="003F67B2">
            <w:pPr>
              <w:spacing w:after="0" w:line="240" w:lineRule="auto"/>
              <w:jc w:val="center"/>
              <w:rPr>
                <w:rFonts w:ascii="Times New Roman" w:hAnsi="Times New Roman"/>
                <w:b/>
                <w:sz w:val="21"/>
                <w:szCs w:val="21"/>
              </w:rPr>
            </w:pPr>
            <w:r w:rsidRPr="008022A1">
              <w:rPr>
                <w:rFonts w:ascii="Times New Roman" w:hAnsi="Times New Roman"/>
                <w:b/>
                <w:sz w:val="21"/>
                <w:szCs w:val="21"/>
              </w:rPr>
              <w:t>2014 г.</w:t>
            </w:r>
          </w:p>
        </w:tc>
        <w:tc>
          <w:tcPr>
            <w:tcW w:w="1274" w:type="dxa"/>
            <w:vAlign w:val="center"/>
          </w:tcPr>
          <w:p w:rsidR="00335844" w:rsidRPr="008022A1" w:rsidRDefault="00335844" w:rsidP="003F67B2">
            <w:pPr>
              <w:spacing w:after="0" w:line="240" w:lineRule="auto"/>
              <w:jc w:val="center"/>
              <w:rPr>
                <w:rFonts w:ascii="Times New Roman" w:hAnsi="Times New Roman"/>
                <w:b/>
                <w:sz w:val="21"/>
                <w:szCs w:val="21"/>
              </w:rPr>
            </w:pPr>
            <w:r w:rsidRPr="008022A1">
              <w:rPr>
                <w:rFonts w:ascii="Times New Roman" w:hAnsi="Times New Roman"/>
                <w:b/>
                <w:sz w:val="21"/>
                <w:szCs w:val="21"/>
              </w:rPr>
              <w:t xml:space="preserve">Январь-июнь </w:t>
            </w:r>
          </w:p>
          <w:p w:rsidR="00335844" w:rsidRPr="008022A1" w:rsidRDefault="00335844" w:rsidP="003F67B2">
            <w:pPr>
              <w:spacing w:after="0" w:line="240" w:lineRule="auto"/>
              <w:jc w:val="center"/>
              <w:rPr>
                <w:rFonts w:ascii="Times New Roman" w:hAnsi="Times New Roman"/>
                <w:b/>
                <w:sz w:val="21"/>
                <w:szCs w:val="21"/>
              </w:rPr>
            </w:pPr>
            <w:r w:rsidRPr="008022A1">
              <w:rPr>
                <w:rFonts w:ascii="Times New Roman" w:hAnsi="Times New Roman"/>
                <w:b/>
                <w:sz w:val="21"/>
                <w:szCs w:val="21"/>
              </w:rPr>
              <w:t>2015 г.</w:t>
            </w:r>
          </w:p>
        </w:tc>
        <w:tc>
          <w:tcPr>
            <w:tcW w:w="1309" w:type="dxa"/>
            <w:vAlign w:val="center"/>
          </w:tcPr>
          <w:p w:rsidR="00335844" w:rsidRPr="008022A1" w:rsidRDefault="00335844" w:rsidP="003F67B2">
            <w:pPr>
              <w:spacing w:after="0" w:line="240" w:lineRule="auto"/>
              <w:ind w:left="-108" w:right="-51"/>
              <w:jc w:val="center"/>
              <w:rPr>
                <w:rFonts w:ascii="Times New Roman" w:hAnsi="Times New Roman"/>
                <w:b/>
                <w:i/>
                <w:sz w:val="21"/>
                <w:szCs w:val="21"/>
              </w:rPr>
            </w:pPr>
            <w:r w:rsidRPr="008022A1">
              <w:rPr>
                <w:rFonts w:ascii="Times New Roman" w:hAnsi="Times New Roman"/>
                <w:b/>
                <w:i/>
                <w:sz w:val="21"/>
                <w:szCs w:val="21"/>
              </w:rPr>
              <w:t>2015 г. в % к</w:t>
            </w:r>
          </w:p>
          <w:p w:rsidR="00335844" w:rsidRPr="008022A1" w:rsidRDefault="00335844" w:rsidP="003F67B2">
            <w:pPr>
              <w:spacing w:after="0" w:line="240" w:lineRule="auto"/>
              <w:ind w:left="-108" w:right="-51"/>
              <w:jc w:val="center"/>
              <w:rPr>
                <w:rFonts w:ascii="Times New Roman" w:hAnsi="Times New Roman"/>
                <w:b/>
                <w:i/>
                <w:sz w:val="21"/>
                <w:szCs w:val="21"/>
              </w:rPr>
            </w:pPr>
            <w:r w:rsidRPr="008022A1">
              <w:rPr>
                <w:rFonts w:ascii="Times New Roman" w:hAnsi="Times New Roman"/>
                <w:b/>
                <w:i/>
                <w:sz w:val="21"/>
                <w:szCs w:val="21"/>
              </w:rPr>
              <w:t>2014 г.</w:t>
            </w:r>
          </w:p>
        </w:tc>
      </w:tr>
      <w:tr w:rsidR="00335844" w:rsidRPr="0055533C" w:rsidTr="00D54854">
        <w:trPr>
          <w:trHeight w:val="209"/>
        </w:trPr>
        <w:tc>
          <w:tcPr>
            <w:tcW w:w="4005" w:type="dxa"/>
          </w:tcPr>
          <w:p w:rsidR="00335844" w:rsidRPr="008022A1" w:rsidRDefault="00335844" w:rsidP="003F67B2">
            <w:pPr>
              <w:spacing w:after="0" w:line="240" w:lineRule="auto"/>
              <w:rPr>
                <w:rFonts w:ascii="Times New Roman" w:hAnsi="Times New Roman"/>
                <w:vertAlign w:val="superscript"/>
              </w:rPr>
            </w:pPr>
            <w:r w:rsidRPr="008022A1">
              <w:rPr>
                <w:rFonts w:ascii="Times New Roman" w:hAnsi="Times New Roman"/>
                <w:b/>
              </w:rPr>
              <w:t>Перевезено пассажиров</w:t>
            </w:r>
          </w:p>
        </w:tc>
        <w:tc>
          <w:tcPr>
            <w:tcW w:w="1456" w:type="dxa"/>
            <w:vAlign w:val="center"/>
          </w:tcPr>
          <w:p w:rsidR="00335844" w:rsidRPr="008022A1" w:rsidRDefault="00335844" w:rsidP="003F67B2">
            <w:pPr>
              <w:spacing w:after="0" w:line="240" w:lineRule="auto"/>
              <w:ind w:right="113"/>
              <w:jc w:val="center"/>
              <w:rPr>
                <w:rFonts w:ascii="Times New Roman" w:hAnsi="Times New Roman"/>
              </w:rPr>
            </w:pPr>
            <w:r w:rsidRPr="008022A1">
              <w:rPr>
                <w:rFonts w:ascii="Times New Roman" w:hAnsi="Times New Roman"/>
              </w:rPr>
              <w:t>тыс. чел.</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13 860,2</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13 207,7</w:t>
            </w:r>
          </w:p>
        </w:tc>
        <w:tc>
          <w:tcPr>
            <w:tcW w:w="1309" w:type="dxa"/>
            <w:vAlign w:val="center"/>
          </w:tcPr>
          <w:p w:rsidR="00335844" w:rsidRPr="008022A1" w:rsidRDefault="00335844" w:rsidP="003F67B2">
            <w:pPr>
              <w:spacing w:after="0" w:line="240" w:lineRule="auto"/>
              <w:ind w:right="113"/>
              <w:jc w:val="right"/>
              <w:rPr>
                <w:rFonts w:ascii="Times New Roman" w:hAnsi="Times New Roman"/>
                <w:i/>
              </w:rPr>
            </w:pPr>
            <w:r w:rsidRPr="008022A1">
              <w:rPr>
                <w:rFonts w:ascii="Times New Roman" w:hAnsi="Times New Roman"/>
                <w:i/>
              </w:rPr>
              <w:t>95,3</w:t>
            </w:r>
          </w:p>
        </w:tc>
      </w:tr>
      <w:tr w:rsidR="00335844" w:rsidRPr="0055533C" w:rsidTr="00D54854">
        <w:trPr>
          <w:trHeight w:val="222"/>
        </w:trPr>
        <w:tc>
          <w:tcPr>
            <w:tcW w:w="4005" w:type="dxa"/>
          </w:tcPr>
          <w:p w:rsidR="00335844" w:rsidRPr="008022A1" w:rsidRDefault="00335844" w:rsidP="003F67B2">
            <w:pPr>
              <w:spacing w:after="0" w:line="240" w:lineRule="auto"/>
              <w:rPr>
                <w:rFonts w:ascii="Times New Roman" w:hAnsi="Times New Roman"/>
              </w:rPr>
            </w:pPr>
            <w:r w:rsidRPr="008022A1">
              <w:rPr>
                <w:rFonts w:ascii="Times New Roman" w:hAnsi="Times New Roman"/>
                <w:b/>
              </w:rPr>
              <w:t>Пассажирооборот</w:t>
            </w:r>
          </w:p>
        </w:tc>
        <w:tc>
          <w:tcPr>
            <w:tcW w:w="1456" w:type="dxa"/>
            <w:vAlign w:val="center"/>
          </w:tcPr>
          <w:p w:rsidR="00335844" w:rsidRPr="008022A1" w:rsidRDefault="00335844" w:rsidP="003F67B2">
            <w:pPr>
              <w:spacing w:after="0" w:line="240" w:lineRule="auto"/>
              <w:ind w:left="-108" w:right="-108"/>
              <w:jc w:val="center"/>
              <w:rPr>
                <w:rFonts w:ascii="Times New Roman" w:hAnsi="Times New Roman"/>
              </w:rPr>
            </w:pPr>
            <w:r w:rsidRPr="008022A1">
              <w:rPr>
                <w:rFonts w:ascii="Times New Roman" w:hAnsi="Times New Roman"/>
              </w:rPr>
              <w:t>тыс. пас - км.</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129 898,4</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116 418,0</w:t>
            </w:r>
          </w:p>
        </w:tc>
        <w:tc>
          <w:tcPr>
            <w:tcW w:w="1309" w:type="dxa"/>
            <w:vAlign w:val="center"/>
          </w:tcPr>
          <w:p w:rsidR="00335844" w:rsidRPr="008022A1" w:rsidRDefault="00335844" w:rsidP="003F67B2">
            <w:pPr>
              <w:spacing w:after="0" w:line="240" w:lineRule="auto"/>
              <w:ind w:right="113"/>
              <w:jc w:val="right"/>
              <w:rPr>
                <w:rFonts w:ascii="Times New Roman" w:hAnsi="Times New Roman"/>
                <w:i/>
              </w:rPr>
            </w:pPr>
            <w:r w:rsidRPr="008022A1">
              <w:rPr>
                <w:rFonts w:ascii="Times New Roman" w:hAnsi="Times New Roman"/>
                <w:i/>
              </w:rPr>
              <w:t>89,6</w:t>
            </w:r>
          </w:p>
        </w:tc>
      </w:tr>
      <w:tr w:rsidR="00335844" w:rsidRPr="0055533C" w:rsidTr="00D54854">
        <w:trPr>
          <w:trHeight w:val="444"/>
        </w:trPr>
        <w:tc>
          <w:tcPr>
            <w:tcW w:w="4005" w:type="dxa"/>
          </w:tcPr>
          <w:p w:rsidR="00335844" w:rsidRPr="008022A1" w:rsidRDefault="00335844" w:rsidP="003F67B2">
            <w:pPr>
              <w:spacing w:after="0" w:line="240" w:lineRule="auto"/>
              <w:rPr>
                <w:rFonts w:ascii="Times New Roman" w:hAnsi="Times New Roman"/>
                <w:vertAlign w:val="superscript"/>
              </w:rPr>
            </w:pPr>
            <w:r w:rsidRPr="008022A1">
              <w:rPr>
                <w:rFonts w:ascii="Times New Roman" w:hAnsi="Times New Roman"/>
                <w:b/>
              </w:rPr>
              <w:t>Средняя дальность поездки одного пассажира</w:t>
            </w:r>
          </w:p>
        </w:tc>
        <w:tc>
          <w:tcPr>
            <w:tcW w:w="1456" w:type="dxa"/>
            <w:vAlign w:val="center"/>
          </w:tcPr>
          <w:p w:rsidR="00335844" w:rsidRPr="008022A1" w:rsidRDefault="00335844" w:rsidP="003F67B2">
            <w:pPr>
              <w:spacing w:after="0" w:line="240" w:lineRule="auto"/>
              <w:ind w:right="113"/>
              <w:jc w:val="center"/>
              <w:rPr>
                <w:rFonts w:ascii="Times New Roman" w:hAnsi="Times New Roman"/>
              </w:rPr>
            </w:pPr>
            <w:r w:rsidRPr="008022A1">
              <w:rPr>
                <w:rFonts w:ascii="Times New Roman" w:hAnsi="Times New Roman"/>
              </w:rPr>
              <w:t>км</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9,4</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8,8</w:t>
            </w:r>
          </w:p>
        </w:tc>
        <w:tc>
          <w:tcPr>
            <w:tcW w:w="1309" w:type="dxa"/>
            <w:vAlign w:val="center"/>
          </w:tcPr>
          <w:p w:rsidR="00335844" w:rsidRPr="008022A1" w:rsidRDefault="00335844" w:rsidP="003F67B2">
            <w:pPr>
              <w:spacing w:after="0" w:line="240" w:lineRule="auto"/>
              <w:ind w:right="113"/>
              <w:jc w:val="right"/>
              <w:rPr>
                <w:rFonts w:ascii="Times New Roman" w:hAnsi="Times New Roman"/>
                <w:i/>
              </w:rPr>
            </w:pPr>
            <w:r w:rsidRPr="008022A1">
              <w:rPr>
                <w:rFonts w:ascii="Times New Roman" w:hAnsi="Times New Roman"/>
                <w:i/>
              </w:rPr>
              <w:t>93,6</w:t>
            </w:r>
          </w:p>
        </w:tc>
      </w:tr>
      <w:tr w:rsidR="00335844" w:rsidRPr="0055533C" w:rsidTr="00D54854">
        <w:trPr>
          <w:trHeight w:val="209"/>
        </w:trPr>
        <w:tc>
          <w:tcPr>
            <w:tcW w:w="4005" w:type="dxa"/>
            <w:vAlign w:val="center"/>
          </w:tcPr>
          <w:p w:rsidR="00335844" w:rsidRPr="008022A1" w:rsidRDefault="00335844" w:rsidP="003F67B2">
            <w:pPr>
              <w:spacing w:after="0" w:line="240" w:lineRule="auto"/>
              <w:rPr>
                <w:rFonts w:ascii="Times New Roman" w:hAnsi="Times New Roman"/>
                <w:b/>
              </w:rPr>
            </w:pPr>
            <w:r w:rsidRPr="008022A1">
              <w:rPr>
                <w:rFonts w:ascii="Times New Roman" w:hAnsi="Times New Roman"/>
                <w:b/>
              </w:rPr>
              <w:t>Наличие автобусов</w:t>
            </w:r>
            <w:r w:rsidRPr="008022A1">
              <w:rPr>
                <w:rFonts w:ascii="Times New Roman" w:hAnsi="Times New Roman"/>
              </w:rPr>
              <w:t>*</w:t>
            </w:r>
          </w:p>
        </w:tc>
        <w:tc>
          <w:tcPr>
            <w:tcW w:w="1456" w:type="dxa"/>
            <w:vAlign w:val="center"/>
          </w:tcPr>
          <w:p w:rsidR="00335844" w:rsidRPr="008022A1" w:rsidRDefault="00335844" w:rsidP="003F67B2">
            <w:pPr>
              <w:spacing w:after="0" w:line="240" w:lineRule="auto"/>
              <w:ind w:right="113"/>
              <w:jc w:val="center"/>
              <w:rPr>
                <w:rFonts w:ascii="Times New Roman" w:hAnsi="Times New Roman"/>
              </w:rPr>
            </w:pPr>
            <w:r w:rsidRPr="008022A1">
              <w:rPr>
                <w:rFonts w:ascii="Times New Roman" w:hAnsi="Times New Roman"/>
              </w:rPr>
              <w:t>ед.</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308</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301</w:t>
            </w:r>
          </w:p>
        </w:tc>
        <w:tc>
          <w:tcPr>
            <w:tcW w:w="1309" w:type="dxa"/>
            <w:vAlign w:val="center"/>
          </w:tcPr>
          <w:p w:rsidR="00335844" w:rsidRPr="008022A1" w:rsidRDefault="00335844" w:rsidP="003F67B2">
            <w:pPr>
              <w:spacing w:after="0" w:line="240" w:lineRule="auto"/>
              <w:ind w:right="113"/>
              <w:jc w:val="right"/>
              <w:rPr>
                <w:rFonts w:ascii="Times New Roman" w:hAnsi="Times New Roman"/>
                <w:i/>
              </w:rPr>
            </w:pPr>
            <w:r w:rsidRPr="008022A1">
              <w:rPr>
                <w:rFonts w:ascii="Times New Roman" w:hAnsi="Times New Roman"/>
                <w:i/>
              </w:rPr>
              <w:t>97,7</w:t>
            </w:r>
          </w:p>
        </w:tc>
      </w:tr>
      <w:tr w:rsidR="00335844" w:rsidRPr="0055533C" w:rsidTr="00D54854">
        <w:trPr>
          <w:trHeight w:val="444"/>
        </w:trPr>
        <w:tc>
          <w:tcPr>
            <w:tcW w:w="4005" w:type="dxa"/>
          </w:tcPr>
          <w:p w:rsidR="00335844" w:rsidRPr="008022A1" w:rsidRDefault="00335844" w:rsidP="003F67B2">
            <w:pPr>
              <w:spacing w:after="0" w:line="240" w:lineRule="auto"/>
              <w:rPr>
                <w:rFonts w:ascii="Times New Roman" w:hAnsi="Times New Roman"/>
                <w:vertAlign w:val="superscript"/>
              </w:rPr>
            </w:pPr>
            <w:r w:rsidRPr="008022A1">
              <w:rPr>
                <w:rFonts w:ascii="Times New Roman" w:hAnsi="Times New Roman"/>
                <w:b/>
              </w:rPr>
              <w:t>Доходы от перевозки пассажиров автобусами и легковыми такси</w:t>
            </w:r>
          </w:p>
        </w:tc>
        <w:tc>
          <w:tcPr>
            <w:tcW w:w="1456" w:type="dxa"/>
            <w:vAlign w:val="center"/>
          </w:tcPr>
          <w:p w:rsidR="00335844" w:rsidRPr="008022A1" w:rsidRDefault="00335844" w:rsidP="003F67B2">
            <w:pPr>
              <w:spacing w:after="0" w:line="240" w:lineRule="auto"/>
              <w:ind w:right="113"/>
              <w:jc w:val="center"/>
              <w:rPr>
                <w:rFonts w:ascii="Times New Roman" w:hAnsi="Times New Roman"/>
              </w:rPr>
            </w:pPr>
            <w:r w:rsidRPr="008022A1">
              <w:rPr>
                <w:rFonts w:ascii="Times New Roman" w:hAnsi="Times New Roman"/>
              </w:rPr>
              <w:t>тыс. руб.</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75 283,0</w:t>
            </w:r>
          </w:p>
        </w:tc>
        <w:tc>
          <w:tcPr>
            <w:tcW w:w="1274" w:type="dxa"/>
            <w:vAlign w:val="center"/>
          </w:tcPr>
          <w:p w:rsidR="00335844" w:rsidRPr="008022A1" w:rsidRDefault="00335844" w:rsidP="003F67B2">
            <w:pPr>
              <w:spacing w:after="0" w:line="240" w:lineRule="auto"/>
              <w:ind w:right="113"/>
              <w:jc w:val="right"/>
              <w:rPr>
                <w:rFonts w:ascii="Times New Roman" w:hAnsi="Times New Roman"/>
              </w:rPr>
            </w:pPr>
            <w:r w:rsidRPr="008022A1">
              <w:rPr>
                <w:rFonts w:ascii="Times New Roman" w:hAnsi="Times New Roman"/>
              </w:rPr>
              <w:t>68 871,9</w:t>
            </w:r>
          </w:p>
        </w:tc>
        <w:tc>
          <w:tcPr>
            <w:tcW w:w="1309" w:type="dxa"/>
            <w:vAlign w:val="center"/>
          </w:tcPr>
          <w:p w:rsidR="00335844" w:rsidRPr="008022A1" w:rsidRDefault="00335844" w:rsidP="003F67B2">
            <w:pPr>
              <w:spacing w:after="0" w:line="240" w:lineRule="auto"/>
              <w:ind w:right="113"/>
              <w:jc w:val="right"/>
              <w:rPr>
                <w:rFonts w:ascii="Times New Roman" w:hAnsi="Times New Roman"/>
                <w:i/>
              </w:rPr>
            </w:pPr>
            <w:r w:rsidRPr="008022A1">
              <w:rPr>
                <w:rFonts w:ascii="Times New Roman" w:hAnsi="Times New Roman"/>
                <w:i/>
              </w:rPr>
              <w:t>91,5</w:t>
            </w:r>
          </w:p>
        </w:tc>
      </w:tr>
    </w:tbl>
    <w:p w:rsidR="00335844" w:rsidRPr="008022A1" w:rsidRDefault="00335844" w:rsidP="00335844">
      <w:pPr>
        <w:jc w:val="both"/>
        <w:rPr>
          <w:rFonts w:ascii="Times New Roman" w:hAnsi="Times New Roman"/>
          <w:sz w:val="19"/>
          <w:szCs w:val="19"/>
        </w:rPr>
      </w:pPr>
      <w:r w:rsidRPr="008022A1">
        <w:rPr>
          <w:rFonts w:ascii="Times New Roman" w:hAnsi="Times New Roman"/>
          <w:sz w:val="19"/>
          <w:szCs w:val="19"/>
        </w:rPr>
        <w:t>* - без субъектов малого предпринимательства</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lastRenderedPageBreak/>
        <w:t xml:space="preserve">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2015 года </w:t>
      </w:r>
      <w:r w:rsidRPr="0055533C">
        <w:rPr>
          <w:rFonts w:ascii="Times New Roman" w:hAnsi="Times New Roman"/>
          <w:b/>
          <w:i/>
          <w:sz w:val="24"/>
          <w:szCs w:val="24"/>
        </w:rPr>
        <w:t xml:space="preserve">электрическим транспортом, </w:t>
      </w:r>
      <w:r w:rsidRPr="0055533C">
        <w:rPr>
          <w:rFonts w:ascii="Times New Roman" w:hAnsi="Times New Roman"/>
          <w:sz w:val="24"/>
          <w:szCs w:val="24"/>
        </w:rPr>
        <w:t>действующим в двух городах республики (город Тирасполь, город Бендеры), перевезено 7,4 млн. пассажиров, что на 29,5% меньше аналогичного периода 2014 года.</w:t>
      </w:r>
    </w:p>
    <w:p w:rsidR="00335844" w:rsidRPr="0055533C" w:rsidRDefault="00335844" w:rsidP="00335844">
      <w:pPr>
        <w:spacing w:after="0" w:line="240" w:lineRule="auto"/>
        <w:ind w:firstLine="709"/>
        <w:jc w:val="both"/>
        <w:rPr>
          <w:rFonts w:ascii="Times New Roman" w:hAnsi="Times New Roman"/>
          <w:spacing w:val="2"/>
          <w:sz w:val="24"/>
          <w:szCs w:val="24"/>
        </w:rPr>
      </w:pPr>
      <w:r w:rsidRPr="0055533C">
        <w:rPr>
          <w:rFonts w:ascii="Times New Roman" w:hAnsi="Times New Roman"/>
          <w:spacing w:val="2"/>
          <w:sz w:val="24"/>
          <w:szCs w:val="24"/>
        </w:rPr>
        <w:t>В результате сокращения пассажиропотока в рассматриваемом периоде отмечается снижение пассажирооборота электрического транспорта на 29,7% до              75,4 млн. пассажиро–километров по отношению к соответствующему периоду 2014 года.</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В январе-июне 2015 года действовало 14 троллейбусных маршрутов, а общее число транспортных средств составило 96 единиц.</w:t>
      </w:r>
    </w:p>
    <w:p w:rsidR="00335844" w:rsidRPr="0055533C" w:rsidRDefault="00335844" w:rsidP="00335844">
      <w:pPr>
        <w:spacing w:after="0" w:line="240" w:lineRule="auto"/>
        <w:ind w:firstLine="720"/>
        <w:jc w:val="both"/>
        <w:rPr>
          <w:rFonts w:ascii="Times New Roman" w:hAnsi="Times New Roman"/>
          <w:spacing w:val="2"/>
          <w:sz w:val="24"/>
          <w:szCs w:val="24"/>
        </w:rPr>
      </w:pPr>
      <w:r w:rsidRPr="0055533C">
        <w:rPr>
          <w:rFonts w:ascii="Times New Roman" w:hAnsi="Times New Roman"/>
          <w:sz w:val="24"/>
          <w:szCs w:val="24"/>
        </w:rPr>
        <w:t xml:space="preserve">Доходы </w:t>
      </w:r>
      <w:r w:rsidRPr="0055533C">
        <w:rPr>
          <w:rFonts w:ascii="Times New Roman" w:hAnsi="Times New Roman"/>
          <w:spacing w:val="2"/>
          <w:sz w:val="24"/>
          <w:szCs w:val="24"/>
        </w:rPr>
        <w:t xml:space="preserve">троллейбусных парков </w:t>
      </w:r>
      <w:r w:rsidRPr="0055533C">
        <w:rPr>
          <w:rFonts w:ascii="Times New Roman" w:hAnsi="Times New Roman"/>
          <w:sz w:val="24"/>
          <w:szCs w:val="24"/>
        </w:rPr>
        <w:t xml:space="preserve">от перевозки пассажиров и багажа </w:t>
      </w:r>
      <w:r w:rsidRPr="0055533C">
        <w:rPr>
          <w:rFonts w:ascii="Times New Roman" w:hAnsi="Times New Roman"/>
          <w:spacing w:val="2"/>
          <w:sz w:val="24"/>
          <w:szCs w:val="24"/>
        </w:rPr>
        <w:t>(без поступления средств из бюджета и других источников)</w:t>
      </w:r>
      <w:r w:rsidRPr="0055533C">
        <w:rPr>
          <w:rFonts w:ascii="Times New Roman" w:hAnsi="Times New Roman"/>
          <w:sz w:val="24"/>
          <w:szCs w:val="24"/>
        </w:rPr>
        <w:t xml:space="preserve"> </w:t>
      </w:r>
      <w:r w:rsidRPr="0055533C">
        <w:rPr>
          <w:rFonts w:ascii="Times New Roman" w:hAnsi="Times New Roman"/>
          <w:spacing w:val="2"/>
          <w:sz w:val="24"/>
          <w:szCs w:val="24"/>
        </w:rPr>
        <w:t>за отчетный период увеличились на 80,1% по сравнению с январем-июнем 2014 года, в стоимостном выражении достигнув 9,6 млн. руб. Рост доходов троллейбусных парков в I полугодии 2015 года обусловлен установлением платы в размере 1 рубль за перевозку пассажиров, обладающих льготой на проезд в наземном электрическом транспорте, за исключением военнослужащих срочной службы.</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b/>
          <w:i/>
          <w:sz w:val="24"/>
          <w:szCs w:val="24"/>
        </w:rPr>
        <w:t>Железнодорожный транспорт</w:t>
      </w:r>
      <w:r w:rsidRPr="0055533C">
        <w:rPr>
          <w:rFonts w:ascii="Times New Roman" w:hAnsi="Times New Roman"/>
          <w:sz w:val="24"/>
          <w:szCs w:val="24"/>
        </w:rPr>
        <w:t xml:space="preserve"> республики представлен ГУКП «Приднестровская железная дорога».</w:t>
      </w:r>
    </w:p>
    <w:p w:rsidR="00335844" w:rsidRPr="0055533C" w:rsidRDefault="00335844" w:rsidP="00335844">
      <w:pPr>
        <w:tabs>
          <w:tab w:val="left" w:pos="1080"/>
          <w:tab w:val="left" w:pos="1260"/>
        </w:tabs>
        <w:spacing w:after="0" w:line="240" w:lineRule="auto"/>
        <w:ind w:firstLine="709"/>
        <w:jc w:val="both"/>
        <w:rPr>
          <w:rFonts w:ascii="Times New Roman" w:hAnsi="Times New Roman"/>
          <w:spacing w:val="1"/>
          <w:sz w:val="24"/>
          <w:szCs w:val="24"/>
        </w:rPr>
      </w:pPr>
      <w:r w:rsidRPr="0055533C">
        <w:rPr>
          <w:rFonts w:ascii="Times New Roman" w:hAnsi="Times New Roman"/>
          <w:spacing w:val="1"/>
          <w:sz w:val="24"/>
          <w:szCs w:val="24"/>
        </w:rPr>
        <w:t xml:space="preserve">За </w:t>
      </w:r>
      <w:r w:rsidRPr="0055533C">
        <w:rPr>
          <w:rFonts w:ascii="Times New Roman" w:hAnsi="Times New Roman"/>
          <w:spacing w:val="1"/>
          <w:sz w:val="24"/>
          <w:szCs w:val="24"/>
          <w:lang w:val="en-US"/>
        </w:rPr>
        <w:t>I</w:t>
      </w:r>
      <w:r w:rsidRPr="0055533C">
        <w:rPr>
          <w:rFonts w:ascii="Times New Roman" w:hAnsi="Times New Roman"/>
          <w:spacing w:val="1"/>
          <w:sz w:val="24"/>
          <w:szCs w:val="24"/>
        </w:rPr>
        <w:t xml:space="preserve"> полугодие 2015 года на ГУКП «Приднестровская железная дорога» на фоне увеличения объемов перевозок грузов в местном сообщении («+»22,4%) и транзита («+»13,5%), в совокупности с существенным сокращением перевозки грузов в прямом сообщении («-»46,5%) общий объем грузовых перевозок сократился на 8,9% и составил 1 657,2 тыс. тонн.</w:t>
      </w:r>
    </w:p>
    <w:p w:rsidR="00335844" w:rsidRPr="0055533C" w:rsidRDefault="00335844" w:rsidP="00335844">
      <w:pPr>
        <w:spacing w:after="0" w:line="240" w:lineRule="auto"/>
        <w:ind w:firstLine="709"/>
        <w:jc w:val="both"/>
        <w:rPr>
          <w:rFonts w:ascii="Times New Roman" w:hAnsi="Times New Roman"/>
          <w:spacing w:val="1"/>
          <w:sz w:val="24"/>
          <w:szCs w:val="24"/>
        </w:rPr>
      </w:pPr>
      <w:r w:rsidRPr="0055533C">
        <w:rPr>
          <w:rFonts w:ascii="Times New Roman" w:hAnsi="Times New Roman"/>
          <w:sz w:val="24"/>
          <w:szCs w:val="24"/>
        </w:rPr>
        <w:t xml:space="preserve">В январе-июне 2015 года </w:t>
      </w:r>
      <w:r w:rsidRPr="0055533C">
        <w:rPr>
          <w:rFonts w:ascii="Times New Roman" w:hAnsi="Times New Roman"/>
          <w:spacing w:val="1"/>
          <w:sz w:val="24"/>
          <w:szCs w:val="24"/>
        </w:rPr>
        <w:t>после уплаты налогов ГУКП «Приднестровская железная дорога» получен отрицательный финансовый результат, что вызвано недостаточным объемом грузовых перевозок (возможности предприятия используются не полностью), а также спадом пассажиропотока («-» 47,3%), в связи с региональной нестабильностью.</w:t>
      </w:r>
    </w:p>
    <w:p w:rsidR="00335844" w:rsidRPr="0055533C" w:rsidRDefault="00335844" w:rsidP="00335844">
      <w:pPr>
        <w:spacing w:after="0" w:line="240" w:lineRule="auto"/>
        <w:ind w:firstLine="709"/>
        <w:jc w:val="both"/>
        <w:rPr>
          <w:rFonts w:ascii="Times New Roman" w:hAnsi="Times New Roman"/>
          <w:spacing w:val="1"/>
          <w:sz w:val="24"/>
          <w:szCs w:val="24"/>
        </w:rPr>
      </w:pPr>
      <w:r w:rsidRPr="0055533C">
        <w:rPr>
          <w:rFonts w:ascii="Times New Roman" w:hAnsi="Times New Roman"/>
          <w:b/>
          <w:bCs/>
          <w:i/>
          <w:sz w:val="24"/>
          <w:szCs w:val="24"/>
        </w:rPr>
        <w:t>Внутренний водный (речной) транспорт</w:t>
      </w:r>
      <w:r w:rsidRPr="0055533C">
        <w:rPr>
          <w:rFonts w:ascii="Times New Roman" w:hAnsi="Times New Roman"/>
          <w:sz w:val="24"/>
          <w:szCs w:val="24"/>
        </w:rPr>
        <w:t xml:space="preserve"> республики представлен Рыбницким и Бендерским речными портами.</w:t>
      </w:r>
      <w:r w:rsidRPr="0055533C">
        <w:rPr>
          <w:rFonts w:ascii="Times New Roman" w:hAnsi="Times New Roman"/>
          <w:spacing w:val="1"/>
          <w:sz w:val="24"/>
          <w:szCs w:val="24"/>
        </w:rPr>
        <w:t xml:space="preserve"> </w:t>
      </w:r>
      <w:r w:rsidRPr="0055533C">
        <w:rPr>
          <w:rFonts w:ascii="Times New Roman" w:hAnsi="Times New Roman"/>
          <w:sz w:val="24"/>
          <w:szCs w:val="24"/>
        </w:rPr>
        <w:t xml:space="preserve">На фоне роста доходов от реализации ПГС Рыбницким речным портом («+»5,5%), за счет роста цен на ПГС и снижения себестоимости реализуемой продукции («-»0,9%), наблюдается рост прибыли до налогообложения на 7,6%. На предприятии Бендерский речной порт отмечен рост доходов от реализуемой ПГС на 12,4%, в составе выручки доходы от реализации песчано-гравийной смеси в январе-июне 2015 году составили 77,4% (против 20,9% 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2014 года). Однако в связи с неэффективным управлением финансово-хозяйственной деятельностью, по итогам                   I полугодия текущего года на предприятии наблюдается отрицательное значение финансового результата до налогообложения в размере 346,3 тыс. руб.</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Наиболее значимыми негативными факторами, оказывающими влияние на результаты работы предприятий речного транспорта, являются:</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отсутствие грузопотоков для речного транспорта, так как водный транспорт выгоден при больших объемах перевозок;</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низкое качество реализуемой песчано-гравийной смеси, в результате чего данный товар не конкурентоспособен при развитой сети береговых карьеров;</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трудности с реализацией ПГС молдавским экономическим агентам в условиях налогообложения вывозимого груза фискальными органами Молдовы (при самовывозе);</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нерестовый период (с 15 апреля по 25 июня), во время которого работы на реке запрещены;</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навигационная обстановка водных путей находится в критической ситуации, а именно, в настоящее время протяженность эксплуатируемых водных путей на р. Днестр сократилась до 170 км.</w:t>
      </w:r>
    </w:p>
    <w:p w:rsidR="00335844" w:rsidRPr="0055533C" w:rsidRDefault="00335844" w:rsidP="00335844">
      <w:pPr>
        <w:spacing w:after="0" w:line="240" w:lineRule="auto"/>
        <w:ind w:firstLine="709"/>
        <w:jc w:val="both"/>
        <w:rPr>
          <w:rFonts w:ascii="Times New Roman" w:hAnsi="Times New Roman"/>
          <w:spacing w:val="6"/>
          <w:sz w:val="24"/>
          <w:szCs w:val="24"/>
        </w:rPr>
      </w:pPr>
      <w:r w:rsidRPr="0055533C">
        <w:rPr>
          <w:rFonts w:ascii="Times New Roman" w:hAnsi="Times New Roman"/>
          <w:spacing w:val="6"/>
          <w:sz w:val="24"/>
          <w:szCs w:val="24"/>
        </w:rPr>
        <w:t xml:space="preserve">Принимая во внимание сложившуюся в транспортной сфере республики ситуацию, </w:t>
      </w:r>
      <w:r w:rsidRPr="0055533C">
        <w:rPr>
          <w:rFonts w:ascii="Times New Roman" w:hAnsi="Times New Roman"/>
          <w:b/>
          <w:i/>
          <w:spacing w:val="6"/>
          <w:sz w:val="24"/>
          <w:szCs w:val="24"/>
        </w:rPr>
        <w:t>государственная политика в области координации и развития транспорта</w:t>
      </w:r>
      <w:r w:rsidRPr="0055533C">
        <w:rPr>
          <w:rFonts w:ascii="Times New Roman" w:hAnsi="Times New Roman"/>
          <w:spacing w:val="6"/>
          <w:sz w:val="24"/>
          <w:szCs w:val="24"/>
        </w:rPr>
        <w:t xml:space="preserve"> </w:t>
      </w:r>
      <w:r w:rsidRPr="0055533C">
        <w:rPr>
          <w:rFonts w:ascii="Times New Roman" w:hAnsi="Times New Roman"/>
          <w:sz w:val="24"/>
          <w:szCs w:val="24"/>
        </w:rPr>
        <w:t>была</w:t>
      </w:r>
      <w:r w:rsidRPr="0055533C">
        <w:rPr>
          <w:rFonts w:ascii="Times New Roman" w:hAnsi="Times New Roman"/>
          <w:spacing w:val="6"/>
          <w:sz w:val="24"/>
          <w:szCs w:val="24"/>
        </w:rPr>
        <w:t xml:space="preserve"> направлена на обеспечение стабильной работы транспортной </w:t>
      </w:r>
      <w:r w:rsidRPr="0055533C">
        <w:rPr>
          <w:rFonts w:ascii="Times New Roman" w:hAnsi="Times New Roman"/>
          <w:spacing w:val="6"/>
          <w:sz w:val="24"/>
          <w:szCs w:val="24"/>
        </w:rPr>
        <w:lastRenderedPageBreak/>
        <w:t>инфраструктуры. В этой связи профильным ведомством в отчетном периоде осуществлялся постоянный мониторинг транспортной сети Приднестровья.</w:t>
      </w:r>
      <w:r w:rsidRPr="0055533C">
        <w:rPr>
          <w:rFonts w:ascii="Times New Roman" w:hAnsi="Times New Roman"/>
          <w:sz w:val="24"/>
          <w:szCs w:val="24"/>
        </w:rPr>
        <w:t xml:space="preserve"> Так, принимаемые меры по упорядочиванию учета и компенсации потерь по представленным льготам обеспечили снижение суммы потерь перевозчиков до 1,6 млн. руб. или на 66,2%.</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Таким образом, ряд проблем, связанных с убыточностью социально значимых маршрутов, непредставлением со стороны Республики Молдова разрешительных документов на осуществление международных грузовых и пассажирских перевозок, а также сложная экономическая ситуация в республике оказали определяющее влияние на итоги развития сферы транспорта 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2015 года.</w:t>
      </w:r>
    </w:p>
    <w:p w:rsidR="00335844" w:rsidRPr="00B556DD" w:rsidRDefault="00335844" w:rsidP="00335844">
      <w:pPr>
        <w:shd w:val="clear" w:color="auto" w:fill="FFFFFF"/>
        <w:spacing w:after="0" w:line="240" w:lineRule="auto"/>
        <w:ind w:firstLine="709"/>
        <w:jc w:val="both"/>
        <w:rPr>
          <w:rFonts w:ascii="Times New Roman" w:hAnsi="Times New Roman"/>
          <w:sz w:val="24"/>
          <w:szCs w:val="24"/>
        </w:rPr>
      </w:pPr>
    </w:p>
    <w:p w:rsidR="00335844" w:rsidRPr="00B5791E" w:rsidRDefault="00335844" w:rsidP="00335844">
      <w:pPr>
        <w:widowControl w:val="0"/>
        <w:autoSpaceDE w:val="0"/>
        <w:autoSpaceDN w:val="0"/>
        <w:adjustRightInd w:val="0"/>
        <w:spacing w:after="0" w:line="240" w:lineRule="auto"/>
        <w:ind w:firstLine="709"/>
        <w:jc w:val="both"/>
        <w:rPr>
          <w:rFonts w:ascii="Times New Roman" w:hAnsi="Times New Roman"/>
          <w:b/>
          <w:sz w:val="24"/>
          <w:szCs w:val="24"/>
        </w:rPr>
      </w:pPr>
      <w:r w:rsidRPr="00B5791E">
        <w:rPr>
          <w:rFonts w:ascii="Times New Roman" w:hAnsi="Times New Roman"/>
          <w:b/>
          <w:sz w:val="24"/>
          <w:szCs w:val="24"/>
        </w:rPr>
        <w:t>Связь</w:t>
      </w:r>
    </w:p>
    <w:p w:rsidR="00335844" w:rsidRDefault="00335844" w:rsidP="00335844">
      <w:pPr>
        <w:pStyle w:val="ae"/>
        <w:ind w:firstLine="709"/>
        <w:jc w:val="left"/>
        <w:rPr>
          <w:b/>
          <w:sz w:val="24"/>
          <w:szCs w:val="24"/>
        </w:rPr>
      </w:pP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Связь является одной из наиболее динамично развивающихся отраслей экономики Приднестровья. </w:t>
      </w:r>
    </w:p>
    <w:p w:rsidR="00C84F2A" w:rsidRPr="00B0566B" w:rsidRDefault="00C84F2A" w:rsidP="00B0566B">
      <w:pPr>
        <w:spacing w:after="0" w:line="240" w:lineRule="auto"/>
        <w:ind w:firstLine="709"/>
        <w:jc w:val="both"/>
        <w:rPr>
          <w:rFonts w:ascii="Times New Roman" w:hAnsi="Times New Roman"/>
          <w:sz w:val="28"/>
          <w:szCs w:val="28"/>
        </w:rPr>
      </w:pPr>
      <w:r w:rsidRPr="00C84F2A">
        <w:rPr>
          <w:rFonts w:ascii="Times New Roman" w:hAnsi="Times New Roman"/>
          <w:sz w:val="24"/>
          <w:szCs w:val="24"/>
        </w:rPr>
        <w:t>Несмотря на п</w:t>
      </w:r>
      <w:r w:rsidRPr="00C84F2A">
        <w:rPr>
          <w:rFonts w:ascii="Times New Roman" w:hAnsi="Times New Roman"/>
          <w:bCs/>
          <w:sz w:val="24"/>
          <w:szCs w:val="24"/>
        </w:rPr>
        <w:t xml:space="preserve">овышение качества предоставляемых услуг, поиск и внедрение новых форм обслуживания населения, </w:t>
      </w:r>
      <w:r w:rsidRPr="00C84F2A">
        <w:rPr>
          <w:rFonts w:ascii="Times New Roman" w:hAnsi="Times New Roman"/>
          <w:sz w:val="24"/>
          <w:szCs w:val="24"/>
        </w:rPr>
        <w:t>совокупный доход от основной деятельности организаций, предоставляющих услуги электросвязи</w:t>
      </w:r>
      <w:r w:rsidRPr="00C84F2A">
        <w:rPr>
          <w:rFonts w:ascii="Times New Roman" w:hAnsi="Times New Roman"/>
          <w:bCs/>
          <w:sz w:val="24"/>
          <w:szCs w:val="24"/>
        </w:rPr>
        <w:t xml:space="preserve"> в I полугодии 2015 года на 2,0% ниже показателя соответствующего периода прошлого года, составив в абсолютной величине 362,6 млн. руб.</w:t>
      </w:r>
    </w:p>
    <w:p w:rsidR="00C84F2A" w:rsidRPr="00C84F2A" w:rsidRDefault="00C84F2A" w:rsidP="00C84F2A">
      <w:pPr>
        <w:spacing w:after="0" w:line="240" w:lineRule="auto"/>
        <w:ind w:firstLine="709"/>
        <w:jc w:val="right"/>
        <w:rPr>
          <w:rFonts w:ascii="Times New Roman" w:hAnsi="Times New Roman"/>
          <w:sz w:val="24"/>
          <w:szCs w:val="24"/>
        </w:rPr>
      </w:pPr>
      <w:r w:rsidRPr="00C84F2A">
        <w:rPr>
          <w:rFonts w:ascii="Times New Roman" w:hAnsi="Times New Roman"/>
          <w:sz w:val="24"/>
          <w:szCs w:val="24"/>
        </w:rPr>
        <w:t>Таблица №</w:t>
      </w:r>
      <w:r w:rsidR="00B0566B">
        <w:rPr>
          <w:rFonts w:ascii="Times New Roman" w:hAnsi="Times New Roman"/>
          <w:sz w:val="24"/>
          <w:szCs w:val="24"/>
        </w:rPr>
        <w:t>15</w:t>
      </w:r>
    </w:p>
    <w:p w:rsidR="00C84F2A" w:rsidRPr="00C84F2A" w:rsidRDefault="00C84F2A" w:rsidP="00C84F2A">
      <w:pPr>
        <w:spacing w:after="0" w:line="240" w:lineRule="auto"/>
        <w:ind w:firstLine="709"/>
        <w:jc w:val="center"/>
        <w:rPr>
          <w:rFonts w:ascii="Times New Roman" w:hAnsi="Times New Roman"/>
          <w:sz w:val="24"/>
          <w:szCs w:val="24"/>
        </w:rPr>
      </w:pPr>
      <w:r w:rsidRPr="00C84F2A">
        <w:rPr>
          <w:rFonts w:ascii="Times New Roman" w:hAnsi="Times New Roman"/>
          <w:b/>
          <w:bCs/>
          <w:sz w:val="24"/>
          <w:szCs w:val="24"/>
        </w:rPr>
        <w:t>Анализ доходов от предоставления услуг электросвязи (млн. руб.)</w:t>
      </w:r>
    </w:p>
    <w:tbl>
      <w:tblPr>
        <w:tblW w:w="10065" w:type="dxa"/>
        <w:tblInd w:w="-176" w:type="dxa"/>
        <w:tblLayout w:type="fixed"/>
        <w:tblLook w:val="0000"/>
      </w:tblPr>
      <w:tblGrid>
        <w:gridCol w:w="6380"/>
        <w:gridCol w:w="1260"/>
        <w:gridCol w:w="1098"/>
        <w:gridCol w:w="1327"/>
      </w:tblGrid>
      <w:tr w:rsidR="00C84F2A" w:rsidRPr="00C84F2A" w:rsidTr="00D80FCA">
        <w:trPr>
          <w:trHeight w:val="509"/>
        </w:trPr>
        <w:tc>
          <w:tcPr>
            <w:tcW w:w="6380" w:type="dxa"/>
            <w:tcBorders>
              <w:top w:val="single" w:sz="4" w:space="0" w:color="auto"/>
              <w:left w:val="single" w:sz="4" w:space="0" w:color="auto"/>
              <w:bottom w:val="nil"/>
              <w:right w:val="single" w:sz="4" w:space="0" w:color="auto"/>
            </w:tcBorders>
            <w:shd w:val="clear" w:color="auto" w:fill="FFFFFF"/>
            <w:vAlign w:val="center"/>
          </w:tcPr>
          <w:p w:rsidR="00C84F2A" w:rsidRPr="00722024" w:rsidRDefault="00C84F2A" w:rsidP="00C84F2A">
            <w:pPr>
              <w:spacing w:after="0" w:line="240" w:lineRule="auto"/>
              <w:jc w:val="center"/>
              <w:rPr>
                <w:rFonts w:ascii="Times New Roman" w:hAnsi="Times New Roman"/>
                <w:b/>
                <w:color w:val="000000"/>
              </w:rPr>
            </w:pPr>
            <w:r w:rsidRPr="00722024">
              <w:rPr>
                <w:rFonts w:ascii="Times New Roman" w:hAnsi="Times New Roman"/>
                <w:b/>
                <w:color w:val="000000"/>
              </w:rPr>
              <w:t>Наименование показателей</w:t>
            </w:r>
          </w:p>
        </w:tc>
        <w:tc>
          <w:tcPr>
            <w:tcW w:w="1260" w:type="dxa"/>
            <w:tcBorders>
              <w:top w:val="single" w:sz="4" w:space="0" w:color="auto"/>
              <w:left w:val="nil"/>
              <w:bottom w:val="single" w:sz="4" w:space="0" w:color="auto"/>
              <w:right w:val="nil"/>
            </w:tcBorders>
            <w:shd w:val="clear" w:color="auto" w:fill="auto"/>
            <w:vAlign w:val="center"/>
          </w:tcPr>
          <w:p w:rsidR="00C84F2A" w:rsidRPr="00722024" w:rsidRDefault="00C84F2A" w:rsidP="00C84F2A">
            <w:pPr>
              <w:spacing w:after="0" w:line="240" w:lineRule="auto"/>
              <w:jc w:val="center"/>
              <w:rPr>
                <w:rFonts w:ascii="Times New Roman" w:hAnsi="Times New Roman"/>
                <w:b/>
                <w:color w:val="000000"/>
              </w:rPr>
            </w:pPr>
            <w:r w:rsidRPr="00722024">
              <w:rPr>
                <w:rFonts w:ascii="Times New Roman" w:hAnsi="Times New Roman"/>
                <w:b/>
                <w:color w:val="000000"/>
                <w:lang w:val="en-US"/>
              </w:rPr>
              <w:t>I</w:t>
            </w:r>
            <w:r w:rsidRPr="00722024">
              <w:rPr>
                <w:rFonts w:ascii="Times New Roman" w:hAnsi="Times New Roman"/>
                <w:b/>
                <w:color w:val="000000"/>
              </w:rPr>
              <w:t xml:space="preserve"> полуг. 2014г.</w:t>
            </w:r>
          </w:p>
        </w:tc>
        <w:tc>
          <w:tcPr>
            <w:tcW w:w="1098" w:type="dxa"/>
            <w:tcBorders>
              <w:top w:val="single" w:sz="4" w:space="0" w:color="auto"/>
              <w:left w:val="single" w:sz="4" w:space="0" w:color="auto"/>
              <w:bottom w:val="single" w:sz="4" w:space="0" w:color="auto"/>
              <w:right w:val="nil"/>
            </w:tcBorders>
            <w:shd w:val="clear" w:color="auto" w:fill="auto"/>
            <w:vAlign w:val="center"/>
          </w:tcPr>
          <w:p w:rsidR="00C84F2A" w:rsidRPr="00722024" w:rsidRDefault="00C84F2A" w:rsidP="00C84F2A">
            <w:pPr>
              <w:spacing w:after="0" w:line="240" w:lineRule="auto"/>
              <w:jc w:val="center"/>
              <w:rPr>
                <w:rFonts w:ascii="Times New Roman" w:hAnsi="Times New Roman"/>
                <w:b/>
                <w:color w:val="000000"/>
              </w:rPr>
            </w:pPr>
            <w:r w:rsidRPr="00722024">
              <w:rPr>
                <w:rFonts w:ascii="Times New Roman" w:hAnsi="Times New Roman"/>
                <w:b/>
                <w:color w:val="000000"/>
                <w:lang w:val="en-US"/>
              </w:rPr>
              <w:t>I</w:t>
            </w:r>
            <w:r w:rsidRPr="00722024">
              <w:rPr>
                <w:rFonts w:ascii="Times New Roman" w:hAnsi="Times New Roman"/>
                <w:b/>
                <w:color w:val="000000"/>
              </w:rPr>
              <w:t xml:space="preserve"> полуг. 2015г.</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C84F2A" w:rsidRPr="00722024" w:rsidRDefault="00C84F2A" w:rsidP="00C84F2A">
            <w:pPr>
              <w:spacing w:after="0" w:line="240" w:lineRule="auto"/>
              <w:ind w:left="-57" w:right="-108" w:hanging="141"/>
              <w:jc w:val="center"/>
              <w:rPr>
                <w:rFonts w:ascii="Times New Roman" w:hAnsi="Times New Roman"/>
                <w:b/>
                <w:color w:val="000000"/>
              </w:rPr>
            </w:pPr>
            <w:r w:rsidRPr="00722024">
              <w:rPr>
                <w:rFonts w:ascii="Times New Roman" w:hAnsi="Times New Roman"/>
                <w:b/>
              </w:rPr>
              <w:t>Темп роста 2015г. к 2014г.,%</w:t>
            </w:r>
          </w:p>
        </w:tc>
      </w:tr>
      <w:tr w:rsidR="00C84F2A" w:rsidRPr="00C84F2A" w:rsidTr="00D80FCA">
        <w:trPr>
          <w:trHeight w:val="156"/>
        </w:trPr>
        <w:tc>
          <w:tcPr>
            <w:tcW w:w="6380" w:type="dxa"/>
            <w:tcBorders>
              <w:top w:val="single" w:sz="4" w:space="0" w:color="auto"/>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Услуги электросвязи, всего</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369,9</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362,6</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98,0</w:t>
            </w:r>
          </w:p>
        </w:tc>
      </w:tr>
      <w:tr w:rsidR="00C84F2A" w:rsidRPr="00C84F2A" w:rsidTr="00D80FCA">
        <w:trPr>
          <w:trHeight w:val="209"/>
        </w:trPr>
        <w:tc>
          <w:tcPr>
            <w:tcW w:w="6380" w:type="dxa"/>
            <w:tcBorders>
              <w:top w:val="nil"/>
              <w:left w:val="single" w:sz="4" w:space="0" w:color="auto"/>
              <w:bottom w:val="nil"/>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в том числе: </w:t>
            </w:r>
          </w:p>
        </w:tc>
        <w:tc>
          <w:tcPr>
            <w:tcW w:w="1260" w:type="dxa"/>
            <w:tcBorders>
              <w:top w:val="nil"/>
              <w:left w:val="nil"/>
              <w:bottom w:val="nil"/>
              <w:right w:val="single" w:sz="4" w:space="0" w:color="auto"/>
            </w:tcBorders>
            <w:shd w:val="clear" w:color="auto" w:fill="auto"/>
            <w:vAlign w:val="bottom"/>
          </w:tcPr>
          <w:p w:rsidR="00C84F2A" w:rsidRPr="00722024" w:rsidRDefault="00C84F2A" w:rsidP="00C84F2A">
            <w:pPr>
              <w:spacing w:after="0" w:line="240" w:lineRule="auto"/>
              <w:rPr>
                <w:rFonts w:ascii="Times New Roman" w:hAnsi="Times New Roman"/>
              </w:rPr>
            </w:pPr>
            <w:r w:rsidRPr="00722024">
              <w:rPr>
                <w:rFonts w:ascii="Times New Roman" w:hAnsi="Times New Roman"/>
              </w:rPr>
              <w:t> </w:t>
            </w:r>
          </w:p>
        </w:tc>
        <w:tc>
          <w:tcPr>
            <w:tcW w:w="1098" w:type="dxa"/>
            <w:tcBorders>
              <w:top w:val="nil"/>
              <w:left w:val="nil"/>
              <w:bottom w:val="nil"/>
              <w:right w:val="single" w:sz="4" w:space="0" w:color="auto"/>
            </w:tcBorders>
            <w:shd w:val="clear" w:color="auto" w:fill="auto"/>
            <w:vAlign w:val="bottom"/>
          </w:tcPr>
          <w:p w:rsidR="00C84F2A" w:rsidRPr="00722024" w:rsidRDefault="00C84F2A" w:rsidP="00C84F2A">
            <w:pPr>
              <w:spacing w:after="0" w:line="240" w:lineRule="auto"/>
              <w:rPr>
                <w:rFonts w:ascii="Times New Roman" w:hAnsi="Times New Roman"/>
              </w:rPr>
            </w:pPr>
            <w:r w:rsidRPr="00722024">
              <w:rPr>
                <w:rFonts w:ascii="Times New Roman" w:hAnsi="Times New Roman"/>
              </w:rPr>
              <w:t> </w:t>
            </w:r>
          </w:p>
        </w:tc>
        <w:tc>
          <w:tcPr>
            <w:tcW w:w="1327" w:type="dxa"/>
            <w:tcBorders>
              <w:top w:val="nil"/>
              <w:left w:val="nil"/>
              <w:bottom w:val="nil"/>
              <w:right w:val="single" w:sz="4" w:space="0" w:color="auto"/>
            </w:tcBorders>
            <w:shd w:val="clear" w:color="auto" w:fill="auto"/>
            <w:vAlign w:val="bottom"/>
          </w:tcPr>
          <w:p w:rsidR="00C84F2A" w:rsidRPr="00722024" w:rsidRDefault="00C84F2A" w:rsidP="00C84F2A">
            <w:pPr>
              <w:spacing w:after="0" w:line="240" w:lineRule="auto"/>
              <w:rPr>
                <w:rFonts w:ascii="Times New Roman" w:hAnsi="Times New Roman"/>
              </w:rPr>
            </w:pPr>
          </w:p>
        </w:tc>
      </w:tr>
      <w:tr w:rsidR="00C84F2A" w:rsidRPr="00C84F2A" w:rsidTr="00D80FCA">
        <w:trPr>
          <w:trHeight w:val="111"/>
        </w:trPr>
        <w:tc>
          <w:tcPr>
            <w:tcW w:w="6380" w:type="dxa"/>
            <w:tcBorders>
              <w:top w:val="nil"/>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 Фиксированная связь </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99,9</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90,4</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90,5</w:t>
            </w:r>
          </w:p>
        </w:tc>
      </w:tr>
      <w:tr w:rsidR="00C84F2A" w:rsidRPr="00C84F2A" w:rsidTr="00D80FCA">
        <w:trPr>
          <w:trHeight w:val="149"/>
        </w:trPr>
        <w:tc>
          <w:tcPr>
            <w:tcW w:w="6380" w:type="dxa"/>
            <w:tcBorders>
              <w:top w:val="nil"/>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 Мобильная связь</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134,3</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132,9</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99,0</w:t>
            </w:r>
          </w:p>
        </w:tc>
      </w:tr>
      <w:tr w:rsidR="00C84F2A" w:rsidRPr="00C84F2A" w:rsidTr="00D80FCA">
        <w:trPr>
          <w:trHeight w:val="193"/>
        </w:trPr>
        <w:tc>
          <w:tcPr>
            <w:tcW w:w="6380" w:type="dxa"/>
            <w:tcBorders>
              <w:top w:val="nil"/>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 Услуги по передаче данных и доступа к глобальной сети Интернет или к информационным ресурсам - всего </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89,6</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94,7</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105,7</w:t>
            </w:r>
          </w:p>
        </w:tc>
      </w:tr>
      <w:tr w:rsidR="00C84F2A" w:rsidRPr="00C84F2A" w:rsidTr="00D80FCA">
        <w:trPr>
          <w:trHeight w:val="193"/>
        </w:trPr>
        <w:tc>
          <w:tcPr>
            <w:tcW w:w="6380" w:type="dxa"/>
            <w:tcBorders>
              <w:top w:val="nil"/>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 Услуги для целей телевизионного вещания - всего</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28,3</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29,9</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105,7</w:t>
            </w:r>
          </w:p>
        </w:tc>
      </w:tr>
      <w:tr w:rsidR="00C84F2A" w:rsidRPr="00C84F2A" w:rsidTr="00D80FCA">
        <w:trPr>
          <w:trHeight w:val="149"/>
        </w:trPr>
        <w:tc>
          <w:tcPr>
            <w:tcW w:w="6380" w:type="dxa"/>
            <w:tcBorders>
              <w:top w:val="nil"/>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 Услуги для целей радиовещания - всего </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17,0</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13,7</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80,6</w:t>
            </w:r>
          </w:p>
        </w:tc>
      </w:tr>
      <w:tr w:rsidR="00C84F2A" w:rsidRPr="00C84F2A" w:rsidTr="00D80FCA">
        <w:trPr>
          <w:trHeight w:val="149"/>
        </w:trPr>
        <w:tc>
          <w:tcPr>
            <w:tcW w:w="6380" w:type="dxa"/>
            <w:tcBorders>
              <w:top w:val="nil"/>
              <w:left w:val="single" w:sz="4" w:space="0" w:color="auto"/>
              <w:bottom w:val="single" w:sz="4" w:space="0" w:color="auto"/>
              <w:right w:val="single" w:sz="4" w:space="0" w:color="auto"/>
            </w:tcBorders>
            <w:shd w:val="clear" w:color="auto" w:fill="FFFFFF"/>
          </w:tcPr>
          <w:p w:rsidR="00C84F2A" w:rsidRPr="00722024" w:rsidRDefault="00C84F2A" w:rsidP="00C84F2A">
            <w:pPr>
              <w:spacing w:after="0" w:line="240" w:lineRule="auto"/>
              <w:rPr>
                <w:rFonts w:ascii="Times New Roman" w:hAnsi="Times New Roman"/>
              </w:rPr>
            </w:pPr>
            <w:r w:rsidRPr="00722024">
              <w:rPr>
                <w:rFonts w:ascii="Times New Roman" w:hAnsi="Times New Roman"/>
              </w:rPr>
              <w:t xml:space="preserve"> Другие услуги телерадиовещания (обеспечение использования радиочастотного ресурса) и подвижной радиоэлектросвязи </w:t>
            </w:r>
          </w:p>
        </w:tc>
        <w:tc>
          <w:tcPr>
            <w:tcW w:w="1260"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0,6</w:t>
            </w:r>
          </w:p>
        </w:tc>
        <w:tc>
          <w:tcPr>
            <w:tcW w:w="1098"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bCs/>
              </w:rPr>
            </w:pPr>
            <w:r w:rsidRPr="00722024">
              <w:rPr>
                <w:rFonts w:ascii="Times New Roman" w:hAnsi="Times New Roman"/>
                <w:bCs/>
              </w:rPr>
              <w:t>0,9</w:t>
            </w:r>
          </w:p>
        </w:tc>
        <w:tc>
          <w:tcPr>
            <w:tcW w:w="1327" w:type="dxa"/>
            <w:tcBorders>
              <w:top w:val="nil"/>
              <w:left w:val="nil"/>
              <w:bottom w:val="single" w:sz="4" w:space="0" w:color="auto"/>
              <w:right w:val="single" w:sz="4" w:space="0" w:color="auto"/>
            </w:tcBorders>
            <w:shd w:val="clear" w:color="auto" w:fill="auto"/>
            <w:vAlign w:val="bottom"/>
          </w:tcPr>
          <w:p w:rsidR="00C84F2A" w:rsidRPr="00722024" w:rsidRDefault="00C84F2A" w:rsidP="00C84F2A">
            <w:pPr>
              <w:spacing w:after="0" w:line="240" w:lineRule="auto"/>
              <w:jc w:val="right"/>
              <w:rPr>
                <w:rFonts w:ascii="Times New Roman" w:hAnsi="Times New Roman"/>
              </w:rPr>
            </w:pPr>
            <w:r w:rsidRPr="00722024">
              <w:rPr>
                <w:rFonts w:ascii="Times New Roman" w:hAnsi="Times New Roman"/>
              </w:rPr>
              <w:t>в 1,5 р.</w:t>
            </w:r>
          </w:p>
        </w:tc>
      </w:tr>
    </w:tbl>
    <w:p w:rsidR="00C84F2A" w:rsidRPr="00C84F2A" w:rsidRDefault="00C84F2A" w:rsidP="00C84F2A">
      <w:pPr>
        <w:ind w:left="-284"/>
      </w:pPr>
      <w:r w:rsidRPr="00C84F2A">
        <w:rPr>
          <w:noProof/>
        </w:rPr>
        <w:drawing>
          <wp:inline distT="0" distB="0" distL="0" distR="0">
            <wp:extent cx="3057525" cy="2562225"/>
            <wp:effectExtent l="19050" t="0" r="0"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C84F2A">
        <w:rPr>
          <w:noProof/>
        </w:rPr>
        <w:drawing>
          <wp:inline distT="0" distB="0" distL="0" distR="0">
            <wp:extent cx="3009900" cy="2533650"/>
            <wp:effectExtent l="19050" t="0" r="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84F2A" w:rsidRPr="00C84F2A" w:rsidRDefault="00C84F2A" w:rsidP="00C84F2A">
      <w:pPr>
        <w:spacing w:after="0" w:line="240" w:lineRule="auto"/>
        <w:ind w:firstLine="851"/>
        <w:jc w:val="both"/>
        <w:rPr>
          <w:rFonts w:ascii="Times New Roman" w:hAnsi="Times New Roman"/>
          <w:sz w:val="24"/>
          <w:szCs w:val="24"/>
        </w:rPr>
      </w:pPr>
      <w:r w:rsidRPr="00C84F2A">
        <w:rPr>
          <w:rFonts w:ascii="Times New Roman" w:hAnsi="Times New Roman"/>
          <w:sz w:val="24"/>
          <w:szCs w:val="24"/>
        </w:rPr>
        <w:t xml:space="preserve">В структуре доходов от предоставления услуг электросвязи наибольший удельный вес продолжают занимать доходы от предоставления услуг мобильной связи – 36,7%. Вторыми по объему доходов являются доходы от предоставления услуг фиксированной связи – 24,9%. Однако, по сравнению с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полугодием 2014 года их доля </w:t>
      </w:r>
      <w:r w:rsidRPr="00C84F2A">
        <w:rPr>
          <w:rFonts w:ascii="Times New Roman" w:hAnsi="Times New Roman"/>
          <w:sz w:val="24"/>
          <w:szCs w:val="24"/>
        </w:rPr>
        <w:lastRenderedPageBreak/>
        <w:t xml:space="preserve">сократилась (на 2,1%). 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наблюдался рост доходов от предоставления таких услуг, как: услуги по передаче данных на 5,7% (+ 5,1 млн. руб.) и услуги телевизионного вещания на 5,4% (+ 1,6 млн. руб.).</w:t>
      </w:r>
    </w:p>
    <w:p w:rsidR="00C84F2A" w:rsidRPr="00C84F2A" w:rsidRDefault="00C84F2A" w:rsidP="00C84F2A">
      <w:pPr>
        <w:spacing w:after="0" w:line="240" w:lineRule="auto"/>
        <w:ind w:firstLine="851"/>
        <w:jc w:val="both"/>
        <w:rPr>
          <w:rFonts w:ascii="Times New Roman" w:hAnsi="Times New Roman"/>
          <w:sz w:val="24"/>
          <w:szCs w:val="24"/>
        </w:rPr>
      </w:pPr>
      <w:r w:rsidRPr="00C84F2A">
        <w:rPr>
          <w:rFonts w:ascii="Times New Roman" w:hAnsi="Times New Roman"/>
          <w:sz w:val="24"/>
          <w:szCs w:val="24"/>
        </w:rPr>
        <w:t xml:space="preserve">В сфере оказания услуг электросвязи лидером, по-прежнему, остается                  СЗАО «Интерднестрком», на долю которого приходится 341,6 млн. руб. (в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 344,1 млн. руб.) или 94,2% суммарного дохода от предоставления услуг электросвязи.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СЗАО «Интерднестрком» также остается самым крупным оператором фиксированной связи, занимающий наибольший удельный вес по использованию монтированной емкости (97,6% от общего объема).</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bCs/>
          <w:sz w:val="24"/>
          <w:szCs w:val="24"/>
        </w:rPr>
        <w:t xml:space="preserve">За </w:t>
      </w:r>
      <w:r w:rsidRPr="00C84F2A">
        <w:rPr>
          <w:rFonts w:ascii="Times New Roman" w:hAnsi="Times New Roman"/>
          <w:bCs/>
          <w:sz w:val="24"/>
          <w:szCs w:val="24"/>
          <w:lang w:val="en-US"/>
        </w:rPr>
        <w:t>I</w:t>
      </w:r>
      <w:r w:rsidRPr="00C84F2A">
        <w:rPr>
          <w:rFonts w:ascii="Times New Roman" w:hAnsi="Times New Roman"/>
          <w:bCs/>
          <w:sz w:val="24"/>
          <w:szCs w:val="24"/>
        </w:rPr>
        <w:t xml:space="preserve"> полугодие 2015 года в республике было зарегистрировано </w:t>
      </w:r>
      <w:r w:rsidRPr="00C84F2A">
        <w:rPr>
          <w:rFonts w:ascii="Times New Roman" w:hAnsi="Times New Roman"/>
          <w:sz w:val="24"/>
          <w:szCs w:val="24"/>
        </w:rPr>
        <w:t>197 973 абонента, что на 4 669 абонента (2,3%) меньше, чем за I полугодие 2014 года. Из общего числа зарегистрированных - 153 787 абонентов (77,7%) проживают в городских населенных пунктах, 44 186 абонентов (22,3%) - в сельских населенных пунктах.</w:t>
      </w:r>
    </w:p>
    <w:p w:rsidR="00C84F2A" w:rsidRPr="00C84F2A" w:rsidRDefault="00C84F2A" w:rsidP="00C84F2A">
      <w:pPr>
        <w:spacing w:after="0" w:line="240" w:lineRule="auto"/>
        <w:ind w:firstLine="709"/>
        <w:contextualSpacing/>
        <w:jc w:val="both"/>
      </w:pPr>
      <w:r w:rsidRPr="00C84F2A">
        <w:rPr>
          <w:rFonts w:ascii="Times New Roman" w:hAnsi="Times New Roman"/>
          <w:sz w:val="24"/>
          <w:szCs w:val="24"/>
        </w:rPr>
        <w:t>Количество основных проводных телефонных аппаратов по городской телефонной сети осталось на уровне прошлого года и составило 153 061 шт., всего проводных телефонов сельской телефонной сети также не изменилось и составило 43 097 шт.</w:t>
      </w:r>
    </w:p>
    <w:p w:rsidR="00C84F2A" w:rsidRPr="00C84F2A" w:rsidRDefault="00C84F2A" w:rsidP="00C84F2A">
      <w:pPr>
        <w:spacing w:after="0" w:line="240" w:lineRule="auto"/>
        <w:ind w:firstLine="709"/>
        <w:contextualSpacing/>
        <w:jc w:val="both"/>
        <w:rPr>
          <w:rFonts w:ascii="Times New Roman" w:hAnsi="Times New Roman"/>
          <w:sz w:val="24"/>
          <w:szCs w:val="24"/>
        </w:rPr>
      </w:pPr>
      <w:r w:rsidRPr="00C84F2A">
        <w:rPr>
          <w:rFonts w:ascii="Times New Roman" w:hAnsi="Times New Roman"/>
          <w:sz w:val="24"/>
          <w:szCs w:val="24"/>
        </w:rPr>
        <w:t>Наибольший удельный вес (67,3%) в голосовом трафике в сетях фиксированной связи принадлежит трафику в фиксированных местных сетях, соединения с абонентами сотовой мобильной связи составляют 24,4%, трафик к междугородным сетям и трафик к международным сетям составляют соответственно 4,8% и 3,5%.</w:t>
      </w:r>
    </w:p>
    <w:p w:rsidR="00C84F2A" w:rsidRPr="00C84F2A" w:rsidRDefault="00C84F2A" w:rsidP="00C84F2A">
      <w:pPr>
        <w:spacing w:after="0" w:line="240" w:lineRule="auto"/>
        <w:ind w:left="-709"/>
        <w:contextualSpacing/>
        <w:jc w:val="both"/>
        <w:rPr>
          <w:rFonts w:ascii="Times New Roman" w:hAnsi="Times New Roman"/>
          <w:sz w:val="24"/>
          <w:szCs w:val="24"/>
        </w:rPr>
      </w:pPr>
      <w:r w:rsidRPr="00C84F2A">
        <w:rPr>
          <w:rFonts w:ascii="Times New Roman" w:hAnsi="Times New Roman"/>
          <w:noProof/>
          <w:sz w:val="20"/>
          <w:szCs w:val="20"/>
        </w:rPr>
        <w:drawing>
          <wp:inline distT="0" distB="0" distL="0" distR="0">
            <wp:extent cx="3295650" cy="2438400"/>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3293891" cy="2437098"/>
                    </a:xfrm>
                    <a:prstGeom prst="rect">
                      <a:avLst/>
                    </a:prstGeom>
                    <a:noFill/>
                    <a:ln w="9525">
                      <a:noFill/>
                      <a:miter lim="800000"/>
                      <a:headEnd/>
                      <a:tailEnd/>
                    </a:ln>
                  </pic:spPr>
                </pic:pic>
              </a:graphicData>
            </a:graphic>
          </wp:inline>
        </w:drawing>
      </w:r>
      <w:r w:rsidRPr="00C84F2A">
        <w:rPr>
          <w:noProof/>
        </w:rPr>
        <w:drawing>
          <wp:inline distT="0" distB="0" distL="0" distR="0">
            <wp:extent cx="3076575" cy="2438400"/>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3076575" cy="2438400"/>
                    </a:xfrm>
                    <a:prstGeom prst="rect">
                      <a:avLst/>
                    </a:prstGeom>
                    <a:noFill/>
                    <a:ln w="9525">
                      <a:noFill/>
                      <a:miter lim="800000"/>
                      <a:headEnd/>
                      <a:tailEnd/>
                    </a:ln>
                  </pic:spPr>
                </pic:pic>
              </a:graphicData>
            </a:graphic>
          </wp:inline>
        </w:drawing>
      </w:r>
    </w:p>
    <w:p w:rsidR="00C84F2A" w:rsidRPr="00C84F2A" w:rsidRDefault="00C84F2A" w:rsidP="00C84F2A">
      <w:pPr>
        <w:spacing w:after="0" w:line="240" w:lineRule="auto"/>
        <w:ind w:firstLine="720"/>
        <w:jc w:val="both"/>
        <w:rPr>
          <w:rFonts w:ascii="Times New Roman" w:hAnsi="Times New Roman"/>
          <w:sz w:val="24"/>
          <w:szCs w:val="24"/>
        </w:rPr>
      </w:pPr>
      <w:r w:rsidRPr="00C84F2A">
        <w:rPr>
          <w:rFonts w:ascii="Times New Roman" w:hAnsi="Times New Roman"/>
          <w:sz w:val="24"/>
          <w:szCs w:val="24"/>
        </w:rPr>
        <w:t xml:space="preserve">За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полугодие 2015 года по сравнению с аналогичным периодом 2014 года количество исходящих местных телефонных соединений по городской и сельской телефонной сети уменьшилось на 10,7% или на 6 868,7 тыс. звонков и составило 57 406,1 тыс. соединений. Продолжительность местных телефонных соединений (исходящий трафик) так же снизилась на 9,5% или на 13 146,4 тыс. минут и составила 124 722,4 тыс. минут. Таким образом, продолжительность одного среднестатистического исходящего разговора абонента местной телефонной сети составляет 2,2 минуты.</w:t>
      </w:r>
    </w:p>
    <w:p w:rsidR="00C84F2A" w:rsidRPr="00C84F2A" w:rsidRDefault="00C84F2A" w:rsidP="00C84F2A">
      <w:pPr>
        <w:spacing w:after="0" w:line="240" w:lineRule="auto"/>
        <w:ind w:firstLine="720"/>
        <w:jc w:val="both"/>
        <w:rPr>
          <w:rFonts w:ascii="Times New Roman" w:hAnsi="Times New Roman"/>
          <w:sz w:val="24"/>
          <w:szCs w:val="24"/>
        </w:rPr>
      </w:pPr>
      <w:r w:rsidRPr="00C84F2A">
        <w:rPr>
          <w:rFonts w:ascii="Times New Roman" w:hAnsi="Times New Roman"/>
          <w:sz w:val="24"/>
          <w:szCs w:val="24"/>
        </w:rPr>
        <w:t xml:space="preserve">Количество исходящих местных телефонных соединений с абонентами сети сотовой мобильной связи уменьшилось на 9,0% и составило 20 808,4 тыс. соединений. Продолжительность исходящего одного среднестатистического разговора абонентов местных телефонных сетей с абонентами сети сотовой мобильной связи составляет               1,2 минуты. </w:t>
      </w:r>
    </w:p>
    <w:p w:rsidR="00C84F2A" w:rsidRPr="00C84F2A" w:rsidRDefault="00C84F2A" w:rsidP="00C84F2A">
      <w:pPr>
        <w:spacing w:after="0" w:line="240" w:lineRule="auto"/>
        <w:ind w:firstLine="709"/>
        <w:jc w:val="both"/>
        <w:rPr>
          <w:rFonts w:ascii="Times New Roman" w:hAnsi="Times New Roman"/>
          <w:b/>
          <w:bCs/>
          <w:sz w:val="24"/>
          <w:szCs w:val="24"/>
        </w:rPr>
      </w:pPr>
      <w:r w:rsidRPr="00C84F2A">
        <w:rPr>
          <w:rFonts w:ascii="Times New Roman" w:hAnsi="Times New Roman"/>
          <w:sz w:val="24"/>
          <w:szCs w:val="24"/>
        </w:rPr>
        <w:t xml:space="preserve">При этом следует отметить, увеличение за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полугодие 2015 года по сравнению с аналогичным периодом 2014 года в республике показателей мобильной сотовой связи.</w:t>
      </w:r>
      <w:r w:rsidRPr="00C84F2A">
        <w:rPr>
          <w:rFonts w:ascii="Times New Roman" w:hAnsi="Times New Roman"/>
          <w:bCs/>
          <w:sz w:val="24"/>
          <w:szCs w:val="24"/>
        </w:rPr>
        <w:t xml:space="preserve"> Число абонентов мобильной сотовой связи по состоянию на 1 июля 2015 года составило 335 207 абонентов и по сравнению с прошлым годом увеличилось на 7,2%.</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общий объем голосового трафика (исходящего и входящего) в мобильных сетях составил 366 900,8 тыс. минут (5 615,0 тыс. часов) и </w:t>
      </w:r>
      <w:r w:rsidRPr="00C84F2A">
        <w:rPr>
          <w:rFonts w:ascii="Times New Roman" w:hAnsi="Times New Roman"/>
          <w:sz w:val="24"/>
          <w:szCs w:val="24"/>
        </w:rPr>
        <w:lastRenderedPageBreak/>
        <w:t>уменьшился по сравнению с аналогичным периодом прошлого года на 2 721,4 тыс. минут (на 0,7%).</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Среднемесячное количество минут (исходящих и входящих), потребленных одним пользователем в мобильных сетях (показатель MОU), 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составляет 182 минуты (3,0 часа) в месяц, сократившись к аналогичному периоду прошлого года на 7,6%. 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из общего</w:t>
      </w:r>
      <w:r w:rsidRPr="00C84F2A">
        <w:rPr>
          <w:rFonts w:ascii="Times New Roman" w:hAnsi="Times New Roman"/>
          <w:b/>
          <w:sz w:val="24"/>
          <w:szCs w:val="24"/>
        </w:rPr>
        <w:t xml:space="preserve"> </w:t>
      </w:r>
      <w:r w:rsidRPr="00C84F2A">
        <w:rPr>
          <w:rFonts w:ascii="Times New Roman" w:hAnsi="Times New Roman"/>
          <w:sz w:val="24"/>
          <w:szCs w:val="24"/>
        </w:rPr>
        <w:t>количества потребленных минут одним пользователем в мобильных сетях соединений по территории Приднестровской Молдавской Республики составляет 173 минуты, что составляет 95,1% общего объема голосового трафика.</w:t>
      </w:r>
    </w:p>
    <w:p w:rsidR="00C84F2A" w:rsidRPr="00C84F2A" w:rsidRDefault="00C84F2A" w:rsidP="00C84F2A">
      <w:pPr>
        <w:autoSpaceDE w:val="0"/>
        <w:autoSpaceDN w:val="0"/>
        <w:adjustRightInd w:val="0"/>
        <w:spacing w:line="240" w:lineRule="auto"/>
        <w:ind w:firstLine="720"/>
        <w:contextualSpacing/>
        <w:jc w:val="both"/>
        <w:rPr>
          <w:rFonts w:ascii="Times New Roman" w:hAnsi="Times New Roman"/>
          <w:sz w:val="24"/>
          <w:szCs w:val="24"/>
        </w:rPr>
      </w:pPr>
      <w:r w:rsidRPr="00C84F2A">
        <w:rPr>
          <w:rFonts w:ascii="Times New Roman" w:hAnsi="Times New Roman"/>
          <w:i/>
          <w:sz w:val="24"/>
          <w:szCs w:val="24"/>
        </w:rPr>
        <w:t>Отрасль почтовой связи</w:t>
      </w:r>
      <w:r w:rsidRPr="00C84F2A">
        <w:rPr>
          <w:rFonts w:ascii="Times New Roman" w:hAnsi="Times New Roman"/>
          <w:sz w:val="28"/>
          <w:szCs w:val="28"/>
        </w:rPr>
        <w:t xml:space="preserve"> </w:t>
      </w:r>
      <w:r w:rsidRPr="00C84F2A">
        <w:rPr>
          <w:rFonts w:ascii="Times New Roman" w:hAnsi="Times New Roman"/>
          <w:sz w:val="24"/>
          <w:szCs w:val="24"/>
        </w:rPr>
        <w:t>является неотъемлемым элементом социальной инфраструктуры государства.</w:t>
      </w:r>
    </w:p>
    <w:p w:rsidR="00C84F2A" w:rsidRPr="00C84F2A" w:rsidRDefault="00C84F2A" w:rsidP="00C84F2A">
      <w:pPr>
        <w:spacing w:after="0" w:line="240" w:lineRule="auto"/>
        <w:ind w:firstLine="709"/>
        <w:contextualSpacing/>
        <w:jc w:val="both"/>
        <w:rPr>
          <w:rFonts w:ascii="Times New Roman" w:hAnsi="Times New Roman"/>
          <w:sz w:val="24"/>
          <w:szCs w:val="24"/>
        </w:rPr>
      </w:pPr>
      <w:r w:rsidRPr="00C84F2A">
        <w:rPr>
          <w:rFonts w:ascii="Times New Roman" w:hAnsi="Times New Roman"/>
          <w:sz w:val="24"/>
          <w:szCs w:val="24"/>
        </w:rPr>
        <w:t>На территории республики услуги почтовой связи оказывают: предприятия государственной формы собственности:</w:t>
      </w:r>
    </w:p>
    <w:p w:rsidR="00C84F2A" w:rsidRPr="00C84F2A" w:rsidRDefault="00C84F2A" w:rsidP="00C84F2A">
      <w:pPr>
        <w:spacing w:after="0" w:line="240" w:lineRule="auto"/>
        <w:ind w:firstLine="709"/>
        <w:contextualSpacing/>
        <w:jc w:val="both"/>
        <w:rPr>
          <w:rFonts w:ascii="Times New Roman" w:hAnsi="Times New Roman"/>
          <w:sz w:val="24"/>
          <w:szCs w:val="24"/>
        </w:rPr>
      </w:pPr>
      <w:r w:rsidRPr="00C84F2A">
        <w:rPr>
          <w:rFonts w:ascii="Times New Roman" w:hAnsi="Times New Roman"/>
          <w:sz w:val="24"/>
          <w:szCs w:val="24"/>
        </w:rPr>
        <w:t>- ГУП «Почта Приднестровья», в состав которого входят 6 дочерних предприятий и ГУП «Марка Приднестровья», а также предприятия негосударственных форм собственности: ООО «СПН» и ООО «Экспресс – Курьер и Компания».</w:t>
      </w:r>
    </w:p>
    <w:p w:rsidR="00C84F2A" w:rsidRPr="00C84F2A" w:rsidRDefault="00C84F2A" w:rsidP="00C84F2A">
      <w:pPr>
        <w:ind w:right="-1"/>
      </w:pPr>
      <w:r w:rsidRPr="00C84F2A">
        <w:rPr>
          <w:noProof/>
        </w:rPr>
        <w:drawing>
          <wp:inline distT="0" distB="0" distL="0" distR="0">
            <wp:extent cx="6143625" cy="2390775"/>
            <wp:effectExtent l="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6155292" cy="2395315"/>
                    </a:xfrm>
                    <a:prstGeom prst="rect">
                      <a:avLst/>
                    </a:prstGeom>
                    <a:noFill/>
                    <a:ln w="9525">
                      <a:noFill/>
                      <a:miter lim="800000"/>
                      <a:headEnd/>
                      <a:tailEnd/>
                    </a:ln>
                  </pic:spPr>
                </pic:pic>
              </a:graphicData>
            </a:graphic>
          </wp:inline>
        </w:drawing>
      </w:r>
    </w:p>
    <w:p w:rsidR="00C84F2A" w:rsidRPr="00C84F2A" w:rsidRDefault="00C84F2A" w:rsidP="00C84F2A">
      <w:pPr>
        <w:spacing w:after="0" w:line="240" w:lineRule="auto"/>
        <w:ind w:firstLine="709"/>
        <w:contextualSpacing/>
        <w:jc w:val="both"/>
        <w:rPr>
          <w:rFonts w:ascii="Times New Roman" w:hAnsi="Times New Roman"/>
          <w:sz w:val="24"/>
          <w:szCs w:val="24"/>
        </w:rPr>
      </w:pPr>
      <w:r w:rsidRPr="00C84F2A">
        <w:rPr>
          <w:rFonts w:ascii="Times New Roman" w:hAnsi="Times New Roman"/>
          <w:sz w:val="24"/>
          <w:szCs w:val="24"/>
        </w:rPr>
        <w:t xml:space="preserve">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w:t>
      </w:r>
      <w:r w:rsidRPr="00C84F2A">
        <w:t xml:space="preserve"> </w:t>
      </w:r>
      <w:r w:rsidRPr="00C84F2A">
        <w:rPr>
          <w:rFonts w:ascii="Times New Roman" w:hAnsi="Times New Roman"/>
          <w:sz w:val="24"/>
          <w:szCs w:val="24"/>
        </w:rPr>
        <w:t>доходы, полученные от всех видов деятельности государственных предприятий почтовой связи (без учета стоимости товаров по цене поставщика), выросли на 10,2% и составили 5 138,3 тыс. руб.</w:t>
      </w:r>
    </w:p>
    <w:p w:rsidR="00C84F2A" w:rsidRPr="00C84F2A" w:rsidRDefault="00C84F2A" w:rsidP="00C84F2A">
      <w:pPr>
        <w:spacing w:after="0" w:line="240" w:lineRule="auto"/>
        <w:ind w:firstLine="709"/>
        <w:contextualSpacing/>
        <w:jc w:val="both"/>
        <w:rPr>
          <w:rFonts w:ascii="Times New Roman" w:hAnsi="Times New Roman"/>
          <w:sz w:val="24"/>
          <w:szCs w:val="24"/>
        </w:rPr>
      </w:pPr>
      <w:r w:rsidRPr="00C84F2A">
        <w:rPr>
          <w:rFonts w:ascii="Times New Roman" w:hAnsi="Times New Roman"/>
          <w:sz w:val="24"/>
          <w:szCs w:val="24"/>
        </w:rPr>
        <w:t>Доходы от основной деятельности государственных предприятий почтовой связи увеличились на 12,7% и составили 2 663,7 тыс. руб.</w:t>
      </w:r>
    </w:p>
    <w:p w:rsidR="00C84F2A" w:rsidRPr="00C84F2A" w:rsidRDefault="00C84F2A" w:rsidP="00C84F2A">
      <w:pPr>
        <w:ind w:right="-1"/>
      </w:pPr>
      <w:r w:rsidRPr="00C84F2A">
        <w:rPr>
          <w:noProof/>
        </w:rPr>
        <w:drawing>
          <wp:inline distT="0" distB="0" distL="0" distR="0">
            <wp:extent cx="5943600" cy="2105025"/>
            <wp:effectExtent l="0" t="0" r="0"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945478" cy="2105690"/>
                    </a:xfrm>
                    <a:prstGeom prst="rect">
                      <a:avLst/>
                    </a:prstGeom>
                    <a:noFill/>
                    <a:ln w="9525">
                      <a:noFill/>
                      <a:miter lim="800000"/>
                      <a:headEnd/>
                      <a:tailEnd/>
                    </a:ln>
                  </pic:spPr>
                </pic:pic>
              </a:graphicData>
            </a:graphic>
          </wp:inline>
        </w:drawing>
      </w:r>
    </w:p>
    <w:p w:rsidR="00C84F2A" w:rsidRPr="00C84F2A" w:rsidRDefault="00C84F2A" w:rsidP="00C84F2A">
      <w:pPr>
        <w:spacing w:after="0" w:line="240" w:lineRule="auto"/>
        <w:ind w:firstLine="709"/>
        <w:contextualSpacing/>
        <w:jc w:val="both"/>
        <w:rPr>
          <w:rFonts w:ascii="Times New Roman" w:hAnsi="Times New Roman"/>
          <w:sz w:val="24"/>
          <w:szCs w:val="24"/>
        </w:rPr>
      </w:pPr>
      <w:r w:rsidRPr="00C84F2A">
        <w:rPr>
          <w:rFonts w:ascii="Times New Roman" w:hAnsi="Times New Roman"/>
          <w:sz w:val="24"/>
          <w:szCs w:val="24"/>
        </w:rPr>
        <w:t>Рост доходов от основной деятельности обеспечили следующие виды услуг:</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а) оказание услуг спецсвязи – на 16,9 %;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б) реализация знаков почтовой оплаты – на 10,9%;</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в) отправления посылок – на 9,5%.</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lastRenderedPageBreak/>
        <w:t>Увеличение доходов от основной деятельности в основном связано с увеличением тарифов.</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Текущие затраты государственных предприятий почтовой связи по основным видам деятельности за I полугодие 2015 года по сравнению с соответствующим периодом 2014 года увеличились на 1,0% и составили 11 844,0 тыс. руб. Доля оплаты труда работников и единого социального налога (ЕСН) в структуре текущих затрат на предоставление услуг по основному виду  деятельности составляет 81,7 % и осталась на уровне прошлого года.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Кредиторская задолженность по оплате труда и единому социальному налогу по состоянию на 1 июля 2015 года после предоставления дотаций с целью погашения задолженности по заработной плате работникам и единого социального налога из республиканского бюджета в сумме 7 887,5 тыс. руб. составила 3 458,9 тыс. руб., (в том числе: задолженность по з/плате - 2 932,3 тыс.руб.; 526,6 тыс.руб. - ЕСН), по сравнению с соответствующим периодом 2014 года увеличилась в 2,4 раза.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Результатом финансово-хозяйственной деятельности государственных предприятий почтовой связи в I полугодии 2015 года явился убыток в размере 1 179,5 тыс. руб., против убытка в сумме 53,5 тыс. руб. по итогам I полугодия 2014 года.</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С целью улучшения финансово-хозяйственной деятельности государственных предприятий почтовой связи осуществляются следующие мероприятия:</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а) внедрение программы по пересылке электронных внутренних денежных переводов (местных и междугородних) с разработкой механизма оплаты данных переводов, что впоследствии приведет к сокращению сроков прохождения денежных переводов по территории ПМР и улучшит качество обслуживания населения;</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б) внедрение системы отслеживания прохождения регистрируемых почтовых отправлений. При условии востребованности данной услуги, объемы и доходы соответственно могут вырасти;</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г) в целях получения дополнительных доходов и компенсации затрат при осуществлении международного почтового обмена рассчитан и введен тариф на предоставление отправлений на досмотр при осуществлении международного почтового обмена (мелкие пакеты, посылки);</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д) по проведению различных акций, способствующих увеличению получаемых доходов от услуг почтовой связи.</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Основной проблемой государственных предприятий почтовой связи является отсутствие финансовых возможностей для осуществления необходимых работ по реконструкции и капитальному ремонту, приобретению автотранспорта и техническому перевооружению предприятий отрасли.</w:t>
      </w:r>
    </w:p>
    <w:p w:rsidR="003F67B2" w:rsidRPr="00C84F2A" w:rsidRDefault="00C84F2A" w:rsidP="00C84F2A">
      <w:pPr>
        <w:widowControl w:val="0"/>
        <w:spacing w:after="0" w:line="240" w:lineRule="auto"/>
        <w:ind w:right="-55" w:firstLine="709"/>
        <w:jc w:val="both"/>
        <w:rPr>
          <w:rFonts w:ascii="Times New Roman" w:hAnsi="Times New Roman"/>
          <w:sz w:val="24"/>
          <w:szCs w:val="24"/>
        </w:rPr>
      </w:pPr>
      <w:r w:rsidRPr="00C84F2A">
        <w:rPr>
          <w:rFonts w:ascii="Times New Roman" w:hAnsi="Times New Roman"/>
          <w:sz w:val="24"/>
          <w:szCs w:val="24"/>
        </w:rPr>
        <w:t xml:space="preserve">Рынок сектора связи 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несмотря на </w:t>
      </w:r>
      <w:r w:rsidRPr="00C84F2A">
        <w:rPr>
          <w:rFonts w:ascii="Times New Roman" w:hAnsi="Times New Roman"/>
          <w:bCs/>
          <w:sz w:val="24"/>
          <w:szCs w:val="24"/>
        </w:rPr>
        <w:t xml:space="preserve">расширение спектра предоставляемых услуг, повышение их качества, поиск и внедрение новых форм обслуживания населения, </w:t>
      </w:r>
      <w:r w:rsidRPr="00C84F2A">
        <w:rPr>
          <w:rFonts w:ascii="Times New Roman" w:hAnsi="Times New Roman"/>
          <w:sz w:val="24"/>
          <w:szCs w:val="24"/>
        </w:rPr>
        <w:t>гибкой тарифной политики оператора,</w:t>
      </w:r>
      <w:r w:rsidRPr="00C84F2A">
        <w:rPr>
          <w:rFonts w:ascii="Times New Roman" w:hAnsi="Times New Roman"/>
          <w:bCs/>
          <w:sz w:val="24"/>
          <w:szCs w:val="24"/>
        </w:rPr>
        <w:t xml:space="preserve"> а также </w:t>
      </w:r>
      <w:r w:rsidRPr="00C84F2A">
        <w:rPr>
          <w:rFonts w:ascii="Times New Roman" w:hAnsi="Times New Roman"/>
          <w:sz w:val="24"/>
          <w:szCs w:val="24"/>
        </w:rPr>
        <w:t>удовлетворение спроса населения на телекоммуникационные услуги, в совокупности со структурными проблемами в сфере почтовой связи, на фоне сокращения доходов населения, демонстрировал сдержанную динамику показателей.</w:t>
      </w:r>
    </w:p>
    <w:p w:rsidR="003F67B2" w:rsidRDefault="003F67B2" w:rsidP="00335844">
      <w:pPr>
        <w:pStyle w:val="ae"/>
        <w:ind w:firstLine="709"/>
        <w:jc w:val="left"/>
        <w:rPr>
          <w:b/>
          <w:sz w:val="24"/>
          <w:szCs w:val="24"/>
        </w:rPr>
      </w:pPr>
    </w:p>
    <w:p w:rsidR="00335844" w:rsidRPr="00B5791E" w:rsidRDefault="00335844" w:rsidP="00335844">
      <w:pPr>
        <w:spacing w:after="0" w:line="240" w:lineRule="auto"/>
        <w:ind w:firstLine="709"/>
        <w:rPr>
          <w:rFonts w:ascii="Times New Roman" w:hAnsi="Times New Roman"/>
          <w:b/>
          <w:sz w:val="24"/>
          <w:szCs w:val="24"/>
        </w:rPr>
      </w:pPr>
      <w:r w:rsidRPr="00B5791E">
        <w:rPr>
          <w:rFonts w:ascii="Times New Roman" w:hAnsi="Times New Roman"/>
          <w:b/>
          <w:sz w:val="24"/>
          <w:szCs w:val="24"/>
        </w:rPr>
        <w:t>Потребительский рынок</w:t>
      </w:r>
    </w:p>
    <w:p w:rsidR="00335844" w:rsidRPr="00B5791E" w:rsidRDefault="00335844" w:rsidP="00335844">
      <w:pPr>
        <w:spacing w:after="0" w:line="240" w:lineRule="auto"/>
        <w:ind w:firstLine="709"/>
        <w:jc w:val="both"/>
        <w:rPr>
          <w:rFonts w:ascii="Times New Roman" w:hAnsi="Times New Roman"/>
          <w:sz w:val="24"/>
          <w:szCs w:val="24"/>
        </w:rPr>
      </w:pPr>
    </w:p>
    <w:p w:rsidR="00335844" w:rsidRPr="002E6A89" w:rsidRDefault="00335844" w:rsidP="00335844">
      <w:pPr>
        <w:spacing w:after="0" w:line="240" w:lineRule="auto"/>
        <w:ind w:firstLine="709"/>
        <w:jc w:val="both"/>
        <w:rPr>
          <w:rFonts w:ascii="Times New Roman" w:hAnsi="Times New Roman"/>
          <w:sz w:val="24"/>
          <w:szCs w:val="24"/>
        </w:rPr>
      </w:pPr>
      <w:r w:rsidRPr="002E6A89">
        <w:rPr>
          <w:rFonts w:ascii="Times New Roman" w:hAnsi="Times New Roman" w:cs="Sylfaen"/>
          <w:sz w:val="24"/>
        </w:rPr>
        <w:t xml:space="preserve">Ситуация на потребительском рынке республики в январе-июне текущего года </w:t>
      </w:r>
      <w:r w:rsidRPr="002E6A89">
        <w:rPr>
          <w:rFonts w:ascii="Times New Roman" w:hAnsi="Times New Roman"/>
          <w:sz w:val="24"/>
        </w:rPr>
        <w:t xml:space="preserve">формировалась под воздействием совокупности как внешних, так и внутренних факторов. </w:t>
      </w:r>
      <w:r w:rsidRPr="002E6A89">
        <w:rPr>
          <w:rFonts w:ascii="Times New Roman" w:hAnsi="Times New Roman"/>
          <w:sz w:val="24"/>
          <w:szCs w:val="24"/>
        </w:rPr>
        <w:t>Сокращение фонда оплаты труда работающих как в государственном, так и в частном секторе обусловило падение покупательной способности населения. Кроме того, существенная девальвация национальных валют сопредельных стран, являющихся основными поставщиками потребительских товаров на территорию республики, обусловила в условиях стабильности курса приднестровского рубля удешевление импортируемой продукции и усиление конкуренции на внутреннем рынке.</w:t>
      </w:r>
      <w:r w:rsidRPr="002E6A89">
        <w:rPr>
          <w:rFonts w:ascii="Times New Roman" w:hAnsi="Times New Roman"/>
          <w:color w:val="000000"/>
          <w:sz w:val="24"/>
          <w:szCs w:val="24"/>
        </w:rPr>
        <w:t xml:space="preserve"> В результате </w:t>
      </w:r>
      <w:r w:rsidRPr="002E6A89">
        <w:rPr>
          <w:rFonts w:ascii="Times New Roman" w:hAnsi="Times New Roman"/>
          <w:color w:val="000000"/>
          <w:sz w:val="24"/>
          <w:szCs w:val="24"/>
        </w:rPr>
        <w:lastRenderedPageBreak/>
        <w:t>с</w:t>
      </w:r>
      <w:r w:rsidRPr="002E6A89">
        <w:rPr>
          <w:rFonts w:ascii="Times New Roman" w:hAnsi="Times New Roman"/>
          <w:sz w:val="24"/>
          <w:szCs w:val="24"/>
        </w:rPr>
        <w:t xml:space="preserve">овокупный объем продаж товаров и услуг в январе-июне 2015 года составил 3 806,8 млн. руб., сократившись по отношению к показателю первого полугодия 2014 года в сопоставимой оценке на 18,8%, </w:t>
      </w:r>
      <w:r w:rsidRPr="002E6A89">
        <w:rPr>
          <w:rFonts w:ascii="Times New Roman" w:eastAsia="TimesNewRoman" w:hAnsi="Times New Roman"/>
          <w:sz w:val="24"/>
          <w:szCs w:val="24"/>
        </w:rPr>
        <w:t>объемы розничных продаж</w:t>
      </w:r>
      <w:r w:rsidRPr="002E6A89">
        <w:rPr>
          <w:rFonts w:ascii="Times New Roman" w:hAnsi="Times New Roman"/>
          <w:sz w:val="24"/>
          <w:szCs w:val="24"/>
        </w:rPr>
        <w:t xml:space="preserve"> сузились на 22,3%, потребление услуг населением – на 7,6%.</w:t>
      </w:r>
    </w:p>
    <w:p w:rsidR="00335844" w:rsidRPr="002E6A89" w:rsidRDefault="00335844" w:rsidP="00335844">
      <w:r>
        <w:rPr>
          <w:noProof/>
        </w:rPr>
        <w:drawing>
          <wp:inline distT="0" distB="0" distL="0" distR="0">
            <wp:extent cx="5981700" cy="2581275"/>
            <wp:effectExtent l="1905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35844" w:rsidRPr="002E6A89" w:rsidRDefault="00335844" w:rsidP="00335844">
      <w:pPr>
        <w:spacing w:after="0" w:line="240" w:lineRule="auto"/>
        <w:ind w:firstLine="709"/>
        <w:jc w:val="both"/>
        <w:rPr>
          <w:rFonts w:ascii="Times New Roman" w:hAnsi="Times New Roman"/>
          <w:b/>
          <w:sz w:val="24"/>
          <w:szCs w:val="24"/>
        </w:rPr>
      </w:pPr>
      <w:r w:rsidRPr="002E6A89">
        <w:rPr>
          <w:rFonts w:ascii="Times New Roman" w:hAnsi="Times New Roman"/>
          <w:b/>
          <w:sz w:val="24"/>
          <w:szCs w:val="24"/>
        </w:rPr>
        <w:t>Розничная торговля</w:t>
      </w:r>
    </w:p>
    <w:p w:rsidR="00335844" w:rsidRPr="002E6A89" w:rsidRDefault="00335844" w:rsidP="00335844">
      <w:pPr>
        <w:spacing w:after="0" w:line="240" w:lineRule="auto"/>
        <w:ind w:firstLine="709"/>
        <w:jc w:val="both"/>
        <w:rPr>
          <w:rFonts w:ascii="Times New Roman" w:hAnsi="Times New Roman"/>
          <w:sz w:val="24"/>
          <w:szCs w:val="24"/>
        </w:rPr>
      </w:pPr>
    </w:p>
    <w:p w:rsidR="00335844" w:rsidRPr="002E6A89" w:rsidRDefault="00335844" w:rsidP="00335844">
      <w:pPr>
        <w:spacing w:after="0" w:line="240" w:lineRule="auto"/>
        <w:ind w:firstLine="709"/>
        <w:jc w:val="both"/>
        <w:rPr>
          <w:rFonts w:ascii="Times New Roman" w:eastAsia="Calibri" w:hAnsi="Times New Roman"/>
          <w:sz w:val="24"/>
          <w:szCs w:val="24"/>
          <w:lang w:eastAsia="en-US"/>
        </w:rPr>
      </w:pPr>
      <w:r w:rsidRPr="002E6A89">
        <w:rPr>
          <w:rFonts w:ascii="Times New Roman" w:eastAsia="Calibri" w:hAnsi="Times New Roman"/>
          <w:sz w:val="24"/>
          <w:szCs w:val="24"/>
          <w:lang w:eastAsia="en-US"/>
        </w:rPr>
        <w:t>В январе-июне 2015 года сфера розничной торговли характеризовалась сокращением показателей, характеризующих данную сферу. Так, суммарная стоимость приобретённых населением товаров по итогам первых месяцев в текущих ценах уступила базовому показателю 2014 года 24,4%, а с учетом уравновешивания динамики доходов населения и роста цен (в сопоставимых ценах) – 22,3%, составив 2 698,7 млн. руб.</w:t>
      </w:r>
    </w:p>
    <w:p w:rsidR="00335844" w:rsidRPr="002E6A89" w:rsidRDefault="00335844" w:rsidP="00335844">
      <w:pPr>
        <w:spacing w:after="0"/>
        <w:jc w:val="center"/>
        <w:rPr>
          <w:rFonts w:ascii="Times New Roman" w:hAnsi="Times New Roman"/>
          <w:b/>
          <w:sz w:val="24"/>
          <w:szCs w:val="24"/>
        </w:rPr>
      </w:pPr>
    </w:p>
    <w:p w:rsidR="00335844" w:rsidRPr="002E6A89" w:rsidRDefault="00335844" w:rsidP="00335844">
      <w:pPr>
        <w:spacing w:after="0"/>
        <w:jc w:val="center"/>
        <w:rPr>
          <w:rFonts w:ascii="Times New Roman" w:hAnsi="Times New Roman"/>
          <w:b/>
          <w:sz w:val="24"/>
          <w:szCs w:val="24"/>
        </w:rPr>
      </w:pPr>
      <w:r w:rsidRPr="002E6A89">
        <w:rPr>
          <w:rFonts w:ascii="Times New Roman" w:hAnsi="Times New Roman"/>
          <w:b/>
          <w:sz w:val="24"/>
          <w:szCs w:val="24"/>
        </w:rPr>
        <w:t>Динамика розничного товарооборота,%</w:t>
      </w:r>
    </w:p>
    <w:p w:rsidR="00335844" w:rsidRPr="002E6A89" w:rsidRDefault="00335844" w:rsidP="00335844">
      <w:r>
        <w:rPr>
          <w:noProof/>
        </w:rPr>
        <w:drawing>
          <wp:inline distT="0" distB="0" distL="0" distR="0">
            <wp:extent cx="5495925" cy="2343150"/>
            <wp:effectExtent l="1905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7353B" w:rsidRPr="002E6A89" w:rsidRDefault="00335844" w:rsidP="00B0566B">
      <w:pPr>
        <w:spacing w:after="0" w:line="240" w:lineRule="auto"/>
        <w:ind w:firstLine="720"/>
        <w:jc w:val="both"/>
        <w:rPr>
          <w:rFonts w:ascii="Times New Roman" w:eastAsia="Calibri" w:hAnsi="Times New Roman"/>
          <w:sz w:val="24"/>
          <w:szCs w:val="24"/>
          <w:lang w:eastAsia="en-US"/>
        </w:rPr>
      </w:pPr>
      <w:r w:rsidRPr="002E6A89">
        <w:rPr>
          <w:rFonts w:ascii="Times New Roman" w:eastAsia="Calibri" w:hAnsi="Times New Roman"/>
          <w:noProof/>
          <w:sz w:val="24"/>
          <w:szCs w:val="24"/>
          <w:lang w:eastAsia="en-US"/>
        </w:rPr>
        <w:t xml:space="preserve">Снижение доходов населения в совокупности с </w:t>
      </w:r>
      <w:r w:rsidRPr="002E6A89">
        <w:rPr>
          <w:rFonts w:ascii="Times New Roman" w:eastAsia="Calibri" w:hAnsi="Times New Roman"/>
          <w:sz w:val="24"/>
          <w:szCs w:val="24"/>
          <w:lang w:eastAsia="en-US"/>
        </w:rPr>
        <w:t>ценовой дефляцией в сегменте продовольственных товаров («-»1,41%) и непродовольственных товаров («-»1,62%) обусловило снижение реализации продовольственных товаров на 17,2% до 1 270,7 млн. руб. Объем приобретения населением товаров длительного пользования (непродовольственные товары) в сопоставимой оценке сократился на 26,3%, сформировав 1 428 млн. руб. совокупной емкости товарного рынка. На фоне более активного сокращения реализации непродовольственных товаров их долевое представительство в товарной структуре розничных продаж снизилось до 52,9% против 56,0% в январе-июне 2014 года, при этом доля реализации продуктов питания расширилась до 47,1% против 44,0% в базовом периоде минувшего года.</w:t>
      </w:r>
    </w:p>
    <w:p w:rsidR="00335844" w:rsidRPr="002E6A89" w:rsidRDefault="00335844" w:rsidP="00335844">
      <w:pPr>
        <w:spacing w:after="0" w:line="240" w:lineRule="auto"/>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6057900" cy="2038350"/>
            <wp:effectExtent l="0" t="0" r="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35844" w:rsidRPr="002E6A89" w:rsidRDefault="00335844" w:rsidP="00335844">
      <w:pPr>
        <w:spacing w:after="0" w:line="240" w:lineRule="auto"/>
        <w:ind w:firstLine="709"/>
        <w:jc w:val="both"/>
        <w:rPr>
          <w:rFonts w:ascii="Times New Roman" w:eastAsia="Calibri" w:hAnsi="Times New Roman"/>
          <w:sz w:val="24"/>
          <w:szCs w:val="24"/>
          <w:lang w:eastAsia="en-US"/>
        </w:rPr>
      </w:pPr>
      <w:r w:rsidRPr="002E6A89">
        <w:rPr>
          <w:rFonts w:ascii="Times New Roman" w:eastAsia="Calibri" w:hAnsi="Times New Roman"/>
          <w:sz w:val="24"/>
          <w:szCs w:val="24"/>
          <w:lang w:eastAsia="en-US"/>
        </w:rPr>
        <w:t>При этом, основная часть товарооборота (98,0%) была сформирована негосударственными организациями, включая физических лиц, в том числе на субъекты предпринимательства приходилось по оценке порядка 23,6% от общего объема розничных продаж.</w:t>
      </w:r>
    </w:p>
    <w:p w:rsidR="00335844" w:rsidRPr="002E6A89" w:rsidRDefault="00335844" w:rsidP="00335844">
      <w:pPr>
        <w:autoSpaceDE w:val="0"/>
        <w:autoSpaceDN w:val="0"/>
        <w:adjustRightInd w:val="0"/>
        <w:ind w:firstLine="708"/>
        <w:jc w:val="center"/>
        <w:rPr>
          <w:rFonts w:ascii="Times New Roman" w:hAnsi="Times New Roman"/>
          <w:b/>
          <w:spacing w:val="4"/>
          <w:sz w:val="24"/>
          <w:szCs w:val="24"/>
        </w:rPr>
      </w:pPr>
      <w:r w:rsidRPr="002E6A89">
        <w:rPr>
          <w:rFonts w:ascii="Times New Roman" w:hAnsi="Times New Roman"/>
          <w:b/>
          <w:spacing w:val="4"/>
          <w:sz w:val="24"/>
          <w:szCs w:val="24"/>
        </w:rPr>
        <w:t>Структура розничного товарооборота по формам собственности, %</w:t>
      </w:r>
    </w:p>
    <w:p w:rsidR="00335844" w:rsidRPr="002E6A89" w:rsidRDefault="00335844" w:rsidP="0033584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2428875" cy="2428875"/>
            <wp:effectExtent l="19050" t="0" r="0" b="0"/>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Times New Roman" w:eastAsia="Calibri" w:hAnsi="Times New Roman"/>
          <w:noProof/>
          <w:sz w:val="24"/>
          <w:szCs w:val="24"/>
        </w:rPr>
        <w:drawing>
          <wp:inline distT="0" distB="0" distL="0" distR="0">
            <wp:extent cx="2838450" cy="2343150"/>
            <wp:effectExtent l="19050" t="0" r="0" b="0"/>
            <wp:docPr id="1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35844" w:rsidRPr="002E6A89" w:rsidRDefault="00335844" w:rsidP="00335844">
      <w:pPr>
        <w:widowControl w:val="0"/>
        <w:spacing w:after="0" w:line="240" w:lineRule="auto"/>
        <w:ind w:firstLine="720"/>
        <w:jc w:val="both"/>
        <w:rPr>
          <w:rFonts w:ascii="Times New Roman" w:eastAsia="Calibri" w:hAnsi="Times New Roman"/>
          <w:sz w:val="24"/>
          <w:szCs w:val="24"/>
          <w:lang w:eastAsia="en-US"/>
        </w:rPr>
      </w:pPr>
      <w:r w:rsidRPr="002E6A89">
        <w:rPr>
          <w:rFonts w:ascii="Times New Roman" w:eastAsia="Calibri" w:hAnsi="Times New Roman"/>
          <w:sz w:val="24"/>
          <w:szCs w:val="24"/>
          <w:lang w:eastAsia="en-US"/>
        </w:rPr>
        <w:t xml:space="preserve">В сегменте общественного питания в январе-июне 2015 года также наблюдается тенденция сужения спроса на услуги организаций отрасли. Так, абсолютная величина выручки </w:t>
      </w:r>
      <w:r w:rsidRPr="002E6A89">
        <w:rPr>
          <w:rFonts w:ascii="Times New Roman" w:eastAsia="Calibri" w:hAnsi="Times New Roman"/>
          <w:b/>
          <w:sz w:val="24"/>
          <w:szCs w:val="24"/>
          <w:lang w:eastAsia="en-US"/>
        </w:rPr>
        <w:t>организаций</w:t>
      </w:r>
      <w:r w:rsidRPr="002E6A89">
        <w:rPr>
          <w:rFonts w:ascii="Sylfaen" w:eastAsia="Calibri" w:hAnsi="Sylfaen"/>
          <w:b/>
          <w:sz w:val="24"/>
          <w:szCs w:val="24"/>
          <w:lang w:eastAsia="en-US"/>
        </w:rPr>
        <w:t xml:space="preserve"> </w:t>
      </w:r>
      <w:r w:rsidRPr="002E6A89">
        <w:rPr>
          <w:rFonts w:ascii="Times New Roman" w:eastAsia="Calibri" w:hAnsi="Times New Roman"/>
          <w:b/>
          <w:sz w:val="24"/>
          <w:szCs w:val="24"/>
          <w:lang w:eastAsia="en-US"/>
        </w:rPr>
        <w:t>общественного питания</w:t>
      </w:r>
      <w:r w:rsidRPr="002E6A89">
        <w:rPr>
          <w:rFonts w:ascii="Times New Roman" w:eastAsia="Calibri" w:hAnsi="Times New Roman"/>
          <w:sz w:val="24"/>
          <w:szCs w:val="24"/>
          <w:lang w:eastAsia="en-US"/>
        </w:rPr>
        <w:t xml:space="preserve"> составила 81,6 млн. руб. («-»14,4% в сопоставимых ценах). </w:t>
      </w:r>
    </w:p>
    <w:p w:rsidR="00335844" w:rsidRPr="002E6A89" w:rsidRDefault="00335844" w:rsidP="00335844">
      <w:pPr>
        <w:widowControl w:val="0"/>
        <w:spacing w:after="0" w:line="240" w:lineRule="auto"/>
        <w:ind w:firstLine="720"/>
        <w:jc w:val="both"/>
        <w:rPr>
          <w:rFonts w:ascii="Times New Roman" w:eastAsia="Calibri" w:hAnsi="Times New Roman"/>
          <w:sz w:val="24"/>
          <w:szCs w:val="24"/>
          <w:lang w:eastAsia="en-US"/>
        </w:rPr>
      </w:pPr>
      <w:r w:rsidRPr="002E6A89">
        <w:rPr>
          <w:rFonts w:ascii="Times New Roman" w:eastAsia="Calibri" w:hAnsi="Times New Roman"/>
          <w:sz w:val="24"/>
          <w:szCs w:val="24"/>
          <w:lang w:eastAsia="en-US"/>
        </w:rPr>
        <w:t>Доминирующая доля емкости оборота организаций общественного питания (75,1%) по итогам января-июня 2015 года была сформирована в организациях негосударственной формы собственности, с сокращением объема («-»19,1%). На долю государственных и муниципальных организаций в рассматриваемом периоде приходилось соответственно 24,9% товарооборота общественного питания.</w:t>
      </w:r>
    </w:p>
    <w:p w:rsidR="00335844" w:rsidRPr="002E6A89" w:rsidRDefault="00335844" w:rsidP="00335844">
      <w:pPr>
        <w:widowControl w:val="0"/>
        <w:spacing w:after="0" w:line="240" w:lineRule="auto"/>
        <w:ind w:firstLine="709"/>
        <w:jc w:val="both"/>
        <w:rPr>
          <w:rFonts w:ascii="Times New Roman" w:eastAsia="Calibri" w:hAnsi="Times New Roman"/>
          <w:sz w:val="24"/>
          <w:szCs w:val="24"/>
          <w:lang w:eastAsia="en-US"/>
        </w:rPr>
      </w:pPr>
    </w:p>
    <w:p w:rsidR="00335844" w:rsidRDefault="00335844" w:rsidP="00335844">
      <w:pPr>
        <w:spacing w:after="0" w:line="240" w:lineRule="auto"/>
        <w:ind w:firstLine="709"/>
        <w:rPr>
          <w:rFonts w:ascii="Times New Roman" w:hAnsi="Times New Roman"/>
          <w:b/>
          <w:sz w:val="24"/>
          <w:szCs w:val="24"/>
        </w:rPr>
      </w:pPr>
      <w:r w:rsidRPr="002E6A89">
        <w:rPr>
          <w:rFonts w:ascii="Times New Roman" w:hAnsi="Times New Roman"/>
          <w:b/>
          <w:sz w:val="24"/>
          <w:szCs w:val="24"/>
        </w:rPr>
        <w:t>Рынок платных услуг населению</w:t>
      </w:r>
    </w:p>
    <w:p w:rsidR="00335844" w:rsidRPr="002E6A89" w:rsidRDefault="00335844" w:rsidP="00335844">
      <w:pPr>
        <w:spacing w:after="0" w:line="240" w:lineRule="auto"/>
        <w:ind w:firstLine="709"/>
        <w:rPr>
          <w:rFonts w:ascii="Times New Roman" w:hAnsi="Times New Roman"/>
          <w:b/>
          <w:sz w:val="24"/>
          <w:szCs w:val="24"/>
        </w:rPr>
      </w:pPr>
    </w:p>
    <w:p w:rsidR="00B830EB" w:rsidRPr="00E7353B" w:rsidRDefault="00335844" w:rsidP="005B5A6A">
      <w:pPr>
        <w:spacing w:after="0" w:line="240" w:lineRule="auto"/>
        <w:ind w:firstLine="709"/>
        <w:jc w:val="both"/>
        <w:rPr>
          <w:rFonts w:ascii="Times New Roman" w:hAnsi="Times New Roman"/>
          <w:sz w:val="24"/>
          <w:szCs w:val="24"/>
        </w:rPr>
      </w:pPr>
      <w:r w:rsidRPr="002E6A89">
        <w:rPr>
          <w:rFonts w:ascii="Times New Roman" w:hAnsi="Times New Roman"/>
          <w:sz w:val="24"/>
          <w:szCs w:val="24"/>
        </w:rPr>
        <w:t>Спрос населения на платные услуги, стимулируемый как изменениями в поведении населения в условиях снижения денежных доходов, так и необходимостью потребления тех услуг, которые оказываются на платной основе (бытовые услуги, жилищные, коммунальные, услуги связи, культуры и т.д.) сократился в январе-июне 2015 года по отношению к сопоставимому показателю 2014 года на 7,6%. При этом абсолютная стоимость услуг, оказанных населению через все каналы реализации, составила</w:t>
      </w:r>
      <w:r w:rsidRPr="002E6A89">
        <w:rPr>
          <w:rFonts w:ascii="Times New Roman" w:hAnsi="Times New Roman"/>
          <w:sz w:val="24"/>
          <w:szCs w:val="24"/>
        </w:rPr>
        <w:br/>
        <w:t>1 108,1 млн. руб. Кроме того, определённое влияние на определившуюся динамику оказало принятое на государственном уровне решение о снижении с марта текущего года предельных уровней тарифов в сфере ЖКХ в среднем на 7,0% к уровню установленных тарифов на 2015 год.</w:t>
      </w:r>
    </w:p>
    <w:p w:rsidR="00335844" w:rsidRPr="002E6A89" w:rsidRDefault="00335844" w:rsidP="00335844">
      <w:pPr>
        <w:spacing w:after="0" w:line="240" w:lineRule="auto"/>
        <w:ind w:firstLine="709"/>
        <w:jc w:val="center"/>
        <w:rPr>
          <w:rFonts w:ascii="Times New Roman" w:hAnsi="Times New Roman"/>
          <w:b/>
          <w:sz w:val="24"/>
          <w:szCs w:val="24"/>
        </w:rPr>
      </w:pPr>
      <w:r w:rsidRPr="002E6A89">
        <w:rPr>
          <w:rFonts w:ascii="Times New Roman" w:hAnsi="Times New Roman"/>
          <w:b/>
          <w:sz w:val="24"/>
          <w:szCs w:val="24"/>
        </w:rPr>
        <w:lastRenderedPageBreak/>
        <w:t>Динамика платных услуг населению (в процентах к предыдущему году)</w:t>
      </w:r>
    </w:p>
    <w:p w:rsidR="00335844" w:rsidRPr="002E6A89" w:rsidRDefault="00335844" w:rsidP="00335844">
      <w:pPr>
        <w:widowControl w:val="0"/>
        <w:spacing w:after="0" w:line="240" w:lineRule="auto"/>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810250" cy="2143125"/>
            <wp:effectExtent l="1905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35844" w:rsidRPr="002E6A89" w:rsidRDefault="00335844" w:rsidP="00335844">
      <w:pPr>
        <w:spacing w:after="0" w:line="240" w:lineRule="auto"/>
        <w:ind w:firstLine="709"/>
        <w:jc w:val="both"/>
        <w:rPr>
          <w:rFonts w:ascii="Times New Roman" w:eastAsia="Calibri" w:hAnsi="Times New Roman"/>
          <w:sz w:val="24"/>
          <w:szCs w:val="24"/>
          <w:lang w:eastAsia="en-US"/>
        </w:rPr>
      </w:pPr>
      <w:r w:rsidRPr="002E6A89">
        <w:rPr>
          <w:rFonts w:ascii="Times New Roman" w:eastAsia="Calibri" w:hAnsi="Times New Roman"/>
          <w:sz w:val="24"/>
          <w:szCs w:val="24"/>
          <w:lang w:eastAsia="en-US"/>
        </w:rPr>
        <w:t>Присутствие частных организаций в данном сегменте потребительского рынка в январе-июне 2015 года оценивается в размере 44,5%, государственных и муниципальных - 55,5% соответственно.</w:t>
      </w:r>
    </w:p>
    <w:p w:rsidR="00335844" w:rsidRPr="002E6A89" w:rsidRDefault="00335844" w:rsidP="00335844">
      <w:pPr>
        <w:widowControl w:val="0"/>
        <w:spacing w:after="0" w:line="240" w:lineRule="auto"/>
        <w:ind w:firstLine="720"/>
        <w:jc w:val="center"/>
        <w:rPr>
          <w:rFonts w:ascii="Times New Roman" w:eastAsia="Calibri" w:hAnsi="Times New Roman"/>
          <w:b/>
          <w:sz w:val="24"/>
          <w:szCs w:val="24"/>
          <w:lang w:eastAsia="en-US"/>
        </w:rPr>
      </w:pPr>
      <w:r w:rsidRPr="002E6A89">
        <w:rPr>
          <w:rFonts w:ascii="Times New Roman" w:eastAsia="Calibri" w:hAnsi="Times New Roman"/>
          <w:b/>
          <w:sz w:val="24"/>
          <w:szCs w:val="24"/>
          <w:lang w:eastAsia="en-US"/>
        </w:rPr>
        <w:t>Структура потребительских услуг по формам собственности, %</w:t>
      </w:r>
    </w:p>
    <w:p w:rsidR="00335844" w:rsidRPr="002E6A89" w:rsidRDefault="00335844" w:rsidP="00335844">
      <w:pPr>
        <w:spacing w:after="0" w:line="240" w:lineRule="auto"/>
        <w:jc w:val="both"/>
        <w:rPr>
          <w:rFonts w:ascii="Times New Roman" w:eastAsia="Calibri" w:hAnsi="Times New Roman"/>
          <w:b/>
          <w:sz w:val="24"/>
          <w:szCs w:val="24"/>
          <w:lang w:eastAsia="en-US"/>
        </w:rPr>
      </w:pPr>
      <w:r>
        <w:rPr>
          <w:rFonts w:ascii="Times New Roman" w:eastAsia="Calibri" w:hAnsi="Times New Roman"/>
          <w:b/>
          <w:noProof/>
          <w:sz w:val="24"/>
          <w:szCs w:val="24"/>
        </w:rPr>
        <w:drawing>
          <wp:inline distT="0" distB="0" distL="0" distR="0">
            <wp:extent cx="2762250" cy="2209800"/>
            <wp:effectExtent l="1905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ascii="Times New Roman" w:eastAsia="Calibri" w:hAnsi="Times New Roman"/>
          <w:b/>
          <w:noProof/>
          <w:sz w:val="24"/>
          <w:szCs w:val="24"/>
        </w:rPr>
        <w:drawing>
          <wp:inline distT="0" distB="0" distL="0" distR="0">
            <wp:extent cx="3028950" cy="2105025"/>
            <wp:effectExtent l="1905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35844" w:rsidRPr="002E6A89" w:rsidRDefault="00335844" w:rsidP="00335844">
      <w:pPr>
        <w:widowControl w:val="0"/>
        <w:tabs>
          <w:tab w:val="left" w:pos="7088"/>
        </w:tabs>
        <w:spacing w:after="0" w:line="240" w:lineRule="auto"/>
        <w:ind w:firstLine="709"/>
        <w:jc w:val="both"/>
        <w:rPr>
          <w:rFonts w:ascii="Times New Roman" w:hAnsi="Times New Roman"/>
          <w:sz w:val="24"/>
          <w:szCs w:val="24"/>
        </w:rPr>
      </w:pPr>
    </w:p>
    <w:p w:rsidR="00335844" w:rsidRPr="002E6A89" w:rsidRDefault="00335844" w:rsidP="00335844">
      <w:pPr>
        <w:widowControl w:val="0"/>
        <w:tabs>
          <w:tab w:val="left" w:pos="7088"/>
        </w:tabs>
        <w:spacing w:after="0" w:line="240" w:lineRule="auto"/>
        <w:ind w:firstLine="709"/>
        <w:jc w:val="both"/>
        <w:rPr>
          <w:rFonts w:ascii="Times New Roman" w:hAnsi="Times New Roman"/>
          <w:sz w:val="24"/>
          <w:szCs w:val="24"/>
        </w:rPr>
      </w:pPr>
      <w:r w:rsidRPr="002E6A89">
        <w:rPr>
          <w:rFonts w:ascii="Times New Roman" w:hAnsi="Times New Roman"/>
          <w:sz w:val="24"/>
          <w:szCs w:val="24"/>
        </w:rPr>
        <w:t xml:space="preserve">Сужение спроса населения к потреблению отдельных видов бытовых услуг в январе-июне 2015 года, предопределило сокращение их совокупного объема на 6,7% до 35,1 млн. руб. и долевого участия в структуре потребительского рынка на 0,4 процентных пункта до 3,2%. </w:t>
      </w:r>
    </w:p>
    <w:p w:rsidR="00335844" w:rsidRDefault="00335844" w:rsidP="00335844">
      <w:pPr>
        <w:spacing w:after="0" w:line="240" w:lineRule="auto"/>
        <w:ind w:firstLine="709"/>
        <w:contextualSpacing/>
        <w:jc w:val="both"/>
        <w:rPr>
          <w:rFonts w:ascii="Times New Roman" w:hAnsi="Times New Roman"/>
          <w:sz w:val="24"/>
          <w:szCs w:val="24"/>
        </w:rPr>
      </w:pPr>
      <w:r w:rsidRPr="002E6A89">
        <w:rPr>
          <w:rFonts w:ascii="Times New Roman" w:eastAsia="Calibri" w:hAnsi="Times New Roman"/>
          <w:sz w:val="24"/>
          <w:szCs w:val="24"/>
          <w:lang w:eastAsia="en-US"/>
        </w:rPr>
        <w:t xml:space="preserve">Таким образом, потребительский рынок, совершенствуя формы торговли и обслуживания населения, повышая уровень конкурентоспособности сегментов рынка, расширяя виды услуг, продолжает оказывать влияние на общеэкономическую динамику экономики республики. </w:t>
      </w:r>
      <w:r w:rsidRPr="002E6A89">
        <w:rPr>
          <w:rFonts w:ascii="Times New Roman" w:hAnsi="Times New Roman"/>
          <w:sz w:val="24"/>
          <w:szCs w:val="24"/>
        </w:rPr>
        <w:t>Вместе с этим, воздействие группы факторов, связанных с нестабильной внешнеполитической и экономической конъюнктурой в совокупности с углублением структурных деформаций реального сектора экономики, отражаются на потребительском поведении населения и сказываются на динамике развития потребительского рынка в целом.</w:t>
      </w:r>
    </w:p>
    <w:p w:rsidR="00335844" w:rsidRDefault="00335844" w:rsidP="00335844">
      <w:pPr>
        <w:spacing w:after="0" w:line="240" w:lineRule="auto"/>
        <w:ind w:firstLine="709"/>
        <w:contextualSpacing/>
        <w:jc w:val="both"/>
        <w:rPr>
          <w:rFonts w:ascii="Times New Roman" w:hAnsi="Times New Roman"/>
          <w:b/>
          <w:sz w:val="24"/>
          <w:szCs w:val="24"/>
        </w:rPr>
      </w:pPr>
    </w:p>
    <w:p w:rsidR="00335844" w:rsidRPr="00397EA0" w:rsidRDefault="00335844" w:rsidP="00335844">
      <w:pPr>
        <w:spacing w:after="0" w:line="240" w:lineRule="auto"/>
        <w:ind w:firstLine="709"/>
        <w:contextualSpacing/>
        <w:rPr>
          <w:rFonts w:ascii="Times New Roman" w:hAnsi="Times New Roman"/>
          <w:b/>
          <w:sz w:val="24"/>
          <w:szCs w:val="24"/>
        </w:rPr>
      </w:pPr>
      <w:r w:rsidRPr="00397EA0">
        <w:rPr>
          <w:rFonts w:ascii="Times New Roman" w:hAnsi="Times New Roman"/>
          <w:b/>
          <w:sz w:val="24"/>
          <w:szCs w:val="24"/>
        </w:rPr>
        <w:t>Ценовая и тарифная политика</w:t>
      </w:r>
    </w:p>
    <w:p w:rsidR="00335844" w:rsidRPr="00397EA0" w:rsidRDefault="00335844" w:rsidP="00335844">
      <w:pPr>
        <w:spacing w:after="0" w:line="240" w:lineRule="auto"/>
        <w:ind w:firstLine="708"/>
        <w:jc w:val="both"/>
        <w:rPr>
          <w:rFonts w:ascii="Times New Roman" w:hAnsi="Times New Roman"/>
          <w:sz w:val="24"/>
          <w:szCs w:val="24"/>
        </w:rPr>
      </w:pPr>
    </w:p>
    <w:p w:rsidR="00335844" w:rsidRDefault="00335844" w:rsidP="00335844">
      <w:pPr>
        <w:spacing w:after="0" w:line="240" w:lineRule="auto"/>
        <w:ind w:firstLine="709"/>
        <w:contextualSpacing/>
        <w:rPr>
          <w:rFonts w:ascii="Times New Roman" w:hAnsi="Times New Roman"/>
          <w:b/>
          <w:sz w:val="24"/>
          <w:szCs w:val="24"/>
        </w:rPr>
      </w:pPr>
      <w:r w:rsidRPr="002E6A89">
        <w:rPr>
          <w:rFonts w:ascii="Times New Roman" w:hAnsi="Times New Roman"/>
          <w:b/>
          <w:sz w:val="24"/>
          <w:szCs w:val="24"/>
        </w:rPr>
        <w:t>Тарифная политика</w:t>
      </w:r>
      <w:r w:rsidR="00590F6F">
        <w:rPr>
          <w:rFonts w:ascii="Times New Roman" w:hAnsi="Times New Roman"/>
          <w:b/>
          <w:sz w:val="24"/>
          <w:szCs w:val="24"/>
        </w:rPr>
        <w:t xml:space="preserve"> в сфере естественных монополий</w:t>
      </w:r>
    </w:p>
    <w:p w:rsidR="00590F6F" w:rsidRPr="002E6A89" w:rsidRDefault="00590F6F" w:rsidP="00335844">
      <w:pPr>
        <w:spacing w:after="0" w:line="240" w:lineRule="auto"/>
        <w:ind w:firstLine="709"/>
        <w:contextualSpacing/>
        <w:rPr>
          <w:rFonts w:ascii="Times New Roman" w:hAnsi="Times New Roman"/>
          <w:b/>
          <w:sz w:val="24"/>
          <w:szCs w:val="24"/>
        </w:rPr>
      </w:pPr>
    </w:p>
    <w:p w:rsidR="00335844" w:rsidRPr="002E6A89" w:rsidRDefault="00335844" w:rsidP="00335844">
      <w:pPr>
        <w:spacing w:after="0" w:line="240" w:lineRule="auto"/>
        <w:ind w:firstLine="709"/>
        <w:jc w:val="both"/>
        <w:rPr>
          <w:rFonts w:ascii="Times New Roman" w:hAnsi="Times New Roman"/>
          <w:bCs/>
          <w:sz w:val="24"/>
          <w:szCs w:val="24"/>
          <w:lang w:eastAsia="en-US"/>
        </w:rPr>
      </w:pPr>
      <w:r w:rsidRPr="002E6A89">
        <w:rPr>
          <w:rFonts w:ascii="Times New Roman" w:hAnsi="Times New Roman"/>
          <w:bCs/>
          <w:sz w:val="24"/>
          <w:szCs w:val="24"/>
          <w:lang w:eastAsia="en-US"/>
        </w:rPr>
        <w:t>Предельные уровни тарифов на услуги, оказываемые в сфере естественных монополий, сформированы на 2015 год с учетом норм действующего законодательства в области ценообразования, а та</w:t>
      </w:r>
      <w:r w:rsidR="00C94C0B">
        <w:rPr>
          <w:rFonts w:ascii="Times New Roman" w:hAnsi="Times New Roman"/>
          <w:bCs/>
          <w:sz w:val="24"/>
          <w:szCs w:val="24"/>
          <w:lang w:eastAsia="en-US"/>
        </w:rPr>
        <w:t>кже следующих факторов:</w:t>
      </w:r>
    </w:p>
    <w:p w:rsidR="00335844" w:rsidRPr="002E6A89" w:rsidRDefault="00335844" w:rsidP="00335844">
      <w:pPr>
        <w:spacing w:after="0" w:line="240" w:lineRule="auto"/>
        <w:ind w:firstLine="709"/>
        <w:jc w:val="both"/>
        <w:rPr>
          <w:rFonts w:ascii="Times New Roman" w:hAnsi="Times New Roman"/>
          <w:bCs/>
          <w:sz w:val="24"/>
          <w:szCs w:val="24"/>
          <w:lang w:eastAsia="en-US"/>
        </w:rPr>
      </w:pPr>
      <w:r w:rsidRPr="002E6A89">
        <w:rPr>
          <w:rFonts w:ascii="Times New Roman" w:hAnsi="Times New Roman"/>
          <w:bCs/>
          <w:sz w:val="24"/>
          <w:szCs w:val="24"/>
          <w:lang w:eastAsia="en-US"/>
        </w:rPr>
        <w:t>а) изменения цен на сырье и материалы, тарифов на энергоносители;</w:t>
      </w:r>
    </w:p>
    <w:p w:rsidR="00335844" w:rsidRPr="002E6A89" w:rsidRDefault="00335844" w:rsidP="00335844">
      <w:pPr>
        <w:spacing w:after="0" w:line="240" w:lineRule="auto"/>
        <w:ind w:firstLine="709"/>
        <w:jc w:val="both"/>
        <w:rPr>
          <w:rFonts w:ascii="Times New Roman" w:hAnsi="Times New Roman"/>
          <w:bCs/>
          <w:sz w:val="24"/>
          <w:szCs w:val="24"/>
          <w:lang w:eastAsia="en-US"/>
        </w:rPr>
      </w:pPr>
      <w:r w:rsidRPr="002E6A89">
        <w:rPr>
          <w:rFonts w:ascii="Times New Roman" w:hAnsi="Times New Roman"/>
          <w:bCs/>
          <w:sz w:val="24"/>
          <w:szCs w:val="24"/>
          <w:lang w:eastAsia="en-US"/>
        </w:rPr>
        <w:t>б)  влияния прогнозируемой инфляции;</w:t>
      </w:r>
    </w:p>
    <w:p w:rsidR="00335844" w:rsidRPr="002E6A89" w:rsidRDefault="00335844" w:rsidP="00335844">
      <w:pPr>
        <w:spacing w:after="0" w:line="240" w:lineRule="auto"/>
        <w:ind w:firstLine="709"/>
        <w:jc w:val="both"/>
        <w:rPr>
          <w:rFonts w:ascii="Times New Roman" w:hAnsi="Times New Roman"/>
          <w:bCs/>
          <w:sz w:val="24"/>
          <w:szCs w:val="24"/>
          <w:lang w:eastAsia="en-US"/>
        </w:rPr>
      </w:pPr>
      <w:r w:rsidRPr="002E6A89">
        <w:rPr>
          <w:rFonts w:ascii="Times New Roman" w:hAnsi="Times New Roman"/>
          <w:bCs/>
          <w:sz w:val="24"/>
          <w:szCs w:val="24"/>
          <w:lang w:eastAsia="en-US"/>
        </w:rPr>
        <w:lastRenderedPageBreak/>
        <w:t>в) фактических результатов деятельности субъектов естественных монополий по итогам работы за прошедший расчетный период регулирования;</w:t>
      </w:r>
    </w:p>
    <w:p w:rsidR="00335844" w:rsidRPr="002E6A89" w:rsidRDefault="00335844" w:rsidP="00335844">
      <w:pPr>
        <w:spacing w:after="0" w:line="240" w:lineRule="auto"/>
        <w:ind w:firstLine="709"/>
        <w:jc w:val="both"/>
        <w:rPr>
          <w:rFonts w:ascii="Times New Roman" w:hAnsi="Times New Roman"/>
          <w:bCs/>
          <w:sz w:val="24"/>
          <w:szCs w:val="24"/>
          <w:lang w:eastAsia="en-US"/>
        </w:rPr>
      </w:pPr>
      <w:r w:rsidRPr="002E6A89">
        <w:rPr>
          <w:rFonts w:ascii="Times New Roman" w:hAnsi="Times New Roman"/>
          <w:bCs/>
          <w:sz w:val="24"/>
          <w:szCs w:val="24"/>
          <w:lang w:eastAsia="en-US"/>
        </w:rPr>
        <w:t>г) сокращения разницы между контрактной ценой приобретения природного газа и ценой природного газа, учитываемой для внутреннего рынка Приднестровской Молдавской Республики.</w:t>
      </w:r>
    </w:p>
    <w:p w:rsidR="00335844" w:rsidRPr="002E6A89" w:rsidRDefault="00335844" w:rsidP="00335844">
      <w:pPr>
        <w:spacing w:after="0" w:line="240" w:lineRule="auto"/>
        <w:ind w:firstLine="709"/>
        <w:jc w:val="both"/>
        <w:rPr>
          <w:rFonts w:ascii="Times New Roman" w:hAnsi="Times New Roman"/>
          <w:bCs/>
          <w:sz w:val="24"/>
          <w:szCs w:val="24"/>
          <w:lang w:eastAsia="en-US"/>
        </w:rPr>
      </w:pPr>
      <w:r w:rsidRPr="002E6A89">
        <w:rPr>
          <w:rFonts w:ascii="Times New Roman" w:hAnsi="Times New Roman"/>
          <w:bCs/>
          <w:sz w:val="24"/>
          <w:szCs w:val="24"/>
          <w:lang w:eastAsia="en-US"/>
        </w:rPr>
        <w:t xml:space="preserve">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2015 года предусмотрено установление дифференцированных тарифов на услуги газоснабжения, электроснабжения и</w:t>
      </w:r>
      <w:r w:rsidRPr="002E6A89">
        <w:rPr>
          <w:rFonts w:ascii="Times New Roman" w:hAnsi="Times New Roman"/>
          <w:sz w:val="24"/>
          <w:szCs w:val="24"/>
          <w:lang w:eastAsia="en-US"/>
        </w:rPr>
        <w:t xml:space="preserve"> по снабжению тепловой энергией (отопление и подогрев воды) </w:t>
      </w:r>
      <w:r w:rsidRPr="002E6A89">
        <w:rPr>
          <w:rFonts w:ascii="Times New Roman" w:hAnsi="Times New Roman"/>
          <w:bCs/>
          <w:sz w:val="24"/>
          <w:szCs w:val="24"/>
          <w:lang w:eastAsia="en-US"/>
        </w:rPr>
        <w:t>для населения в зависимости от временного периода</w:t>
      </w:r>
      <w:r w:rsidRPr="002E6A89">
        <w:rPr>
          <w:rFonts w:ascii="Times New Roman" w:hAnsi="Times New Roman"/>
          <w:bCs/>
          <w:sz w:val="24"/>
          <w:szCs w:val="24"/>
          <w:lang w:eastAsia="en-US"/>
        </w:rPr>
        <w:br/>
        <w:t>(с 1 января по 30 апреля 2015 года и с 1 мая по 31 декабря 2015 года).</w:t>
      </w:r>
    </w:p>
    <w:p w:rsidR="00335844" w:rsidRPr="002E6A89" w:rsidRDefault="00335844" w:rsidP="00335844">
      <w:pPr>
        <w:spacing w:after="0" w:line="240" w:lineRule="auto"/>
        <w:ind w:firstLine="709"/>
        <w:rPr>
          <w:rFonts w:ascii="Times New Roman" w:hAnsi="Times New Roman"/>
          <w:b/>
          <w:sz w:val="16"/>
          <w:szCs w:val="16"/>
          <w:lang w:eastAsia="en-US"/>
        </w:rPr>
      </w:pPr>
      <w:r w:rsidRPr="002E6A89">
        <w:rPr>
          <w:rFonts w:ascii="Times New Roman" w:hAnsi="Times New Roman"/>
          <w:b/>
          <w:sz w:val="24"/>
          <w:szCs w:val="24"/>
          <w:lang w:eastAsia="en-US"/>
        </w:rPr>
        <w:t>Услуги газоснабжения</w:t>
      </w:r>
    </w:p>
    <w:p w:rsidR="00335844" w:rsidRPr="002E6A89" w:rsidRDefault="00335844" w:rsidP="00335844">
      <w:pPr>
        <w:tabs>
          <w:tab w:val="left" w:pos="4102"/>
        </w:tabs>
        <w:spacing w:after="0" w:line="240" w:lineRule="auto"/>
        <w:ind w:firstLine="709"/>
        <w:jc w:val="both"/>
        <w:rPr>
          <w:rFonts w:ascii="Times New Roman" w:hAnsi="Times New Roman"/>
          <w:sz w:val="24"/>
          <w:szCs w:val="24"/>
          <w:lang w:eastAsia="en-US"/>
        </w:rPr>
      </w:pPr>
      <w:r w:rsidRPr="002E6A89">
        <w:rPr>
          <w:rFonts w:ascii="Times New Roman" w:hAnsi="Times New Roman"/>
          <w:bCs/>
          <w:sz w:val="24"/>
          <w:szCs w:val="24"/>
          <w:lang w:eastAsia="en-US"/>
        </w:rPr>
        <w:t>П</w:t>
      </w:r>
      <w:r w:rsidRPr="002E6A89">
        <w:rPr>
          <w:rFonts w:ascii="Times New Roman" w:hAnsi="Times New Roman"/>
          <w:sz w:val="24"/>
          <w:szCs w:val="24"/>
          <w:lang w:eastAsia="en-US"/>
        </w:rPr>
        <w:t xml:space="preserve">редельные уровни тарифов на природный газ, транспортируемый по магистральным трубопроводам, распределительным сетям и отпускаемый различным категориям потребителей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2015 года </w:t>
      </w:r>
      <w:r w:rsidRPr="002E6A89">
        <w:rPr>
          <w:rFonts w:ascii="Times New Roman" w:hAnsi="Times New Roman"/>
          <w:sz w:val="24"/>
          <w:szCs w:val="24"/>
          <w:lang w:eastAsia="en-US"/>
        </w:rPr>
        <w:t xml:space="preserve">в сравнении с предельным уровнем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 xml:space="preserve">, </w:t>
      </w:r>
      <w:r w:rsidRPr="002E6A89">
        <w:rPr>
          <w:rFonts w:ascii="Times New Roman" w:hAnsi="Times New Roman"/>
          <w:bCs/>
          <w:sz w:val="24"/>
          <w:szCs w:val="24"/>
          <w:lang w:eastAsia="en-US"/>
        </w:rPr>
        <w:t>демонстрировали следующие изменения</w:t>
      </w:r>
      <w:r w:rsidRPr="002E6A89">
        <w:rPr>
          <w:rFonts w:ascii="Times New Roman" w:hAnsi="Times New Roman"/>
          <w:sz w:val="24"/>
          <w:szCs w:val="24"/>
          <w:lang w:eastAsia="en-US"/>
        </w:rPr>
        <w:t>:</w:t>
      </w:r>
    </w:p>
    <w:p w:rsidR="00335844" w:rsidRPr="002E6A89" w:rsidRDefault="00335844" w:rsidP="00335844">
      <w:pPr>
        <w:tabs>
          <w:tab w:val="left" w:pos="4102"/>
        </w:tabs>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а) для промышленных потребителей - с 3413,34 руб. за тыс.куб.м </w:t>
      </w:r>
      <w:r w:rsidRPr="002E6A89">
        <w:rPr>
          <w:rFonts w:ascii="Times New Roman" w:hAnsi="Times New Roman"/>
          <w:sz w:val="24"/>
          <w:szCs w:val="24"/>
          <w:lang w:eastAsia="en-US"/>
        </w:rPr>
        <w:br/>
        <w:t>до 3 070,57</w:t>
      </w:r>
      <w:r w:rsidRPr="002E6A89">
        <w:rPr>
          <w:rFonts w:ascii="Times New Roman" w:hAnsi="Times New Roman"/>
          <w:color w:val="7030A0"/>
          <w:sz w:val="24"/>
          <w:szCs w:val="24"/>
          <w:lang w:eastAsia="en-US"/>
        </w:rPr>
        <w:t xml:space="preserve"> </w:t>
      </w:r>
      <w:r w:rsidRPr="002E6A89">
        <w:rPr>
          <w:rFonts w:ascii="Times New Roman" w:hAnsi="Times New Roman"/>
          <w:sz w:val="24"/>
          <w:szCs w:val="24"/>
          <w:lang w:eastAsia="en-US"/>
        </w:rPr>
        <w:t>руб. за тыс. куб.м, снижение на 10,0%;</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б) для государственных коммерческих организаций - с 2 057,34 руб. за тыс. куб.м </w:t>
      </w:r>
      <w:r w:rsidRPr="002E6A89">
        <w:rPr>
          <w:rFonts w:ascii="Times New Roman" w:hAnsi="Times New Roman"/>
          <w:sz w:val="24"/>
          <w:szCs w:val="24"/>
          <w:lang w:eastAsia="en-US"/>
        </w:rPr>
        <w:br/>
        <w:t>до 1 998,74 руб. за тыс. куб.м, снижение на 2,8%;</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в) для муниципальных коммерческих организаций - с 2 490,12 руб. за тыс. куб.м </w:t>
      </w:r>
      <w:r w:rsidRPr="002E6A89">
        <w:rPr>
          <w:rFonts w:ascii="Times New Roman" w:hAnsi="Times New Roman"/>
          <w:sz w:val="24"/>
          <w:szCs w:val="24"/>
          <w:lang w:eastAsia="en-US"/>
        </w:rPr>
        <w:br/>
        <w:t>до 2 550,32 руб. за тыс. куб.м, увеличение на 2,4%;</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г) для организаций, учредителем либо акционером которых являются организации, зарегистрированные в государствах и на территориях, представляющих льготный режим налогообложения и (или) не предусматривающих раскрытия и предоставления информации при проведении финансовых операций с 3 877,31 руб. за тыс. куб.м до 3 996,6 руб. за тыс. куб.м, увеличение на 3,1%;</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д) для организаций и учреждений, финансируемых из бюджетов всех уровней – </w:t>
      </w:r>
      <w:r w:rsidRPr="002E6A89">
        <w:rPr>
          <w:rFonts w:ascii="Times New Roman" w:hAnsi="Times New Roman"/>
          <w:sz w:val="24"/>
          <w:szCs w:val="24"/>
          <w:lang w:eastAsia="en-US"/>
        </w:rPr>
        <w:br/>
        <w:t>с 1 931,92 руб. за тыс. куб.м до 1 979,71 руб. за тыс. куб.м, увеличение на 2,5%;</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е) для населения на цели пищеприготовления, отопления жилых помещений </w:t>
      </w:r>
      <w:r w:rsidRPr="002E6A89">
        <w:rPr>
          <w:rFonts w:ascii="Times New Roman" w:hAnsi="Times New Roman"/>
          <w:sz w:val="24"/>
          <w:szCs w:val="24"/>
          <w:lang w:eastAsia="en-US"/>
        </w:rPr>
        <w:br/>
        <w:t>от индивидуальных приборов теплоснабжения и подогрева воды:</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1) за объем, потребленный в пределах (включительно) установленного лимита </w:t>
      </w:r>
      <w:r w:rsidRPr="002E6A89">
        <w:rPr>
          <w:rFonts w:ascii="Times New Roman" w:hAnsi="Times New Roman"/>
          <w:sz w:val="24"/>
          <w:szCs w:val="24"/>
          <w:lang w:eastAsia="en-US"/>
        </w:rPr>
        <w:br/>
        <w:t>в месяц:</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–с 0,87 руб. за 1 куб.м до 0,81 руб. за 1 куб.м, снижение на 6,9%;</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2) за объем, потребленный свыше установленного лимита в месяц:</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–сохранение уровня тарифа на уровне соответствующего периода 2014 года</w:t>
      </w:r>
      <w:r w:rsidRPr="002E6A89">
        <w:rPr>
          <w:rFonts w:ascii="Times New Roman" w:hAnsi="Times New Roman"/>
          <w:sz w:val="24"/>
          <w:szCs w:val="24"/>
          <w:lang w:eastAsia="en-US"/>
        </w:rPr>
        <w:br/>
        <w:t>(1,12 руб. за 1 куб.м).</w:t>
      </w:r>
    </w:p>
    <w:p w:rsidR="00335844" w:rsidRPr="002E6A89" w:rsidRDefault="00335844" w:rsidP="00335844">
      <w:pPr>
        <w:spacing w:after="0" w:line="240" w:lineRule="auto"/>
        <w:ind w:firstLine="709"/>
        <w:rPr>
          <w:rFonts w:ascii="Times New Roman" w:hAnsi="Times New Roman"/>
          <w:b/>
          <w:sz w:val="16"/>
          <w:szCs w:val="16"/>
          <w:lang w:eastAsia="en-US"/>
        </w:rPr>
      </w:pPr>
      <w:r w:rsidRPr="002E6A89">
        <w:rPr>
          <w:rFonts w:ascii="Times New Roman" w:hAnsi="Times New Roman"/>
          <w:b/>
          <w:sz w:val="24"/>
          <w:szCs w:val="24"/>
          <w:lang w:eastAsia="en-US"/>
        </w:rPr>
        <w:t>Услуги по снабжению электрической энергией</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Предельные уровни тарифов в сфере электроэнергетики по категориям потребителей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2015 года</w:t>
      </w:r>
      <w:r w:rsidRPr="002E6A89">
        <w:rPr>
          <w:rFonts w:ascii="Times New Roman" w:hAnsi="Times New Roman"/>
          <w:sz w:val="24"/>
          <w:szCs w:val="24"/>
          <w:lang w:eastAsia="en-US"/>
        </w:rPr>
        <w:t xml:space="preserve"> установлены в следующих размерах:</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а) тариф на электрическую энергию, отпускаемую промышленным и прочим потребителям:</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1) присоединенным к передающим сетям – 0,92 руб. за 1 кВт.ч, что </w:t>
      </w:r>
      <w:r w:rsidRPr="002E6A89">
        <w:rPr>
          <w:rFonts w:ascii="Times New Roman" w:hAnsi="Times New Roman"/>
          <w:sz w:val="24"/>
          <w:szCs w:val="24"/>
          <w:lang w:eastAsia="en-US"/>
        </w:rPr>
        <w:br/>
        <w:t xml:space="preserve">на 3,2% ниже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2) присоединенным к распределительным сетям – 1,17 руб. за 1 кВт.ч, что на1,7% ниже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б) тариф на электрическую энергию, отпускаемую государственным коммерческим организациям:</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1) присоединенным к передающим сетям – 0,64 руб. за 1 кВт.ч, что на </w:t>
      </w:r>
      <w:r w:rsidRPr="002E6A89">
        <w:rPr>
          <w:rFonts w:ascii="Times New Roman" w:hAnsi="Times New Roman"/>
          <w:sz w:val="24"/>
          <w:szCs w:val="24"/>
          <w:lang w:eastAsia="en-US"/>
        </w:rPr>
        <w:br/>
        <w:t xml:space="preserve">4,5% ниже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2) присоединенным к распределительным сетям – 0,89 руб. за 1 кВт.ч, что на</w:t>
      </w:r>
      <w:r w:rsidRPr="002E6A89">
        <w:rPr>
          <w:rFonts w:ascii="Times New Roman" w:hAnsi="Times New Roman"/>
          <w:sz w:val="24"/>
          <w:szCs w:val="24"/>
          <w:lang w:eastAsia="en-US"/>
        </w:rPr>
        <w:br/>
        <w:t xml:space="preserve">3,3% ниже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в) тариф на электрическую энергию, отпускаемую муниципальным коммерческим организациям:</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lastRenderedPageBreak/>
        <w:t xml:space="preserve">1) присоединенным к передающим сетям – 0,73 руб. за 1 кВт.ч, что </w:t>
      </w:r>
      <w:r w:rsidRPr="002E6A89">
        <w:rPr>
          <w:rFonts w:ascii="Times New Roman" w:hAnsi="Times New Roman"/>
          <w:sz w:val="24"/>
          <w:szCs w:val="24"/>
          <w:lang w:eastAsia="en-US"/>
        </w:rPr>
        <w:br/>
        <w:t xml:space="preserve">на 3,9% ниже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2) присоединенным к распределительным сетям – 0,98 руб. за 1 кВт.ч, что на</w:t>
      </w:r>
      <w:r w:rsidRPr="002E6A89">
        <w:rPr>
          <w:rFonts w:ascii="Times New Roman" w:hAnsi="Times New Roman"/>
          <w:sz w:val="24"/>
          <w:szCs w:val="24"/>
          <w:lang w:eastAsia="en-US"/>
        </w:rPr>
        <w:br/>
        <w:t xml:space="preserve">3,0% ниже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г) тариф на электрическую энергию, отпускаемую организациям, учредителем либо акционером которых являются организации, зарегистрированные в государствах и на территориях, представляющих льготный режим налогообложения и (или) </w:t>
      </w:r>
      <w:r w:rsidRPr="002E6A89">
        <w:rPr>
          <w:rFonts w:ascii="Times New Roman" w:hAnsi="Times New Roman"/>
          <w:sz w:val="24"/>
          <w:szCs w:val="24"/>
          <w:lang w:eastAsia="en-US"/>
        </w:rPr>
        <w:br/>
        <w:t>не предусматривающих раскрытия и предоставления информации при проведении финансовых операций:</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1) присоединенным к передающим сетям – 1,04 руб. за 1 кВт.ч, сохранен на </w:t>
      </w:r>
      <w:r w:rsidRPr="002E6A89">
        <w:rPr>
          <w:rFonts w:ascii="Times New Roman" w:hAnsi="Times New Roman"/>
          <w:sz w:val="24"/>
          <w:szCs w:val="24"/>
          <w:lang w:eastAsia="en-US"/>
        </w:rPr>
        <w:br/>
        <w:t xml:space="preserve">уровне предельного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2) присоединенным к распределительным сетям – 1,29 руб. за 1 кВт.ч, что на</w:t>
      </w:r>
      <w:r w:rsidRPr="002E6A89">
        <w:rPr>
          <w:rFonts w:ascii="Times New Roman" w:hAnsi="Times New Roman"/>
          <w:sz w:val="24"/>
          <w:szCs w:val="24"/>
          <w:lang w:eastAsia="en-US"/>
        </w:rPr>
        <w:br/>
        <w:t xml:space="preserve">1,6% выше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д) тариф на электрическую энергию, отпускаемую организациям и учреждениям, финансируемым из бюджетов всех уровней – 0,57 руб. за 1 кВт.ч, что на 7,5% выше предельного уровня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е) тариф на электрическую энергию, отпускаемую организациям городского электрического транспорта, – 0,58 руб. за 1 кВт.ч, сохранен на уровне предельного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ж) тариф на электрическую энергию, отпускаемую населению на бытовые нужды:</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1) за объем, потребленный до 150 кВт.ч электроэнергии в месяц (включительно) – 0,53 руб. за 1 кВт. ч, что на 7,0% ниже предельного уровня тарифа, действующего</w:t>
      </w:r>
      <w:r w:rsidRPr="002E6A89">
        <w:rPr>
          <w:rFonts w:ascii="Times New Roman" w:hAnsi="Times New Roman"/>
          <w:sz w:val="24"/>
          <w:szCs w:val="24"/>
          <w:lang w:eastAsia="en-US"/>
        </w:rPr>
        <w:br/>
        <w:t xml:space="preserve">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2)  за объем, потребленный свыше 150 кВт.ч - 0,72 руб. за 1 кВт.ч, сохранен на уровне предельного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з) тариф на электрическую энергию, отпускаемую населению, проживающему в жилых домах, оборудованных в установленном порядке кухонными электроплитами:</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1)  за объем, потребленный до 250 кВт.ч электроэнергии в месяц (включительно) – 0,53 руб. за 1 кВт. ч, что на 7,0% ниже предельного уровня тарифа, действующего</w:t>
      </w:r>
      <w:r w:rsidRPr="002E6A89">
        <w:rPr>
          <w:rFonts w:ascii="Times New Roman" w:hAnsi="Times New Roman"/>
          <w:sz w:val="24"/>
          <w:szCs w:val="24"/>
          <w:lang w:eastAsia="en-US"/>
        </w:rPr>
        <w:br/>
        <w:t xml:space="preserve">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2)за объем, потребленный свыше 250 кВт.ч электроэнергии в месяц – 0,72 руб. за </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1 кВт.ч, сохранен на уровне предельного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r w:rsidRPr="002E6A89">
        <w:rPr>
          <w:rFonts w:ascii="Times New Roman" w:hAnsi="Times New Roman"/>
          <w:sz w:val="24"/>
          <w:szCs w:val="24"/>
          <w:lang w:eastAsia="en-US"/>
        </w:rPr>
        <w:t>;</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и) тариф на электрическую энергию, отпускаемую организациям, осуществляющим управление многоквартирным домом (общежитием), товариществам собственников жилья, жилищным и жилищно-строительным кооперативам на общедомовые нужды в жилищном фонде – 0,72 руб. за 1 кВт.ч, сохранен на уровне предельного тарифа, действующего в </w:t>
      </w:r>
      <w:r w:rsidRPr="002E6A89">
        <w:rPr>
          <w:rFonts w:ascii="Times New Roman" w:hAnsi="Times New Roman"/>
          <w:bCs/>
          <w:sz w:val="24"/>
          <w:szCs w:val="24"/>
          <w:lang w:val="en-US" w:eastAsia="en-US"/>
        </w:rPr>
        <w:t>I</w:t>
      </w:r>
      <w:r w:rsidRPr="002E6A89">
        <w:rPr>
          <w:rFonts w:ascii="Times New Roman" w:hAnsi="Times New Roman"/>
          <w:bCs/>
          <w:sz w:val="24"/>
          <w:szCs w:val="24"/>
          <w:lang w:eastAsia="en-US"/>
        </w:rPr>
        <w:t xml:space="preserve"> полугодии 2014 года.</w:t>
      </w:r>
    </w:p>
    <w:p w:rsidR="00335844" w:rsidRPr="002E6A89" w:rsidRDefault="00335844" w:rsidP="00335844">
      <w:pPr>
        <w:spacing w:after="0" w:line="240" w:lineRule="auto"/>
        <w:ind w:firstLine="709"/>
        <w:jc w:val="both"/>
        <w:rPr>
          <w:rFonts w:ascii="Times New Roman" w:hAnsi="Times New Roman"/>
          <w:b/>
          <w:sz w:val="24"/>
          <w:szCs w:val="24"/>
          <w:lang w:eastAsia="en-US"/>
        </w:rPr>
      </w:pPr>
      <w:r w:rsidRPr="002E6A89">
        <w:rPr>
          <w:rFonts w:ascii="Times New Roman" w:hAnsi="Times New Roman"/>
          <w:sz w:val="24"/>
          <w:szCs w:val="24"/>
          <w:lang w:eastAsia="en-US"/>
        </w:rPr>
        <w:t>У</w:t>
      </w:r>
      <w:r w:rsidRPr="002E6A89">
        <w:rPr>
          <w:rFonts w:ascii="Times New Roman" w:hAnsi="Times New Roman"/>
          <w:b/>
          <w:sz w:val="24"/>
          <w:szCs w:val="24"/>
          <w:lang w:eastAsia="en-US"/>
        </w:rPr>
        <w:t>слуги по снабжению тепловой энергией (отопление и подогрев воды)</w:t>
      </w:r>
    </w:p>
    <w:p w:rsidR="00335844" w:rsidRPr="002E6A89" w:rsidRDefault="00335844" w:rsidP="00335844">
      <w:pPr>
        <w:spacing w:after="0" w:line="240" w:lineRule="auto"/>
        <w:ind w:firstLine="709"/>
        <w:jc w:val="both"/>
        <w:rPr>
          <w:rFonts w:ascii="Times New Roman" w:hAnsi="Times New Roman"/>
          <w:i/>
          <w:iCs/>
          <w:color w:val="000000"/>
          <w:sz w:val="24"/>
          <w:szCs w:val="24"/>
          <w:u w:val="single"/>
        </w:rPr>
      </w:pPr>
      <w:r w:rsidRPr="002E6A89">
        <w:rPr>
          <w:rFonts w:ascii="Times New Roman" w:hAnsi="Times New Roman"/>
          <w:i/>
          <w:sz w:val="24"/>
          <w:szCs w:val="24"/>
          <w:u w:val="single"/>
          <w:lang w:eastAsia="en-US"/>
        </w:rPr>
        <w:t xml:space="preserve">Для лиц, </w:t>
      </w:r>
      <w:r w:rsidRPr="002E6A89">
        <w:rPr>
          <w:rFonts w:ascii="Times New Roman" w:hAnsi="Times New Roman"/>
          <w:i/>
          <w:iCs/>
          <w:color w:val="000000"/>
          <w:sz w:val="24"/>
          <w:szCs w:val="24"/>
          <w:u w:val="single"/>
        </w:rPr>
        <w:t>оформивших в соответствии с законодательством ПМР право на льготы по оплате за услуги теплоснабжения:</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Предельные уровни тарифов на услуги по снабжению тепловой энергией (отопление и подогрев воды) по отношению к предельным уровням тарифов, действующих в </w:t>
      </w:r>
      <w:r w:rsidRPr="002E6A89">
        <w:rPr>
          <w:rFonts w:ascii="Times New Roman" w:hAnsi="Times New Roman"/>
          <w:sz w:val="24"/>
          <w:szCs w:val="24"/>
          <w:lang w:val="en-US" w:eastAsia="en-US"/>
        </w:rPr>
        <w:t>I</w:t>
      </w:r>
      <w:r w:rsidRPr="002E6A89">
        <w:rPr>
          <w:rFonts w:ascii="Times New Roman" w:hAnsi="Times New Roman"/>
          <w:sz w:val="24"/>
          <w:szCs w:val="24"/>
          <w:lang w:eastAsia="en-US"/>
        </w:rPr>
        <w:t xml:space="preserve"> полугодии 2014 года в среднем по республике, снижены:</w:t>
      </w:r>
    </w:p>
    <w:p w:rsidR="00335844" w:rsidRPr="002E6A89" w:rsidRDefault="00335844" w:rsidP="00335844">
      <w:pPr>
        <w:spacing w:after="0" w:line="240" w:lineRule="auto"/>
        <w:ind w:firstLine="709"/>
        <w:jc w:val="both"/>
        <w:rPr>
          <w:rFonts w:ascii="Times New Roman" w:hAnsi="Times New Roman"/>
          <w:color w:val="000000"/>
          <w:sz w:val="24"/>
          <w:szCs w:val="24"/>
          <w:lang w:eastAsia="en-US"/>
        </w:rPr>
      </w:pPr>
      <w:r w:rsidRPr="002E6A89">
        <w:rPr>
          <w:rFonts w:ascii="Times New Roman" w:hAnsi="Times New Roman"/>
          <w:bCs/>
          <w:color w:val="000000"/>
          <w:sz w:val="24"/>
          <w:szCs w:val="24"/>
        </w:rPr>
        <w:t xml:space="preserve">а) отопление для бытовых нужд населения, использующего тепловую энергию от центрального и индивидуального теплового пункта </w:t>
      </w:r>
      <w:r w:rsidRPr="002E6A89">
        <w:rPr>
          <w:rFonts w:ascii="Times New Roman" w:hAnsi="Times New Roman"/>
          <w:color w:val="000000"/>
          <w:sz w:val="24"/>
          <w:szCs w:val="24"/>
          <w:lang w:eastAsia="en-US"/>
        </w:rPr>
        <w:t>– на 6,5% соответственно;</w:t>
      </w:r>
    </w:p>
    <w:p w:rsidR="00335844" w:rsidRPr="002E6A89" w:rsidRDefault="00335844" w:rsidP="00335844">
      <w:pPr>
        <w:spacing w:after="0" w:line="240" w:lineRule="auto"/>
        <w:ind w:firstLine="709"/>
        <w:jc w:val="both"/>
        <w:rPr>
          <w:rFonts w:ascii="Times New Roman" w:hAnsi="Times New Roman"/>
          <w:color w:val="000000"/>
          <w:sz w:val="24"/>
          <w:szCs w:val="24"/>
          <w:lang w:eastAsia="en-US"/>
        </w:rPr>
      </w:pPr>
      <w:r w:rsidRPr="002E6A89">
        <w:rPr>
          <w:rFonts w:ascii="Times New Roman" w:hAnsi="Times New Roman"/>
          <w:color w:val="000000"/>
          <w:sz w:val="24"/>
          <w:szCs w:val="24"/>
          <w:lang w:eastAsia="en-US"/>
        </w:rPr>
        <w:t xml:space="preserve">б) </w:t>
      </w:r>
      <w:r w:rsidRPr="002E6A89">
        <w:rPr>
          <w:rFonts w:ascii="Times New Roman" w:hAnsi="Times New Roman"/>
          <w:bCs/>
          <w:color w:val="000000"/>
          <w:sz w:val="24"/>
          <w:szCs w:val="24"/>
        </w:rPr>
        <w:t xml:space="preserve">подогрев воды для бытовых нужд населения при наличии приборов учета тепловой энергии, используемой от центрального теплового пункта </w:t>
      </w:r>
      <w:r w:rsidRPr="002E6A89">
        <w:rPr>
          <w:rFonts w:ascii="Times New Roman" w:hAnsi="Times New Roman"/>
          <w:color w:val="000000"/>
          <w:sz w:val="24"/>
          <w:szCs w:val="24"/>
          <w:lang w:eastAsia="en-US"/>
        </w:rPr>
        <w:t>–на 6,5% и на 6,6%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color w:val="000000"/>
          <w:sz w:val="24"/>
          <w:szCs w:val="24"/>
          <w:lang w:eastAsia="en-US"/>
        </w:rPr>
        <w:t xml:space="preserve">в) подогрев воды </w:t>
      </w:r>
      <w:r w:rsidRPr="002E6A89">
        <w:rPr>
          <w:rFonts w:ascii="Times New Roman" w:hAnsi="Times New Roman"/>
          <w:bCs/>
          <w:color w:val="000000"/>
          <w:sz w:val="24"/>
          <w:szCs w:val="24"/>
        </w:rPr>
        <w:t>для бытовых нужд населения при отсутствии приборов учета тепловой энергии, используемой от центрального и индивидуального теплового пункта, в домах:</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xml:space="preserve">- со всеми удобствами и частичными – на 6,5% и на 6,6% соответственно; </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lastRenderedPageBreak/>
        <w:t xml:space="preserve">- высотой более 12 этажей – на 6,6%. </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color w:val="000000"/>
          <w:sz w:val="24"/>
          <w:szCs w:val="24"/>
          <w:lang w:eastAsia="en-US"/>
        </w:rPr>
        <w:t xml:space="preserve">г)тепловая энергия для целей расчета тарифов населению, использующему тепловую энергию от центрального и индивидуального теплового пункта </w:t>
      </w:r>
      <w:r w:rsidRPr="002E6A89">
        <w:rPr>
          <w:rFonts w:ascii="Times New Roman" w:hAnsi="Times New Roman"/>
          <w:bCs/>
          <w:color w:val="000000"/>
          <w:sz w:val="24"/>
          <w:szCs w:val="24"/>
        </w:rPr>
        <w:t>– снижение на 6,5% и на 6,6%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u w:val="single"/>
        </w:rPr>
      </w:pPr>
      <w:r w:rsidRPr="002E6A89">
        <w:rPr>
          <w:rFonts w:ascii="Times New Roman" w:hAnsi="Times New Roman"/>
          <w:i/>
          <w:iCs/>
          <w:color w:val="000000"/>
          <w:sz w:val="24"/>
          <w:szCs w:val="24"/>
          <w:u w:val="single"/>
        </w:rPr>
        <w:t>Для лиц, работающих в органах государственной власти (управления) Республики Молдова и (или) организациях, учреждениях, а также унитарных предприятиях Республики Молдова, проживающих на территории Приднестровской Молдавской Республики:</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Предельные уровни тарифов на услуги по отоплению для бытовых нужд населения, использующего тепловую энергию по отношению к предельному уровню тарифа, действующего с 1 декабря 2014 года в среднем по республике, увеличены: </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от центрального теплового пункта </w:t>
      </w:r>
      <w:r w:rsidRPr="002E6A89">
        <w:rPr>
          <w:rFonts w:ascii="Times New Roman" w:hAnsi="Times New Roman"/>
          <w:bCs/>
          <w:color w:val="000000"/>
          <w:sz w:val="24"/>
          <w:szCs w:val="24"/>
        </w:rPr>
        <w:t xml:space="preserve">– </w:t>
      </w:r>
      <w:r w:rsidRPr="002E6A89">
        <w:rPr>
          <w:rFonts w:ascii="Times New Roman" w:hAnsi="Times New Roman"/>
          <w:sz w:val="24"/>
          <w:szCs w:val="24"/>
          <w:lang w:eastAsia="en-US"/>
        </w:rPr>
        <w:t>на 1,18%.</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от индивидуального теплового пункта </w:t>
      </w:r>
      <w:r w:rsidRPr="002E6A89">
        <w:rPr>
          <w:rFonts w:ascii="Times New Roman" w:hAnsi="Times New Roman"/>
          <w:bCs/>
          <w:color w:val="000000"/>
          <w:sz w:val="24"/>
          <w:szCs w:val="24"/>
        </w:rPr>
        <w:t>–</w:t>
      </w:r>
      <w:r w:rsidRPr="002E6A89">
        <w:rPr>
          <w:rFonts w:ascii="Times New Roman" w:hAnsi="Times New Roman"/>
          <w:sz w:val="24"/>
          <w:szCs w:val="24"/>
          <w:lang w:eastAsia="en-US"/>
        </w:rPr>
        <w:t xml:space="preserve"> на 0,95%;</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sz w:val="24"/>
          <w:szCs w:val="24"/>
          <w:lang w:eastAsia="en-US"/>
        </w:rPr>
        <w:t xml:space="preserve">а) </w:t>
      </w:r>
      <w:r w:rsidRPr="002E6A89">
        <w:rPr>
          <w:rFonts w:ascii="Times New Roman" w:hAnsi="Times New Roman"/>
          <w:bCs/>
          <w:color w:val="000000"/>
          <w:sz w:val="24"/>
          <w:szCs w:val="24"/>
        </w:rPr>
        <w:t>подогрев воды для бытовых нужд населения при наличии приборов учета тепловой энергии, используемой:</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bCs/>
          <w:color w:val="000000"/>
          <w:sz w:val="24"/>
          <w:szCs w:val="24"/>
        </w:rPr>
        <w:t xml:space="preserve">- от центрального теплового пункта – </w:t>
      </w:r>
      <w:r w:rsidRPr="002E6A89">
        <w:rPr>
          <w:rFonts w:ascii="Times New Roman" w:hAnsi="Times New Roman"/>
          <w:sz w:val="24"/>
          <w:szCs w:val="24"/>
          <w:lang w:eastAsia="en-US"/>
        </w:rPr>
        <w:t>на 1,20%;</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от индивидуального теплового пункта </w:t>
      </w:r>
      <w:r w:rsidRPr="002E6A89">
        <w:rPr>
          <w:rFonts w:ascii="Times New Roman" w:hAnsi="Times New Roman"/>
          <w:bCs/>
          <w:color w:val="000000"/>
          <w:sz w:val="24"/>
          <w:szCs w:val="24"/>
        </w:rPr>
        <w:t xml:space="preserve">– </w:t>
      </w:r>
      <w:r w:rsidRPr="002E6A89">
        <w:rPr>
          <w:rFonts w:ascii="Times New Roman" w:hAnsi="Times New Roman"/>
          <w:sz w:val="24"/>
          <w:szCs w:val="24"/>
          <w:lang w:eastAsia="en-US"/>
        </w:rPr>
        <w:t>на 0,97%;</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sz w:val="24"/>
          <w:szCs w:val="24"/>
          <w:lang w:eastAsia="en-US"/>
        </w:rPr>
        <w:t xml:space="preserve">б) </w:t>
      </w:r>
      <w:r w:rsidRPr="002E6A89">
        <w:rPr>
          <w:rFonts w:ascii="Times New Roman" w:hAnsi="Times New Roman"/>
          <w:bCs/>
          <w:color w:val="000000"/>
          <w:sz w:val="24"/>
          <w:szCs w:val="24"/>
        </w:rPr>
        <w:t>подогрев воды для бытовых нужд населения при отсутствии приборов учета тепловой энергии, используемой от центрального и индивидуального теплового пункта, в домах:</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со всеми удобствами – на 1,20% и на 0,98%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xml:space="preserve"> - с частичными удобствами – на 1,24% и на 0,98% соответственно; </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xml:space="preserve">- высотой более 12 этажей – на 0,98%; </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в) тепловая энергия для целей расчета тарифов населению, использующему тепловую энергию от центрального и  индивидуального теплового пункта – на 1,17% и на 0,98% соответственно.</w:t>
      </w:r>
    </w:p>
    <w:p w:rsidR="00335844" w:rsidRPr="002E6A89" w:rsidRDefault="00335844" w:rsidP="00335844">
      <w:pPr>
        <w:spacing w:after="0" w:line="240" w:lineRule="auto"/>
        <w:ind w:firstLine="709"/>
        <w:jc w:val="both"/>
        <w:rPr>
          <w:rFonts w:ascii="Times New Roman" w:hAnsi="Times New Roman"/>
          <w:bCs/>
          <w:i/>
          <w:color w:val="000000"/>
          <w:sz w:val="24"/>
          <w:szCs w:val="24"/>
          <w:u w:val="single"/>
        </w:rPr>
      </w:pPr>
      <w:r w:rsidRPr="002E6A89">
        <w:rPr>
          <w:rFonts w:ascii="Times New Roman" w:hAnsi="Times New Roman"/>
          <w:bCs/>
          <w:i/>
          <w:color w:val="000000"/>
          <w:sz w:val="24"/>
          <w:szCs w:val="24"/>
          <w:u w:val="single"/>
        </w:rPr>
        <w:t>Для иных физических лиц:</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bCs/>
          <w:color w:val="000000"/>
          <w:sz w:val="24"/>
          <w:szCs w:val="24"/>
        </w:rPr>
        <w:t xml:space="preserve">а) </w:t>
      </w:r>
      <w:r w:rsidRPr="002E6A89">
        <w:rPr>
          <w:rFonts w:ascii="Times New Roman" w:hAnsi="Times New Roman"/>
          <w:sz w:val="24"/>
          <w:szCs w:val="24"/>
          <w:lang w:eastAsia="en-US"/>
        </w:rPr>
        <w:t xml:space="preserve">Предельные уровни тарифов на услуги по отоплению для бытовых нужд населения, использующего тепловую энергию по отношению к предельному уровню тарифа, действующего в </w:t>
      </w:r>
      <w:r w:rsidRPr="002E6A89">
        <w:rPr>
          <w:rFonts w:ascii="Times New Roman" w:hAnsi="Times New Roman"/>
          <w:sz w:val="24"/>
          <w:szCs w:val="24"/>
          <w:lang w:val="en-US" w:eastAsia="en-US"/>
        </w:rPr>
        <w:t>I</w:t>
      </w:r>
      <w:r w:rsidRPr="002E6A89">
        <w:rPr>
          <w:rFonts w:ascii="Times New Roman" w:hAnsi="Times New Roman"/>
          <w:sz w:val="24"/>
          <w:szCs w:val="24"/>
          <w:lang w:eastAsia="en-US"/>
        </w:rPr>
        <w:t xml:space="preserve"> полугодии 2014 года в среднем по республике, увеличены:</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от центрального теплового пункта </w:t>
      </w:r>
      <w:r w:rsidRPr="002E6A89">
        <w:rPr>
          <w:rFonts w:ascii="Times New Roman" w:hAnsi="Times New Roman"/>
          <w:bCs/>
          <w:color w:val="000000"/>
          <w:sz w:val="24"/>
          <w:szCs w:val="24"/>
        </w:rPr>
        <w:t xml:space="preserve">– </w:t>
      </w:r>
      <w:r w:rsidRPr="002E6A89">
        <w:rPr>
          <w:rFonts w:ascii="Times New Roman" w:hAnsi="Times New Roman"/>
          <w:sz w:val="24"/>
          <w:szCs w:val="24"/>
          <w:lang w:eastAsia="en-US"/>
        </w:rPr>
        <w:t>на 3,60%.</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 от индивидуального теплового пункта </w:t>
      </w:r>
      <w:r w:rsidRPr="002E6A89">
        <w:rPr>
          <w:rFonts w:ascii="Times New Roman" w:hAnsi="Times New Roman"/>
          <w:bCs/>
          <w:color w:val="000000"/>
          <w:sz w:val="24"/>
          <w:szCs w:val="24"/>
        </w:rPr>
        <w:t xml:space="preserve">– </w:t>
      </w:r>
      <w:r w:rsidRPr="002E6A89">
        <w:rPr>
          <w:rFonts w:ascii="Times New Roman" w:hAnsi="Times New Roman"/>
          <w:sz w:val="24"/>
          <w:szCs w:val="24"/>
          <w:lang w:eastAsia="en-US"/>
        </w:rPr>
        <w:t>на 3,62%;</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б) </w:t>
      </w:r>
      <w:r w:rsidRPr="002E6A89">
        <w:rPr>
          <w:rFonts w:ascii="Times New Roman" w:hAnsi="Times New Roman"/>
          <w:bCs/>
          <w:color w:val="000000"/>
          <w:sz w:val="24"/>
          <w:szCs w:val="24"/>
        </w:rPr>
        <w:t>подогрев воды для бытовых нужд населения при наличии приборов учета тепловой энергии, используемой от центрального и индивидуального теплового пункта</w:t>
      </w:r>
      <w:r w:rsidRPr="002E6A89">
        <w:rPr>
          <w:rFonts w:ascii="Times New Roman" w:hAnsi="Times New Roman"/>
          <w:bCs/>
          <w:color w:val="000000"/>
          <w:sz w:val="24"/>
          <w:szCs w:val="24"/>
        </w:rPr>
        <w:br/>
        <w:t xml:space="preserve"> –</w:t>
      </w:r>
      <w:r w:rsidRPr="002E6A89">
        <w:rPr>
          <w:rFonts w:ascii="Times New Roman" w:hAnsi="Times New Roman"/>
          <w:sz w:val="24"/>
          <w:szCs w:val="24"/>
          <w:lang w:eastAsia="en-US"/>
        </w:rPr>
        <w:t xml:space="preserve"> на 3,60% и на 3,62%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sz w:val="24"/>
          <w:szCs w:val="24"/>
          <w:lang w:eastAsia="en-US"/>
        </w:rPr>
        <w:t xml:space="preserve">в) </w:t>
      </w:r>
      <w:r w:rsidRPr="002E6A89">
        <w:rPr>
          <w:rFonts w:ascii="Times New Roman" w:hAnsi="Times New Roman"/>
          <w:bCs/>
          <w:color w:val="000000"/>
          <w:sz w:val="24"/>
          <w:szCs w:val="24"/>
        </w:rPr>
        <w:t>подогрев воды для бытовых нужд населения при отсутствии приборов учета тепловой энергии, используемой от центрального и индивидуального теплового пункта в домах:</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со всеми удобствами – на 3,60%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с частичными удобствами – на 3,59% и на 3,60%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xml:space="preserve">- высотой более 12 этажей – на 3,61%; </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xml:space="preserve">г) тепловая энергия для целей расчета тарифов населению, использующему тепловую энергию от центрального и индивидуального теплового пункта – на 3,60% и </w:t>
      </w:r>
      <w:r w:rsidRPr="002E6A89">
        <w:rPr>
          <w:rFonts w:ascii="Times New Roman" w:hAnsi="Times New Roman"/>
          <w:bCs/>
          <w:color w:val="000000"/>
          <w:sz w:val="24"/>
          <w:szCs w:val="24"/>
        </w:rPr>
        <w:br/>
        <w:t>на 3,61% соответственно;</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д) тепловая энергия, отпускаемая организациям и учреждениям, финансируемым из бюджетов всех уровней – на 4,69%;</w:t>
      </w:r>
    </w:p>
    <w:p w:rsidR="00335844" w:rsidRPr="002E6A89" w:rsidRDefault="00335844" w:rsidP="00335844">
      <w:pPr>
        <w:spacing w:after="0" w:line="240" w:lineRule="auto"/>
        <w:ind w:firstLine="709"/>
        <w:jc w:val="both"/>
        <w:rPr>
          <w:rFonts w:ascii="Times New Roman" w:hAnsi="Times New Roman"/>
          <w:bCs/>
          <w:color w:val="000000"/>
          <w:sz w:val="24"/>
          <w:szCs w:val="24"/>
        </w:rPr>
      </w:pPr>
      <w:r w:rsidRPr="002E6A89">
        <w:rPr>
          <w:rFonts w:ascii="Times New Roman" w:hAnsi="Times New Roman"/>
          <w:bCs/>
          <w:color w:val="000000"/>
          <w:sz w:val="24"/>
          <w:szCs w:val="24"/>
        </w:rPr>
        <w:t xml:space="preserve">е) тепловая энергия, отпускаемая промышленным и прочим потребителям </w:t>
      </w:r>
      <w:r w:rsidRPr="002E6A89">
        <w:rPr>
          <w:rFonts w:ascii="Times New Roman" w:hAnsi="Times New Roman"/>
          <w:bCs/>
          <w:color w:val="000000"/>
          <w:sz w:val="24"/>
          <w:szCs w:val="24"/>
        </w:rPr>
        <w:br/>
        <w:t>– на 7,50%.</w:t>
      </w:r>
    </w:p>
    <w:p w:rsidR="00335844" w:rsidRPr="002E6A89" w:rsidRDefault="00335844" w:rsidP="00335844">
      <w:pPr>
        <w:spacing w:after="0" w:line="240" w:lineRule="auto"/>
        <w:ind w:firstLine="709"/>
        <w:jc w:val="both"/>
        <w:rPr>
          <w:rFonts w:ascii="Times New Roman" w:hAnsi="Times New Roman"/>
          <w:b/>
          <w:sz w:val="16"/>
          <w:szCs w:val="16"/>
          <w:lang w:eastAsia="en-US"/>
        </w:rPr>
      </w:pPr>
      <w:r w:rsidRPr="002E6A89">
        <w:rPr>
          <w:rFonts w:ascii="Times New Roman" w:hAnsi="Times New Roman"/>
          <w:b/>
          <w:sz w:val="24"/>
          <w:szCs w:val="24"/>
          <w:lang w:eastAsia="en-US"/>
        </w:rPr>
        <w:t>Услуги водоснабжения и водоотведения (канализация)</w:t>
      </w:r>
    </w:p>
    <w:p w:rsidR="00335844" w:rsidRDefault="00335844" w:rsidP="00335844">
      <w:pPr>
        <w:widowControl w:val="0"/>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 xml:space="preserve">Изменения применяемых в </w:t>
      </w:r>
      <w:r w:rsidRPr="002E6A89">
        <w:rPr>
          <w:rFonts w:ascii="Times New Roman" w:hAnsi="Times New Roman"/>
          <w:sz w:val="24"/>
          <w:szCs w:val="24"/>
          <w:lang w:val="en-US" w:eastAsia="en-US"/>
        </w:rPr>
        <w:t>I</w:t>
      </w:r>
      <w:r w:rsidRPr="002E6A89">
        <w:rPr>
          <w:rFonts w:ascii="Times New Roman" w:hAnsi="Times New Roman"/>
          <w:sz w:val="24"/>
          <w:szCs w:val="24"/>
          <w:lang w:eastAsia="en-US"/>
        </w:rPr>
        <w:t xml:space="preserve"> полугодии 2015 года тарифов на услуги водоснабжения и водоотведения в сравнении с тарифами, действовавшими в 2014 году, по категориям потребителей представлены в следующем виде:</w:t>
      </w:r>
    </w:p>
    <w:p w:rsidR="005B5A6A" w:rsidRPr="002E6A89" w:rsidRDefault="005B5A6A" w:rsidP="00335844">
      <w:pPr>
        <w:widowControl w:val="0"/>
        <w:spacing w:after="0" w:line="240" w:lineRule="auto"/>
        <w:ind w:firstLine="709"/>
        <w:jc w:val="both"/>
        <w:rPr>
          <w:rFonts w:ascii="Times New Roman" w:hAnsi="Times New Roman"/>
          <w:sz w:val="24"/>
          <w:szCs w:val="24"/>
          <w:lang w:eastAsia="en-US"/>
        </w:rPr>
      </w:pPr>
    </w:p>
    <w:tbl>
      <w:tblPr>
        <w:tblW w:w="4868" w:type="pct"/>
        <w:tblInd w:w="108" w:type="dxa"/>
        <w:tblLook w:val="04A0"/>
      </w:tblPr>
      <w:tblGrid>
        <w:gridCol w:w="709"/>
        <w:gridCol w:w="3544"/>
        <w:gridCol w:w="1276"/>
        <w:gridCol w:w="1284"/>
        <w:gridCol w:w="1222"/>
        <w:gridCol w:w="1282"/>
      </w:tblGrid>
      <w:tr w:rsidR="00335844" w:rsidRPr="002E6A89" w:rsidTr="003F67B2">
        <w:trPr>
          <w:trHeight w:val="230"/>
        </w:trPr>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lastRenderedPageBreak/>
              <w:t>№ п/п</w:t>
            </w:r>
          </w:p>
        </w:tc>
        <w:tc>
          <w:tcPr>
            <w:tcW w:w="1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Наименование услуги</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Единица измерения</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Тариф на 2014 год, руб. ПМР</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Тариф на 2015 год, руб. ПМР</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Темп роста 2015 г. к 2014 г., %</w:t>
            </w:r>
          </w:p>
        </w:tc>
      </w:tr>
      <w:tr w:rsidR="00335844" w:rsidRPr="002E6A89" w:rsidTr="003F67B2">
        <w:trPr>
          <w:trHeight w:val="230"/>
        </w:trPr>
        <w:tc>
          <w:tcPr>
            <w:tcW w:w="380" w:type="pct"/>
            <w:vMerge/>
            <w:tcBorders>
              <w:top w:val="single" w:sz="4" w:space="0" w:color="auto"/>
              <w:left w:val="single" w:sz="4" w:space="0" w:color="auto"/>
              <w:bottom w:val="single" w:sz="4" w:space="0" w:color="auto"/>
              <w:right w:val="single" w:sz="4" w:space="0" w:color="auto"/>
            </w:tcBorders>
            <w:vAlign w:val="center"/>
            <w:hideMark/>
          </w:tcPr>
          <w:p w:rsidR="00335844" w:rsidRPr="002E6A89" w:rsidRDefault="00335844" w:rsidP="003F67B2">
            <w:pPr>
              <w:spacing w:after="0" w:line="240" w:lineRule="auto"/>
              <w:rPr>
                <w:rFonts w:ascii="Times New Roman" w:hAnsi="Times New Roman"/>
                <w:color w:val="000000"/>
                <w:sz w:val="20"/>
                <w:szCs w:val="20"/>
              </w:rPr>
            </w:pPr>
          </w:p>
        </w:tc>
        <w:tc>
          <w:tcPr>
            <w:tcW w:w="1902" w:type="pct"/>
            <w:vMerge/>
            <w:tcBorders>
              <w:top w:val="single" w:sz="4" w:space="0" w:color="auto"/>
              <w:left w:val="single" w:sz="4" w:space="0" w:color="auto"/>
              <w:bottom w:val="single" w:sz="4" w:space="0" w:color="auto"/>
              <w:right w:val="single" w:sz="4" w:space="0" w:color="auto"/>
            </w:tcBorders>
            <w:vAlign w:val="center"/>
            <w:hideMark/>
          </w:tcPr>
          <w:p w:rsidR="00335844" w:rsidRPr="002E6A89" w:rsidRDefault="00335844" w:rsidP="003F67B2">
            <w:pPr>
              <w:spacing w:after="0" w:line="240" w:lineRule="auto"/>
              <w:rPr>
                <w:rFonts w:ascii="Times New Roman" w:hAnsi="Times New Roman"/>
                <w:color w:val="000000"/>
                <w:sz w:val="20"/>
                <w:szCs w:val="20"/>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335844" w:rsidRPr="002E6A89" w:rsidRDefault="00335844" w:rsidP="003F67B2">
            <w:pPr>
              <w:spacing w:after="0" w:line="240" w:lineRule="auto"/>
              <w:rPr>
                <w:rFonts w:ascii="Times New Roman" w:hAnsi="Times New Roman"/>
                <w:color w:val="000000"/>
                <w:sz w:val="20"/>
                <w:szCs w:val="20"/>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rsidR="00335844" w:rsidRPr="002E6A89" w:rsidRDefault="00335844" w:rsidP="003F67B2">
            <w:pPr>
              <w:spacing w:after="0" w:line="240" w:lineRule="auto"/>
              <w:rPr>
                <w:rFonts w:ascii="Times New Roman" w:hAnsi="Times New Roman"/>
                <w:color w:val="000000"/>
                <w:sz w:val="20"/>
                <w:szCs w:val="20"/>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35844" w:rsidRPr="002E6A89" w:rsidRDefault="00335844" w:rsidP="003F67B2">
            <w:pPr>
              <w:spacing w:after="0" w:line="240" w:lineRule="auto"/>
              <w:rPr>
                <w:rFonts w:ascii="Times New Roman" w:hAnsi="Times New Roman"/>
                <w:color w:val="000000"/>
                <w:sz w:val="20"/>
                <w:szCs w:val="20"/>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335844" w:rsidRPr="002E6A89" w:rsidRDefault="00335844" w:rsidP="003F67B2">
            <w:pPr>
              <w:spacing w:after="0" w:line="240" w:lineRule="auto"/>
              <w:rPr>
                <w:rFonts w:ascii="Times New Roman" w:hAnsi="Times New Roman"/>
                <w:color w:val="000000"/>
                <w:sz w:val="20"/>
                <w:szCs w:val="20"/>
              </w:rPr>
            </w:pP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Водоснабжение:</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b/>
                <w:bCs/>
                <w:color w:val="000000"/>
                <w:sz w:val="20"/>
                <w:szCs w:val="20"/>
              </w:rPr>
            </w:pPr>
            <w:r w:rsidRPr="002E6A89">
              <w:rPr>
                <w:rFonts w:ascii="Times New Roman" w:hAnsi="Times New Roman"/>
                <w:b/>
                <w:bCs/>
                <w:color w:val="000000"/>
                <w:sz w:val="20"/>
                <w:szCs w:val="20"/>
              </w:rPr>
              <w:t> </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b/>
                <w:bCs/>
                <w:color w:val="000000"/>
                <w:sz w:val="20"/>
                <w:szCs w:val="20"/>
              </w:rPr>
            </w:pPr>
            <w:r w:rsidRPr="002E6A89">
              <w:rPr>
                <w:rFonts w:ascii="Times New Roman" w:hAnsi="Times New Roman"/>
                <w:b/>
                <w:bCs/>
                <w:color w:val="000000"/>
                <w:sz w:val="20"/>
                <w:szCs w:val="20"/>
              </w:rPr>
              <w:t> </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а)</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с 1 января по 30 апреля</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3,70</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4,52</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122,16</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б)</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с 1 мая по 31 декабря:</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2.</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Население:</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а)</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 с приборами учета расхода воды</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3,70</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4,52</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122,16</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б)</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 без приборов учета расхода воды</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3,70</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4,52</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122,16</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xml:space="preserve"> 2.1.</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Промышленные и прочие потребители</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3,70</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4,52</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122,16</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2.2.</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Организации и учреждения, финансируемые из бюджетов всех уровней</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3,70</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4,52</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122,16</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Водоотведение (канализация):</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а)</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с 1 января по 30 апреля</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3,48</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3,89</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111,78</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б)</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с 1 мая по 31 декабря:</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4.</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Население:</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 </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а)</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 с приборами учета расхода воды</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3,48</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3,89</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111,78</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б)</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 без приборов учета расхода воды</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3,48</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3,89</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111,78</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2.2.2.</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Промышленные и прочие потребители</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3,48</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3,89</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111,78</w:t>
            </w:r>
          </w:p>
        </w:tc>
      </w:tr>
      <w:tr w:rsidR="00335844" w:rsidRPr="002E6A89" w:rsidTr="003F67B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2.2.3.</w:t>
            </w:r>
          </w:p>
        </w:tc>
        <w:tc>
          <w:tcPr>
            <w:tcW w:w="1902"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Организации и учреждения, финансируемые из бюджетов всех уровней</w:t>
            </w:r>
          </w:p>
        </w:tc>
        <w:tc>
          <w:tcPr>
            <w:tcW w:w="685"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куб.м.</w:t>
            </w:r>
          </w:p>
        </w:tc>
        <w:tc>
          <w:tcPr>
            <w:tcW w:w="689"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3,48</w:t>
            </w:r>
          </w:p>
        </w:tc>
        <w:tc>
          <w:tcPr>
            <w:tcW w:w="656"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3,89</w:t>
            </w:r>
          </w:p>
        </w:tc>
        <w:tc>
          <w:tcPr>
            <w:tcW w:w="688" w:type="pct"/>
            <w:tcBorders>
              <w:top w:val="nil"/>
              <w:left w:val="nil"/>
              <w:bottom w:val="single" w:sz="4" w:space="0" w:color="auto"/>
              <w:right w:val="single" w:sz="4" w:space="0" w:color="auto"/>
            </w:tcBorders>
            <w:shd w:val="clear" w:color="auto" w:fill="auto"/>
            <w:vAlign w:val="center"/>
            <w:hideMark/>
          </w:tcPr>
          <w:p w:rsidR="00335844" w:rsidRPr="002E6A89" w:rsidRDefault="00335844" w:rsidP="003F67B2">
            <w:pPr>
              <w:spacing w:after="0" w:line="240" w:lineRule="auto"/>
              <w:jc w:val="center"/>
              <w:rPr>
                <w:rFonts w:ascii="Times New Roman" w:hAnsi="Times New Roman"/>
                <w:color w:val="000000"/>
                <w:sz w:val="20"/>
                <w:szCs w:val="20"/>
              </w:rPr>
            </w:pPr>
            <w:r w:rsidRPr="002E6A89">
              <w:rPr>
                <w:rFonts w:ascii="Times New Roman" w:hAnsi="Times New Roman"/>
                <w:color w:val="000000"/>
                <w:sz w:val="20"/>
                <w:szCs w:val="20"/>
              </w:rPr>
              <w:t>111,78</w:t>
            </w:r>
          </w:p>
        </w:tc>
      </w:tr>
    </w:tbl>
    <w:p w:rsidR="00335844" w:rsidRPr="002E6A89" w:rsidRDefault="00335844" w:rsidP="00335844">
      <w:pPr>
        <w:spacing w:after="0" w:line="240" w:lineRule="auto"/>
        <w:ind w:firstLine="567"/>
        <w:jc w:val="center"/>
        <w:rPr>
          <w:rFonts w:ascii="Times New Roman" w:hAnsi="Times New Roman"/>
          <w:sz w:val="20"/>
          <w:szCs w:val="20"/>
          <w:lang w:eastAsia="en-US"/>
        </w:rPr>
      </w:pPr>
    </w:p>
    <w:p w:rsidR="00335844" w:rsidRPr="002E6A89" w:rsidRDefault="00335844" w:rsidP="00335844">
      <w:pPr>
        <w:spacing w:after="0" w:line="240" w:lineRule="auto"/>
        <w:ind w:firstLine="709"/>
        <w:jc w:val="both"/>
        <w:rPr>
          <w:rFonts w:ascii="Times New Roman" w:hAnsi="Times New Roman"/>
          <w:b/>
          <w:sz w:val="24"/>
          <w:szCs w:val="24"/>
          <w:lang w:eastAsia="en-US"/>
        </w:rPr>
      </w:pPr>
      <w:r w:rsidRPr="002E6A89">
        <w:rPr>
          <w:rFonts w:ascii="Times New Roman" w:hAnsi="Times New Roman"/>
          <w:b/>
          <w:sz w:val="24"/>
          <w:szCs w:val="24"/>
          <w:lang w:eastAsia="en-US"/>
        </w:rPr>
        <w:t>Услуги на перевозку пассажиров электрическим транспортом и услуги железнодорожного транспорта в местном сообщении</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hAnsi="Times New Roman"/>
          <w:sz w:val="24"/>
          <w:szCs w:val="24"/>
          <w:lang w:eastAsia="en-US"/>
        </w:rPr>
        <w:t>В период с 1 января по 30 июня 2015 года тарифы на услуги по перевозке пассажиров электрическим транспортом и стоимость проездных билетов на данный вид услуг утверждены на уровне действующих тарифов в 2014 году (ниже предельных тарифов, установленных на 2015 год).</w:t>
      </w:r>
    </w:p>
    <w:p w:rsidR="00335844" w:rsidRPr="002E6A89" w:rsidRDefault="00335844" w:rsidP="00335844">
      <w:pPr>
        <w:spacing w:after="0" w:line="240" w:lineRule="auto"/>
        <w:ind w:firstLine="709"/>
        <w:jc w:val="both"/>
        <w:rPr>
          <w:rFonts w:ascii="Times New Roman" w:hAnsi="Times New Roman"/>
          <w:sz w:val="24"/>
          <w:szCs w:val="24"/>
        </w:rPr>
      </w:pPr>
      <w:r w:rsidRPr="002E6A89">
        <w:rPr>
          <w:rFonts w:ascii="Times New Roman" w:hAnsi="Times New Roman"/>
          <w:sz w:val="24"/>
          <w:szCs w:val="24"/>
          <w:lang w:eastAsia="en-US"/>
        </w:rPr>
        <w:t xml:space="preserve">Предельные уровни тарифов на услуги железнодорожного транспорта в местном сообщении в 2015 году по сравнению с предельными уровнями тарифов, утвержденными в 2014 году, увеличены на 4,0 %, что обусловлено </w:t>
      </w:r>
      <w:r w:rsidRPr="002E6A89">
        <w:rPr>
          <w:rFonts w:ascii="Times New Roman" w:hAnsi="Times New Roman"/>
          <w:sz w:val="24"/>
          <w:szCs w:val="24"/>
        </w:rPr>
        <w:t>обеспечением покрытия экономически обоснованных затрат и получением обоснованной нормы прибыли (рентабельности) в регулируемой деятельности.</w:t>
      </w:r>
    </w:p>
    <w:p w:rsidR="00335844" w:rsidRPr="002E6A89" w:rsidRDefault="00335844" w:rsidP="00335844">
      <w:pPr>
        <w:spacing w:after="0" w:line="240" w:lineRule="auto"/>
        <w:ind w:firstLine="709"/>
        <w:jc w:val="both"/>
        <w:rPr>
          <w:rFonts w:ascii="Times New Roman" w:eastAsia="MS Mincho" w:hAnsi="Times New Roman"/>
          <w:b/>
          <w:bCs/>
          <w:sz w:val="16"/>
          <w:szCs w:val="16"/>
        </w:rPr>
      </w:pPr>
      <w:r w:rsidRPr="002E6A89">
        <w:rPr>
          <w:rFonts w:ascii="Times New Roman" w:eastAsia="MS Mincho" w:hAnsi="Times New Roman"/>
          <w:b/>
          <w:bCs/>
          <w:sz w:val="24"/>
          <w:szCs w:val="24"/>
        </w:rPr>
        <w:t>Тарифная политика в сфере услуг государственных и муниципальных  учреждений</w:t>
      </w:r>
    </w:p>
    <w:p w:rsidR="00335844" w:rsidRPr="002E6A89" w:rsidRDefault="00335844" w:rsidP="00335844">
      <w:pPr>
        <w:spacing w:after="0" w:line="240" w:lineRule="auto"/>
        <w:ind w:firstLine="709"/>
        <w:jc w:val="both"/>
        <w:rPr>
          <w:rFonts w:ascii="Times New Roman" w:eastAsia="MS Mincho" w:hAnsi="Times New Roman"/>
          <w:bCs/>
          <w:sz w:val="24"/>
          <w:szCs w:val="24"/>
        </w:rPr>
      </w:pPr>
      <w:r w:rsidRPr="002E6A89">
        <w:rPr>
          <w:rFonts w:ascii="Times New Roman" w:eastAsia="MS Mincho" w:hAnsi="Times New Roman"/>
          <w:bCs/>
          <w:sz w:val="24"/>
          <w:szCs w:val="24"/>
        </w:rPr>
        <w:t>Предельные уровни тарифов на услуги государственных и муниципальных учреждений в 2015 году по сравнению с предельными уровнями тарифов, действовавшими в 2014 году, увеличены в среднем на 11%.</w:t>
      </w:r>
    </w:p>
    <w:p w:rsidR="00335844" w:rsidRPr="002E6A89" w:rsidRDefault="00335844" w:rsidP="00335844">
      <w:pPr>
        <w:spacing w:after="0" w:line="240" w:lineRule="auto"/>
        <w:ind w:firstLine="709"/>
        <w:jc w:val="both"/>
        <w:rPr>
          <w:rFonts w:ascii="Times New Roman" w:eastAsia="MS Mincho" w:hAnsi="Times New Roman"/>
          <w:b/>
          <w:bCs/>
          <w:sz w:val="16"/>
          <w:szCs w:val="16"/>
        </w:rPr>
      </w:pPr>
      <w:r w:rsidRPr="002E6A89">
        <w:rPr>
          <w:rFonts w:ascii="Times New Roman" w:eastAsia="MS Mincho" w:hAnsi="Times New Roman"/>
          <w:b/>
          <w:bCs/>
          <w:sz w:val="24"/>
          <w:szCs w:val="24"/>
        </w:rPr>
        <w:t>Тарифная политика в сфере работ, услуг по стандартизации, метрологии и обязательной сертификации продукции и услуг</w:t>
      </w:r>
    </w:p>
    <w:p w:rsidR="00335844" w:rsidRPr="002E6A89" w:rsidRDefault="00335844" w:rsidP="00335844">
      <w:pPr>
        <w:spacing w:after="0" w:line="240" w:lineRule="auto"/>
        <w:ind w:firstLine="709"/>
        <w:jc w:val="both"/>
        <w:rPr>
          <w:rFonts w:ascii="Times New Roman" w:hAnsi="Times New Roman"/>
          <w:sz w:val="24"/>
          <w:szCs w:val="24"/>
          <w:lang w:eastAsia="en-US"/>
        </w:rPr>
      </w:pPr>
      <w:r w:rsidRPr="002E6A89">
        <w:rPr>
          <w:rFonts w:ascii="Times New Roman" w:eastAsia="MS Mincho" w:hAnsi="Times New Roman"/>
          <w:bCs/>
          <w:sz w:val="24"/>
          <w:szCs w:val="24"/>
        </w:rPr>
        <w:t>В 2015 году по сравнению с 2014 годом рост тарифов на работы, услуги по стандартизации, метрологии и обязательной сертификации продукции и услуг составил в среднем 8,5%.</w:t>
      </w:r>
    </w:p>
    <w:p w:rsidR="00335844" w:rsidRPr="002E6A89" w:rsidRDefault="00335844" w:rsidP="00335844">
      <w:pPr>
        <w:spacing w:after="0" w:line="240" w:lineRule="auto"/>
        <w:ind w:firstLine="709"/>
        <w:jc w:val="both"/>
        <w:rPr>
          <w:rFonts w:ascii="Times New Roman" w:eastAsia="MS Mincho" w:hAnsi="Times New Roman"/>
          <w:b/>
          <w:bCs/>
          <w:sz w:val="24"/>
          <w:szCs w:val="24"/>
        </w:rPr>
      </w:pPr>
      <w:r w:rsidRPr="002E6A89">
        <w:rPr>
          <w:rFonts w:ascii="Times New Roman" w:hAnsi="Times New Roman"/>
          <w:b/>
          <w:sz w:val="24"/>
          <w:szCs w:val="24"/>
        </w:rPr>
        <w:t xml:space="preserve">Ценовая (тарифная) политика в </w:t>
      </w:r>
      <w:r w:rsidRPr="002E6A89">
        <w:rPr>
          <w:rFonts w:ascii="Times New Roman" w:eastAsia="MS Mincho" w:hAnsi="Times New Roman"/>
          <w:b/>
          <w:bCs/>
          <w:sz w:val="24"/>
          <w:szCs w:val="24"/>
        </w:rPr>
        <w:t xml:space="preserve">сфере социально значимых товаров </w:t>
      </w:r>
      <w:r w:rsidRPr="002E6A89">
        <w:rPr>
          <w:rFonts w:ascii="Times New Roman" w:eastAsia="MS Mincho" w:hAnsi="Times New Roman"/>
          <w:b/>
          <w:bCs/>
          <w:sz w:val="24"/>
          <w:szCs w:val="24"/>
        </w:rPr>
        <w:br/>
        <w:t>(работ, услуг)</w:t>
      </w:r>
    </w:p>
    <w:p w:rsidR="00335844" w:rsidRPr="002E6A89" w:rsidRDefault="00335844" w:rsidP="00335844">
      <w:pPr>
        <w:spacing w:after="0" w:line="240" w:lineRule="auto"/>
        <w:ind w:firstLine="709"/>
        <w:jc w:val="both"/>
        <w:rPr>
          <w:rFonts w:ascii="Times New Roman" w:eastAsia="MS Mincho" w:hAnsi="Times New Roman"/>
          <w:bCs/>
          <w:sz w:val="24"/>
          <w:szCs w:val="24"/>
        </w:rPr>
      </w:pPr>
      <w:r w:rsidRPr="002E6A89">
        <w:rPr>
          <w:rFonts w:ascii="Times New Roman" w:eastAsia="MS Mincho" w:hAnsi="Times New Roman"/>
          <w:bCs/>
          <w:sz w:val="24"/>
          <w:szCs w:val="24"/>
        </w:rPr>
        <w:t>Ценовая (тарифная) политика на 2015 год в сфере социально значимых товаров (работ, услуг) сформирована с учетом норм действующего законодательства в области ценообразования и влиянием следующих факторов:</w:t>
      </w:r>
    </w:p>
    <w:p w:rsidR="00335844" w:rsidRPr="002E6A89" w:rsidRDefault="00335844" w:rsidP="00335844">
      <w:pPr>
        <w:spacing w:after="0" w:line="240" w:lineRule="auto"/>
        <w:ind w:firstLine="709"/>
        <w:jc w:val="both"/>
        <w:rPr>
          <w:rFonts w:ascii="Times New Roman" w:eastAsia="MS Mincho" w:hAnsi="Times New Roman" w:cs="Calibri"/>
          <w:bCs/>
          <w:sz w:val="24"/>
          <w:szCs w:val="24"/>
        </w:rPr>
      </w:pPr>
      <w:r w:rsidRPr="002E6A89">
        <w:rPr>
          <w:rFonts w:ascii="Times New Roman" w:eastAsia="MS Mincho" w:hAnsi="Times New Roman"/>
          <w:bCs/>
          <w:sz w:val="24"/>
          <w:szCs w:val="24"/>
        </w:rPr>
        <w:noBreakHyphen/>
        <w:t> изменения цен на сырье и материалы, тарифов на энергоносители;</w:t>
      </w:r>
    </w:p>
    <w:p w:rsidR="00335844" w:rsidRPr="002E6A89" w:rsidRDefault="00335844" w:rsidP="00335844">
      <w:pPr>
        <w:spacing w:after="0" w:line="240" w:lineRule="auto"/>
        <w:ind w:firstLine="709"/>
        <w:jc w:val="both"/>
        <w:rPr>
          <w:rFonts w:ascii="Times New Roman" w:eastAsia="MS Mincho" w:hAnsi="Times New Roman" w:cs="Calibri"/>
          <w:bCs/>
          <w:sz w:val="24"/>
          <w:szCs w:val="24"/>
        </w:rPr>
      </w:pPr>
      <w:r w:rsidRPr="002E6A89">
        <w:rPr>
          <w:rFonts w:ascii="Times New Roman" w:eastAsia="MS Mincho" w:hAnsi="Times New Roman"/>
          <w:bCs/>
          <w:sz w:val="24"/>
          <w:szCs w:val="24"/>
        </w:rPr>
        <w:noBreakHyphen/>
        <w:t> влияния прогнозируемого уровня инфляции в размере 2%;</w:t>
      </w:r>
    </w:p>
    <w:p w:rsidR="00335844" w:rsidRPr="002E6A89" w:rsidRDefault="00335844" w:rsidP="00335844">
      <w:pPr>
        <w:spacing w:after="0" w:line="240" w:lineRule="auto"/>
        <w:ind w:firstLine="709"/>
        <w:jc w:val="both"/>
        <w:rPr>
          <w:rFonts w:ascii="Times New Roman" w:eastAsia="MS Mincho" w:hAnsi="Times New Roman"/>
          <w:bCs/>
          <w:sz w:val="24"/>
          <w:szCs w:val="24"/>
        </w:rPr>
      </w:pPr>
      <w:r w:rsidRPr="002E6A89">
        <w:rPr>
          <w:rFonts w:ascii="Times New Roman" w:eastAsia="MS Mincho" w:hAnsi="Times New Roman"/>
          <w:bCs/>
          <w:sz w:val="24"/>
          <w:szCs w:val="24"/>
        </w:rPr>
        <w:noBreakHyphen/>
        <w:t> фактических результатов деятельности хозяйствующих субъектов, производящих (осуществляющих, оказывающих) социально значимые товары (работы, услуги), по итогам работы за прошедший расчетный период регулирования.</w:t>
      </w:r>
    </w:p>
    <w:p w:rsidR="00335844" w:rsidRPr="002E6A89" w:rsidRDefault="00335844" w:rsidP="00335844">
      <w:pPr>
        <w:spacing w:after="0" w:line="240" w:lineRule="auto"/>
        <w:ind w:firstLine="709"/>
        <w:jc w:val="both"/>
        <w:rPr>
          <w:rFonts w:ascii="Times New Roman" w:eastAsia="MS Mincho" w:hAnsi="Times New Roman"/>
          <w:bCs/>
          <w:sz w:val="24"/>
          <w:szCs w:val="24"/>
        </w:rPr>
      </w:pPr>
      <w:r w:rsidRPr="002E6A89">
        <w:rPr>
          <w:rFonts w:ascii="Times New Roman" w:eastAsia="MS Mincho" w:hAnsi="Times New Roman"/>
          <w:bCs/>
          <w:sz w:val="24"/>
          <w:szCs w:val="24"/>
        </w:rPr>
        <w:t xml:space="preserve">В 2015 году по сравнению с 2014 годом снижение цен (тарифов) на социально значимые товары (работы, услуги) составило в среднем 0,6%. При этом по социально </w:t>
      </w:r>
      <w:r w:rsidRPr="002E6A89">
        <w:rPr>
          <w:rFonts w:ascii="Times New Roman" w:eastAsia="MS Mincho" w:hAnsi="Times New Roman"/>
          <w:bCs/>
          <w:sz w:val="24"/>
          <w:szCs w:val="24"/>
        </w:rPr>
        <w:lastRenderedPageBreak/>
        <w:t>значимым продовольственным товарам наблюдается снижение цен в среднем на            10,6%.</w:t>
      </w:r>
    </w:p>
    <w:p w:rsidR="00335844" w:rsidRPr="002E6A89" w:rsidRDefault="00335844" w:rsidP="00335844">
      <w:pPr>
        <w:spacing w:after="0" w:line="240" w:lineRule="auto"/>
        <w:ind w:firstLine="709"/>
        <w:jc w:val="both"/>
        <w:rPr>
          <w:rFonts w:ascii="Times New Roman" w:eastAsia="MS Mincho" w:hAnsi="Times New Roman"/>
          <w:bCs/>
          <w:sz w:val="24"/>
          <w:szCs w:val="24"/>
        </w:rPr>
      </w:pPr>
      <w:r w:rsidRPr="002E6A89">
        <w:rPr>
          <w:rFonts w:ascii="Times New Roman" w:eastAsia="MS Mincho" w:hAnsi="Times New Roman"/>
          <w:bCs/>
          <w:sz w:val="24"/>
          <w:szCs w:val="24"/>
        </w:rPr>
        <w:t>В текущем году планировался рост тарифов на услуги по содержанию и ремонту (включая капитальный) жилищного фонда, санитарному содержанию зданий и прилегающих территорий в среднем на 94,5%. В целях снижения финансовой нагрузки на население в декабре 2014 года принято решение о поэтапном росте тарифов на услуги по содержанию и ремонту (включая капитальный) жилищного фонда, санитарному содержанию зданий и прилегающих территорий в 2015 году. В связи с решением сохранить данные тарифы на протяжении 2015 года на уровне действующих с 1 января 2015 года, рост тарифов на услуги по содержанию и ремонту (включая капитальный) жилищного фонда, санитарному содержанию зданий и прилегающих территорий по сравнению с 2014 годом составил в среднем 56,9%.</w:t>
      </w:r>
    </w:p>
    <w:p w:rsidR="00335844" w:rsidRPr="002E6A89" w:rsidRDefault="00335844" w:rsidP="00335844">
      <w:pPr>
        <w:spacing w:after="0" w:line="240" w:lineRule="auto"/>
        <w:ind w:firstLine="709"/>
        <w:jc w:val="both"/>
        <w:rPr>
          <w:rFonts w:ascii="Times New Roman" w:eastAsia="MS Mincho" w:hAnsi="Times New Roman"/>
          <w:b/>
          <w:bCs/>
          <w:sz w:val="24"/>
          <w:szCs w:val="24"/>
        </w:rPr>
      </w:pPr>
      <w:r w:rsidRPr="002E6A89">
        <w:rPr>
          <w:rFonts w:ascii="Times New Roman" w:eastAsia="MS Mincho" w:hAnsi="Times New Roman"/>
          <w:bCs/>
          <w:sz w:val="24"/>
          <w:szCs w:val="24"/>
        </w:rPr>
        <w:t>В нижеприведенной таблице представлен сравнительный анализ тарифов на услуги по содержанию и ремонту (включая капитальный) жилищного фонда, санитарному содержанию зданий и прилегающих территорий, действующих в 2015 году в сравнении с 2014 годом в разрезе городов и районов республики.</w:t>
      </w:r>
    </w:p>
    <w:p w:rsidR="00335844" w:rsidRPr="002E6A89" w:rsidRDefault="00335844" w:rsidP="00335844">
      <w:pPr>
        <w:spacing w:after="0" w:line="240" w:lineRule="auto"/>
        <w:ind w:left="8080"/>
        <w:jc w:val="center"/>
        <w:rPr>
          <w:rFonts w:ascii="Times New Roman" w:hAnsi="Times New Roman"/>
          <w:sz w:val="20"/>
          <w:szCs w:val="20"/>
        </w:rPr>
      </w:pPr>
      <w:r w:rsidRPr="002E6A89">
        <w:rPr>
          <w:rFonts w:ascii="Times New Roman" w:hAnsi="Times New Roman"/>
          <w:sz w:val="20"/>
          <w:szCs w:val="20"/>
        </w:rPr>
        <w:t>(руб. ПМР)</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2096"/>
        <w:gridCol w:w="1281"/>
        <w:gridCol w:w="1412"/>
        <w:gridCol w:w="1347"/>
        <w:gridCol w:w="1548"/>
        <w:gridCol w:w="1209"/>
      </w:tblGrid>
      <w:tr w:rsidR="00335844" w:rsidRPr="002E6A89" w:rsidTr="00590F6F">
        <w:trPr>
          <w:trHeight w:val="23"/>
          <w:tblHeader/>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 п/п</w:t>
            </w:r>
          </w:p>
        </w:tc>
        <w:tc>
          <w:tcPr>
            <w:tcW w:w="110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 xml:space="preserve">Город (район) </w:t>
            </w:r>
          </w:p>
        </w:tc>
        <w:tc>
          <w:tcPr>
            <w:tcW w:w="678"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Предельный уровень тарифа на 2014 год</w:t>
            </w: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Тариф, применяемый в 2014 году</w:t>
            </w:r>
          </w:p>
        </w:tc>
        <w:tc>
          <w:tcPr>
            <w:tcW w:w="713"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Предельный уровень тарифа на 2015 год</w:t>
            </w: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Тариф, применяемый в 2015 году</w:t>
            </w:r>
          </w:p>
        </w:tc>
        <w:tc>
          <w:tcPr>
            <w:tcW w:w="640" w:type="pct"/>
            <w:shd w:val="clear" w:color="auto" w:fill="D9D9D9"/>
            <w:vAlign w:val="center"/>
          </w:tcPr>
          <w:p w:rsidR="00335844" w:rsidRPr="002E6A89" w:rsidRDefault="00335844" w:rsidP="003F67B2">
            <w:pPr>
              <w:spacing w:after="0" w:line="240" w:lineRule="auto"/>
              <w:rPr>
                <w:rFonts w:ascii="Times New Roman" w:hAnsi="Times New Roman"/>
                <w:color w:val="000000"/>
                <w:sz w:val="20"/>
                <w:szCs w:val="20"/>
              </w:rPr>
            </w:pPr>
            <w:r w:rsidRPr="002E6A89">
              <w:rPr>
                <w:rFonts w:ascii="Times New Roman" w:hAnsi="Times New Roman"/>
                <w:color w:val="000000"/>
                <w:sz w:val="20"/>
                <w:szCs w:val="20"/>
              </w:rPr>
              <w:t>Темп роста 2015 г. к 2014 г., %</w:t>
            </w:r>
          </w:p>
          <w:p w:rsidR="00335844" w:rsidRPr="002E6A89" w:rsidRDefault="00335844" w:rsidP="003F67B2">
            <w:pPr>
              <w:spacing w:after="0" w:line="240" w:lineRule="auto"/>
              <w:rPr>
                <w:rFonts w:ascii="Times New Roman" w:hAnsi="Times New Roman"/>
                <w:sz w:val="20"/>
                <w:szCs w:val="20"/>
              </w:rPr>
            </w:pPr>
          </w:p>
        </w:tc>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Слободзейский район</w:t>
            </w:r>
          </w:p>
        </w:tc>
        <w:tc>
          <w:tcPr>
            <w:tcW w:w="678" w:type="pct"/>
            <w:vMerge w:val="restar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1,70</w:t>
            </w: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1,30</w:t>
            </w:r>
          </w:p>
        </w:tc>
        <w:tc>
          <w:tcPr>
            <w:tcW w:w="713" w:type="pct"/>
            <w:vMerge w:val="restar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2,92</w:t>
            </w: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1,75</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134,62</w:t>
            </w:r>
          </w:p>
        </w:tc>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2</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 xml:space="preserve">г. Тирасполь </w:t>
            </w:r>
          </w:p>
        </w:tc>
        <w:tc>
          <w:tcPr>
            <w:tcW w:w="678"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1,26</w:t>
            </w:r>
          </w:p>
        </w:tc>
        <w:tc>
          <w:tcPr>
            <w:tcW w:w="713"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1,85</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146,83</w:t>
            </w:r>
          </w:p>
        </w:tc>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3</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 xml:space="preserve">г. Бендеры </w:t>
            </w:r>
          </w:p>
        </w:tc>
        <w:tc>
          <w:tcPr>
            <w:tcW w:w="678"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1,26</w:t>
            </w:r>
          </w:p>
        </w:tc>
        <w:tc>
          <w:tcPr>
            <w:tcW w:w="713"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1,7</w:t>
            </w:r>
            <w:r w:rsidRPr="002E6A89">
              <w:rPr>
                <w:rFonts w:ascii="Times New Roman" w:hAnsi="Times New Roman"/>
                <w:sz w:val="20"/>
                <w:szCs w:val="20"/>
                <w:lang w:val="en-US"/>
              </w:rPr>
              <w:t>3</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137,30</w:t>
            </w:r>
          </w:p>
        </w:tc>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4</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Григориопольский район</w:t>
            </w:r>
          </w:p>
        </w:tc>
        <w:tc>
          <w:tcPr>
            <w:tcW w:w="678"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1,28</w:t>
            </w:r>
          </w:p>
        </w:tc>
        <w:tc>
          <w:tcPr>
            <w:tcW w:w="713"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819" w:type="pct"/>
            <w:vAlign w:val="center"/>
          </w:tcPr>
          <w:p w:rsidR="00335844" w:rsidRPr="002E6A89" w:rsidRDefault="00335844" w:rsidP="003F67B2">
            <w:pPr>
              <w:spacing w:after="0" w:line="240" w:lineRule="auto"/>
              <w:jc w:val="center"/>
              <w:rPr>
                <w:rFonts w:ascii="Times New Roman" w:hAnsi="Times New Roman"/>
                <w:sz w:val="20"/>
                <w:szCs w:val="20"/>
                <w:lang w:val="en-US"/>
              </w:rPr>
            </w:pPr>
            <w:r w:rsidRPr="002E6A89">
              <w:rPr>
                <w:rFonts w:ascii="Times New Roman" w:hAnsi="Times New Roman"/>
                <w:sz w:val="20"/>
                <w:szCs w:val="20"/>
                <w:lang w:val="en-US"/>
              </w:rPr>
              <w:t>2,10</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164,06</w:t>
            </w:r>
          </w:p>
        </w:tc>
        <w:bookmarkStart w:id="9" w:name="_GoBack"/>
        <w:bookmarkEnd w:id="9"/>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5</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Дубоссарский район</w:t>
            </w:r>
          </w:p>
        </w:tc>
        <w:tc>
          <w:tcPr>
            <w:tcW w:w="678"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1,13</w:t>
            </w:r>
          </w:p>
        </w:tc>
        <w:tc>
          <w:tcPr>
            <w:tcW w:w="713"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1,64</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145,13</w:t>
            </w:r>
          </w:p>
        </w:tc>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6</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Рыбницкий район</w:t>
            </w:r>
          </w:p>
        </w:tc>
        <w:tc>
          <w:tcPr>
            <w:tcW w:w="678"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1,12</w:t>
            </w:r>
          </w:p>
        </w:tc>
        <w:tc>
          <w:tcPr>
            <w:tcW w:w="713"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1,77</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158,04</w:t>
            </w:r>
          </w:p>
        </w:tc>
      </w:tr>
      <w:tr w:rsidR="00335844" w:rsidRPr="002E6A89" w:rsidTr="00590F6F">
        <w:trPr>
          <w:trHeight w:val="23"/>
        </w:trPr>
        <w:tc>
          <w:tcPr>
            <w:tcW w:w="294"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7</w:t>
            </w:r>
          </w:p>
        </w:tc>
        <w:tc>
          <w:tcPr>
            <w:tcW w:w="1109" w:type="pct"/>
            <w:vAlign w:val="center"/>
          </w:tcPr>
          <w:p w:rsidR="00335844" w:rsidRPr="002E6A89" w:rsidRDefault="00335844" w:rsidP="003F67B2">
            <w:pPr>
              <w:spacing w:after="0" w:line="240" w:lineRule="auto"/>
              <w:rPr>
                <w:rFonts w:ascii="Times New Roman" w:hAnsi="Times New Roman"/>
                <w:sz w:val="20"/>
                <w:szCs w:val="20"/>
              </w:rPr>
            </w:pPr>
            <w:r w:rsidRPr="002E6A89">
              <w:rPr>
                <w:rFonts w:ascii="Times New Roman" w:hAnsi="Times New Roman"/>
                <w:sz w:val="20"/>
                <w:szCs w:val="20"/>
              </w:rPr>
              <w:t>Каменский район</w:t>
            </w:r>
          </w:p>
        </w:tc>
        <w:tc>
          <w:tcPr>
            <w:tcW w:w="678"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747"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0,82</w:t>
            </w:r>
          </w:p>
        </w:tc>
        <w:tc>
          <w:tcPr>
            <w:tcW w:w="713" w:type="pct"/>
            <w:vMerge/>
            <w:vAlign w:val="center"/>
          </w:tcPr>
          <w:p w:rsidR="00335844" w:rsidRPr="002E6A89" w:rsidRDefault="00335844" w:rsidP="003F67B2">
            <w:pPr>
              <w:spacing w:after="0" w:line="240" w:lineRule="auto"/>
              <w:jc w:val="center"/>
              <w:rPr>
                <w:rFonts w:ascii="Times New Roman" w:hAnsi="Times New Roman"/>
                <w:sz w:val="20"/>
                <w:szCs w:val="20"/>
              </w:rPr>
            </w:pPr>
          </w:p>
        </w:tc>
        <w:tc>
          <w:tcPr>
            <w:tcW w:w="819" w:type="pct"/>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1,74</w:t>
            </w:r>
          </w:p>
        </w:tc>
        <w:tc>
          <w:tcPr>
            <w:tcW w:w="640" w:type="pct"/>
            <w:shd w:val="clear" w:color="auto" w:fill="D9D9D9"/>
            <w:vAlign w:val="center"/>
          </w:tcPr>
          <w:p w:rsidR="00335844" w:rsidRPr="002E6A89" w:rsidRDefault="00335844" w:rsidP="003F67B2">
            <w:pPr>
              <w:spacing w:after="0" w:line="240" w:lineRule="auto"/>
              <w:jc w:val="center"/>
              <w:rPr>
                <w:rFonts w:ascii="Times New Roman" w:hAnsi="Times New Roman"/>
                <w:sz w:val="20"/>
                <w:szCs w:val="20"/>
              </w:rPr>
            </w:pPr>
            <w:r w:rsidRPr="002E6A89">
              <w:rPr>
                <w:rFonts w:ascii="Times New Roman" w:hAnsi="Times New Roman"/>
                <w:sz w:val="20"/>
                <w:szCs w:val="20"/>
              </w:rPr>
              <w:t>212,20</w:t>
            </w:r>
          </w:p>
        </w:tc>
      </w:tr>
    </w:tbl>
    <w:p w:rsidR="00335844" w:rsidRPr="002E6A89" w:rsidRDefault="00335844" w:rsidP="00335844">
      <w:pPr>
        <w:spacing w:after="0" w:line="240" w:lineRule="auto"/>
        <w:jc w:val="both"/>
        <w:rPr>
          <w:rFonts w:ascii="Times New Roman" w:hAnsi="Times New Roman"/>
          <w:sz w:val="24"/>
          <w:szCs w:val="24"/>
          <w:lang w:eastAsia="en-US"/>
        </w:rPr>
      </w:pPr>
    </w:p>
    <w:p w:rsidR="00335844" w:rsidRPr="002E6A89" w:rsidRDefault="00335844" w:rsidP="00335844">
      <w:pPr>
        <w:spacing w:after="0" w:line="240" w:lineRule="auto"/>
        <w:ind w:firstLine="709"/>
        <w:jc w:val="both"/>
        <w:rPr>
          <w:rFonts w:ascii="Times New Roman" w:hAnsi="Times New Roman"/>
          <w:b/>
          <w:i/>
          <w:sz w:val="24"/>
          <w:szCs w:val="24"/>
        </w:rPr>
      </w:pPr>
      <w:r w:rsidRPr="002E6A89">
        <w:rPr>
          <w:rFonts w:ascii="Times New Roman" w:hAnsi="Times New Roman"/>
          <w:b/>
          <w:i/>
          <w:sz w:val="24"/>
          <w:szCs w:val="24"/>
        </w:rPr>
        <w:t>Инфляционные процессы</w:t>
      </w:r>
    </w:p>
    <w:p w:rsidR="00335844" w:rsidRPr="002E6A89" w:rsidRDefault="00335844" w:rsidP="00335844">
      <w:pPr>
        <w:shd w:val="clear" w:color="auto" w:fill="FFFFFF"/>
        <w:spacing w:after="0" w:line="240" w:lineRule="auto"/>
        <w:ind w:firstLine="709"/>
        <w:jc w:val="both"/>
        <w:rPr>
          <w:rFonts w:ascii="Times New Roman" w:hAnsi="Times New Roman"/>
          <w:sz w:val="24"/>
          <w:szCs w:val="24"/>
        </w:rPr>
      </w:pPr>
      <w:r w:rsidRPr="002E6A89">
        <w:rPr>
          <w:rFonts w:ascii="Times New Roman" w:hAnsi="Times New Roman"/>
          <w:sz w:val="24"/>
        </w:rPr>
        <w:t>В январе-июне 2015 года на внутреннем потребительском рынке республики отмечается незначительное ускорение инфляционных процессов.</w:t>
      </w:r>
      <w:r w:rsidRPr="002E6A89">
        <w:rPr>
          <w:rFonts w:ascii="Times New Roman" w:hAnsi="Times New Roman"/>
          <w:sz w:val="24"/>
          <w:szCs w:val="24"/>
        </w:rPr>
        <w:t xml:space="preserve"> </w:t>
      </w:r>
      <w:r w:rsidRPr="002E6A89">
        <w:rPr>
          <w:rFonts w:ascii="Times New Roman" w:hAnsi="Times New Roman"/>
          <w:sz w:val="24"/>
        </w:rPr>
        <w:t xml:space="preserve">В целом сводный индекс потребительских цен (инфляция) </w:t>
      </w:r>
      <w:r w:rsidRPr="002E6A89">
        <w:rPr>
          <w:rFonts w:ascii="Times New Roman" w:hAnsi="Times New Roman"/>
          <w:sz w:val="24"/>
          <w:szCs w:val="24"/>
        </w:rPr>
        <w:t xml:space="preserve">по итогам января-июня 2015 года сложился на уровне 100,22% против 101,96% в январе-июне 2014 года. </w:t>
      </w:r>
    </w:p>
    <w:p w:rsidR="00335844" w:rsidRPr="002E6A89" w:rsidRDefault="00335844" w:rsidP="00335844">
      <w:pPr>
        <w:spacing w:after="0" w:line="240" w:lineRule="auto"/>
        <w:ind w:right="-284"/>
        <w:jc w:val="both"/>
        <w:rPr>
          <w:rFonts w:ascii="Times New Roman" w:hAnsi="Times New Roman"/>
          <w:sz w:val="24"/>
          <w:szCs w:val="24"/>
        </w:rPr>
      </w:pPr>
      <w:r>
        <w:rPr>
          <w:rFonts w:ascii="Times New Roman" w:hAnsi="Times New Roman"/>
          <w:noProof/>
          <w:color w:val="333333"/>
          <w:sz w:val="24"/>
          <w:szCs w:val="24"/>
        </w:rPr>
        <w:drawing>
          <wp:inline distT="0" distB="0" distL="0" distR="0">
            <wp:extent cx="5991225" cy="272415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35844" w:rsidRPr="002E6A89" w:rsidRDefault="00335844" w:rsidP="00335844">
      <w:pPr>
        <w:shd w:val="clear" w:color="auto" w:fill="FFFFFF"/>
        <w:spacing w:after="0" w:line="240" w:lineRule="auto"/>
        <w:ind w:firstLine="709"/>
        <w:jc w:val="both"/>
        <w:rPr>
          <w:rFonts w:ascii="Times New Roman" w:hAnsi="Times New Roman"/>
          <w:sz w:val="24"/>
          <w:szCs w:val="24"/>
        </w:rPr>
      </w:pPr>
    </w:p>
    <w:p w:rsidR="00335844" w:rsidRDefault="00335844" w:rsidP="00B0566B">
      <w:pPr>
        <w:shd w:val="clear" w:color="auto" w:fill="FFFFFF"/>
        <w:spacing w:after="0" w:line="240" w:lineRule="auto"/>
        <w:ind w:firstLine="709"/>
        <w:jc w:val="both"/>
        <w:rPr>
          <w:rFonts w:ascii="Times New Roman" w:hAnsi="Times New Roman"/>
          <w:sz w:val="24"/>
          <w:szCs w:val="24"/>
        </w:rPr>
      </w:pPr>
      <w:r w:rsidRPr="002E6A89">
        <w:rPr>
          <w:rFonts w:ascii="Times New Roman" w:hAnsi="Times New Roman"/>
          <w:sz w:val="24"/>
          <w:szCs w:val="24"/>
        </w:rPr>
        <w:t>Динамика уровня сводного индекса потребительских цен (инфляция) за предыдущие годы представлена ниже:</w:t>
      </w:r>
    </w:p>
    <w:p w:rsidR="00590F6F" w:rsidRPr="00B0566B" w:rsidRDefault="00590F6F" w:rsidP="00B0566B">
      <w:pPr>
        <w:shd w:val="clear" w:color="auto" w:fill="FFFFFF"/>
        <w:spacing w:after="0" w:line="240" w:lineRule="auto"/>
        <w:ind w:firstLine="709"/>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850"/>
        <w:gridCol w:w="851"/>
        <w:gridCol w:w="850"/>
        <w:gridCol w:w="851"/>
        <w:gridCol w:w="850"/>
        <w:gridCol w:w="851"/>
        <w:gridCol w:w="992"/>
        <w:gridCol w:w="992"/>
        <w:gridCol w:w="851"/>
        <w:gridCol w:w="850"/>
      </w:tblGrid>
      <w:tr w:rsidR="00335844" w:rsidRPr="00722024" w:rsidTr="003F67B2">
        <w:tc>
          <w:tcPr>
            <w:tcW w:w="9747" w:type="dxa"/>
            <w:gridSpan w:val="11"/>
          </w:tcPr>
          <w:p w:rsidR="00335844" w:rsidRPr="00722024" w:rsidRDefault="00335844" w:rsidP="003F67B2">
            <w:pPr>
              <w:spacing w:after="0" w:line="240" w:lineRule="auto"/>
              <w:ind w:firstLine="709"/>
              <w:jc w:val="center"/>
              <w:rPr>
                <w:rFonts w:ascii="Times New Roman" w:hAnsi="Times New Roman"/>
                <w:color w:val="000000"/>
              </w:rPr>
            </w:pPr>
            <w:r w:rsidRPr="00722024">
              <w:rPr>
                <w:rFonts w:ascii="Times New Roman" w:hAnsi="Times New Roman"/>
                <w:b/>
                <w:color w:val="333333"/>
              </w:rPr>
              <w:lastRenderedPageBreak/>
              <w:t>Сводный индекс потребительских цен (инфляция) за январь-июнь, %</w:t>
            </w:r>
          </w:p>
        </w:tc>
      </w:tr>
      <w:tr w:rsidR="00335844" w:rsidRPr="00722024" w:rsidTr="003F67B2">
        <w:tc>
          <w:tcPr>
            <w:tcW w:w="959" w:type="dxa"/>
            <w:vAlign w:val="center"/>
          </w:tcPr>
          <w:p w:rsidR="00335844" w:rsidRPr="00722024" w:rsidRDefault="00335844" w:rsidP="003F67B2">
            <w:pPr>
              <w:spacing w:after="0" w:line="240" w:lineRule="auto"/>
              <w:jc w:val="center"/>
              <w:rPr>
                <w:rFonts w:ascii="Times New Roman" w:hAnsi="Times New Roman"/>
                <w:b/>
                <w:color w:val="000000"/>
              </w:rPr>
            </w:pPr>
            <w:r w:rsidRPr="00722024">
              <w:rPr>
                <w:rFonts w:ascii="Times New Roman" w:hAnsi="Times New Roman"/>
                <w:b/>
                <w:color w:val="000000"/>
              </w:rPr>
              <w:t>2005 г.</w:t>
            </w:r>
          </w:p>
        </w:tc>
        <w:tc>
          <w:tcPr>
            <w:tcW w:w="850" w:type="dxa"/>
            <w:vAlign w:val="center"/>
          </w:tcPr>
          <w:p w:rsidR="00335844" w:rsidRPr="00722024" w:rsidRDefault="00335844" w:rsidP="003F67B2">
            <w:pPr>
              <w:spacing w:after="0" w:line="240" w:lineRule="auto"/>
              <w:ind w:left="-108"/>
              <w:jc w:val="center"/>
              <w:rPr>
                <w:rFonts w:ascii="Times New Roman" w:hAnsi="Times New Roman"/>
                <w:b/>
                <w:color w:val="333333"/>
              </w:rPr>
            </w:pPr>
            <w:r w:rsidRPr="00722024">
              <w:rPr>
                <w:rFonts w:ascii="Times New Roman" w:hAnsi="Times New Roman"/>
                <w:b/>
                <w:color w:val="333333"/>
              </w:rPr>
              <w:t>2006 г.</w:t>
            </w:r>
          </w:p>
        </w:tc>
        <w:tc>
          <w:tcPr>
            <w:tcW w:w="851" w:type="dxa"/>
            <w:vAlign w:val="center"/>
          </w:tcPr>
          <w:p w:rsidR="00335844" w:rsidRPr="00722024" w:rsidRDefault="00335844" w:rsidP="003F67B2">
            <w:pPr>
              <w:spacing w:after="0" w:line="240" w:lineRule="auto"/>
              <w:ind w:left="-391" w:right="-250"/>
              <w:jc w:val="center"/>
              <w:rPr>
                <w:rFonts w:ascii="Times New Roman" w:hAnsi="Times New Roman"/>
                <w:b/>
                <w:color w:val="333333"/>
              </w:rPr>
            </w:pPr>
            <w:r w:rsidRPr="00722024">
              <w:rPr>
                <w:rFonts w:ascii="Times New Roman" w:hAnsi="Times New Roman"/>
                <w:b/>
                <w:color w:val="333333"/>
              </w:rPr>
              <w:t>2 2007 г.</w:t>
            </w:r>
          </w:p>
        </w:tc>
        <w:tc>
          <w:tcPr>
            <w:tcW w:w="850" w:type="dxa"/>
            <w:vAlign w:val="center"/>
          </w:tcPr>
          <w:p w:rsidR="00335844" w:rsidRPr="00722024" w:rsidRDefault="00335844" w:rsidP="003F67B2">
            <w:pPr>
              <w:spacing w:after="0" w:line="240" w:lineRule="auto"/>
              <w:ind w:left="-108"/>
              <w:jc w:val="center"/>
              <w:rPr>
                <w:rFonts w:ascii="Times New Roman" w:hAnsi="Times New Roman"/>
                <w:b/>
                <w:color w:val="333333"/>
              </w:rPr>
            </w:pPr>
            <w:r w:rsidRPr="00722024">
              <w:rPr>
                <w:rFonts w:ascii="Times New Roman" w:hAnsi="Times New Roman"/>
                <w:b/>
                <w:color w:val="333333"/>
              </w:rPr>
              <w:t>2008 г.</w:t>
            </w:r>
          </w:p>
        </w:tc>
        <w:tc>
          <w:tcPr>
            <w:tcW w:w="851" w:type="dxa"/>
            <w:vAlign w:val="center"/>
          </w:tcPr>
          <w:p w:rsidR="00335844" w:rsidRPr="00722024" w:rsidRDefault="00335844" w:rsidP="003F67B2">
            <w:pPr>
              <w:spacing w:after="0" w:line="240" w:lineRule="auto"/>
              <w:ind w:left="-108"/>
              <w:jc w:val="center"/>
              <w:rPr>
                <w:rFonts w:ascii="Times New Roman" w:hAnsi="Times New Roman"/>
                <w:b/>
                <w:color w:val="333333"/>
              </w:rPr>
            </w:pPr>
            <w:r w:rsidRPr="00722024">
              <w:rPr>
                <w:rFonts w:ascii="Times New Roman" w:hAnsi="Times New Roman"/>
                <w:b/>
                <w:color w:val="333333"/>
              </w:rPr>
              <w:t>2009 г.</w:t>
            </w:r>
          </w:p>
        </w:tc>
        <w:tc>
          <w:tcPr>
            <w:tcW w:w="850" w:type="dxa"/>
            <w:vAlign w:val="center"/>
          </w:tcPr>
          <w:p w:rsidR="00335844" w:rsidRPr="00722024" w:rsidRDefault="00335844" w:rsidP="003F67B2">
            <w:pPr>
              <w:spacing w:after="0" w:line="240" w:lineRule="auto"/>
              <w:ind w:left="-250" w:right="-108"/>
              <w:jc w:val="center"/>
              <w:rPr>
                <w:rFonts w:ascii="Times New Roman" w:hAnsi="Times New Roman"/>
                <w:b/>
                <w:color w:val="333333"/>
              </w:rPr>
            </w:pPr>
            <w:r w:rsidRPr="00722024">
              <w:rPr>
                <w:rFonts w:ascii="Times New Roman" w:hAnsi="Times New Roman"/>
                <w:b/>
                <w:color w:val="333333"/>
              </w:rPr>
              <w:t>2010 г.</w:t>
            </w:r>
          </w:p>
        </w:tc>
        <w:tc>
          <w:tcPr>
            <w:tcW w:w="851" w:type="dxa"/>
            <w:vAlign w:val="center"/>
          </w:tcPr>
          <w:p w:rsidR="00335844" w:rsidRPr="00722024" w:rsidRDefault="00335844" w:rsidP="003F67B2">
            <w:pPr>
              <w:spacing w:after="0" w:line="240" w:lineRule="auto"/>
              <w:ind w:left="-108"/>
              <w:jc w:val="center"/>
              <w:rPr>
                <w:rFonts w:ascii="Times New Roman" w:hAnsi="Times New Roman"/>
                <w:b/>
                <w:color w:val="333333"/>
              </w:rPr>
            </w:pPr>
            <w:r w:rsidRPr="00722024">
              <w:rPr>
                <w:rFonts w:ascii="Times New Roman" w:hAnsi="Times New Roman"/>
                <w:b/>
                <w:color w:val="333333"/>
              </w:rPr>
              <w:t>2011 г.</w:t>
            </w:r>
          </w:p>
        </w:tc>
        <w:tc>
          <w:tcPr>
            <w:tcW w:w="992" w:type="dxa"/>
            <w:vAlign w:val="center"/>
          </w:tcPr>
          <w:p w:rsidR="00335844" w:rsidRPr="00722024" w:rsidRDefault="00335844" w:rsidP="003F67B2">
            <w:pPr>
              <w:spacing w:after="0" w:line="240" w:lineRule="auto"/>
              <w:jc w:val="center"/>
              <w:rPr>
                <w:rFonts w:ascii="Times New Roman" w:hAnsi="Times New Roman"/>
                <w:b/>
                <w:color w:val="333333"/>
              </w:rPr>
            </w:pPr>
            <w:r w:rsidRPr="00722024">
              <w:rPr>
                <w:rFonts w:ascii="Times New Roman" w:hAnsi="Times New Roman"/>
                <w:b/>
                <w:color w:val="333333"/>
              </w:rPr>
              <w:t>2012 г.</w:t>
            </w:r>
          </w:p>
        </w:tc>
        <w:tc>
          <w:tcPr>
            <w:tcW w:w="992" w:type="dxa"/>
            <w:vAlign w:val="center"/>
          </w:tcPr>
          <w:p w:rsidR="00335844" w:rsidRPr="00722024" w:rsidRDefault="00335844" w:rsidP="003F67B2">
            <w:pPr>
              <w:spacing w:after="0" w:line="240" w:lineRule="auto"/>
              <w:jc w:val="center"/>
              <w:rPr>
                <w:rFonts w:ascii="Times New Roman" w:hAnsi="Times New Roman"/>
                <w:b/>
                <w:color w:val="333333"/>
              </w:rPr>
            </w:pPr>
            <w:r w:rsidRPr="00722024">
              <w:rPr>
                <w:rFonts w:ascii="Times New Roman" w:hAnsi="Times New Roman"/>
                <w:b/>
                <w:color w:val="333333"/>
              </w:rPr>
              <w:t>2013 г.</w:t>
            </w:r>
          </w:p>
        </w:tc>
        <w:tc>
          <w:tcPr>
            <w:tcW w:w="851" w:type="dxa"/>
            <w:vAlign w:val="center"/>
          </w:tcPr>
          <w:p w:rsidR="00335844" w:rsidRPr="00722024" w:rsidRDefault="00335844" w:rsidP="003F67B2">
            <w:pPr>
              <w:spacing w:after="0" w:line="240" w:lineRule="auto"/>
              <w:ind w:left="-108"/>
              <w:jc w:val="center"/>
              <w:rPr>
                <w:rFonts w:ascii="Times New Roman" w:hAnsi="Times New Roman"/>
                <w:b/>
                <w:color w:val="333333"/>
              </w:rPr>
            </w:pPr>
            <w:r w:rsidRPr="00722024">
              <w:rPr>
                <w:rFonts w:ascii="Times New Roman" w:hAnsi="Times New Roman"/>
                <w:b/>
                <w:color w:val="333333"/>
              </w:rPr>
              <w:t>2014 г.</w:t>
            </w:r>
          </w:p>
        </w:tc>
        <w:tc>
          <w:tcPr>
            <w:tcW w:w="850" w:type="dxa"/>
          </w:tcPr>
          <w:p w:rsidR="00335844" w:rsidRPr="00722024" w:rsidRDefault="00335844" w:rsidP="003F67B2">
            <w:pPr>
              <w:spacing w:after="0" w:line="240" w:lineRule="auto"/>
              <w:ind w:left="-108"/>
              <w:jc w:val="center"/>
              <w:rPr>
                <w:rFonts w:ascii="Times New Roman" w:hAnsi="Times New Roman"/>
                <w:b/>
                <w:color w:val="000000"/>
              </w:rPr>
            </w:pPr>
            <w:r w:rsidRPr="00722024">
              <w:rPr>
                <w:rFonts w:ascii="Times New Roman" w:hAnsi="Times New Roman"/>
                <w:b/>
                <w:color w:val="000000"/>
              </w:rPr>
              <w:t>2015 г.</w:t>
            </w:r>
          </w:p>
        </w:tc>
      </w:tr>
      <w:tr w:rsidR="00335844" w:rsidRPr="00722024" w:rsidTr="003F67B2">
        <w:tc>
          <w:tcPr>
            <w:tcW w:w="959" w:type="dxa"/>
            <w:vAlign w:val="center"/>
          </w:tcPr>
          <w:p w:rsidR="00335844" w:rsidRPr="00722024" w:rsidRDefault="00335844" w:rsidP="003F67B2">
            <w:pPr>
              <w:spacing w:after="0" w:line="240" w:lineRule="auto"/>
              <w:jc w:val="center"/>
              <w:rPr>
                <w:rFonts w:ascii="Times New Roman" w:hAnsi="Times New Roman"/>
                <w:color w:val="000000"/>
              </w:rPr>
            </w:pPr>
            <w:r w:rsidRPr="00722024">
              <w:rPr>
                <w:rFonts w:ascii="Times New Roman" w:hAnsi="Times New Roman"/>
                <w:color w:val="333333"/>
              </w:rPr>
              <w:t>106,08</w:t>
            </w:r>
          </w:p>
        </w:tc>
        <w:tc>
          <w:tcPr>
            <w:tcW w:w="850" w:type="dxa"/>
            <w:vAlign w:val="center"/>
          </w:tcPr>
          <w:p w:rsidR="00335844" w:rsidRPr="00722024" w:rsidRDefault="00335844" w:rsidP="003F67B2">
            <w:pPr>
              <w:spacing w:after="0" w:line="240" w:lineRule="auto"/>
              <w:ind w:left="-108"/>
              <w:jc w:val="center"/>
              <w:rPr>
                <w:rFonts w:ascii="Times New Roman" w:hAnsi="Times New Roman"/>
                <w:color w:val="333333"/>
              </w:rPr>
            </w:pPr>
            <w:r w:rsidRPr="00722024">
              <w:rPr>
                <w:rFonts w:ascii="Times New Roman" w:hAnsi="Times New Roman"/>
                <w:color w:val="333333"/>
              </w:rPr>
              <w:t>103,68</w:t>
            </w:r>
          </w:p>
        </w:tc>
        <w:tc>
          <w:tcPr>
            <w:tcW w:w="851" w:type="dxa"/>
            <w:vAlign w:val="center"/>
          </w:tcPr>
          <w:p w:rsidR="00335844" w:rsidRPr="00722024" w:rsidRDefault="00335844" w:rsidP="003F67B2">
            <w:pPr>
              <w:spacing w:after="0" w:line="240" w:lineRule="auto"/>
              <w:ind w:left="-108" w:right="-250"/>
              <w:rPr>
                <w:rFonts w:ascii="Times New Roman" w:hAnsi="Times New Roman"/>
                <w:color w:val="333333"/>
              </w:rPr>
            </w:pPr>
            <w:r w:rsidRPr="00722024">
              <w:rPr>
                <w:rFonts w:ascii="Times New Roman" w:hAnsi="Times New Roman"/>
                <w:color w:val="333333"/>
              </w:rPr>
              <w:t>110,93</w:t>
            </w:r>
          </w:p>
        </w:tc>
        <w:tc>
          <w:tcPr>
            <w:tcW w:w="850" w:type="dxa"/>
            <w:vAlign w:val="center"/>
          </w:tcPr>
          <w:p w:rsidR="00335844" w:rsidRPr="00722024" w:rsidRDefault="00335844" w:rsidP="003F67B2">
            <w:pPr>
              <w:spacing w:after="0" w:line="240" w:lineRule="auto"/>
              <w:ind w:left="-108"/>
              <w:jc w:val="center"/>
              <w:rPr>
                <w:rFonts w:ascii="Times New Roman" w:hAnsi="Times New Roman"/>
                <w:color w:val="333333"/>
              </w:rPr>
            </w:pPr>
            <w:r w:rsidRPr="00722024">
              <w:rPr>
                <w:rFonts w:ascii="Times New Roman" w:hAnsi="Times New Roman"/>
                <w:color w:val="333333"/>
              </w:rPr>
              <w:t>120,44</w:t>
            </w:r>
          </w:p>
        </w:tc>
        <w:tc>
          <w:tcPr>
            <w:tcW w:w="851" w:type="dxa"/>
            <w:vAlign w:val="center"/>
          </w:tcPr>
          <w:p w:rsidR="00335844" w:rsidRPr="00722024" w:rsidRDefault="00335844" w:rsidP="003F67B2">
            <w:pPr>
              <w:spacing w:after="0" w:line="240" w:lineRule="auto"/>
              <w:ind w:left="-675" w:right="-533"/>
              <w:jc w:val="center"/>
              <w:rPr>
                <w:rFonts w:ascii="Times New Roman" w:hAnsi="Times New Roman"/>
                <w:color w:val="333333"/>
              </w:rPr>
            </w:pPr>
            <w:r w:rsidRPr="00722024">
              <w:rPr>
                <w:rFonts w:ascii="Times New Roman" w:hAnsi="Times New Roman"/>
                <w:color w:val="333333"/>
              </w:rPr>
              <w:t>100,49</w:t>
            </w:r>
          </w:p>
        </w:tc>
        <w:tc>
          <w:tcPr>
            <w:tcW w:w="850" w:type="dxa"/>
            <w:vAlign w:val="center"/>
          </w:tcPr>
          <w:p w:rsidR="00335844" w:rsidRPr="00722024" w:rsidRDefault="00335844" w:rsidP="003F67B2">
            <w:pPr>
              <w:spacing w:after="0" w:line="240" w:lineRule="auto"/>
              <w:ind w:left="-250" w:right="-108"/>
              <w:jc w:val="center"/>
              <w:rPr>
                <w:rFonts w:ascii="Times New Roman" w:hAnsi="Times New Roman"/>
                <w:color w:val="333333"/>
              </w:rPr>
            </w:pPr>
            <w:r w:rsidRPr="00722024">
              <w:rPr>
                <w:rFonts w:ascii="Times New Roman" w:hAnsi="Times New Roman"/>
                <w:color w:val="333333"/>
              </w:rPr>
              <w:t>107,30</w:t>
            </w:r>
          </w:p>
        </w:tc>
        <w:tc>
          <w:tcPr>
            <w:tcW w:w="851" w:type="dxa"/>
            <w:vAlign w:val="center"/>
          </w:tcPr>
          <w:p w:rsidR="00335844" w:rsidRPr="00722024" w:rsidRDefault="00335844" w:rsidP="003F67B2">
            <w:pPr>
              <w:spacing w:after="0" w:line="240" w:lineRule="auto"/>
              <w:ind w:left="-108"/>
              <w:jc w:val="center"/>
              <w:rPr>
                <w:rFonts w:ascii="Times New Roman" w:hAnsi="Times New Roman"/>
                <w:color w:val="333333"/>
              </w:rPr>
            </w:pPr>
            <w:r w:rsidRPr="00722024">
              <w:rPr>
                <w:rFonts w:ascii="Times New Roman" w:hAnsi="Times New Roman"/>
                <w:color w:val="333333"/>
              </w:rPr>
              <w:t>111,35</w:t>
            </w:r>
          </w:p>
        </w:tc>
        <w:tc>
          <w:tcPr>
            <w:tcW w:w="992" w:type="dxa"/>
            <w:vAlign w:val="center"/>
          </w:tcPr>
          <w:p w:rsidR="00335844" w:rsidRPr="00722024" w:rsidRDefault="00335844" w:rsidP="003F67B2">
            <w:pPr>
              <w:spacing w:after="0" w:line="240" w:lineRule="auto"/>
              <w:jc w:val="center"/>
              <w:rPr>
                <w:rFonts w:ascii="Times New Roman" w:hAnsi="Times New Roman"/>
                <w:color w:val="333333"/>
              </w:rPr>
            </w:pPr>
            <w:r w:rsidRPr="00722024">
              <w:rPr>
                <w:rFonts w:ascii="Times New Roman" w:hAnsi="Times New Roman"/>
                <w:color w:val="333333"/>
              </w:rPr>
              <w:t>107,75</w:t>
            </w:r>
          </w:p>
        </w:tc>
        <w:tc>
          <w:tcPr>
            <w:tcW w:w="992" w:type="dxa"/>
            <w:vAlign w:val="center"/>
          </w:tcPr>
          <w:p w:rsidR="00335844" w:rsidRPr="00722024" w:rsidRDefault="00335844" w:rsidP="003F67B2">
            <w:pPr>
              <w:spacing w:after="0" w:line="240" w:lineRule="auto"/>
              <w:jc w:val="center"/>
              <w:rPr>
                <w:rFonts w:ascii="Times New Roman" w:hAnsi="Times New Roman"/>
                <w:color w:val="333333"/>
              </w:rPr>
            </w:pPr>
            <w:r w:rsidRPr="00722024">
              <w:rPr>
                <w:rFonts w:ascii="Times New Roman" w:hAnsi="Times New Roman"/>
                <w:color w:val="333333"/>
              </w:rPr>
              <w:t>103,42</w:t>
            </w:r>
          </w:p>
        </w:tc>
        <w:tc>
          <w:tcPr>
            <w:tcW w:w="851" w:type="dxa"/>
          </w:tcPr>
          <w:p w:rsidR="00335844" w:rsidRPr="00722024" w:rsidRDefault="00335844" w:rsidP="003F67B2">
            <w:pPr>
              <w:spacing w:after="0" w:line="240" w:lineRule="auto"/>
              <w:ind w:left="-108"/>
              <w:jc w:val="center"/>
              <w:rPr>
                <w:rFonts w:ascii="Times New Roman" w:hAnsi="Times New Roman"/>
                <w:color w:val="000000"/>
              </w:rPr>
            </w:pPr>
            <w:r w:rsidRPr="00722024">
              <w:rPr>
                <w:rFonts w:ascii="Times New Roman" w:hAnsi="Times New Roman"/>
                <w:color w:val="000000"/>
              </w:rPr>
              <w:t>101,96</w:t>
            </w:r>
          </w:p>
        </w:tc>
        <w:tc>
          <w:tcPr>
            <w:tcW w:w="850" w:type="dxa"/>
          </w:tcPr>
          <w:p w:rsidR="00335844" w:rsidRPr="00722024" w:rsidRDefault="00335844" w:rsidP="003F67B2">
            <w:pPr>
              <w:spacing w:after="0" w:line="240" w:lineRule="auto"/>
              <w:ind w:left="-108"/>
              <w:jc w:val="center"/>
              <w:rPr>
                <w:rFonts w:ascii="Times New Roman" w:hAnsi="Times New Roman"/>
                <w:color w:val="000000"/>
              </w:rPr>
            </w:pPr>
            <w:r w:rsidRPr="00722024">
              <w:rPr>
                <w:rFonts w:ascii="Times New Roman" w:hAnsi="Times New Roman"/>
                <w:color w:val="000000"/>
              </w:rPr>
              <w:t>100,22</w:t>
            </w:r>
          </w:p>
        </w:tc>
      </w:tr>
    </w:tbl>
    <w:p w:rsidR="005B5A6A" w:rsidRDefault="005B5A6A" w:rsidP="00B5001E">
      <w:pPr>
        <w:spacing w:after="0" w:line="240" w:lineRule="auto"/>
        <w:ind w:firstLine="709"/>
        <w:jc w:val="both"/>
        <w:rPr>
          <w:rFonts w:ascii="Times New Roman" w:eastAsia="Calibri" w:hAnsi="Times New Roman"/>
          <w:color w:val="000000"/>
          <w:sz w:val="24"/>
          <w:lang w:eastAsia="en-US"/>
        </w:rPr>
      </w:pPr>
    </w:p>
    <w:p w:rsidR="00335844" w:rsidRPr="002E6A89" w:rsidRDefault="00335844" w:rsidP="00B5001E">
      <w:pPr>
        <w:spacing w:after="0" w:line="240" w:lineRule="auto"/>
        <w:ind w:firstLine="709"/>
        <w:jc w:val="both"/>
        <w:rPr>
          <w:rFonts w:ascii="Times New Roman" w:eastAsia="Calibri" w:hAnsi="Times New Roman"/>
          <w:sz w:val="24"/>
          <w:lang w:eastAsia="en-US"/>
        </w:rPr>
      </w:pPr>
      <w:r w:rsidRPr="002E6A89">
        <w:rPr>
          <w:rFonts w:ascii="Times New Roman" w:eastAsia="Calibri" w:hAnsi="Times New Roman"/>
          <w:color w:val="000000"/>
          <w:sz w:val="24"/>
          <w:lang w:eastAsia="en-US"/>
        </w:rPr>
        <w:t xml:space="preserve">На протяжении января-июня 2015 года </w:t>
      </w:r>
      <w:r w:rsidRPr="002E6A89">
        <w:rPr>
          <w:rFonts w:ascii="Times New Roman" w:eastAsia="Calibri" w:hAnsi="Times New Roman"/>
          <w:sz w:val="24"/>
          <w:lang w:eastAsia="en-US"/>
        </w:rPr>
        <w:t>инфляционный фон на потребительском рынке формировался в сегменте административно-регулируемых услуг и поддерживался сезонным фактором в сфере товаров.</w:t>
      </w:r>
    </w:p>
    <w:p w:rsidR="00335844" w:rsidRPr="002E6A89" w:rsidRDefault="00335844" w:rsidP="00335844">
      <w:pPr>
        <w:widowControl w:val="0"/>
        <w:spacing w:after="0" w:line="240" w:lineRule="auto"/>
        <w:ind w:firstLine="709"/>
        <w:jc w:val="both"/>
        <w:rPr>
          <w:rFonts w:ascii="Times New Roman" w:eastAsia="Calibri" w:hAnsi="Times New Roman"/>
          <w:color w:val="000000"/>
          <w:sz w:val="24"/>
          <w:shd w:val="clear" w:color="auto" w:fill="FFFFFF"/>
          <w:lang w:eastAsia="en-US"/>
        </w:rPr>
      </w:pPr>
      <w:r w:rsidRPr="002E6A89">
        <w:rPr>
          <w:rFonts w:ascii="Times New Roman" w:eastAsia="Calibri" w:hAnsi="Times New Roman"/>
          <w:color w:val="000000"/>
          <w:sz w:val="24"/>
          <w:shd w:val="clear" w:color="auto" w:fill="FFFFFF"/>
          <w:lang w:eastAsia="en-US"/>
        </w:rPr>
        <w:t xml:space="preserve">На фоне устойчивых дефляционных процессов по большинству виду товаров в продовольственном сегменте потребительского рынка (удешевление яиц – на 32,47%, сахара – на 17,77%, сыра – на 15,81%, молока и молочной продукции – на 17,19%, мясопродуктов – на 10,09%, консервов овощных – на 9,21%, макаронных и крупяных изделий – на 2,52%) в совокупности с повышением цен на плодоовощную продукцию </w:t>
      </w:r>
      <w:r w:rsidRPr="002E6A89">
        <w:rPr>
          <w:rFonts w:ascii="Times New Roman" w:eastAsia="Calibri" w:hAnsi="Times New Roman"/>
          <w:color w:val="000000"/>
          <w:sz w:val="24"/>
          <w:shd w:val="clear" w:color="auto" w:fill="FFFFFF"/>
          <w:lang w:eastAsia="en-US"/>
        </w:rPr>
        <w:br/>
        <w:t xml:space="preserve">на 44,09%, а также на муку на 3,75%, в продовольственном сегменте потребительского рынка в январе-июне 2015 года был зафиксирован выраженный дефляционный тренд – </w:t>
      </w:r>
      <w:r w:rsidRPr="002E6A89">
        <w:rPr>
          <w:rFonts w:ascii="Times New Roman" w:eastAsia="Calibri" w:hAnsi="Times New Roman"/>
          <w:color w:val="000000"/>
          <w:sz w:val="24"/>
          <w:shd w:val="clear" w:color="auto" w:fill="FFFFFF"/>
          <w:lang w:eastAsia="en-US"/>
        </w:rPr>
        <w:br/>
        <w:t xml:space="preserve">«-»1,41% (в январе-июне 2014 года – «+»2,94%). </w:t>
      </w:r>
    </w:p>
    <w:p w:rsidR="00335844" w:rsidRPr="002E6A89" w:rsidRDefault="00335844" w:rsidP="00335844">
      <w:pPr>
        <w:spacing w:after="0" w:line="240" w:lineRule="auto"/>
        <w:ind w:firstLine="709"/>
        <w:jc w:val="both"/>
        <w:rPr>
          <w:rFonts w:ascii="Times New Roman" w:hAnsi="Times New Roman"/>
          <w:sz w:val="24"/>
          <w:szCs w:val="24"/>
        </w:rPr>
      </w:pPr>
      <w:r w:rsidRPr="002E6A89">
        <w:rPr>
          <w:rFonts w:ascii="Times New Roman" w:hAnsi="Times New Roman"/>
          <w:sz w:val="24"/>
          <w:szCs w:val="24"/>
        </w:rPr>
        <w:t>В январе-июне 2015 года отмечалась ценовая стабильность в сфере непродовольственных товаров с дефляцией «-»1,62% (в январе-июне 2014 года «-»1,99%). Понижательный ценовой тренд в данном сегменте потребительского рынка установлен по следующим видам товаров: товары бытовой химии («-»6,38%), вычислительная техника («-»1,56%), телерадиотовары («-»0,59%), топливо (бензин) («-»5,78%) и др.</w:t>
      </w:r>
    </w:p>
    <w:p w:rsidR="00335844" w:rsidRPr="002E6A89" w:rsidRDefault="00335844" w:rsidP="00335844">
      <w:pPr>
        <w:spacing w:after="0" w:line="240" w:lineRule="auto"/>
        <w:ind w:firstLine="709"/>
        <w:jc w:val="both"/>
        <w:rPr>
          <w:rFonts w:ascii="Times New Roman" w:hAnsi="Times New Roman"/>
          <w:sz w:val="24"/>
          <w:szCs w:val="24"/>
        </w:rPr>
      </w:pPr>
      <w:r w:rsidRPr="002E6A89">
        <w:rPr>
          <w:rFonts w:ascii="Times New Roman" w:hAnsi="Times New Roman"/>
          <w:sz w:val="24"/>
          <w:szCs w:val="24"/>
        </w:rPr>
        <w:t>В общем повышении стоимости потребительских товаров и услуг на протяжении всего рассматриваемого периода наибольшее влияние оказывала инфляция в сфере цен и тарифов на услуги. По итогам января-июня 2015 года инфляционная нагрузка в данном сегменте достигла 6,54%, снизившись на 0,64 процентных пункта к сопоставимому значению соответствующего периода предыдущего года. Данная тенденция обусловлена принятием на государственном уровне решения о снижении с марта текущего года предельных уровней тарифов в сфере ЖКХ в среднем на 7,0% к уровню установленных тарифов на 2015 год.</w:t>
      </w:r>
    </w:p>
    <w:p w:rsidR="00335844" w:rsidRPr="002E6A89" w:rsidRDefault="00335844" w:rsidP="00335844">
      <w:pPr>
        <w:spacing w:after="0" w:line="240" w:lineRule="auto"/>
        <w:ind w:firstLine="709"/>
        <w:jc w:val="both"/>
        <w:rPr>
          <w:rFonts w:ascii="Times New Roman" w:hAnsi="Times New Roman"/>
          <w:sz w:val="24"/>
          <w:szCs w:val="24"/>
        </w:rPr>
      </w:pPr>
      <w:r w:rsidRPr="002E6A89">
        <w:rPr>
          <w:rFonts w:ascii="Times New Roman" w:hAnsi="Times New Roman"/>
          <w:sz w:val="24"/>
          <w:szCs w:val="24"/>
        </w:rPr>
        <w:t>Основное влияние на определившейся инфляционный фон в сфере тарифов на услуги в январе-июне 2015 года оказало повышение цен на жилищно-коммунальные услуги - на 2,76% (в январе-июне 2014 года – на 10,62%), тарифов на услуги связи - на 8,56% (в январе-июне 2014 года – «+»5,20%).</w:t>
      </w:r>
    </w:p>
    <w:p w:rsidR="00335844" w:rsidRPr="002E6A89" w:rsidRDefault="00335844" w:rsidP="00335844">
      <w:pPr>
        <w:autoSpaceDE w:val="0"/>
        <w:autoSpaceDN w:val="0"/>
        <w:adjustRightInd w:val="0"/>
        <w:spacing w:after="0" w:line="240" w:lineRule="auto"/>
        <w:ind w:firstLine="709"/>
        <w:jc w:val="both"/>
        <w:rPr>
          <w:rFonts w:ascii="Times New Roman" w:eastAsia="Calibri" w:hAnsi="Times New Roman" w:cs="Sylfaen"/>
          <w:sz w:val="24"/>
        </w:rPr>
      </w:pPr>
      <w:r w:rsidRPr="002E6A89">
        <w:rPr>
          <w:rFonts w:ascii="Times New Roman" w:eastAsia="Calibri" w:hAnsi="Times New Roman" w:cs="Sylfaen"/>
          <w:sz w:val="24"/>
        </w:rPr>
        <w:t>Кроме того, весомое инфляционное давление в сфере услуг в обозначенном периоде создало повышение стоимости услуг дошкольного воспитания («+»21,84%), медицинских услуг («+»37,67%), услуг правового характера («+»8,94%), а также ритуальных услуг («+»14,34%). В то же время подешевели санаторно-оздоровительные услуги на 3,13%.</w:t>
      </w:r>
    </w:p>
    <w:p w:rsidR="00335844" w:rsidRPr="002E6A89" w:rsidRDefault="00335844" w:rsidP="00335844">
      <w:pPr>
        <w:spacing w:after="0" w:line="240" w:lineRule="auto"/>
        <w:ind w:firstLine="709"/>
        <w:jc w:val="both"/>
        <w:rPr>
          <w:rFonts w:ascii="Times New Roman" w:hAnsi="Times New Roman"/>
          <w:sz w:val="24"/>
          <w:szCs w:val="24"/>
        </w:rPr>
      </w:pPr>
      <w:r w:rsidRPr="002E6A89">
        <w:rPr>
          <w:rFonts w:ascii="Times New Roman" w:hAnsi="Times New Roman"/>
          <w:sz w:val="24"/>
          <w:szCs w:val="24"/>
        </w:rPr>
        <w:t>Таким образом, существенную роль в сдерживании инфляционных процессов продолжала оказывать предсказуемая валютная политика. Стабильность курса приднестровского рубля в условиях высокой импортной зависимости от поставок достаточно широкого круга потребительских товаров, позволила не допустить раскручивания инфляционной спирали по аналогии с ситуацией, которая сложилась в ряде стран СНГ.</w:t>
      </w:r>
    </w:p>
    <w:p w:rsidR="00335844" w:rsidRPr="002E6A89" w:rsidRDefault="00335844" w:rsidP="00335844">
      <w:pPr>
        <w:spacing w:after="0" w:line="240" w:lineRule="auto"/>
        <w:ind w:firstLine="709"/>
        <w:jc w:val="both"/>
        <w:rPr>
          <w:rFonts w:ascii="Times New Roman" w:hAnsi="Times New Roman"/>
          <w:sz w:val="24"/>
        </w:rPr>
      </w:pPr>
      <w:r w:rsidRPr="002E6A89">
        <w:rPr>
          <w:rFonts w:ascii="Times New Roman" w:hAnsi="Times New Roman"/>
          <w:sz w:val="24"/>
          <w:szCs w:val="24"/>
        </w:rPr>
        <w:t>Сводный индекс потребительских цен (инфляция) в январе-июне 2015 года в Республике Молдова составил 105,7%, в Украине – 140,7%, в Российской Федерации – 108,5%.</w:t>
      </w:r>
    </w:p>
    <w:p w:rsidR="00335844" w:rsidRPr="00397EA0" w:rsidRDefault="00335844" w:rsidP="00335844">
      <w:pPr>
        <w:tabs>
          <w:tab w:val="left" w:pos="7965"/>
        </w:tabs>
        <w:spacing w:after="0" w:line="240" w:lineRule="auto"/>
        <w:ind w:firstLine="708"/>
        <w:jc w:val="both"/>
        <w:rPr>
          <w:rFonts w:ascii="Times New Roman" w:hAnsi="Times New Roman"/>
          <w:sz w:val="24"/>
          <w:szCs w:val="24"/>
        </w:rPr>
      </w:pPr>
    </w:p>
    <w:p w:rsidR="00335844" w:rsidRDefault="00335844" w:rsidP="00335844">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5B6731">
        <w:rPr>
          <w:rFonts w:ascii="Times New Roman" w:eastAsia="Calibri" w:hAnsi="Times New Roman"/>
          <w:b/>
          <w:sz w:val="24"/>
          <w:szCs w:val="24"/>
        </w:rPr>
        <w:t>Малое предпринимательство</w:t>
      </w:r>
    </w:p>
    <w:p w:rsidR="00590F6F" w:rsidRPr="005B6731" w:rsidRDefault="00590F6F" w:rsidP="00335844">
      <w:pPr>
        <w:widowControl w:val="0"/>
        <w:autoSpaceDE w:val="0"/>
        <w:autoSpaceDN w:val="0"/>
        <w:adjustRightInd w:val="0"/>
        <w:spacing w:after="0" w:line="240" w:lineRule="auto"/>
        <w:ind w:firstLine="720"/>
        <w:jc w:val="both"/>
        <w:rPr>
          <w:rFonts w:ascii="Times New Roman" w:eastAsia="Calibri" w:hAnsi="Times New Roman"/>
          <w:b/>
          <w:sz w:val="24"/>
          <w:szCs w:val="24"/>
        </w:rPr>
      </w:pP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 xml:space="preserve">В январе – июне 2015 года количество субъектов малого бизнеса </w:t>
      </w:r>
      <w:r w:rsidR="00261469">
        <w:rPr>
          <w:rFonts w:ascii="Times New Roman" w:eastAsia="Calibri" w:hAnsi="Times New Roman"/>
          <w:sz w:val="24"/>
          <w:szCs w:val="24"/>
        </w:rPr>
        <w:t xml:space="preserve">по отношению к базовому показателю 2014 года возросло на 1,4% или на 57 организаций, составив </w:t>
      </w:r>
      <w:r w:rsidRPr="00790BA4">
        <w:rPr>
          <w:rFonts w:ascii="Times New Roman" w:eastAsia="Calibri" w:hAnsi="Times New Roman"/>
          <w:sz w:val="24"/>
          <w:szCs w:val="24"/>
        </w:rPr>
        <w:t>4 148 организаций, при этом порядка 88,8% (3 685 организаций) всех субъектов малого предпринимательства являются микропредприятиями.</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lastRenderedPageBreak/>
        <w:t>Наиболее привлекательной сферой малого бизнеса остается торговля и общепит (48,1% от общего количества). В промышленности, строительстве и сельском хозяйстве сосредоточено порядка 27,0% общего количества организаций малого бизнеса республики.</w:t>
      </w:r>
    </w:p>
    <w:p w:rsidR="00590F6F" w:rsidRPr="00790BA4" w:rsidRDefault="00590F6F" w:rsidP="00590F6F">
      <w:pPr>
        <w:tabs>
          <w:tab w:val="left" w:pos="2160"/>
        </w:tabs>
        <w:spacing w:after="0" w:line="240" w:lineRule="auto"/>
        <w:ind w:firstLine="709"/>
        <w:contextualSpacing/>
        <w:jc w:val="both"/>
        <w:rPr>
          <w:rFonts w:ascii="Times New Roman" w:hAnsi="Times New Roman"/>
          <w:sz w:val="24"/>
          <w:szCs w:val="24"/>
        </w:rPr>
      </w:pPr>
      <w:r w:rsidRPr="00790BA4">
        <w:rPr>
          <w:rFonts w:ascii="Times New Roman" w:hAnsi="Times New Roman"/>
          <w:sz w:val="24"/>
          <w:szCs w:val="24"/>
        </w:rPr>
        <w:t xml:space="preserve">В соответствии со структурой распределения организаций малого предпринимательства по отраслям экономики </w:t>
      </w:r>
      <w:r>
        <w:rPr>
          <w:rFonts w:ascii="Times New Roman" w:hAnsi="Times New Roman"/>
          <w:sz w:val="24"/>
          <w:szCs w:val="24"/>
        </w:rPr>
        <w:t xml:space="preserve">по состоянию на конец рассматриваемого периода </w:t>
      </w:r>
      <w:r w:rsidRPr="00790BA4">
        <w:rPr>
          <w:rFonts w:ascii="Times New Roman" w:hAnsi="Times New Roman"/>
          <w:sz w:val="24"/>
          <w:szCs w:val="24"/>
        </w:rPr>
        <w:t xml:space="preserve">наибольшее количество занятых приходится на следующие отрасли: торговля и общепит – 7 621 человек («-»1,4% по сравнению с </w:t>
      </w:r>
      <w:r>
        <w:rPr>
          <w:rFonts w:ascii="Times New Roman" w:hAnsi="Times New Roman"/>
          <w:sz w:val="24"/>
          <w:szCs w:val="24"/>
        </w:rPr>
        <w:t>соответствующей датой</w:t>
      </w:r>
      <w:r w:rsidRPr="00790BA4">
        <w:rPr>
          <w:rFonts w:ascii="Times New Roman" w:hAnsi="Times New Roman"/>
          <w:sz w:val="24"/>
          <w:szCs w:val="24"/>
        </w:rPr>
        <w:t xml:space="preserve"> 2014 года); промышленность – 3 290 работников («-»13,1%); строительство - 2 134 трудящихся </w:t>
      </w:r>
      <w:r>
        <w:rPr>
          <w:rFonts w:ascii="Times New Roman" w:hAnsi="Times New Roman"/>
          <w:sz w:val="24"/>
          <w:szCs w:val="24"/>
        </w:rPr>
        <w:t xml:space="preserve">               </w:t>
      </w:r>
      <w:r w:rsidRPr="00790BA4">
        <w:rPr>
          <w:rFonts w:ascii="Times New Roman" w:hAnsi="Times New Roman"/>
          <w:sz w:val="24"/>
          <w:szCs w:val="24"/>
        </w:rPr>
        <w:t xml:space="preserve">(«-»5,1%); сельское хозяйство – 1 841 человек («+»5,6%); </w:t>
      </w:r>
      <w:r w:rsidRPr="00790BA4">
        <w:rPr>
          <w:rFonts w:ascii="Times New Roman" w:eastAsia="Calibri" w:hAnsi="Times New Roman"/>
          <w:sz w:val="24"/>
          <w:szCs w:val="24"/>
        </w:rPr>
        <w:t>операции с недвижимым имуществом – 1 257 занятых («+»14,2%).</w:t>
      </w:r>
    </w:p>
    <w:p w:rsidR="00590F6F" w:rsidRPr="00790BA4" w:rsidRDefault="00590F6F" w:rsidP="00590F6F">
      <w:pPr>
        <w:spacing w:after="0" w:line="240" w:lineRule="auto"/>
        <w:ind w:firstLine="709"/>
        <w:jc w:val="both"/>
        <w:rPr>
          <w:rFonts w:ascii="Times New Roman" w:hAnsi="Times New Roman"/>
          <w:sz w:val="24"/>
          <w:szCs w:val="24"/>
        </w:rPr>
      </w:pPr>
      <w:r w:rsidRPr="00790BA4">
        <w:rPr>
          <w:rFonts w:ascii="Times New Roman" w:hAnsi="Times New Roman"/>
          <w:sz w:val="24"/>
          <w:szCs w:val="24"/>
        </w:rPr>
        <w:t xml:space="preserve">В целом средняя численность работников </w:t>
      </w:r>
      <w:r>
        <w:rPr>
          <w:rFonts w:ascii="Times New Roman" w:hAnsi="Times New Roman"/>
          <w:sz w:val="24"/>
          <w:szCs w:val="24"/>
        </w:rPr>
        <w:t xml:space="preserve">на конец рассматриваемого периода текущего года </w:t>
      </w:r>
      <w:r w:rsidRPr="00790BA4">
        <w:rPr>
          <w:rFonts w:ascii="Times New Roman" w:hAnsi="Times New Roman"/>
          <w:sz w:val="24"/>
          <w:szCs w:val="24"/>
        </w:rPr>
        <w:t xml:space="preserve">сократилась на 566 человек или на 2,7% к </w:t>
      </w:r>
      <w:r>
        <w:rPr>
          <w:rFonts w:ascii="Times New Roman" w:hAnsi="Times New Roman"/>
          <w:sz w:val="24"/>
          <w:szCs w:val="24"/>
        </w:rPr>
        <w:t>базовому показателю</w:t>
      </w:r>
      <w:r w:rsidRPr="00790BA4">
        <w:rPr>
          <w:rFonts w:ascii="Times New Roman" w:hAnsi="Times New Roman"/>
          <w:sz w:val="24"/>
          <w:szCs w:val="24"/>
        </w:rPr>
        <w:t xml:space="preserve"> прошлого года и составила 20 369 человек, из них 55,9% (11 377 человек) </w:t>
      </w:r>
      <w:r>
        <w:rPr>
          <w:rFonts w:ascii="Times New Roman" w:hAnsi="Times New Roman"/>
          <w:sz w:val="24"/>
          <w:szCs w:val="24"/>
        </w:rPr>
        <w:t>заняты</w:t>
      </w:r>
      <w:r w:rsidRPr="00790BA4">
        <w:rPr>
          <w:rFonts w:ascii="Times New Roman" w:hAnsi="Times New Roman"/>
          <w:sz w:val="24"/>
          <w:szCs w:val="24"/>
        </w:rPr>
        <w:t xml:space="preserve"> на микропредприятиях, численность которых сократилась на 0,5%, и соответственно 44,1% (8 992 человека) всех занятых в малом бизнесе – малые предприятия («-»5,4% или 511 человек к уровню января – июня 2014 года). </w:t>
      </w:r>
    </w:p>
    <w:p w:rsidR="00590F6F" w:rsidRPr="00790BA4" w:rsidRDefault="00590F6F" w:rsidP="00590F6F">
      <w:pPr>
        <w:spacing w:after="0" w:line="240" w:lineRule="auto"/>
        <w:ind w:firstLine="720"/>
        <w:jc w:val="center"/>
        <w:rPr>
          <w:rFonts w:ascii="Times New Roman" w:eastAsia="Calibri" w:hAnsi="Times New Roman"/>
          <w:b/>
          <w:sz w:val="24"/>
          <w:szCs w:val="24"/>
        </w:rPr>
      </w:pPr>
    </w:p>
    <w:p w:rsidR="00590F6F" w:rsidRPr="00790BA4" w:rsidRDefault="00590F6F" w:rsidP="00590F6F">
      <w:pPr>
        <w:spacing w:after="0" w:line="240" w:lineRule="auto"/>
        <w:ind w:firstLine="720"/>
        <w:jc w:val="center"/>
        <w:rPr>
          <w:rFonts w:ascii="Times New Roman" w:eastAsia="Calibri" w:hAnsi="Times New Roman"/>
          <w:b/>
          <w:sz w:val="24"/>
          <w:szCs w:val="24"/>
        </w:rPr>
      </w:pPr>
      <w:r w:rsidRPr="00790BA4">
        <w:rPr>
          <w:rFonts w:ascii="Times New Roman" w:eastAsia="Calibri" w:hAnsi="Times New Roman"/>
          <w:b/>
          <w:sz w:val="24"/>
          <w:szCs w:val="24"/>
        </w:rPr>
        <w:t xml:space="preserve">Структура организаций малого предпринимательства в разрезе отраслей экономики </w:t>
      </w:r>
    </w:p>
    <w:p w:rsidR="00590F6F" w:rsidRDefault="005018DA" w:rsidP="00590F6F">
      <w:pPr>
        <w:tabs>
          <w:tab w:val="left" w:pos="2160"/>
        </w:tabs>
        <w:spacing w:after="0" w:line="240" w:lineRule="auto"/>
        <w:ind w:firstLine="709"/>
        <w:contextualSpacing/>
        <w:jc w:val="center"/>
        <w:rPr>
          <w:rFonts w:ascii="Times New Roman" w:eastAsia="Calibri" w:hAnsi="Times New Roman"/>
          <w:b/>
          <w:sz w:val="24"/>
          <w:szCs w:val="24"/>
        </w:rPr>
      </w:pPr>
      <w:r>
        <w:rPr>
          <w:noProof/>
        </w:rPr>
        <w:drawing>
          <wp:anchor distT="48768" distB="401701" distL="205740" distR="359156" simplePos="0" relativeHeight="251669504" behindDoc="1" locked="0" layoutInCell="1" allowOverlap="1">
            <wp:simplePos x="0" y="0"/>
            <wp:positionH relativeFrom="column">
              <wp:posOffset>2977515</wp:posOffset>
            </wp:positionH>
            <wp:positionV relativeFrom="paragraph">
              <wp:posOffset>364490</wp:posOffset>
            </wp:positionV>
            <wp:extent cx="3139440" cy="3076575"/>
            <wp:effectExtent l="19050" t="0" r="3810" b="0"/>
            <wp:wrapSquare wrapText="right"/>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noProof/>
        </w:rPr>
        <w:drawing>
          <wp:anchor distT="48768" distB="394843" distL="193548" distR="358013" simplePos="0" relativeHeight="251670528" behindDoc="0" locked="0" layoutInCell="1" allowOverlap="1">
            <wp:simplePos x="0" y="0"/>
            <wp:positionH relativeFrom="column">
              <wp:posOffset>-251460</wp:posOffset>
            </wp:positionH>
            <wp:positionV relativeFrom="paragraph">
              <wp:posOffset>297815</wp:posOffset>
            </wp:positionV>
            <wp:extent cx="3152775" cy="3009900"/>
            <wp:effectExtent l="19050" t="0" r="0" b="0"/>
            <wp:wrapSquare wrapText="right"/>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590F6F" w:rsidRPr="00790BA4">
        <w:rPr>
          <w:rFonts w:ascii="Times New Roman" w:eastAsia="Calibri" w:hAnsi="Times New Roman"/>
          <w:sz w:val="24"/>
          <w:szCs w:val="24"/>
        </w:rPr>
        <w:t>(количество организаций, удельный вес %)</w:t>
      </w:r>
    </w:p>
    <w:p w:rsidR="00590F6F" w:rsidRPr="00590F6F" w:rsidRDefault="00590F6F" w:rsidP="00590F6F">
      <w:pPr>
        <w:tabs>
          <w:tab w:val="left" w:pos="2160"/>
        </w:tabs>
        <w:spacing w:after="0" w:line="240" w:lineRule="auto"/>
        <w:ind w:firstLine="709"/>
        <w:contextualSpacing/>
        <w:jc w:val="both"/>
        <w:rPr>
          <w:rFonts w:ascii="Times New Roman" w:eastAsia="Calibri" w:hAnsi="Times New Roman"/>
          <w:b/>
          <w:sz w:val="24"/>
          <w:szCs w:val="24"/>
        </w:rPr>
      </w:pPr>
      <w:r w:rsidRPr="00790BA4">
        <w:rPr>
          <w:rFonts w:ascii="Times New Roman" w:hAnsi="Times New Roman"/>
          <w:sz w:val="24"/>
          <w:szCs w:val="24"/>
        </w:rPr>
        <w:t xml:space="preserve">Следует отметить, что </w:t>
      </w:r>
      <w:r>
        <w:rPr>
          <w:rFonts w:ascii="Times New Roman" w:hAnsi="Times New Roman"/>
          <w:sz w:val="24"/>
          <w:szCs w:val="24"/>
        </w:rPr>
        <w:t>по состоянию на конец отчетного периода</w:t>
      </w:r>
      <w:r w:rsidRPr="00790BA4">
        <w:rPr>
          <w:rFonts w:ascii="Times New Roman" w:hAnsi="Times New Roman"/>
          <w:sz w:val="24"/>
          <w:szCs w:val="24"/>
        </w:rPr>
        <w:t xml:space="preserve"> отмечается увеличение доли занятых в организациях малого предпринимательства в общей численности занятых в экономике </w:t>
      </w:r>
      <w:r>
        <w:rPr>
          <w:rFonts w:ascii="Times New Roman" w:hAnsi="Times New Roman"/>
          <w:sz w:val="24"/>
          <w:szCs w:val="24"/>
        </w:rPr>
        <w:t xml:space="preserve">до </w:t>
      </w:r>
      <w:r w:rsidRPr="00790BA4">
        <w:rPr>
          <w:rFonts w:ascii="Times New Roman" w:hAnsi="Times New Roman"/>
          <w:sz w:val="24"/>
          <w:szCs w:val="24"/>
        </w:rPr>
        <w:t xml:space="preserve">15,0% </w:t>
      </w:r>
      <w:r>
        <w:rPr>
          <w:rFonts w:ascii="Times New Roman" w:hAnsi="Times New Roman"/>
          <w:sz w:val="24"/>
          <w:szCs w:val="24"/>
        </w:rPr>
        <w:t xml:space="preserve">против </w:t>
      </w:r>
      <w:r w:rsidRPr="00790BA4">
        <w:rPr>
          <w:rFonts w:ascii="Times New Roman" w:hAnsi="Times New Roman"/>
          <w:sz w:val="24"/>
          <w:szCs w:val="24"/>
        </w:rPr>
        <w:t xml:space="preserve">11,5% в </w:t>
      </w:r>
      <w:r>
        <w:rPr>
          <w:rFonts w:ascii="Times New Roman" w:hAnsi="Times New Roman"/>
          <w:sz w:val="24"/>
          <w:szCs w:val="24"/>
        </w:rPr>
        <w:t>базовом периоде</w:t>
      </w:r>
      <w:r w:rsidRPr="00790BA4">
        <w:rPr>
          <w:rFonts w:ascii="Times New Roman" w:hAnsi="Times New Roman"/>
          <w:sz w:val="24"/>
          <w:szCs w:val="24"/>
        </w:rPr>
        <w:t xml:space="preserve"> 201</w:t>
      </w:r>
      <w:r>
        <w:rPr>
          <w:rFonts w:ascii="Times New Roman" w:hAnsi="Times New Roman"/>
          <w:sz w:val="24"/>
          <w:szCs w:val="24"/>
        </w:rPr>
        <w:t>4</w:t>
      </w:r>
      <w:r w:rsidRPr="00790BA4">
        <w:rPr>
          <w:rFonts w:ascii="Times New Roman" w:hAnsi="Times New Roman"/>
          <w:sz w:val="24"/>
          <w:szCs w:val="24"/>
        </w:rPr>
        <w:t xml:space="preserve"> года.</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 xml:space="preserve">В </w:t>
      </w:r>
      <w:r>
        <w:rPr>
          <w:rFonts w:ascii="Times New Roman" w:eastAsia="Calibri" w:hAnsi="Times New Roman"/>
          <w:sz w:val="24"/>
          <w:szCs w:val="24"/>
          <w:lang w:val="en-US"/>
        </w:rPr>
        <w:t>I</w:t>
      </w:r>
      <w:r>
        <w:rPr>
          <w:rFonts w:ascii="Times New Roman" w:eastAsia="Calibri" w:hAnsi="Times New Roman"/>
          <w:sz w:val="24"/>
          <w:szCs w:val="24"/>
        </w:rPr>
        <w:t xml:space="preserve"> полугодии текущего года</w:t>
      </w:r>
      <w:r w:rsidRPr="00790BA4">
        <w:rPr>
          <w:rFonts w:ascii="Times New Roman" w:eastAsia="Calibri" w:hAnsi="Times New Roman"/>
          <w:sz w:val="24"/>
          <w:szCs w:val="24"/>
        </w:rPr>
        <w:t xml:space="preserve"> номинальная среднемесячная начисленная заработная плата одного работника в организациях малого бизнеса </w:t>
      </w:r>
      <w:r>
        <w:rPr>
          <w:rFonts w:ascii="Times New Roman" w:eastAsia="Calibri" w:hAnsi="Times New Roman"/>
          <w:sz w:val="24"/>
          <w:szCs w:val="24"/>
        </w:rPr>
        <w:t>составила</w:t>
      </w:r>
      <w:r w:rsidRPr="00790BA4">
        <w:rPr>
          <w:rFonts w:ascii="Times New Roman" w:eastAsia="Calibri" w:hAnsi="Times New Roman"/>
          <w:sz w:val="24"/>
          <w:szCs w:val="24"/>
        </w:rPr>
        <w:t xml:space="preserve"> 3 327,5</w:t>
      </w:r>
      <w:r>
        <w:rPr>
          <w:rFonts w:ascii="Times New Roman" w:eastAsia="Calibri" w:hAnsi="Times New Roman"/>
          <w:sz w:val="24"/>
          <w:szCs w:val="24"/>
        </w:rPr>
        <w:t xml:space="preserve"> руб., превысив базовый показатель I полугодия 2014 года </w:t>
      </w:r>
      <w:r w:rsidRPr="00790BA4">
        <w:rPr>
          <w:rFonts w:ascii="Times New Roman" w:eastAsia="Calibri" w:hAnsi="Times New Roman"/>
          <w:sz w:val="24"/>
          <w:szCs w:val="24"/>
        </w:rPr>
        <w:t>на 1,4%</w:t>
      </w:r>
      <w:r>
        <w:rPr>
          <w:rFonts w:ascii="Times New Roman" w:eastAsia="Calibri" w:hAnsi="Times New Roman"/>
          <w:sz w:val="24"/>
          <w:szCs w:val="24"/>
        </w:rPr>
        <w:t>. Но при этом</w:t>
      </w:r>
      <w:r w:rsidRPr="00790BA4">
        <w:rPr>
          <w:rFonts w:ascii="Times New Roman" w:eastAsia="Calibri" w:hAnsi="Times New Roman"/>
          <w:sz w:val="24"/>
          <w:szCs w:val="24"/>
        </w:rPr>
        <w:t xml:space="preserve"> </w:t>
      </w:r>
      <w:r>
        <w:rPr>
          <w:rFonts w:ascii="Times New Roman" w:eastAsia="Calibri" w:hAnsi="Times New Roman"/>
          <w:sz w:val="24"/>
          <w:szCs w:val="24"/>
        </w:rPr>
        <w:t xml:space="preserve">необходимо отметить, что оплата труда в сфере малого бизнеса остается на низком уровне и составляет 86,7% от среднереспубликанского уровня </w:t>
      </w:r>
      <w:r w:rsidRPr="00790BA4">
        <w:rPr>
          <w:rFonts w:ascii="Times New Roman" w:eastAsia="Calibri" w:hAnsi="Times New Roman"/>
          <w:sz w:val="24"/>
          <w:szCs w:val="24"/>
        </w:rPr>
        <w:t>зарабо</w:t>
      </w:r>
      <w:r>
        <w:rPr>
          <w:rFonts w:ascii="Times New Roman" w:eastAsia="Calibri" w:hAnsi="Times New Roman"/>
          <w:sz w:val="24"/>
          <w:szCs w:val="24"/>
        </w:rPr>
        <w:t xml:space="preserve">тной платы одного работника </w:t>
      </w:r>
      <w:r w:rsidRPr="00A25399">
        <w:rPr>
          <w:rFonts w:ascii="Times New Roman" w:eastAsia="Calibri" w:hAnsi="Times New Roman"/>
          <w:sz w:val="24"/>
          <w:szCs w:val="24"/>
        </w:rPr>
        <w:t>(3 389 руб.)</w:t>
      </w:r>
      <w:r>
        <w:rPr>
          <w:rFonts w:ascii="Times New Roman" w:eastAsia="Calibri" w:hAnsi="Times New Roman"/>
          <w:sz w:val="24"/>
          <w:szCs w:val="24"/>
        </w:rPr>
        <w:t xml:space="preserve"> и</w:t>
      </w:r>
      <w:r w:rsidRPr="00790BA4">
        <w:rPr>
          <w:rFonts w:ascii="Times New Roman" w:eastAsia="Calibri" w:hAnsi="Times New Roman"/>
          <w:sz w:val="24"/>
          <w:szCs w:val="24"/>
        </w:rPr>
        <w:t xml:space="preserve"> 68,9% </w:t>
      </w:r>
      <w:r>
        <w:rPr>
          <w:rFonts w:ascii="Times New Roman" w:eastAsia="Calibri" w:hAnsi="Times New Roman"/>
          <w:sz w:val="24"/>
          <w:szCs w:val="24"/>
        </w:rPr>
        <w:t>от</w:t>
      </w:r>
      <w:r w:rsidRPr="00790BA4">
        <w:rPr>
          <w:rFonts w:ascii="Times New Roman" w:eastAsia="Calibri" w:hAnsi="Times New Roman"/>
          <w:sz w:val="24"/>
          <w:szCs w:val="24"/>
        </w:rPr>
        <w:t xml:space="preserve"> средней величин</w:t>
      </w:r>
      <w:r>
        <w:rPr>
          <w:rFonts w:ascii="Times New Roman" w:eastAsia="Calibri" w:hAnsi="Times New Roman"/>
          <w:sz w:val="24"/>
          <w:szCs w:val="24"/>
        </w:rPr>
        <w:t>ы</w:t>
      </w:r>
      <w:r w:rsidRPr="00790BA4">
        <w:rPr>
          <w:rFonts w:ascii="Times New Roman" w:eastAsia="Calibri" w:hAnsi="Times New Roman"/>
          <w:sz w:val="24"/>
          <w:szCs w:val="24"/>
        </w:rPr>
        <w:t xml:space="preserve"> заработной</w:t>
      </w:r>
      <w:r>
        <w:rPr>
          <w:rFonts w:ascii="Times New Roman" w:eastAsia="Calibri" w:hAnsi="Times New Roman"/>
          <w:sz w:val="24"/>
          <w:szCs w:val="24"/>
        </w:rPr>
        <w:t xml:space="preserve"> платы во внебюджетном секторе </w:t>
      </w:r>
      <w:r w:rsidRPr="00A25399">
        <w:rPr>
          <w:rFonts w:ascii="Times New Roman" w:eastAsia="Calibri" w:hAnsi="Times New Roman"/>
          <w:sz w:val="24"/>
          <w:szCs w:val="24"/>
        </w:rPr>
        <w:t>(4 827 руб.).</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lastRenderedPageBreak/>
        <w:t>Наиболее высокий уровень заработной платы отмечен в таких отраслях как: «Заготовки», «Связь», «Информационно - вычислительное обслуживание», «Отдых и туризм (физкультура)», «Общая коммерческая деятельность».</w:t>
      </w:r>
    </w:p>
    <w:p w:rsidR="00B5001E" w:rsidRDefault="00590F6F" w:rsidP="00B5001E">
      <w:pPr>
        <w:spacing w:after="0" w:line="240" w:lineRule="auto"/>
        <w:jc w:val="both"/>
        <w:rPr>
          <w:rFonts w:ascii="Times New Roman" w:eastAsia="Calibri" w:hAnsi="Times New Roman"/>
          <w:sz w:val="24"/>
          <w:szCs w:val="24"/>
        </w:rPr>
      </w:pPr>
      <w:r w:rsidRPr="00790BA4">
        <w:rPr>
          <w:rFonts w:ascii="Times New Roman" w:eastAsia="Calibri" w:hAnsi="Times New Roman"/>
          <w:noProof/>
          <w:sz w:val="24"/>
          <w:szCs w:val="24"/>
        </w:rPr>
        <w:drawing>
          <wp:inline distT="0" distB="0" distL="0" distR="0">
            <wp:extent cx="6057900" cy="477202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619F6" w:rsidRPr="00790BA4" w:rsidRDefault="002619F6" w:rsidP="00B5001E">
      <w:pPr>
        <w:spacing w:after="0" w:line="240" w:lineRule="auto"/>
        <w:jc w:val="both"/>
        <w:rPr>
          <w:rFonts w:ascii="Times New Roman" w:eastAsia="Calibri" w:hAnsi="Times New Roman"/>
          <w:sz w:val="24"/>
          <w:szCs w:val="24"/>
        </w:rPr>
      </w:pP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В январе – июне 2015 года субъекты малого предпринимательства демонстрируют увеличение капитальных вложений. По итогам отчетного периода инвестиции в основной капитал (в части новых и приобретенных по импорту основных средств) выросли по сравнению с аналогичным периодом 2014 года на 15,5% до 107,9 млн. руб. и сформировали 23,3% от общего объема инвестиций в основной капитал по республике (в январе – июне 2014 года – 18,2%).</w:t>
      </w:r>
    </w:p>
    <w:p w:rsidR="00590F6F" w:rsidRPr="00790BA4" w:rsidRDefault="00590F6F" w:rsidP="00590F6F">
      <w:pPr>
        <w:spacing w:after="0" w:line="240" w:lineRule="auto"/>
        <w:ind w:firstLine="709"/>
        <w:jc w:val="both"/>
        <w:rPr>
          <w:rFonts w:ascii="Times New Roman" w:hAnsi="Times New Roman"/>
          <w:sz w:val="24"/>
          <w:szCs w:val="24"/>
        </w:rPr>
      </w:pPr>
      <w:r w:rsidRPr="00790BA4">
        <w:rPr>
          <w:rFonts w:ascii="Times New Roman" w:eastAsia="Calibri" w:hAnsi="Times New Roman"/>
          <w:sz w:val="24"/>
          <w:szCs w:val="24"/>
        </w:rPr>
        <w:t xml:space="preserve">Положительная динамика </w:t>
      </w:r>
      <w:r>
        <w:rPr>
          <w:rFonts w:ascii="Times New Roman" w:eastAsia="Calibri" w:hAnsi="Times New Roman"/>
          <w:sz w:val="24"/>
          <w:szCs w:val="24"/>
        </w:rPr>
        <w:t xml:space="preserve">инвестиций в основной капитал </w:t>
      </w:r>
      <w:r w:rsidRPr="00790BA4">
        <w:rPr>
          <w:rFonts w:ascii="Times New Roman" w:eastAsia="Calibri" w:hAnsi="Times New Roman"/>
          <w:sz w:val="24"/>
          <w:szCs w:val="24"/>
        </w:rPr>
        <w:t xml:space="preserve">была характерна для </w:t>
      </w:r>
      <w:r>
        <w:rPr>
          <w:rFonts w:ascii="Times New Roman" w:eastAsia="Calibri" w:hAnsi="Times New Roman"/>
          <w:sz w:val="24"/>
          <w:szCs w:val="24"/>
        </w:rPr>
        <w:t>организаций следующих отраслей малого предпринимательства. Так, в</w:t>
      </w:r>
      <w:r w:rsidRPr="00790BA4">
        <w:rPr>
          <w:rFonts w:ascii="Times New Roman" w:eastAsia="Calibri" w:hAnsi="Times New Roman"/>
          <w:sz w:val="24"/>
          <w:szCs w:val="24"/>
        </w:rPr>
        <w:t xml:space="preserve"> январе – июне 2015 года отмечено увеличение инвестиционной активности в 5,6 раз до 30,2 млн. руб. по </w:t>
      </w:r>
      <w:r>
        <w:rPr>
          <w:rFonts w:ascii="Times New Roman" w:eastAsia="Calibri" w:hAnsi="Times New Roman"/>
          <w:sz w:val="24"/>
          <w:szCs w:val="24"/>
        </w:rPr>
        <w:t>организациям, осуществляющи</w:t>
      </w:r>
      <w:r w:rsidR="002619F6">
        <w:rPr>
          <w:rFonts w:ascii="Times New Roman" w:eastAsia="Calibri" w:hAnsi="Times New Roman"/>
          <w:sz w:val="24"/>
          <w:szCs w:val="24"/>
        </w:rPr>
        <w:t>м</w:t>
      </w:r>
      <w:r>
        <w:rPr>
          <w:rFonts w:ascii="Times New Roman" w:eastAsia="Calibri" w:hAnsi="Times New Roman"/>
          <w:sz w:val="24"/>
          <w:szCs w:val="24"/>
        </w:rPr>
        <w:t xml:space="preserve"> </w:t>
      </w:r>
      <w:r w:rsidRPr="00790BA4">
        <w:rPr>
          <w:rFonts w:ascii="Times New Roman" w:eastAsia="Calibri" w:hAnsi="Times New Roman"/>
          <w:sz w:val="24"/>
          <w:szCs w:val="24"/>
        </w:rPr>
        <w:t>операци</w:t>
      </w:r>
      <w:r>
        <w:rPr>
          <w:rFonts w:ascii="Times New Roman" w:eastAsia="Calibri" w:hAnsi="Times New Roman"/>
          <w:sz w:val="24"/>
          <w:szCs w:val="24"/>
        </w:rPr>
        <w:t>и</w:t>
      </w:r>
      <w:r w:rsidRPr="00790BA4">
        <w:rPr>
          <w:rFonts w:ascii="Times New Roman" w:eastAsia="Calibri" w:hAnsi="Times New Roman"/>
          <w:sz w:val="24"/>
          <w:szCs w:val="24"/>
        </w:rPr>
        <w:t xml:space="preserve"> с недвижимым имуществом, что объясняется ускорением строительства торговых площадей, сдаваемых в аренду. Объем капитальных вложений промышленн</w:t>
      </w:r>
      <w:r>
        <w:rPr>
          <w:rFonts w:ascii="Times New Roman" w:eastAsia="Calibri" w:hAnsi="Times New Roman"/>
          <w:sz w:val="24"/>
          <w:szCs w:val="24"/>
        </w:rPr>
        <w:t>ых</w:t>
      </w:r>
      <w:r w:rsidRPr="00790BA4">
        <w:rPr>
          <w:rFonts w:ascii="Times New Roman" w:eastAsia="Calibri" w:hAnsi="Times New Roman"/>
          <w:sz w:val="24"/>
          <w:szCs w:val="24"/>
        </w:rPr>
        <w:t xml:space="preserve"> организаций по итогам </w:t>
      </w:r>
      <w:r w:rsidRPr="00790BA4">
        <w:rPr>
          <w:rFonts w:ascii="Times New Roman" w:eastAsia="Calibri" w:hAnsi="Times New Roman"/>
          <w:sz w:val="24"/>
          <w:szCs w:val="24"/>
          <w:lang w:val="en-US"/>
        </w:rPr>
        <w:t>I</w:t>
      </w:r>
      <w:r w:rsidRPr="00790BA4">
        <w:rPr>
          <w:rFonts w:ascii="Times New Roman" w:eastAsia="Calibri" w:hAnsi="Times New Roman"/>
          <w:sz w:val="24"/>
          <w:szCs w:val="24"/>
        </w:rPr>
        <w:t xml:space="preserve"> полугодия 2015 года вырос </w:t>
      </w:r>
      <w:r>
        <w:rPr>
          <w:rFonts w:ascii="Times New Roman" w:eastAsia="Calibri" w:hAnsi="Times New Roman"/>
          <w:sz w:val="24"/>
          <w:szCs w:val="24"/>
        </w:rPr>
        <w:t>на 57,3</w:t>
      </w:r>
      <w:r w:rsidRPr="00790BA4">
        <w:rPr>
          <w:rFonts w:ascii="Times New Roman" w:eastAsia="Calibri" w:hAnsi="Times New Roman"/>
          <w:sz w:val="24"/>
          <w:szCs w:val="24"/>
        </w:rPr>
        <w:t>%</w:t>
      </w:r>
      <w:r>
        <w:rPr>
          <w:rFonts w:ascii="Times New Roman" w:eastAsia="Calibri" w:hAnsi="Times New Roman"/>
          <w:sz w:val="24"/>
          <w:szCs w:val="24"/>
        </w:rPr>
        <w:t xml:space="preserve"> </w:t>
      </w:r>
      <w:r w:rsidRPr="00790BA4">
        <w:rPr>
          <w:rFonts w:ascii="Times New Roman" w:eastAsia="Calibri" w:hAnsi="Times New Roman"/>
          <w:sz w:val="24"/>
          <w:szCs w:val="24"/>
        </w:rPr>
        <w:t xml:space="preserve">до 11,7 млн. руб. Увеличение инвестиционной активности было отмечено </w:t>
      </w:r>
      <w:r>
        <w:rPr>
          <w:rFonts w:ascii="Times New Roman" w:eastAsia="Calibri" w:hAnsi="Times New Roman"/>
          <w:sz w:val="24"/>
          <w:szCs w:val="24"/>
        </w:rPr>
        <w:t xml:space="preserve">также </w:t>
      </w:r>
      <w:r w:rsidRPr="00790BA4">
        <w:rPr>
          <w:rFonts w:ascii="Times New Roman" w:eastAsia="Calibri" w:hAnsi="Times New Roman"/>
          <w:sz w:val="24"/>
          <w:szCs w:val="24"/>
        </w:rPr>
        <w:t xml:space="preserve">по организациям торговли и общепита, объем средств </w:t>
      </w:r>
      <w:r>
        <w:rPr>
          <w:rFonts w:ascii="Times New Roman" w:eastAsia="Calibri" w:hAnsi="Times New Roman"/>
          <w:sz w:val="24"/>
          <w:szCs w:val="24"/>
        </w:rPr>
        <w:t>направленных</w:t>
      </w:r>
      <w:r w:rsidRPr="00790BA4">
        <w:rPr>
          <w:rFonts w:ascii="Times New Roman" w:eastAsia="Calibri" w:hAnsi="Times New Roman"/>
          <w:sz w:val="24"/>
          <w:szCs w:val="24"/>
        </w:rPr>
        <w:t xml:space="preserve"> на долгосрочное развитие вырос на 32,7% до 27,2 млн. руб.</w:t>
      </w:r>
    </w:p>
    <w:p w:rsidR="00590F6F" w:rsidRPr="00790BA4" w:rsidRDefault="00590F6F" w:rsidP="00590F6F">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Вместе с этим, с</w:t>
      </w:r>
      <w:r w:rsidRPr="00790BA4">
        <w:rPr>
          <w:rFonts w:ascii="Times New Roman" w:eastAsia="Calibri" w:hAnsi="Times New Roman"/>
          <w:sz w:val="24"/>
          <w:szCs w:val="24"/>
        </w:rPr>
        <w:t xml:space="preserve">ужение инвестиционных вложений отмечается по организациям отрасли «Сельское хозяйство» на </w:t>
      </w:r>
      <w:r>
        <w:rPr>
          <w:rFonts w:ascii="Times New Roman" w:eastAsia="Calibri" w:hAnsi="Times New Roman"/>
          <w:sz w:val="24"/>
          <w:szCs w:val="24"/>
        </w:rPr>
        <w:t>63,4</w:t>
      </w:r>
      <w:r w:rsidRPr="00790BA4">
        <w:rPr>
          <w:rFonts w:ascii="Times New Roman" w:eastAsia="Calibri" w:hAnsi="Times New Roman"/>
          <w:sz w:val="24"/>
          <w:szCs w:val="24"/>
        </w:rPr>
        <w:t xml:space="preserve">% до 20,9 млн. руб., «Строительство» на </w:t>
      </w:r>
      <w:r>
        <w:rPr>
          <w:rFonts w:ascii="Times New Roman" w:eastAsia="Calibri" w:hAnsi="Times New Roman"/>
          <w:sz w:val="24"/>
          <w:szCs w:val="24"/>
        </w:rPr>
        <w:t>45,6</w:t>
      </w:r>
      <w:r w:rsidRPr="00790BA4">
        <w:rPr>
          <w:rFonts w:ascii="Times New Roman" w:eastAsia="Calibri" w:hAnsi="Times New Roman"/>
          <w:sz w:val="24"/>
          <w:szCs w:val="24"/>
        </w:rPr>
        <w:t>% до 7,2</w:t>
      </w:r>
      <w:r>
        <w:rPr>
          <w:rFonts w:ascii="Times New Roman" w:eastAsia="Calibri" w:hAnsi="Times New Roman"/>
          <w:sz w:val="24"/>
          <w:szCs w:val="24"/>
        </w:rPr>
        <w:t xml:space="preserve"> млн. руб., «З</w:t>
      </w:r>
      <w:r w:rsidRPr="00790BA4">
        <w:rPr>
          <w:rFonts w:ascii="Times New Roman" w:eastAsia="Calibri" w:hAnsi="Times New Roman"/>
          <w:sz w:val="24"/>
          <w:szCs w:val="24"/>
        </w:rPr>
        <w:t>дравоохранени</w:t>
      </w:r>
      <w:r>
        <w:rPr>
          <w:rFonts w:ascii="Times New Roman" w:eastAsia="Calibri" w:hAnsi="Times New Roman"/>
          <w:sz w:val="24"/>
          <w:szCs w:val="24"/>
        </w:rPr>
        <w:t>е</w:t>
      </w:r>
      <w:r w:rsidRPr="00790BA4">
        <w:rPr>
          <w:rFonts w:ascii="Times New Roman" w:eastAsia="Calibri" w:hAnsi="Times New Roman"/>
          <w:sz w:val="24"/>
          <w:szCs w:val="24"/>
        </w:rPr>
        <w:t xml:space="preserve"> и социально</w:t>
      </w:r>
      <w:r>
        <w:rPr>
          <w:rFonts w:ascii="Times New Roman" w:eastAsia="Calibri" w:hAnsi="Times New Roman"/>
          <w:sz w:val="24"/>
          <w:szCs w:val="24"/>
        </w:rPr>
        <w:t>е</w:t>
      </w:r>
      <w:r w:rsidRPr="00790BA4">
        <w:rPr>
          <w:rFonts w:ascii="Times New Roman" w:eastAsia="Calibri" w:hAnsi="Times New Roman"/>
          <w:sz w:val="24"/>
          <w:szCs w:val="24"/>
        </w:rPr>
        <w:t xml:space="preserve"> обеспечени</w:t>
      </w:r>
      <w:r>
        <w:rPr>
          <w:rFonts w:ascii="Times New Roman" w:eastAsia="Calibri" w:hAnsi="Times New Roman"/>
          <w:sz w:val="24"/>
          <w:szCs w:val="24"/>
        </w:rPr>
        <w:t xml:space="preserve">е» </w:t>
      </w:r>
      <w:r w:rsidRPr="00790BA4">
        <w:rPr>
          <w:rFonts w:ascii="Times New Roman" w:eastAsia="Calibri" w:hAnsi="Times New Roman"/>
          <w:sz w:val="24"/>
          <w:szCs w:val="24"/>
        </w:rPr>
        <w:t xml:space="preserve">на </w:t>
      </w:r>
      <w:r>
        <w:rPr>
          <w:rFonts w:ascii="Times New Roman" w:eastAsia="Calibri" w:hAnsi="Times New Roman"/>
          <w:sz w:val="24"/>
          <w:szCs w:val="24"/>
        </w:rPr>
        <w:t>22,2</w:t>
      </w:r>
      <w:r w:rsidRPr="00790BA4">
        <w:rPr>
          <w:rFonts w:ascii="Times New Roman" w:eastAsia="Calibri" w:hAnsi="Times New Roman"/>
          <w:sz w:val="24"/>
          <w:szCs w:val="24"/>
        </w:rPr>
        <w:t>% до 0,5</w:t>
      </w:r>
      <w:r>
        <w:rPr>
          <w:rFonts w:ascii="Times New Roman" w:eastAsia="Calibri" w:hAnsi="Times New Roman"/>
          <w:sz w:val="24"/>
          <w:szCs w:val="24"/>
        </w:rPr>
        <w:t xml:space="preserve"> млн. руб.</w:t>
      </w:r>
      <w:r w:rsidRPr="00790BA4">
        <w:rPr>
          <w:rFonts w:ascii="Times New Roman" w:eastAsia="Calibri" w:hAnsi="Times New Roman"/>
          <w:sz w:val="24"/>
          <w:szCs w:val="24"/>
        </w:rPr>
        <w:t xml:space="preserve"> </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Из общего объема инвестиционных вложений в основной капитал предприятий малого предпринимательства порядка 51,0% было осуществлено микропредприятиями и соответственно 49,0% малыми предприятиями.</w:t>
      </w:r>
    </w:p>
    <w:p w:rsidR="00590F6F" w:rsidRDefault="00590F6F" w:rsidP="00590F6F">
      <w:pPr>
        <w:spacing w:after="0" w:line="240" w:lineRule="auto"/>
        <w:ind w:firstLine="709"/>
        <w:jc w:val="center"/>
        <w:rPr>
          <w:rFonts w:ascii="Times New Roman" w:eastAsia="Calibri" w:hAnsi="Times New Roman"/>
          <w:b/>
          <w:sz w:val="24"/>
          <w:szCs w:val="24"/>
        </w:rPr>
      </w:pPr>
    </w:p>
    <w:p w:rsidR="00590F6F" w:rsidRPr="00790BA4" w:rsidRDefault="00590F6F" w:rsidP="00590F6F">
      <w:pPr>
        <w:spacing w:after="0" w:line="240" w:lineRule="auto"/>
        <w:ind w:firstLine="709"/>
        <w:jc w:val="center"/>
        <w:rPr>
          <w:rFonts w:ascii="Times New Roman" w:eastAsia="Calibri" w:hAnsi="Times New Roman"/>
          <w:sz w:val="24"/>
          <w:szCs w:val="24"/>
        </w:rPr>
      </w:pPr>
      <w:r w:rsidRPr="00790BA4">
        <w:rPr>
          <w:rFonts w:ascii="Times New Roman" w:eastAsia="Calibri" w:hAnsi="Times New Roman"/>
          <w:b/>
          <w:sz w:val="24"/>
          <w:szCs w:val="24"/>
        </w:rPr>
        <w:lastRenderedPageBreak/>
        <w:t>Инвестиции в основной капитал (в части новых и приобретенных по импорту основных средств), млн. руб.</w:t>
      </w:r>
    </w:p>
    <w:p w:rsidR="00590F6F" w:rsidRPr="00790BA4" w:rsidRDefault="00590F6F" w:rsidP="00B5001E">
      <w:pPr>
        <w:spacing w:after="0" w:line="240" w:lineRule="auto"/>
        <w:jc w:val="center"/>
        <w:rPr>
          <w:rFonts w:ascii="Times New Roman" w:eastAsia="Calibri" w:hAnsi="Times New Roman"/>
          <w:sz w:val="24"/>
          <w:szCs w:val="24"/>
        </w:rPr>
      </w:pPr>
      <w:r w:rsidRPr="00790BA4">
        <w:rPr>
          <w:rFonts w:ascii="Times New Roman" w:eastAsia="Calibri" w:hAnsi="Times New Roman"/>
          <w:noProof/>
          <w:sz w:val="24"/>
          <w:szCs w:val="24"/>
        </w:rPr>
        <w:drawing>
          <wp:inline distT="0" distB="0" distL="0" distR="0">
            <wp:extent cx="5667375" cy="4371975"/>
            <wp:effectExtent l="19050" t="0" r="0"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90F6F" w:rsidRPr="00790BA4" w:rsidRDefault="00590F6F" w:rsidP="00590F6F">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О</w:t>
      </w:r>
      <w:r w:rsidRPr="00790BA4">
        <w:rPr>
          <w:rFonts w:ascii="Times New Roman" w:eastAsia="Calibri" w:hAnsi="Times New Roman"/>
          <w:sz w:val="24"/>
          <w:szCs w:val="24"/>
        </w:rPr>
        <w:t xml:space="preserve">бъем произведенной продукции (работ, услуг) (в текущих ценах) организациями малого бизнеса за </w:t>
      </w:r>
      <w:r w:rsidRPr="00790BA4">
        <w:rPr>
          <w:rFonts w:ascii="Times New Roman" w:eastAsia="Calibri" w:hAnsi="Times New Roman"/>
          <w:sz w:val="24"/>
          <w:szCs w:val="24"/>
          <w:lang w:val="en-US"/>
        </w:rPr>
        <w:t>I</w:t>
      </w:r>
      <w:r w:rsidRPr="00790BA4">
        <w:rPr>
          <w:rFonts w:ascii="Times New Roman" w:eastAsia="Calibri" w:hAnsi="Times New Roman"/>
          <w:sz w:val="24"/>
          <w:szCs w:val="24"/>
        </w:rPr>
        <w:t xml:space="preserve"> полугодие 2015 года составил 694,2 млн. руб., сократившись по отношению к соответствующему показателю 2014 года на 8,9%, из него 56,7% произведено малыми предприятиями.</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Доход</w:t>
      </w:r>
      <w:r>
        <w:rPr>
          <w:rFonts w:ascii="Times New Roman" w:eastAsia="Calibri" w:hAnsi="Times New Roman"/>
          <w:sz w:val="24"/>
          <w:szCs w:val="24"/>
        </w:rPr>
        <w:t xml:space="preserve"> </w:t>
      </w:r>
      <w:r w:rsidRPr="00790BA4">
        <w:rPr>
          <w:rFonts w:ascii="Times New Roman" w:eastAsia="Calibri" w:hAnsi="Times New Roman"/>
          <w:sz w:val="24"/>
          <w:szCs w:val="24"/>
        </w:rPr>
        <w:t>от продаж</w:t>
      </w:r>
      <w:r>
        <w:rPr>
          <w:rFonts w:ascii="Times New Roman" w:eastAsia="Calibri" w:hAnsi="Times New Roman"/>
          <w:sz w:val="24"/>
          <w:szCs w:val="24"/>
        </w:rPr>
        <w:t xml:space="preserve"> (выручка)</w:t>
      </w:r>
      <w:r w:rsidRPr="00790BA4">
        <w:rPr>
          <w:rFonts w:ascii="Times New Roman" w:eastAsia="Calibri" w:hAnsi="Times New Roman"/>
          <w:sz w:val="24"/>
          <w:szCs w:val="24"/>
        </w:rPr>
        <w:t>, полученный организациями малого предпринимательства в январе – июне 2015 года, составил 2 682,8 млн. руб. (31,0% от общереспубликанского показателя), превысив сопоставимое значение января – июня</w:t>
      </w:r>
      <w:r>
        <w:rPr>
          <w:rFonts w:ascii="Times New Roman" w:eastAsia="Calibri" w:hAnsi="Times New Roman"/>
          <w:sz w:val="24"/>
          <w:szCs w:val="24"/>
        </w:rPr>
        <w:t xml:space="preserve">          </w:t>
      </w:r>
      <w:r w:rsidRPr="00790BA4">
        <w:rPr>
          <w:rFonts w:ascii="Times New Roman" w:eastAsia="Calibri" w:hAnsi="Times New Roman"/>
          <w:sz w:val="24"/>
          <w:szCs w:val="24"/>
        </w:rPr>
        <w:t xml:space="preserve"> 2014 года на 26,0%. Стоит отметить, что на доход от продажи товаров приходится порядка 79,3% всех доходов или 2 128,4 млн. руб., базисный уровень в текущих ценах </w:t>
      </w:r>
      <w:r>
        <w:rPr>
          <w:rFonts w:ascii="Times New Roman" w:eastAsia="Calibri" w:hAnsi="Times New Roman"/>
          <w:sz w:val="24"/>
          <w:szCs w:val="24"/>
        </w:rPr>
        <w:t>превышен</w:t>
      </w:r>
      <w:r w:rsidRPr="00790BA4">
        <w:rPr>
          <w:rFonts w:ascii="Times New Roman" w:eastAsia="Calibri" w:hAnsi="Times New Roman"/>
          <w:sz w:val="24"/>
          <w:szCs w:val="24"/>
        </w:rPr>
        <w:t xml:space="preserve"> на </w:t>
      </w:r>
      <w:r w:rsidRPr="00A25399">
        <w:rPr>
          <w:rFonts w:ascii="Times New Roman" w:eastAsia="Calibri" w:hAnsi="Times New Roman"/>
          <w:sz w:val="24"/>
          <w:szCs w:val="24"/>
        </w:rPr>
        <w:t>43,8%.</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 xml:space="preserve">Результатом финансово-хозяйственной деятельности субъектов малого предпринимательства (без физических лиц) в I полугодии 2015 года явился убыток в сумме 10,9 млн. руб., за соответствующий период 2014 года субъектами малого предпринимательства была получена чистая прибыль в размере 119,4 млн. руб. </w:t>
      </w:r>
      <w:r>
        <w:rPr>
          <w:rFonts w:ascii="Times New Roman" w:eastAsia="Calibri" w:hAnsi="Times New Roman"/>
          <w:sz w:val="24"/>
          <w:szCs w:val="24"/>
        </w:rPr>
        <w:t>Кроме того,</w:t>
      </w:r>
      <w:r w:rsidRPr="00790BA4">
        <w:rPr>
          <w:rFonts w:ascii="Times New Roman" w:eastAsia="Calibri" w:hAnsi="Times New Roman"/>
          <w:sz w:val="24"/>
          <w:szCs w:val="24"/>
        </w:rPr>
        <w:t xml:space="preserve"> в рассматриваемом периоде с прибылью сработали микропредприятия (7,4 млн. руб.), </w:t>
      </w:r>
      <w:r>
        <w:rPr>
          <w:rFonts w:ascii="Times New Roman" w:eastAsia="Calibri" w:hAnsi="Times New Roman"/>
          <w:sz w:val="24"/>
          <w:szCs w:val="24"/>
        </w:rPr>
        <w:t xml:space="preserve">при этом результатом хозяйственной деятельности малых предприятий явился </w:t>
      </w:r>
      <w:r w:rsidRPr="00790BA4">
        <w:rPr>
          <w:rFonts w:ascii="Times New Roman" w:eastAsia="Calibri" w:hAnsi="Times New Roman"/>
          <w:sz w:val="24"/>
          <w:szCs w:val="24"/>
        </w:rPr>
        <w:t>убыт</w:t>
      </w:r>
      <w:r>
        <w:rPr>
          <w:rFonts w:ascii="Times New Roman" w:eastAsia="Calibri" w:hAnsi="Times New Roman"/>
          <w:sz w:val="24"/>
          <w:szCs w:val="24"/>
        </w:rPr>
        <w:t>ок в размере 18,3 млн. руб.</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 xml:space="preserve">В </w:t>
      </w:r>
      <w:r w:rsidRPr="00790BA4">
        <w:rPr>
          <w:rFonts w:ascii="Times New Roman" w:eastAsia="Calibri" w:hAnsi="Times New Roman"/>
          <w:sz w:val="24"/>
          <w:szCs w:val="24"/>
          <w:lang w:val="en-US"/>
        </w:rPr>
        <w:t>I</w:t>
      </w:r>
      <w:r w:rsidRPr="00790BA4">
        <w:rPr>
          <w:rFonts w:ascii="Times New Roman" w:eastAsia="Calibri" w:hAnsi="Times New Roman"/>
          <w:sz w:val="24"/>
          <w:szCs w:val="24"/>
        </w:rPr>
        <w:t xml:space="preserve"> полугодии 2015 года с прибылью в сумме 143,8 млн. руб. сработали 34,8% (от общего числа) организаций малого бизнеса. Наибольший ее размер был сформирован в организациях торговли и общественного питания, строительства и операциях с недвижимым имуществом: 29,8%, 16,8% и 22,7% совокупного объема чистой прибыли соответственно. Вме</w:t>
      </w:r>
      <w:r>
        <w:rPr>
          <w:rFonts w:ascii="Times New Roman" w:eastAsia="Calibri" w:hAnsi="Times New Roman"/>
          <w:sz w:val="24"/>
          <w:szCs w:val="24"/>
        </w:rPr>
        <w:t>сте с тем, самые большие убытки</w:t>
      </w:r>
      <w:r w:rsidRPr="00790BA4">
        <w:rPr>
          <w:rFonts w:ascii="Times New Roman" w:eastAsia="Calibri" w:hAnsi="Times New Roman"/>
          <w:sz w:val="24"/>
          <w:szCs w:val="24"/>
        </w:rPr>
        <w:t xml:space="preserve"> приходятся на такие отрасли, как: отдых и туризм (физкультура), торговля и общепит и промышленность (28,5, 24,3% и 12,5% совокупного размера убытков соответственно). В целом суммарный убыток, полученный организациями малого предпринимательства, сложился в размере </w:t>
      </w:r>
      <w:r>
        <w:rPr>
          <w:rFonts w:ascii="Times New Roman" w:eastAsia="Calibri" w:hAnsi="Times New Roman"/>
          <w:sz w:val="24"/>
          <w:szCs w:val="24"/>
        </w:rPr>
        <w:t xml:space="preserve">              </w:t>
      </w:r>
      <w:r w:rsidRPr="00790BA4">
        <w:rPr>
          <w:rFonts w:ascii="Times New Roman" w:eastAsia="Calibri" w:hAnsi="Times New Roman"/>
          <w:sz w:val="24"/>
          <w:szCs w:val="24"/>
        </w:rPr>
        <w:t>154,7 млн. руб., а количество нерентабельных организаций составило 45,2</w:t>
      </w:r>
      <w:r>
        <w:rPr>
          <w:rFonts w:ascii="Times New Roman" w:eastAsia="Calibri" w:hAnsi="Times New Roman"/>
          <w:sz w:val="24"/>
          <w:szCs w:val="24"/>
        </w:rPr>
        <w:t xml:space="preserve">% от общего </w:t>
      </w:r>
      <w:r>
        <w:rPr>
          <w:rFonts w:ascii="Times New Roman" w:eastAsia="Calibri" w:hAnsi="Times New Roman"/>
          <w:sz w:val="24"/>
          <w:szCs w:val="24"/>
        </w:rPr>
        <w:lastRenderedPageBreak/>
        <w:t>числа,</w:t>
      </w:r>
      <w:r w:rsidRPr="00790BA4">
        <w:rPr>
          <w:rFonts w:ascii="Times New Roman" w:eastAsia="Calibri" w:hAnsi="Times New Roman"/>
          <w:sz w:val="24"/>
          <w:szCs w:val="24"/>
        </w:rPr>
        <w:t xml:space="preserve"> </w:t>
      </w:r>
      <w:r w:rsidRPr="00790BA4">
        <w:rPr>
          <w:rFonts w:ascii="Times New Roman" w:eastAsia="Calibri" w:hAnsi="Times New Roman"/>
          <w:color w:val="000000"/>
          <w:sz w:val="24"/>
          <w:szCs w:val="24"/>
        </w:rPr>
        <w:t>19,9% организаций</w:t>
      </w:r>
      <w:r>
        <w:rPr>
          <w:rFonts w:ascii="Times New Roman" w:eastAsia="Calibri" w:hAnsi="Times New Roman"/>
          <w:sz w:val="24"/>
          <w:szCs w:val="24"/>
        </w:rPr>
        <w:t xml:space="preserve"> не осуществляли хозяйственную деятельность, в связи с чем н</w:t>
      </w:r>
      <w:r w:rsidRPr="00790BA4">
        <w:rPr>
          <w:rFonts w:ascii="Times New Roman" w:eastAsia="Calibri" w:hAnsi="Times New Roman"/>
          <w:color w:val="000000"/>
          <w:sz w:val="24"/>
          <w:szCs w:val="24"/>
        </w:rPr>
        <w:t xml:space="preserve">е получили финансового результата. </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 xml:space="preserve">В целом за январь – июнь 2015 года организациями малого предпринимательства в бюджеты всех уровней и внебюджетные фонды фактически внесено налогов и платежей в сумме 153,9 млн. руб., что на </w:t>
      </w:r>
      <w:r>
        <w:rPr>
          <w:rFonts w:ascii="Times New Roman" w:eastAsia="Calibri" w:hAnsi="Times New Roman"/>
          <w:sz w:val="24"/>
          <w:szCs w:val="24"/>
        </w:rPr>
        <w:t>6</w:t>
      </w:r>
      <w:r w:rsidRPr="00790BA4">
        <w:rPr>
          <w:rFonts w:ascii="Times New Roman" w:eastAsia="Calibri" w:hAnsi="Times New Roman"/>
          <w:sz w:val="24"/>
          <w:szCs w:val="24"/>
        </w:rPr>
        <w:t xml:space="preserve">,6% ниже сопоставимого показателя 2014 года, доля которых в общей сумме налоговых поступлений консолидированного бюджета за январь- июнь 2015 года составила 18,6%. При этом, удельный вес налоговых платежей, поступающих от малых предприятий составляет 59,1% (91,0 млн. руб.) от общего объема по предприятиям малого бизнеса, а их фактическая величина сократилась на 4,5% по сравнению с </w:t>
      </w:r>
      <w:r w:rsidRPr="00790BA4">
        <w:rPr>
          <w:rFonts w:ascii="Times New Roman" w:eastAsia="Calibri" w:hAnsi="Times New Roman"/>
          <w:sz w:val="24"/>
          <w:szCs w:val="24"/>
          <w:lang w:val="en-US"/>
        </w:rPr>
        <w:t>I</w:t>
      </w:r>
      <w:r w:rsidRPr="00790BA4">
        <w:rPr>
          <w:rFonts w:ascii="Times New Roman" w:eastAsia="Calibri" w:hAnsi="Times New Roman"/>
          <w:sz w:val="24"/>
          <w:szCs w:val="24"/>
        </w:rPr>
        <w:t xml:space="preserve"> полугодием 2014 года. Микропредприятиями за рассматриваемый период в бюджеты всех уровней и внебюджетные фонды фактически внесено 62,9 млн. руб. (40,9% общего объема налоговых платежей субъектов малого предпринимательства), что на 9,4% ниже базисного уровня прошлого года.</w:t>
      </w:r>
    </w:p>
    <w:p w:rsidR="00590F6F" w:rsidRPr="00790BA4" w:rsidRDefault="00590F6F" w:rsidP="00590F6F">
      <w:pPr>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Наибольший удельный вес в структуре налоговых поступлений обеспечивают:</w:t>
      </w:r>
    </w:p>
    <w:p w:rsidR="00590F6F" w:rsidRPr="00790BA4" w:rsidRDefault="00590F6F" w:rsidP="00590F6F">
      <w:pPr>
        <w:tabs>
          <w:tab w:val="left" w:pos="900"/>
        </w:tabs>
        <w:spacing w:after="0" w:line="240" w:lineRule="auto"/>
        <w:ind w:firstLine="709"/>
        <w:jc w:val="both"/>
        <w:rPr>
          <w:rFonts w:ascii="Times New Roman" w:eastAsia="Calibri" w:hAnsi="Times New Roman"/>
          <w:sz w:val="24"/>
          <w:szCs w:val="24"/>
        </w:rPr>
      </w:pPr>
      <w:r w:rsidRPr="00790BA4">
        <w:rPr>
          <w:rFonts w:ascii="Times New Roman" w:eastAsia="Calibri" w:hAnsi="Times New Roman"/>
          <w:sz w:val="24"/>
          <w:szCs w:val="24"/>
        </w:rPr>
        <w:t>- налог на доходы организаций – 35,9% или 55,2 млн. руб.;</w:t>
      </w:r>
    </w:p>
    <w:p w:rsidR="00590F6F" w:rsidRPr="003733BF" w:rsidRDefault="00590F6F" w:rsidP="00590F6F">
      <w:pPr>
        <w:tabs>
          <w:tab w:val="left" w:pos="900"/>
        </w:tabs>
        <w:spacing w:after="0" w:line="240" w:lineRule="auto"/>
        <w:ind w:firstLine="709"/>
        <w:jc w:val="both"/>
        <w:rPr>
          <w:rFonts w:ascii="Times New Roman" w:eastAsia="Calibri" w:hAnsi="Times New Roman"/>
          <w:sz w:val="24"/>
          <w:szCs w:val="24"/>
        </w:rPr>
      </w:pPr>
      <w:r w:rsidRPr="003733BF">
        <w:rPr>
          <w:rFonts w:ascii="Times New Roman" w:eastAsia="Calibri" w:hAnsi="Times New Roman"/>
          <w:sz w:val="24"/>
          <w:szCs w:val="24"/>
        </w:rPr>
        <w:t>- единый социальный налог – 33,9% или 52,1 млн. руб.</w:t>
      </w:r>
    </w:p>
    <w:p w:rsidR="00A218CA" w:rsidRPr="003733BF" w:rsidRDefault="00A218CA" w:rsidP="00A218CA">
      <w:pPr>
        <w:spacing w:after="0" w:line="240" w:lineRule="auto"/>
        <w:ind w:firstLine="709"/>
        <w:jc w:val="both"/>
        <w:rPr>
          <w:rFonts w:ascii="Times New Roman" w:eastAsia="Calibri" w:hAnsi="Times New Roman"/>
          <w:sz w:val="24"/>
          <w:szCs w:val="24"/>
        </w:rPr>
      </w:pPr>
      <w:r w:rsidRPr="003733BF">
        <w:rPr>
          <w:rFonts w:ascii="Times New Roman" w:eastAsia="Calibri" w:hAnsi="Times New Roman"/>
          <w:sz w:val="24"/>
          <w:szCs w:val="24"/>
        </w:rPr>
        <w:t>Кроме организаций негосударственной формы собственности малый бизнес представлен и индивидуальными предпринимателями, осуществляющим</w:t>
      </w:r>
      <w:r w:rsidR="007D50AD" w:rsidRPr="003733BF">
        <w:rPr>
          <w:rFonts w:ascii="Times New Roman" w:eastAsia="Calibri" w:hAnsi="Times New Roman"/>
          <w:sz w:val="24"/>
          <w:szCs w:val="24"/>
        </w:rPr>
        <w:t>и свою деятельность по патенту.</w:t>
      </w:r>
    </w:p>
    <w:p w:rsidR="00A218CA" w:rsidRPr="003733BF" w:rsidRDefault="00A218CA" w:rsidP="00A218CA">
      <w:pPr>
        <w:spacing w:after="0" w:line="240" w:lineRule="auto"/>
        <w:ind w:firstLine="709"/>
        <w:jc w:val="both"/>
        <w:rPr>
          <w:rFonts w:ascii="Times New Roman" w:eastAsia="Calibri" w:hAnsi="Times New Roman"/>
          <w:sz w:val="24"/>
          <w:szCs w:val="24"/>
        </w:rPr>
      </w:pPr>
      <w:r w:rsidRPr="003733BF">
        <w:rPr>
          <w:rFonts w:ascii="Times New Roman" w:eastAsia="Calibri" w:hAnsi="Times New Roman"/>
          <w:color w:val="000000"/>
          <w:sz w:val="24"/>
          <w:szCs w:val="24"/>
        </w:rPr>
        <w:t>Количество индивидуальных предпринимателей за январь-июнь 2015 года составило 21 776 чел</w:t>
      </w:r>
      <w:r w:rsidRPr="003733BF">
        <w:rPr>
          <w:rFonts w:ascii="Times New Roman" w:eastAsia="Calibri" w:hAnsi="Times New Roman"/>
          <w:sz w:val="24"/>
          <w:szCs w:val="24"/>
        </w:rPr>
        <w:t xml:space="preserve">, что превышает сопоставимое значение </w:t>
      </w:r>
      <w:r w:rsidRPr="003733BF">
        <w:rPr>
          <w:rFonts w:ascii="Times New Roman" w:eastAsia="Calibri" w:hAnsi="Times New Roman"/>
          <w:sz w:val="24"/>
          <w:szCs w:val="24"/>
          <w:lang w:val="en-US"/>
        </w:rPr>
        <w:t>I</w:t>
      </w:r>
      <w:r w:rsidRPr="003733BF">
        <w:rPr>
          <w:rFonts w:ascii="Times New Roman" w:eastAsia="Calibri" w:hAnsi="Times New Roman"/>
          <w:sz w:val="24"/>
          <w:szCs w:val="24"/>
        </w:rPr>
        <w:t xml:space="preserve"> полугодия 2014 года на</w:t>
      </w:r>
      <w:r w:rsidR="004905EE" w:rsidRPr="003733BF">
        <w:rPr>
          <w:rFonts w:ascii="Times New Roman" w:eastAsia="Calibri" w:hAnsi="Times New Roman"/>
          <w:sz w:val="24"/>
          <w:szCs w:val="24"/>
        </w:rPr>
        <w:br/>
      </w:r>
      <w:r w:rsidR="00937826" w:rsidRPr="003733BF">
        <w:rPr>
          <w:rFonts w:ascii="Times New Roman" w:eastAsia="Calibri" w:hAnsi="Times New Roman"/>
          <w:sz w:val="24"/>
          <w:szCs w:val="24"/>
        </w:rPr>
        <w:t>1</w:t>
      </w:r>
      <w:r w:rsidRPr="003733BF">
        <w:rPr>
          <w:rFonts w:ascii="Times New Roman" w:eastAsia="Calibri" w:hAnsi="Times New Roman"/>
          <w:sz w:val="24"/>
          <w:szCs w:val="24"/>
        </w:rPr>
        <w:t xml:space="preserve"> 1</w:t>
      </w:r>
      <w:r w:rsidR="00937826" w:rsidRPr="003733BF">
        <w:rPr>
          <w:rFonts w:ascii="Times New Roman" w:eastAsia="Calibri" w:hAnsi="Times New Roman"/>
          <w:sz w:val="24"/>
          <w:szCs w:val="24"/>
        </w:rPr>
        <w:t>46</w:t>
      </w:r>
      <w:r w:rsidRPr="003733BF">
        <w:rPr>
          <w:rFonts w:ascii="Times New Roman" w:eastAsia="Calibri" w:hAnsi="Times New Roman"/>
          <w:sz w:val="24"/>
          <w:szCs w:val="24"/>
        </w:rPr>
        <w:t xml:space="preserve"> человек. </w:t>
      </w:r>
      <w:r w:rsidR="00DC6DB7" w:rsidRPr="003733BF">
        <w:rPr>
          <w:rFonts w:ascii="Times New Roman" w:eastAsia="Calibri" w:hAnsi="Times New Roman"/>
          <w:sz w:val="24"/>
          <w:szCs w:val="24"/>
        </w:rPr>
        <w:t xml:space="preserve">В рассматриваемом периоде выдано 74 667 патентов, что на 355 единиц </w:t>
      </w:r>
      <w:r w:rsidRPr="003733BF">
        <w:rPr>
          <w:rFonts w:ascii="Times New Roman" w:eastAsia="Calibri" w:hAnsi="Times New Roman"/>
          <w:sz w:val="24"/>
          <w:szCs w:val="24"/>
        </w:rPr>
        <w:t>превы</w:t>
      </w:r>
      <w:r w:rsidR="00DC6DB7" w:rsidRPr="003733BF">
        <w:rPr>
          <w:rFonts w:ascii="Times New Roman" w:eastAsia="Calibri" w:hAnsi="Times New Roman"/>
          <w:sz w:val="24"/>
          <w:szCs w:val="24"/>
        </w:rPr>
        <w:t>шает</w:t>
      </w:r>
      <w:r w:rsidRPr="003733BF">
        <w:rPr>
          <w:rFonts w:ascii="Times New Roman" w:eastAsia="Calibri" w:hAnsi="Times New Roman"/>
          <w:sz w:val="24"/>
          <w:szCs w:val="24"/>
        </w:rPr>
        <w:t xml:space="preserve"> сопоставимый показатель 2014</w:t>
      </w:r>
      <w:r w:rsidR="00DC6DB7" w:rsidRPr="003733BF">
        <w:rPr>
          <w:rFonts w:ascii="Times New Roman" w:eastAsia="Calibri" w:hAnsi="Times New Roman"/>
          <w:sz w:val="24"/>
          <w:szCs w:val="24"/>
        </w:rPr>
        <w:t xml:space="preserve"> года. С</w:t>
      </w:r>
      <w:r w:rsidRPr="003733BF">
        <w:rPr>
          <w:rFonts w:ascii="Times New Roman" w:eastAsia="Calibri" w:hAnsi="Times New Roman"/>
          <w:sz w:val="24"/>
          <w:szCs w:val="24"/>
        </w:rPr>
        <w:t xml:space="preserve">овокупная стоимость </w:t>
      </w:r>
      <w:r w:rsidR="00DC6DB7" w:rsidRPr="003733BF">
        <w:rPr>
          <w:rFonts w:ascii="Times New Roman" w:eastAsia="Calibri" w:hAnsi="Times New Roman"/>
          <w:sz w:val="24"/>
          <w:szCs w:val="24"/>
        </w:rPr>
        <w:t>выданных патентов</w:t>
      </w:r>
      <w:r w:rsidRPr="003733BF">
        <w:rPr>
          <w:rFonts w:ascii="Times New Roman" w:eastAsia="Calibri" w:hAnsi="Times New Roman"/>
          <w:sz w:val="24"/>
          <w:szCs w:val="24"/>
        </w:rPr>
        <w:t xml:space="preserve"> увеличилась на </w:t>
      </w:r>
      <w:r w:rsidR="00B54282" w:rsidRPr="003733BF">
        <w:rPr>
          <w:rFonts w:ascii="Times New Roman" w:eastAsia="Calibri" w:hAnsi="Times New Roman"/>
          <w:sz w:val="24"/>
          <w:szCs w:val="24"/>
        </w:rPr>
        <w:t>410 683</w:t>
      </w:r>
      <w:r w:rsidRPr="003733BF">
        <w:rPr>
          <w:rFonts w:ascii="Times New Roman" w:eastAsia="Calibri" w:hAnsi="Times New Roman"/>
          <w:sz w:val="24"/>
          <w:szCs w:val="24"/>
        </w:rPr>
        <w:t xml:space="preserve"> руб.</w:t>
      </w:r>
      <w:r w:rsidR="00DC6DB7" w:rsidRPr="003733BF">
        <w:rPr>
          <w:rFonts w:ascii="Times New Roman" w:eastAsia="Calibri" w:hAnsi="Times New Roman"/>
          <w:sz w:val="24"/>
          <w:szCs w:val="24"/>
        </w:rPr>
        <w:t xml:space="preserve"> и</w:t>
      </w:r>
      <w:r w:rsidRPr="003733BF">
        <w:rPr>
          <w:rFonts w:ascii="Times New Roman" w:eastAsia="Calibri" w:hAnsi="Times New Roman"/>
          <w:sz w:val="24"/>
          <w:szCs w:val="24"/>
        </w:rPr>
        <w:t xml:space="preserve"> состави</w:t>
      </w:r>
      <w:r w:rsidR="00DC6DB7" w:rsidRPr="003733BF">
        <w:rPr>
          <w:rFonts w:ascii="Times New Roman" w:eastAsia="Calibri" w:hAnsi="Times New Roman"/>
          <w:sz w:val="24"/>
          <w:szCs w:val="24"/>
        </w:rPr>
        <w:t>ла</w:t>
      </w:r>
      <w:r w:rsidRPr="003733BF">
        <w:rPr>
          <w:rFonts w:ascii="Times New Roman" w:eastAsia="Calibri" w:hAnsi="Times New Roman"/>
          <w:sz w:val="24"/>
          <w:szCs w:val="24"/>
        </w:rPr>
        <w:t xml:space="preserve"> </w:t>
      </w:r>
      <w:r w:rsidR="00B54282" w:rsidRPr="003733BF">
        <w:rPr>
          <w:rFonts w:ascii="Times New Roman" w:hAnsi="Times New Roman"/>
          <w:sz w:val="24"/>
          <w:szCs w:val="24"/>
        </w:rPr>
        <w:t xml:space="preserve">36 737 084 </w:t>
      </w:r>
      <w:r w:rsidRPr="003733BF">
        <w:rPr>
          <w:rFonts w:ascii="Times New Roman" w:eastAsia="Calibri" w:hAnsi="Times New Roman"/>
          <w:sz w:val="24"/>
          <w:szCs w:val="24"/>
        </w:rPr>
        <w:t>руб</w:t>
      </w:r>
      <w:r w:rsidR="007D50AD" w:rsidRPr="003733BF">
        <w:rPr>
          <w:rFonts w:ascii="Times New Roman" w:eastAsia="Calibri" w:hAnsi="Times New Roman"/>
          <w:sz w:val="24"/>
          <w:szCs w:val="24"/>
        </w:rPr>
        <w:t>.</w:t>
      </w:r>
    </w:p>
    <w:p w:rsidR="00A218CA" w:rsidRPr="003733BF" w:rsidRDefault="00A218CA" w:rsidP="00A218CA">
      <w:pPr>
        <w:spacing w:after="0" w:line="240" w:lineRule="auto"/>
        <w:jc w:val="right"/>
        <w:rPr>
          <w:rFonts w:ascii="Times New Roman" w:eastAsia="Calibri" w:hAnsi="Times New Roman"/>
          <w:sz w:val="24"/>
          <w:szCs w:val="24"/>
        </w:rPr>
      </w:pPr>
      <w:r w:rsidRPr="003733BF">
        <w:rPr>
          <w:rFonts w:ascii="Times New Roman" w:eastAsia="Calibri" w:hAnsi="Times New Roman"/>
          <w:sz w:val="24"/>
          <w:szCs w:val="24"/>
        </w:rPr>
        <w:t>Таблица №16</w:t>
      </w:r>
    </w:p>
    <w:p w:rsidR="00B54282" w:rsidRPr="003733BF" w:rsidRDefault="00B54282" w:rsidP="00B54282">
      <w:pPr>
        <w:spacing w:after="0" w:line="240" w:lineRule="auto"/>
        <w:jc w:val="center"/>
        <w:rPr>
          <w:rFonts w:ascii="Times New Roman" w:hAnsi="Times New Roman"/>
          <w:b/>
          <w:sz w:val="24"/>
          <w:szCs w:val="24"/>
        </w:rPr>
      </w:pPr>
      <w:r w:rsidRPr="003733BF">
        <w:rPr>
          <w:rFonts w:ascii="Times New Roman" w:hAnsi="Times New Roman"/>
          <w:b/>
          <w:sz w:val="24"/>
          <w:szCs w:val="24"/>
        </w:rPr>
        <w:t xml:space="preserve">Основные показатели деятельности индивидуальных предпринимателей </w:t>
      </w:r>
    </w:p>
    <w:p w:rsidR="00B54282" w:rsidRPr="003733BF" w:rsidRDefault="00B54282" w:rsidP="00B54282">
      <w:pPr>
        <w:spacing w:after="0" w:line="240" w:lineRule="auto"/>
        <w:jc w:val="center"/>
        <w:rPr>
          <w:rFonts w:ascii="Times New Roman" w:hAnsi="Times New Roman"/>
          <w:b/>
          <w:sz w:val="24"/>
          <w:szCs w:val="24"/>
        </w:rPr>
      </w:pPr>
      <w:r w:rsidRPr="003733BF">
        <w:rPr>
          <w:rFonts w:ascii="Times New Roman" w:hAnsi="Times New Roman"/>
          <w:b/>
          <w:sz w:val="24"/>
          <w:szCs w:val="24"/>
        </w:rPr>
        <w:t xml:space="preserve">за </w:t>
      </w:r>
      <w:r w:rsidR="005F7704" w:rsidRPr="003733BF">
        <w:rPr>
          <w:rFonts w:ascii="Times New Roman" w:hAnsi="Times New Roman"/>
          <w:b/>
          <w:sz w:val="24"/>
          <w:szCs w:val="24"/>
        </w:rPr>
        <w:t>январь-июнь 2014</w:t>
      </w:r>
      <w:r w:rsidRPr="003733BF">
        <w:rPr>
          <w:rFonts w:ascii="Times New Roman" w:hAnsi="Times New Roman"/>
          <w:b/>
          <w:sz w:val="24"/>
          <w:szCs w:val="24"/>
        </w:rPr>
        <w:t>-</w:t>
      </w:r>
      <w:r w:rsidR="005F7704" w:rsidRPr="003733BF">
        <w:rPr>
          <w:rFonts w:ascii="Times New Roman" w:hAnsi="Times New Roman"/>
          <w:b/>
          <w:sz w:val="24"/>
          <w:szCs w:val="24"/>
        </w:rPr>
        <w:t>2015 годов</w:t>
      </w:r>
    </w:p>
    <w:tbl>
      <w:tblPr>
        <w:tblW w:w="9371" w:type="dxa"/>
        <w:tblInd w:w="93" w:type="dxa"/>
        <w:tblLayout w:type="fixed"/>
        <w:tblLook w:val="04A0"/>
      </w:tblPr>
      <w:tblGrid>
        <w:gridCol w:w="3134"/>
        <w:gridCol w:w="1984"/>
        <w:gridCol w:w="1701"/>
        <w:gridCol w:w="2552"/>
      </w:tblGrid>
      <w:tr w:rsidR="00B54282" w:rsidRPr="003733BF" w:rsidTr="005F7704">
        <w:trPr>
          <w:trHeight w:val="300"/>
        </w:trPr>
        <w:tc>
          <w:tcPr>
            <w:tcW w:w="3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282" w:rsidRPr="003733BF" w:rsidRDefault="00B54282" w:rsidP="003733BF">
            <w:pPr>
              <w:spacing w:after="0" w:line="240" w:lineRule="auto"/>
              <w:jc w:val="center"/>
              <w:rPr>
                <w:rFonts w:ascii="Times New Roman" w:hAnsi="Times New Roman"/>
                <w:color w:val="000000"/>
              </w:rPr>
            </w:pPr>
            <w:r w:rsidRPr="003733BF">
              <w:rPr>
                <w:rFonts w:ascii="Times New Roman" w:hAnsi="Times New Roman"/>
                <w:color w:val="000000"/>
              </w:rPr>
              <w:t>Отрасль экономики</w:t>
            </w:r>
          </w:p>
        </w:tc>
        <w:tc>
          <w:tcPr>
            <w:tcW w:w="3685" w:type="dxa"/>
            <w:gridSpan w:val="2"/>
            <w:tcBorders>
              <w:top w:val="single" w:sz="4" w:space="0" w:color="auto"/>
              <w:left w:val="nil"/>
              <w:bottom w:val="single" w:sz="4" w:space="0" w:color="auto"/>
              <w:right w:val="nil"/>
            </w:tcBorders>
            <w:shd w:val="clear" w:color="auto" w:fill="auto"/>
            <w:vAlign w:val="bottom"/>
            <w:hideMark/>
          </w:tcPr>
          <w:p w:rsidR="00B54282" w:rsidRPr="003733BF" w:rsidRDefault="00B54282" w:rsidP="003733BF">
            <w:pPr>
              <w:spacing w:after="0" w:line="240" w:lineRule="auto"/>
              <w:jc w:val="center"/>
              <w:rPr>
                <w:rFonts w:ascii="Times New Roman" w:hAnsi="Times New Roman"/>
                <w:color w:val="000000"/>
              </w:rPr>
            </w:pPr>
            <w:r w:rsidRPr="003733BF">
              <w:rPr>
                <w:rFonts w:ascii="Times New Roman" w:hAnsi="Times New Roman"/>
                <w:color w:val="000000"/>
              </w:rPr>
              <w:t>Количество предпринимателей, чел</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282" w:rsidRPr="003733BF" w:rsidRDefault="00B54282" w:rsidP="00DC6DB7">
            <w:pPr>
              <w:spacing w:after="0" w:line="240" w:lineRule="auto"/>
              <w:jc w:val="center"/>
              <w:rPr>
                <w:rFonts w:ascii="Times New Roman" w:hAnsi="Times New Roman"/>
                <w:color w:val="000000"/>
              </w:rPr>
            </w:pPr>
            <w:r w:rsidRPr="003733BF">
              <w:rPr>
                <w:rFonts w:ascii="Times New Roman" w:hAnsi="Times New Roman"/>
                <w:color w:val="000000"/>
              </w:rPr>
              <w:t xml:space="preserve">Доля поступлений по районам за </w:t>
            </w:r>
            <w:r w:rsidR="00DC6DB7" w:rsidRPr="003733BF">
              <w:rPr>
                <w:rFonts w:ascii="Times New Roman" w:hAnsi="Times New Roman"/>
                <w:color w:val="000000"/>
                <w:lang w:val="en-US"/>
              </w:rPr>
              <w:t>I</w:t>
            </w:r>
            <w:r w:rsidRPr="003733BF">
              <w:rPr>
                <w:rFonts w:ascii="Times New Roman" w:hAnsi="Times New Roman"/>
                <w:color w:val="000000"/>
              </w:rPr>
              <w:t xml:space="preserve"> полугодие 2015 года, %</w:t>
            </w:r>
          </w:p>
        </w:tc>
      </w:tr>
      <w:tr w:rsidR="00B54282" w:rsidRPr="003733BF" w:rsidTr="005F7704">
        <w:trPr>
          <w:trHeight w:val="300"/>
        </w:trPr>
        <w:tc>
          <w:tcPr>
            <w:tcW w:w="3134" w:type="dxa"/>
            <w:vMerge/>
            <w:tcBorders>
              <w:top w:val="single" w:sz="4" w:space="0" w:color="auto"/>
              <w:left w:val="single" w:sz="4" w:space="0" w:color="auto"/>
              <w:bottom w:val="single" w:sz="4" w:space="0" w:color="000000"/>
              <w:right w:val="single" w:sz="4" w:space="0" w:color="auto"/>
            </w:tcBorders>
            <w:vAlign w:val="center"/>
            <w:hideMark/>
          </w:tcPr>
          <w:p w:rsidR="00B54282" w:rsidRPr="003733BF" w:rsidRDefault="00B54282" w:rsidP="003733BF">
            <w:pPr>
              <w:spacing w:after="0" w:line="240" w:lineRule="auto"/>
              <w:rPr>
                <w:rFonts w:ascii="Times New Roman" w:hAnsi="Times New Roman"/>
                <w:color w:val="000000"/>
              </w:rPr>
            </w:pPr>
          </w:p>
        </w:tc>
        <w:tc>
          <w:tcPr>
            <w:tcW w:w="1984" w:type="dxa"/>
            <w:tcBorders>
              <w:top w:val="nil"/>
              <w:left w:val="nil"/>
              <w:bottom w:val="single" w:sz="4" w:space="0" w:color="auto"/>
              <w:right w:val="single" w:sz="4" w:space="0" w:color="auto"/>
            </w:tcBorders>
            <w:shd w:val="clear" w:color="auto" w:fill="auto"/>
            <w:vAlign w:val="bottom"/>
            <w:hideMark/>
          </w:tcPr>
          <w:p w:rsidR="005F7704" w:rsidRPr="003733BF" w:rsidRDefault="00DC6DB7" w:rsidP="003733BF">
            <w:pPr>
              <w:spacing w:after="0" w:line="240" w:lineRule="auto"/>
              <w:jc w:val="center"/>
              <w:rPr>
                <w:rFonts w:ascii="Times New Roman" w:hAnsi="Times New Roman"/>
                <w:color w:val="000000"/>
              </w:rPr>
            </w:pPr>
            <w:r w:rsidRPr="003733BF">
              <w:rPr>
                <w:rFonts w:ascii="Times New Roman" w:hAnsi="Times New Roman"/>
                <w:color w:val="000000"/>
                <w:lang w:val="en-US"/>
              </w:rPr>
              <w:t>I</w:t>
            </w:r>
            <w:r w:rsidR="00B54282" w:rsidRPr="003733BF">
              <w:rPr>
                <w:rFonts w:ascii="Times New Roman" w:hAnsi="Times New Roman"/>
                <w:color w:val="000000"/>
              </w:rPr>
              <w:t xml:space="preserve"> полугодие </w:t>
            </w:r>
          </w:p>
          <w:p w:rsidR="00B54282" w:rsidRPr="003733BF" w:rsidRDefault="00B54282" w:rsidP="003733BF">
            <w:pPr>
              <w:spacing w:after="0" w:line="240" w:lineRule="auto"/>
              <w:jc w:val="center"/>
              <w:rPr>
                <w:rFonts w:ascii="Times New Roman" w:hAnsi="Times New Roman"/>
                <w:color w:val="000000"/>
              </w:rPr>
            </w:pPr>
            <w:r w:rsidRPr="003733BF">
              <w:rPr>
                <w:rFonts w:ascii="Times New Roman" w:hAnsi="Times New Roman"/>
                <w:color w:val="000000"/>
              </w:rPr>
              <w:t>2014 года</w:t>
            </w:r>
          </w:p>
        </w:tc>
        <w:tc>
          <w:tcPr>
            <w:tcW w:w="1701" w:type="dxa"/>
            <w:tcBorders>
              <w:top w:val="nil"/>
              <w:left w:val="nil"/>
              <w:bottom w:val="single" w:sz="4" w:space="0" w:color="auto"/>
              <w:right w:val="single" w:sz="4" w:space="0" w:color="auto"/>
            </w:tcBorders>
            <w:shd w:val="clear" w:color="auto" w:fill="auto"/>
            <w:vAlign w:val="bottom"/>
            <w:hideMark/>
          </w:tcPr>
          <w:p w:rsidR="00B54282" w:rsidRPr="003733BF" w:rsidRDefault="00DC6DB7" w:rsidP="003733BF">
            <w:pPr>
              <w:spacing w:after="0" w:line="240" w:lineRule="auto"/>
              <w:jc w:val="center"/>
              <w:rPr>
                <w:rFonts w:ascii="Times New Roman" w:hAnsi="Times New Roman"/>
                <w:color w:val="000000"/>
              </w:rPr>
            </w:pPr>
            <w:r w:rsidRPr="003733BF">
              <w:rPr>
                <w:rFonts w:ascii="Times New Roman" w:hAnsi="Times New Roman"/>
                <w:color w:val="000000"/>
                <w:lang w:val="en-US"/>
              </w:rPr>
              <w:t>I</w:t>
            </w:r>
            <w:r w:rsidR="00B54282" w:rsidRPr="003733BF">
              <w:rPr>
                <w:rFonts w:ascii="Times New Roman" w:hAnsi="Times New Roman"/>
                <w:color w:val="000000"/>
              </w:rPr>
              <w:t xml:space="preserve"> полугодие 2015 года</w:t>
            </w: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B54282" w:rsidRPr="003733BF" w:rsidRDefault="00B54282" w:rsidP="003733BF">
            <w:pPr>
              <w:spacing w:after="0" w:line="240" w:lineRule="auto"/>
              <w:rPr>
                <w:rFonts w:ascii="Times New Roman" w:hAnsi="Times New Roman"/>
                <w:color w:val="000000"/>
              </w:rPr>
            </w:pPr>
          </w:p>
        </w:tc>
      </w:tr>
      <w:tr w:rsidR="00B54282" w:rsidRPr="003733BF" w:rsidTr="005F7704">
        <w:trPr>
          <w:trHeight w:val="37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5F7704" w:rsidP="003733BF">
            <w:pPr>
              <w:spacing w:after="0" w:line="240" w:lineRule="auto"/>
              <w:rPr>
                <w:rFonts w:ascii="Times New Roman" w:hAnsi="Times New Roman"/>
                <w:b/>
                <w:bCs/>
                <w:color w:val="000000"/>
              </w:rPr>
            </w:pPr>
            <w:r w:rsidRPr="003733BF">
              <w:rPr>
                <w:rFonts w:ascii="Times New Roman" w:hAnsi="Times New Roman"/>
                <w:b/>
                <w:bCs/>
                <w:color w:val="000000"/>
              </w:rPr>
              <w:t xml:space="preserve">Всего по </w:t>
            </w:r>
            <w:r w:rsidR="00B54282" w:rsidRPr="003733BF">
              <w:rPr>
                <w:rFonts w:ascii="Times New Roman" w:hAnsi="Times New Roman"/>
                <w:b/>
                <w:bCs/>
                <w:color w:val="000000"/>
              </w:rPr>
              <w:t>ПМР</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937826" w:rsidP="00937826">
            <w:pPr>
              <w:spacing w:after="0" w:line="240" w:lineRule="auto"/>
              <w:ind w:firstLine="34"/>
              <w:jc w:val="center"/>
              <w:rPr>
                <w:rFonts w:ascii="Times New Roman" w:hAnsi="Times New Roman"/>
                <w:b/>
              </w:rPr>
            </w:pPr>
            <w:r w:rsidRPr="003733BF">
              <w:rPr>
                <w:rFonts w:ascii="Times New Roman" w:hAnsi="Times New Roman"/>
                <w:b/>
              </w:rPr>
              <w:t>20</w:t>
            </w:r>
            <w:r w:rsidR="00B54282" w:rsidRPr="003733BF">
              <w:rPr>
                <w:rFonts w:ascii="Times New Roman" w:hAnsi="Times New Roman"/>
                <w:b/>
              </w:rPr>
              <w:t xml:space="preserve"> 6</w:t>
            </w:r>
            <w:r w:rsidRPr="003733BF">
              <w:rPr>
                <w:rFonts w:ascii="Times New Roman" w:hAnsi="Times New Roman"/>
                <w:b/>
              </w:rPr>
              <w:t>30</w:t>
            </w:r>
          </w:p>
        </w:tc>
        <w:tc>
          <w:tcPr>
            <w:tcW w:w="1701"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937826">
            <w:pPr>
              <w:spacing w:after="0" w:line="240" w:lineRule="auto"/>
              <w:jc w:val="center"/>
              <w:rPr>
                <w:rFonts w:ascii="Times New Roman" w:hAnsi="Times New Roman"/>
                <w:b/>
                <w:bCs/>
                <w:color w:val="000000"/>
              </w:rPr>
            </w:pPr>
            <w:r w:rsidRPr="003733BF">
              <w:rPr>
                <w:rFonts w:ascii="Times New Roman" w:hAnsi="Times New Roman"/>
                <w:b/>
                <w:bCs/>
                <w:color w:val="000000"/>
              </w:rPr>
              <w:t>21 776</w:t>
            </w:r>
          </w:p>
        </w:tc>
        <w:tc>
          <w:tcPr>
            <w:tcW w:w="2552"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jc w:val="right"/>
              <w:rPr>
                <w:rFonts w:ascii="Times New Roman" w:hAnsi="Times New Roman"/>
                <w:b/>
                <w:bCs/>
                <w:color w:val="000000"/>
              </w:rPr>
            </w:pPr>
            <w:r w:rsidRPr="003733BF">
              <w:rPr>
                <w:rFonts w:ascii="Times New Roman" w:hAnsi="Times New Roman"/>
                <w:b/>
                <w:bCs/>
                <w:color w:val="000000"/>
              </w:rPr>
              <w:t>100</w:t>
            </w:r>
          </w:p>
        </w:tc>
      </w:tr>
      <w:tr w:rsidR="00B54282" w:rsidRPr="003733BF" w:rsidTr="005F7704">
        <w:trPr>
          <w:trHeight w:val="25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Торговля и общепит</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937826">
            <w:pPr>
              <w:spacing w:after="0" w:line="240" w:lineRule="auto"/>
              <w:ind w:firstLine="34"/>
              <w:jc w:val="center"/>
              <w:rPr>
                <w:rFonts w:ascii="Times New Roman" w:hAnsi="Times New Roman"/>
              </w:rPr>
            </w:pPr>
            <w:r w:rsidRPr="003733BF">
              <w:rPr>
                <w:rFonts w:ascii="Times New Roman" w:hAnsi="Times New Roman"/>
              </w:rPr>
              <w:t xml:space="preserve">12 </w:t>
            </w:r>
            <w:r w:rsidR="00937826" w:rsidRPr="003733BF">
              <w:rPr>
                <w:rFonts w:ascii="Times New Roman" w:hAnsi="Times New Roman"/>
              </w:rPr>
              <w:t>463</w:t>
            </w:r>
          </w:p>
        </w:tc>
        <w:tc>
          <w:tcPr>
            <w:tcW w:w="1701"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937826">
            <w:pPr>
              <w:spacing w:after="0" w:line="240" w:lineRule="auto"/>
              <w:jc w:val="center"/>
              <w:rPr>
                <w:rFonts w:ascii="Times New Roman" w:hAnsi="Times New Roman"/>
                <w:color w:val="000000"/>
              </w:rPr>
            </w:pPr>
            <w:r w:rsidRPr="003733BF">
              <w:rPr>
                <w:rFonts w:ascii="Times New Roman" w:hAnsi="Times New Roman"/>
                <w:color w:val="000000"/>
              </w:rPr>
              <w:t>13 354</w:t>
            </w:r>
          </w:p>
        </w:tc>
        <w:tc>
          <w:tcPr>
            <w:tcW w:w="2552"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61,32</w:t>
            </w:r>
          </w:p>
        </w:tc>
      </w:tr>
      <w:tr w:rsidR="00B54282" w:rsidRPr="003733BF" w:rsidTr="005F7704">
        <w:trPr>
          <w:trHeight w:val="27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Сфера услуг</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937826" w:rsidP="00937826">
            <w:pPr>
              <w:spacing w:after="0" w:line="240" w:lineRule="auto"/>
              <w:ind w:firstLine="34"/>
              <w:jc w:val="center"/>
              <w:rPr>
                <w:rFonts w:ascii="Times New Roman" w:hAnsi="Times New Roman"/>
              </w:rPr>
            </w:pPr>
            <w:r w:rsidRPr="003733BF">
              <w:rPr>
                <w:rFonts w:ascii="Times New Roman" w:hAnsi="Times New Roman"/>
              </w:rPr>
              <w:t>5 012</w:t>
            </w:r>
          </w:p>
        </w:tc>
        <w:tc>
          <w:tcPr>
            <w:tcW w:w="1701"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937826">
            <w:pPr>
              <w:spacing w:after="0" w:line="240" w:lineRule="auto"/>
              <w:jc w:val="center"/>
              <w:rPr>
                <w:rFonts w:ascii="Times New Roman" w:hAnsi="Times New Roman"/>
                <w:color w:val="000000"/>
              </w:rPr>
            </w:pPr>
            <w:r w:rsidRPr="003733BF">
              <w:rPr>
                <w:rFonts w:ascii="Times New Roman" w:hAnsi="Times New Roman"/>
                <w:color w:val="000000"/>
              </w:rPr>
              <w:t>4 802</w:t>
            </w:r>
          </w:p>
        </w:tc>
        <w:tc>
          <w:tcPr>
            <w:tcW w:w="2552"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22,05</w:t>
            </w:r>
          </w:p>
        </w:tc>
      </w:tr>
      <w:tr w:rsidR="00B54282" w:rsidRPr="003733BF" w:rsidTr="005F7704">
        <w:trPr>
          <w:trHeight w:val="26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Сельское хозяйство</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937826">
            <w:pPr>
              <w:spacing w:after="0" w:line="240" w:lineRule="auto"/>
              <w:ind w:firstLine="34"/>
              <w:jc w:val="center"/>
              <w:rPr>
                <w:rFonts w:ascii="Times New Roman" w:hAnsi="Times New Roman"/>
              </w:rPr>
            </w:pPr>
            <w:r w:rsidRPr="003733BF">
              <w:rPr>
                <w:rFonts w:ascii="Times New Roman" w:hAnsi="Times New Roman"/>
              </w:rPr>
              <w:t xml:space="preserve">2 </w:t>
            </w:r>
            <w:r w:rsidR="00937826" w:rsidRPr="003733BF">
              <w:rPr>
                <w:rFonts w:ascii="Times New Roman" w:hAnsi="Times New Roman"/>
              </w:rPr>
              <w:t>340</w:t>
            </w:r>
          </w:p>
        </w:tc>
        <w:tc>
          <w:tcPr>
            <w:tcW w:w="1701"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937826">
            <w:pPr>
              <w:spacing w:after="0" w:line="240" w:lineRule="auto"/>
              <w:jc w:val="center"/>
              <w:rPr>
                <w:rFonts w:ascii="Times New Roman" w:hAnsi="Times New Roman"/>
                <w:color w:val="000000"/>
              </w:rPr>
            </w:pPr>
            <w:r w:rsidRPr="003733BF">
              <w:rPr>
                <w:rFonts w:ascii="Times New Roman" w:hAnsi="Times New Roman"/>
                <w:color w:val="000000"/>
              </w:rPr>
              <w:t>2 700</w:t>
            </w:r>
          </w:p>
        </w:tc>
        <w:tc>
          <w:tcPr>
            <w:tcW w:w="2552"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0943F5">
            <w:pPr>
              <w:spacing w:after="0" w:line="240" w:lineRule="auto"/>
              <w:jc w:val="right"/>
              <w:rPr>
                <w:rFonts w:ascii="Times New Roman" w:hAnsi="Times New Roman"/>
                <w:color w:val="000000"/>
              </w:rPr>
            </w:pPr>
            <w:r w:rsidRPr="003733BF">
              <w:rPr>
                <w:rFonts w:ascii="Times New Roman" w:hAnsi="Times New Roman"/>
                <w:color w:val="000000"/>
              </w:rPr>
              <w:t>12,4</w:t>
            </w:r>
            <w:r w:rsidR="000943F5" w:rsidRPr="003733BF">
              <w:rPr>
                <w:rFonts w:ascii="Times New Roman" w:hAnsi="Times New Roman"/>
                <w:color w:val="000000"/>
              </w:rPr>
              <w:t>1</w:t>
            </w:r>
          </w:p>
        </w:tc>
      </w:tr>
      <w:tr w:rsidR="00B54282" w:rsidRPr="003733BF" w:rsidTr="005F7704">
        <w:trPr>
          <w:trHeight w:val="32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Производство</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937826" w:rsidP="00937826">
            <w:pPr>
              <w:spacing w:after="0" w:line="240" w:lineRule="auto"/>
              <w:ind w:firstLine="34"/>
              <w:jc w:val="center"/>
              <w:rPr>
                <w:rFonts w:ascii="Times New Roman" w:hAnsi="Times New Roman"/>
              </w:rPr>
            </w:pPr>
            <w:r w:rsidRPr="003733BF">
              <w:rPr>
                <w:rFonts w:ascii="Times New Roman" w:hAnsi="Times New Roman"/>
              </w:rPr>
              <w:t>815</w:t>
            </w:r>
          </w:p>
        </w:tc>
        <w:tc>
          <w:tcPr>
            <w:tcW w:w="1701"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937826">
            <w:pPr>
              <w:spacing w:after="0" w:line="240" w:lineRule="auto"/>
              <w:jc w:val="center"/>
              <w:rPr>
                <w:rFonts w:ascii="Times New Roman" w:hAnsi="Times New Roman"/>
                <w:color w:val="000000"/>
              </w:rPr>
            </w:pPr>
            <w:r w:rsidRPr="003733BF">
              <w:rPr>
                <w:rFonts w:ascii="Times New Roman" w:hAnsi="Times New Roman"/>
                <w:color w:val="000000"/>
              </w:rPr>
              <w:t>920</w:t>
            </w:r>
          </w:p>
        </w:tc>
        <w:tc>
          <w:tcPr>
            <w:tcW w:w="2552" w:type="dxa"/>
            <w:tcBorders>
              <w:top w:val="nil"/>
              <w:left w:val="nil"/>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4,22</w:t>
            </w:r>
          </w:p>
        </w:tc>
      </w:tr>
      <w:tr w:rsidR="00B54282" w:rsidRPr="003733BF" w:rsidTr="005F7704">
        <w:trPr>
          <w:trHeight w:val="519"/>
        </w:trPr>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Районы республики</w:t>
            </w:r>
          </w:p>
        </w:tc>
        <w:tc>
          <w:tcPr>
            <w:tcW w:w="3685" w:type="dxa"/>
            <w:gridSpan w:val="2"/>
            <w:tcBorders>
              <w:top w:val="single" w:sz="4" w:space="0" w:color="auto"/>
              <w:left w:val="nil"/>
              <w:bottom w:val="single" w:sz="4" w:space="0" w:color="auto"/>
              <w:right w:val="nil"/>
            </w:tcBorders>
            <w:shd w:val="clear" w:color="auto" w:fill="auto"/>
            <w:vAlign w:val="center"/>
            <w:hideMark/>
          </w:tcPr>
          <w:p w:rsidR="00B54282" w:rsidRPr="003733BF" w:rsidRDefault="00B54282" w:rsidP="003733BF">
            <w:pPr>
              <w:spacing w:after="0" w:line="240" w:lineRule="auto"/>
              <w:jc w:val="center"/>
              <w:rPr>
                <w:rFonts w:ascii="Times New Roman" w:hAnsi="Times New Roman"/>
                <w:color w:val="000000"/>
              </w:rPr>
            </w:pPr>
            <w:r w:rsidRPr="003733BF">
              <w:rPr>
                <w:rFonts w:ascii="Times New Roman" w:hAnsi="Times New Roman"/>
                <w:color w:val="000000"/>
              </w:rPr>
              <w:t>Поступления в бюджетные и внебюджетные фонды, руб</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B54282" w:rsidRPr="003733BF" w:rsidRDefault="00B54282" w:rsidP="00DC6DB7">
            <w:pPr>
              <w:spacing w:after="0" w:line="240" w:lineRule="auto"/>
              <w:jc w:val="center"/>
              <w:rPr>
                <w:rFonts w:ascii="Times New Roman" w:hAnsi="Times New Roman"/>
                <w:color w:val="000000"/>
              </w:rPr>
            </w:pPr>
            <w:r w:rsidRPr="003733BF">
              <w:rPr>
                <w:rFonts w:ascii="Times New Roman" w:hAnsi="Times New Roman"/>
                <w:color w:val="000000"/>
              </w:rPr>
              <w:t xml:space="preserve">Доля поступлений по районам за </w:t>
            </w:r>
            <w:r w:rsidR="00DC6DB7" w:rsidRPr="003733BF">
              <w:rPr>
                <w:rFonts w:ascii="Times New Roman" w:hAnsi="Times New Roman"/>
                <w:color w:val="000000"/>
                <w:lang w:val="en-US"/>
              </w:rPr>
              <w:t>I</w:t>
            </w:r>
            <w:r w:rsidRPr="003733BF">
              <w:rPr>
                <w:rFonts w:ascii="Times New Roman" w:hAnsi="Times New Roman"/>
                <w:color w:val="000000"/>
              </w:rPr>
              <w:t xml:space="preserve"> полугодие 2015 года, %</w:t>
            </w:r>
          </w:p>
        </w:tc>
      </w:tr>
      <w:tr w:rsidR="00B54282" w:rsidRPr="003733BF" w:rsidTr="005F7704">
        <w:trPr>
          <w:trHeight w:val="427"/>
        </w:trPr>
        <w:tc>
          <w:tcPr>
            <w:tcW w:w="3134" w:type="dxa"/>
            <w:vMerge/>
            <w:tcBorders>
              <w:top w:val="nil"/>
              <w:left w:val="single" w:sz="4" w:space="0" w:color="auto"/>
              <w:bottom w:val="single" w:sz="4" w:space="0" w:color="000000"/>
              <w:right w:val="single" w:sz="4" w:space="0" w:color="auto"/>
            </w:tcBorders>
            <w:vAlign w:val="center"/>
            <w:hideMark/>
          </w:tcPr>
          <w:p w:rsidR="00B54282" w:rsidRPr="003733BF" w:rsidRDefault="00B54282" w:rsidP="003733BF">
            <w:pPr>
              <w:spacing w:after="0" w:line="240" w:lineRule="auto"/>
              <w:rPr>
                <w:rFonts w:ascii="Times New Roman" w:hAnsi="Times New Roman"/>
                <w:color w:val="000000"/>
              </w:rPr>
            </w:pPr>
          </w:p>
        </w:tc>
        <w:tc>
          <w:tcPr>
            <w:tcW w:w="1984" w:type="dxa"/>
            <w:tcBorders>
              <w:top w:val="nil"/>
              <w:left w:val="nil"/>
              <w:bottom w:val="single" w:sz="4" w:space="0" w:color="auto"/>
              <w:right w:val="single" w:sz="4" w:space="0" w:color="auto"/>
            </w:tcBorders>
            <w:shd w:val="clear" w:color="auto" w:fill="auto"/>
            <w:vAlign w:val="center"/>
            <w:hideMark/>
          </w:tcPr>
          <w:p w:rsidR="005F7704" w:rsidRPr="003733BF" w:rsidRDefault="00DC6DB7" w:rsidP="003733BF">
            <w:pPr>
              <w:spacing w:after="0" w:line="240" w:lineRule="auto"/>
              <w:jc w:val="center"/>
              <w:rPr>
                <w:rFonts w:ascii="Times New Roman" w:hAnsi="Times New Roman"/>
                <w:color w:val="000000"/>
              </w:rPr>
            </w:pPr>
            <w:r w:rsidRPr="003733BF">
              <w:rPr>
                <w:rFonts w:ascii="Times New Roman" w:hAnsi="Times New Roman"/>
                <w:color w:val="000000"/>
                <w:lang w:val="en-US"/>
              </w:rPr>
              <w:t>I</w:t>
            </w:r>
            <w:r w:rsidR="00B54282" w:rsidRPr="003733BF">
              <w:rPr>
                <w:rFonts w:ascii="Times New Roman" w:hAnsi="Times New Roman"/>
                <w:color w:val="000000"/>
              </w:rPr>
              <w:t xml:space="preserve"> полугодие </w:t>
            </w:r>
          </w:p>
          <w:p w:rsidR="00B54282" w:rsidRPr="003733BF" w:rsidRDefault="00B54282" w:rsidP="003733BF">
            <w:pPr>
              <w:spacing w:after="0" w:line="240" w:lineRule="auto"/>
              <w:jc w:val="center"/>
              <w:rPr>
                <w:rFonts w:ascii="Times New Roman" w:hAnsi="Times New Roman"/>
                <w:color w:val="000000"/>
              </w:rPr>
            </w:pPr>
            <w:r w:rsidRPr="003733BF">
              <w:rPr>
                <w:rFonts w:ascii="Times New Roman" w:hAnsi="Times New Roman"/>
                <w:color w:val="000000"/>
              </w:rPr>
              <w:t xml:space="preserve">2014 года </w:t>
            </w:r>
          </w:p>
        </w:tc>
        <w:tc>
          <w:tcPr>
            <w:tcW w:w="1701" w:type="dxa"/>
            <w:tcBorders>
              <w:top w:val="nil"/>
              <w:left w:val="nil"/>
              <w:bottom w:val="single" w:sz="4" w:space="0" w:color="auto"/>
              <w:right w:val="single" w:sz="4" w:space="0" w:color="auto"/>
            </w:tcBorders>
            <w:shd w:val="clear" w:color="auto" w:fill="auto"/>
            <w:vAlign w:val="center"/>
            <w:hideMark/>
          </w:tcPr>
          <w:p w:rsidR="00B54282" w:rsidRPr="003733BF" w:rsidRDefault="00DC6DB7" w:rsidP="003733BF">
            <w:pPr>
              <w:spacing w:after="0" w:line="240" w:lineRule="auto"/>
              <w:jc w:val="center"/>
              <w:rPr>
                <w:rFonts w:ascii="Times New Roman" w:hAnsi="Times New Roman"/>
                <w:color w:val="000000"/>
              </w:rPr>
            </w:pPr>
            <w:r w:rsidRPr="003733BF">
              <w:rPr>
                <w:rFonts w:ascii="Times New Roman" w:hAnsi="Times New Roman"/>
                <w:color w:val="000000"/>
                <w:lang w:val="en-US"/>
              </w:rPr>
              <w:t>I</w:t>
            </w:r>
            <w:r w:rsidR="00B54282" w:rsidRPr="003733BF">
              <w:rPr>
                <w:rFonts w:ascii="Times New Roman" w:hAnsi="Times New Roman"/>
                <w:color w:val="000000"/>
              </w:rPr>
              <w:t xml:space="preserve"> полугодие 2015 года</w:t>
            </w:r>
          </w:p>
        </w:tc>
        <w:tc>
          <w:tcPr>
            <w:tcW w:w="2552" w:type="dxa"/>
            <w:vMerge/>
            <w:tcBorders>
              <w:top w:val="nil"/>
              <w:left w:val="single" w:sz="4" w:space="0" w:color="auto"/>
              <w:bottom w:val="single" w:sz="4" w:space="0" w:color="000000"/>
              <w:right w:val="single" w:sz="4" w:space="0" w:color="auto"/>
            </w:tcBorders>
            <w:vAlign w:val="center"/>
            <w:hideMark/>
          </w:tcPr>
          <w:p w:rsidR="00B54282" w:rsidRPr="003733BF" w:rsidRDefault="00B54282" w:rsidP="003733BF">
            <w:pPr>
              <w:spacing w:after="0" w:line="240" w:lineRule="auto"/>
              <w:jc w:val="right"/>
              <w:rPr>
                <w:rFonts w:ascii="Times New Roman" w:hAnsi="Times New Roman"/>
                <w:color w:val="000000"/>
              </w:rPr>
            </w:pPr>
          </w:p>
        </w:tc>
      </w:tr>
      <w:tr w:rsidR="00B54282" w:rsidRPr="003733BF" w:rsidTr="005F7704">
        <w:trPr>
          <w:trHeight w:val="406"/>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b/>
                <w:bCs/>
                <w:color w:val="000000"/>
              </w:rPr>
            </w:pPr>
            <w:r w:rsidRPr="003733BF">
              <w:rPr>
                <w:rFonts w:ascii="Times New Roman" w:hAnsi="Times New Roman"/>
                <w:b/>
                <w:bCs/>
                <w:color w:val="000000"/>
              </w:rPr>
              <w:t>Всего по районам</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b/>
                <w:color w:val="000000"/>
              </w:rPr>
            </w:pPr>
            <w:r w:rsidRPr="003733BF">
              <w:rPr>
                <w:rFonts w:ascii="Times New Roman" w:hAnsi="Times New Roman"/>
                <w:b/>
              </w:rPr>
              <w:t>36 326 401</w:t>
            </w:r>
          </w:p>
        </w:tc>
        <w:tc>
          <w:tcPr>
            <w:tcW w:w="1701"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b/>
                <w:color w:val="000000"/>
              </w:rPr>
            </w:pPr>
            <w:r w:rsidRPr="003733BF">
              <w:rPr>
                <w:rFonts w:ascii="Times New Roman" w:hAnsi="Times New Roman"/>
                <w:b/>
                <w:color w:val="000000"/>
              </w:rPr>
              <w:t>36 737 084</w:t>
            </w:r>
          </w:p>
        </w:tc>
        <w:tc>
          <w:tcPr>
            <w:tcW w:w="2552"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b/>
                <w:color w:val="000000"/>
              </w:rPr>
            </w:pPr>
            <w:r w:rsidRPr="003733BF">
              <w:rPr>
                <w:rFonts w:ascii="Times New Roman" w:hAnsi="Times New Roman"/>
                <w:b/>
                <w:color w:val="000000"/>
              </w:rPr>
              <w:t>100</w:t>
            </w:r>
          </w:p>
        </w:tc>
      </w:tr>
      <w:tr w:rsidR="00B54282" w:rsidRPr="003733BF" w:rsidTr="005F7704">
        <w:trPr>
          <w:trHeight w:val="356"/>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Тирасполь и г. Днестровск</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12 376 508</w:t>
            </w:r>
          </w:p>
        </w:tc>
        <w:tc>
          <w:tcPr>
            <w:tcW w:w="1701"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12 509 796</w:t>
            </w:r>
          </w:p>
        </w:tc>
        <w:tc>
          <w:tcPr>
            <w:tcW w:w="2552"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34,05</w:t>
            </w:r>
          </w:p>
        </w:tc>
      </w:tr>
      <w:tr w:rsidR="00B54282" w:rsidRPr="003733BF" w:rsidTr="005F7704">
        <w:trPr>
          <w:trHeight w:val="38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Бендеры</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8 621 233</w:t>
            </w:r>
          </w:p>
        </w:tc>
        <w:tc>
          <w:tcPr>
            <w:tcW w:w="1701"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8 801 620</w:t>
            </w:r>
          </w:p>
        </w:tc>
        <w:tc>
          <w:tcPr>
            <w:tcW w:w="2552"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23,96</w:t>
            </w:r>
          </w:p>
        </w:tc>
      </w:tr>
      <w:tr w:rsidR="00B54282" w:rsidRPr="003733BF" w:rsidTr="005F7704">
        <w:trPr>
          <w:trHeight w:val="39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Рыбница и Рыбницкий район</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5 003 987</w:t>
            </w:r>
          </w:p>
        </w:tc>
        <w:tc>
          <w:tcPr>
            <w:tcW w:w="1701"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4 637 106</w:t>
            </w:r>
          </w:p>
        </w:tc>
        <w:tc>
          <w:tcPr>
            <w:tcW w:w="2552"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B82901">
            <w:pPr>
              <w:spacing w:after="0" w:line="240" w:lineRule="auto"/>
              <w:jc w:val="right"/>
              <w:rPr>
                <w:rFonts w:ascii="Times New Roman" w:hAnsi="Times New Roman"/>
                <w:color w:val="000000"/>
              </w:rPr>
            </w:pPr>
            <w:r w:rsidRPr="003733BF">
              <w:rPr>
                <w:rFonts w:ascii="Times New Roman" w:hAnsi="Times New Roman"/>
                <w:color w:val="000000"/>
              </w:rPr>
              <w:t>12,</w:t>
            </w:r>
            <w:r w:rsidR="00B82901" w:rsidRPr="003733BF">
              <w:rPr>
                <w:rFonts w:ascii="Times New Roman" w:hAnsi="Times New Roman"/>
                <w:color w:val="000000"/>
              </w:rPr>
              <w:t>62</w:t>
            </w:r>
          </w:p>
        </w:tc>
      </w:tr>
      <w:tr w:rsidR="00B54282" w:rsidRPr="003733BF" w:rsidTr="005F7704">
        <w:trPr>
          <w:trHeight w:val="38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Дубоссары и Дубоссарский район</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2 592 665</w:t>
            </w:r>
          </w:p>
        </w:tc>
        <w:tc>
          <w:tcPr>
            <w:tcW w:w="1701"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2 644 366</w:t>
            </w:r>
          </w:p>
        </w:tc>
        <w:tc>
          <w:tcPr>
            <w:tcW w:w="2552"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7,20</w:t>
            </w:r>
          </w:p>
        </w:tc>
      </w:tr>
      <w:tr w:rsidR="00B54282" w:rsidRPr="003733BF" w:rsidTr="005F7704">
        <w:trPr>
          <w:trHeight w:val="506"/>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Слободзея и Слободзейский район</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5 205 366</w:t>
            </w:r>
          </w:p>
        </w:tc>
        <w:tc>
          <w:tcPr>
            <w:tcW w:w="1701" w:type="dxa"/>
            <w:tcBorders>
              <w:top w:val="nil"/>
              <w:left w:val="nil"/>
              <w:bottom w:val="single" w:sz="4" w:space="0" w:color="auto"/>
              <w:right w:val="single" w:sz="4" w:space="0" w:color="auto"/>
            </w:tcBorders>
            <w:shd w:val="clear" w:color="auto" w:fill="auto"/>
            <w:noWrap/>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5 473 429</w:t>
            </w:r>
          </w:p>
        </w:tc>
        <w:tc>
          <w:tcPr>
            <w:tcW w:w="2552" w:type="dxa"/>
            <w:tcBorders>
              <w:top w:val="nil"/>
              <w:left w:val="nil"/>
              <w:bottom w:val="single" w:sz="4" w:space="0" w:color="auto"/>
              <w:right w:val="single" w:sz="4" w:space="0" w:color="auto"/>
            </w:tcBorders>
            <w:shd w:val="clear" w:color="auto" w:fill="auto"/>
            <w:noWrap/>
            <w:vAlign w:val="bottom"/>
            <w:hideMark/>
          </w:tcPr>
          <w:p w:rsidR="00B54282" w:rsidRPr="003733BF" w:rsidRDefault="00B82901" w:rsidP="00B82901">
            <w:pPr>
              <w:spacing w:after="0" w:line="240" w:lineRule="auto"/>
              <w:jc w:val="right"/>
              <w:rPr>
                <w:rFonts w:ascii="Times New Roman" w:hAnsi="Times New Roman"/>
                <w:color w:val="000000"/>
              </w:rPr>
            </w:pPr>
            <w:r w:rsidRPr="003733BF">
              <w:rPr>
                <w:rFonts w:ascii="Times New Roman" w:hAnsi="Times New Roman"/>
                <w:color w:val="000000"/>
              </w:rPr>
              <w:t>14</w:t>
            </w:r>
            <w:r w:rsidR="00B54282" w:rsidRPr="003733BF">
              <w:rPr>
                <w:rFonts w:ascii="Times New Roman" w:hAnsi="Times New Roman"/>
                <w:color w:val="000000"/>
              </w:rPr>
              <w:t>,</w:t>
            </w:r>
            <w:r w:rsidRPr="003733BF">
              <w:rPr>
                <w:rFonts w:ascii="Times New Roman" w:hAnsi="Times New Roman"/>
                <w:color w:val="000000"/>
              </w:rPr>
              <w:t>90</w:t>
            </w:r>
          </w:p>
        </w:tc>
      </w:tr>
      <w:tr w:rsidR="00B54282" w:rsidRPr="003733BF" w:rsidTr="005F7704">
        <w:trPr>
          <w:trHeight w:val="68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Григориополь и Григориопольский район</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1 448 116</w:t>
            </w:r>
          </w:p>
        </w:tc>
        <w:tc>
          <w:tcPr>
            <w:tcW w:w="1701" w:type="dxa"/>
            <w:tcBorders>
              <w:top w:val="nil"/>
              <w:left w:val="nil"/>
              <w:bottom w:val="single" w:sz="4" w:space="0" w:color="auto"/>
              <w:right w:val="single" w:sz="4" w:space="0" w:color="auto"/>
            </w:tcBorders>
            <w:shd w:val="clear" w:color="auto" w:fill="auto"/>
            <w:noWrap/>
            <w:vAlign w:val="bottom"/>
            <w:hideMark/>
          </w:tcPr>
          <w:p w:rsidR="00B54282" w:rsidRPr="003733BF" w:rsidRDefault="00B82901" w:rsidP="00B82901">
            <w:pPr>
              <w:spacing w:after="0" w:line="240" w:lineRule="auto"/>
              <w:jc w:val="right"/>
              <w:rPr>
                <w:rFonts w:ascii="Times New Roman" w:hAnsi="Times New Roman"/>
                <w:color w:val="000000"/>
              </w:rPr>
            </w:pPr>
            <w:r w:rsidRPr="003733BF">
              <w:rPr>
                <w:rFonts w:ascii="Times New Roman" w:hAnsi="Times New Roman"/>
                <w:color w:val="000000"/>
              </w:rPr>
              <w:t>1</w:t>
            </w:r>
            <w:r w:rsidR="00B54282" w:rsidRPr="003733BF">
              <w:rPr>
                <w:rFonts w:ascii="Times New Roman" w:hAnsi="Times New Roman"/>
                <w:color w:val="000000"/>
              </w:rPr>
              <w:t xml:space="preserve"> </w:t>
            </w:r>
            <w:r w:rsidRPr="003733BF">
              <w:rPr>
                <w:rFonts w:ascii="Times New Roman" w:hAnsi="Times New Roman"/>
                <w:color w:val="000000"/>
              </w:rPr>
              <w:t>586</w:t>
            </w:r>
            <w:r w:rsidR="00B54282" w:rsidRPr="003733BF">
              <w:rPr>
                <w:rFonts w:ascii="Times New Roman" w:hAnsi="Times New Roman"/>
                <w:color w:val="000000"/>
              </w:rPr>
              <w:t xml:space="preserve"> </w:t>
            </w:r>
            <w:r w:rsidRPr="003733BF">
              <w:rPr>
                <w:rFonts w:ascii="Times New Roman" w:hAnsi="Times New Roman"/>
                <w:color w:val="000000"/>
              </w:rPr>
              <w:t>778</w:t>
            </w:r>
          </w:p>
        </w:tc>
        <w:tc>
          <w:tcPr>
            <w:tcW w:w="2552" w:type="dxa"/>
            <w:tcBorders>
              <w:top w:val="nil"/>
              <w:left w:val="nil"/>
              <w:bottom w:val="single" w:sz="4" w:space="0" w:color="auto"/>
              <w:right w:val="single" w:sz="4" w:space="0" w:color="auto"/>
            </w:tcBorders>
            <w:shd w:val="clear" w:color="auto" w:fill="auto"/>
            <w:noWrap/>
            <w:vAlign w:val="bottom"/>
            <w:hideMark/>
          </w:tcPr>
          <w:p w:rsidR="00B54282" w:rsidRPr="003733BF" w:rsidRDefault="00B82901" w:rsidP="003733BF">
            <w:pPr>
              <w:spacing w:after="0" w:line="240" w:lineRule="auto"/>
              <w:jc w:val="right"/>
              <w:rPr>
                <w:rFonts w:ascii="Times New Roman" w:hAnsi="Times New Roman"/>
                <w:color w:val="000000"/>
              </w:rPr>
            </w:pPr>
            <w:r w:rsidRPr="003733BF">
              <w:rPr>
                <w:rFonts w:ascii="Times New Roman" w:hAnsi="Times New Roman"/>
                <w:color w:val="000000"/>
              </w:rPr>
              <w:t>4,32</w:t>
            </w:r>
          </w:p>
        </w:tc>
      </w:tr>
      <w:tr w:rsidR="00B54282" w:rsidRPr="00677F1C" w:rsidTr="005F7704">
        <w:trPr>
          <w:trHeight w:val="48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54282" w:rsidRPr="003733BF" w:rsidRDefault="00B54282" w:rsidP="003733BF">
            <w:pPr>
              <w:spacing w:after="0" w:line="240" w:lineRule="auto"/>
              <w:rPr>
                <w:rFonts w:ascii="Times New Roman" w:hAnsi="Times New Roman"/>
                <w:color w:val="000000"/>
              </w:rPr>
            </w:pPr>
            <w:r w:rsidRPr="003733BF">
              <w:rPr>
                <w:rFonts w:ascii="Times New Roman" w:hAnsi="Times New Roman"/>
                <w:color w:val="000000"/>
              </w:rPr>
              <w:t>г. Каменка и Каменский район</w:t>
            </w:r>
          </w:p>
        </w:tc>
        <w:tc>
          <w:tcPr>
            <w:tcW w:w="1984" w:type="dxa"/>
            <w:tcBorders>
              <w:top w:val="nil"/>
              <w:left w:val="nil"/>
              <w:bottom w:val="single" w:sz="4" w:space="0" w:color="auto"/>
              <w:right w:val="single" w:sz="4" w:space="0" w:color="auto"/>
            </w:tcBorders>
            <w:shd w:val="clear" w:color="auto" w:fill="auto"/>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1 078 526</w:t>
            </w:r>
          </w:p>
        </w:tc>
        <w:tc>
          <w:tcPr>
            <w:tcW w:w="1701" w:type="dxa"/>
            <w:tcBorders>
              <w:top w:val="nil"/>
              <w:left w:val="nil"/>
              <w:bottom w:val="single" w:sz="4" w:space="0" w:color="auto"/>
              <w:right w:val="single" w:sz="4" w:space="0" w:color="auto"/>
            </w:tcBorders>
            <w:shd w:val="clear" w:color="auto" w:fill="auto"/>
            <w:noWrap/>
            <w:vAlign w:val="bottom"/>
            <w:hideMark/>
          </w:tcPr>
          <w:p w:rsidR="00B54282" w:rsidRPr="003733BF" w:rsidRDefault="00B54282" w:rsidP="003733BF">
            <w:pPr>
              <w:spacing w:after="0" w:line="240" w:lineRule="auto"/>
              <w:jc w:val="right"/>
              <w:rPr>
                <w:rFonts w:ascii="Times New Roman" w:hAnsi="Times New Roman"/>
                <w:color w:val="000000"/>
              </w:rPr>
            </w:pPr>
            <w:r w:rsidRPr="003733BF">
              <w:rPr>
                <w:rFonts w:ascii="Times New Roman" w:hAnsi="Times New Roman"/>
                <w:color w:val="000000"/>
              </w:rPr>
              <w:t>1 083 989</w:t>
            </w:r>
          </w:p>
        </w:tc>
        <w:tc>
          <w:tcPr>
            <w:tcW w:w="2552" w:type="dxa"/>
            <w:tcBorders>
              <w:top w:val="nil"/>
              <w:left w:val="nil"/>
              <w:bottom w:val="single" w:sz="4" w:space="0" w:color="auto"/>
              <w:right w:val="single" w:sz="4" w:space="0" w:color="auto"/>
            </w:tcBorders>
            <w:shd w:val="clear" w:color="auto" w:fill="auto"/>
            <w:noWrap/>
            <w:vAlign w:val="bottom"/>
            <w:hideMark/>
          </w:tcPr>
          <w:p w:rsidR="00B54282" w:rsidRPr="00B54282" w:rsidRDefault="00B54282" w:rsidP="00B82901">
            <w:pPr>
              <w:spacing w:after="0" w:line="240" w:lineRule="auto"/>
              <w:jc w:val="right"/>
              <w:rPr>
                <w:rFonts w:ascii="Times New Roman" w:hAnsi="Times New Roman"/>
                <w:color w:val="000000"/>
              </w:rPr>
            </w:pPr>
            <w:r w:rsidRPr="003733BF">
              <w:rPr>
                <w:rFonts w:ascii="Times New Roman" w:hAnsi="Times New Roman"/>
                <w:color w:val="000000"/>
              </w:rPr>
              <w:t>2,9</w:t>
            </w:r>
            <w:r w:rsidR="00B82901" w:rsidRPr="003733BF">
              <w:rPr>
                <w:rFonts w:ascii="Times New Roman" w:hAnsi="Times New Roman"/>
                <w:color w:val="000000"/>
              </w:rPr>
              <w:t>5</w:t>
            </w:r>
          </w:p>
        </w:tc>
      </w:tr>
    </w:tbl>
    <w:p w:rsidR="00A218CA" w:rsidRPr="003733BF" w:rsidRDefault="00A218CA" w:rsidP="005F7704">
      <w:pPr>
        <w:spacing w:after="0" w:line="240" w:lineRule="auto"/>
        <w:ind w:firstLine="720"/>
        <w:jc w:val="both"/>
        <w:rPr>
          <w:rFonts w:ascii="Times New Roman" w:hAnsi="Times New Roman"/>
          <w:sz w:val="24"/>
          <w:szCs w:val="24"/>
        </w:rPr>
      </w:pPr>
      <w:r w:rsidRPr="003733BF">
        <w:rPr>
          <w:rFonts w:ascii="Times New Roman" w:eastAsia="Calibri" w:hAnsi="Times New Roman"/>
          <w:sz w:val="24"/>
          <w:szCs w:val="24"/>
        </w:rPr>
        <w:lastRenderedPageBreak/>
        <w:t>Основное количество индивидуальных предпринимателей, по-прежнему, задействовано в сфере торговли и общепита (6</w:t>
      </w:r>
      <w:r w:rsidR="005F7704" w:rsidRPr="003733BF">
        <w:rPr>
          <w:rFonts w:ascii="Times New Roman" w:eastAsia="Calibri" w:hAnsi="Times New Roman"/>
          <w:sz w:val="24"/>
          <w:szCs w:val="24"/>
        </w:rPr>
        <w:t>1</w:t>
      </w:r>
      <w:r w:rsidRPr="003733BF">
        <w:rPr>
          <w:rFonts w:ascii="Times New Roman" w:eastAsia="Calibri" w:hAnsi="Times New Roman"/>
          <w:sz w:val="24"/>
          <w:szCs w:val="24"/>
        </w:rPr>
        <w:t>,3% от общей численности выданных патентов</w:t>
      </w:r>
      <w:r w:rsidR="005F7704" w:rsidRPr="003733BF">
        <w:rPr>
          <w:rFonts w:ascii="Times New Roman" w:eastAsia="Calibri" w:hAnsi="Times New Roman"/>
          <w:sz w:val="24"/>
          <w:szCs w:val="24"/>
        </w:rPr>
        <w:t xml:space="preserve"> против </w:t>
      </w:r>
      <w:r w:rsidR="000943F5" w:rsidRPr="003733BF">
        <w:rPr>
          <w:rFonts w:ascii="Times New Roman" w:eastAsia="Calibri" w:hAnsi="Times New Roman"/>
          <w:sz w:val="24"/>
          <w:szCs w:val="24"/>
        </w:rPr>
        <w:t>6</w:t>
      </w:r>
      <w:r w:rsidR="00937826" w:rsidRPr="003733BF">
        <w:rPr>
          <w:rFonts w:ascii="Times New Roman" w:eastAsia="Calibri" w:hAnsi="Times New Roman"/>
          <w:sz w:val="24"/>
          <w:szCs w:val="24"/>
        </w:rPr>
        <w:t>0</w:t>
      </w:r>
      <w:r w:rsidR="000943F5" w:rsidRPr="003733BF">
        <w:rPr>
          <w:rFonts w:ascii="Times New Roman" w:eastAsia="Calibri" w:hAnsi="Times New Roman"/>
          <w:sz w:val="24"/>
          <w:szCs w:val="24"/>
        </w:rPr>
        <w:t>,</w:t>
      </w:r>
      <w:r w:rsidR="00937826" w:rsidRPr="003733BF">
        <w:rPr>
          <w:rFonts w:ascii="Times New Roman" w:eastAsia="Calibri" w:hAnsi="Times New Roman"/>
          <w:sz w:val="24"/>
          <w:szCs w:val="24"/>
        </w:rPr>
        <w:t>4</w:t>
      </w:r>
      <w:r w:rsidR="005F7704" w:rsidRPr="003733BF">
        <w:rPr>
          <w:rFonts w:ascii="Times New Roman" w:eastAsia="Calibri" w:hAnsi="Times New Roman"/>
          <w:sz w:val="24"/>
          <w:szCs w:val="24"/>
        </w:rPr>
        <w:t>% в I полугодии 2014 года</w:t>
      </w:r>
      <w:r w:rsidRPr="003733BF">
        <w:rPr>
          <w:rFonts w:ascii="Times New Roman" w:eastAsia="Calibri" w:hAnsi="Times New Roman"/>
          <w:sz w:val="24"/>
          <w:szCs w:val="24"/>
        </w:rPr>
        <w:t>).</w:t>
      </w:r>
      <w:r w:rsidR="005F7704" w:rsidRPr="003733BF">
        <w:rPr>
          <w:rFonts w:ascii="Times New Roman" w:hAnsi="Times New Roman"/>
          <w:sz w:val="24"/>
          <w:szCs w:val="24"/>
        </w:rPr>
        <w:t xml:space="preserve"> Другими </w:t>
      </w:r>
      <w:r w:rsidR="00DC6DB7" w:rsidRPr="003733BF">
        <w:rPr>
          <w:rFonts w:ascii="Times New Roman" w:hAnsi="Times New Roman"/>
          <w:sz w:val="24"/>
          <w:szCs w:val="24"/>
        </w:rPr>
        <w:t>приоритетными направлениями</w:t>
      </w:r>
      <w:r w:rsidR="005F7704" w:rsidRPr="003733BF">
        <w:rPr>
          <w:rFonts w:ascii="Times New Roman" w:hAnsi="Times New Roman"/>
          <w:sz w:val="24"/>
          <w:szCs w:val="24"/>
        </w:rPr>
        <w:t xml:space="preserve">, в которых осуществляют свою деятельность индивидуальные предприниматели, являются: </w:t>
      </w:r>
      <w:r w:rsidR="00DC6DB7" w:rsidRPr="003733BF">
        <w:rPr>
          <w:rFonts w:ascii="Times New Roman" w:hAnsi="Times New Roman"/>
          <w:sz w:val="24"/>
          <w:szCs w:val="24"/>
        </w:rPr>
        <w:t>сфера</w:t>
      </w:r>
      <w:r w:rsidR="000943F5" w:rsidRPr="003733BF">
        <w:rPr>
          <w:rFonts w:ascii="Times New Roman" w:hAnsi="Times New Roman"/>
          <w:sz w:val="24"/>
          <w:szCs w:val="24"/>
        </w:rPr>
        <w:t xml:space="preserve"> услуг – 22,05</w:t>
      </w:r>
      <w:r w:rsidR="005F7704" w:rsidRPr="003733BF">
        <w:rPr>
          <w:rFonts w:ascii="Times New Roman" w:hAnsi="Times New Roman"/>
          <w:sz w:val="24"/>
          <w:szCs w:val="24"/>
        </w:rPr>
        <w:t xml:space="preserve">% (в </w:t>
      </w:r>
      <w:r w:rsidR="005F7704" w:rsidRPr="003733BF">
        <w:rPr>
          <w:rFonts w:ascii="Times New Roman" w:hAnsi="Times New Roman"/>
          <w:sz w:val="24"/>
          <w:szCs w:val="24"/>
          <w:lang w:val="en-US"/>
        </w:rPr>
        <w:t>I</w:t>
      </w:r>
      <w:r w:rsidR="005F7704" w:rsidRPr="003733BF">
        <w:rPr>
          <w:rFonts w:ascii="Times New Roman" w:hAnsi="Times New Roman"/>
          <w:sz w:val="24"/>
          <w:szCs w:val="24"/>
        </w:rPr>
        <w:t xml:space="preserve"> полугодии 2014 года</w:t>
      </w:r>
      <w:r w:rsidR="000943F5" w:rsidRPr="003733BF">
        <w:rPr>
          <w:rFonts w:ascii="Times New Roman" w:hAnsi="Times New Roman"/>
          <w:sz w:val="24"/>
          <w:szCs w:val="24"/>
        </w:rPr>
        <w:t xml:space="preserve"> – </w:t>
      </w:r>
      <w:r w:rsidR="00937826" w:rsidRPr="003733BF">
        <w:rPr>
          <w:rFonts w:ascii="Times New Roman" w:hAnsi="Times New Roman"/>
          <w:sz w:val="24"/>
          <w:szCs w:val="24"/>
        </w:rPr>
        <w:t>24,3</w:t>
      </w:r>
      <w:r w:rsidR="000943F5" w:rsidRPr="003733BF">
        <w:rPr>
          <w:rFonts w:ascii="Times New Roman" w:hAnsi="Times New Roman"/>
          <w:sz w:val="24"/>
          <w:szCs w:val="24"/>
        </w:rPr>
        <w:t>%), сельское хозяйство – 12,41</w:t>
      </w:r>
      <w:r w:rsidR="005F7704" w:rsidRPr="003733BF">
        <w:rPr>
          <w:rFonts w:ascii="Times New Roman" w:hAnsi="Times New Roman"/>
          <w:sz w:val="24"/>
          <w:szCs w:val="24"/>
        </w:rPr>
        <w:t xml:space="preserve">% (в январе-июне 2014 года – </w:t>
      </w:r>
      <w:r w:rsidR="000943F5" w:rsidRPr="003733BF">
        <w:rPr>
          <w:rFonts w:ascii="Times New Roman" w:hAnsi="Times New Roman"/>
          <w:sz w:val="24"/>
          <w:szCs w:val="24"/>
        </w:rPr>
        <w:t>11,</w:t>
      </w:r>
      <w:r w:rsidR="00937826" w:rsidRPr="003733BF">
        <w:rPr>
          <w:rFonts w:ascii="Times New Roman" w:hAnsi="Times New Roman"/>
          <w:sz w:val="24"/>
          <w:szCs w:val="24"/>
        </w:rPr>
        <w:t>3</w:t>
      </w:r>
      <w:r w:rsidR="000943F5" w:rsidRPr="003733BF">
        <w:rPr>
          <w:rFonts w:ascii="Times New Roman" w:hAnsi="Times New Roman"/>
          <w:sz w:val="24"/>
          <w:szCs w:val="24"/>
        </w:rPr>
        <w:t>%) и производство – 4,22</w:t>
      </w:r>
      <w:r w:rsidR="005F7704" w:rsidRPr="003733BF">
        <w:rPr>
          <w:rFonts w:ascii="Times New Roman" w:hAnsi="Times New Roman"/>
          <w:sz w:val="24"/>
          <w:szCs w:val="24"/>
        </w:rPr>
        <w:t xml:space="preserve">% </w:t>
      </w:r>
      <w:r w:rsidR="000943F5" w:rsidRPr="003733BF">
        <w:rPr>
          <w:rFonts w:ascii="Times New Roman" w:hAnsi="Times New Roman"/>
          <w:sz w:val="24"/>
          <w:szCs w:val="24"/>
        </w:rPr>
        <w:t xml:space="preserve"> </w:t>
      </w:r>
      <w:r w:rsidR="005F7704" w:rsidRPr="003733BF">
        <w:rPr>
          <w:rFonts w:ascii="Times New Roman" w:hAnsi="Times New Roman"/>
          <w:sz w:val="24"/>
          <w:szCs w:val="24"/>
        </w:rPr>
        <w:t xml:space="preserve">(в </w:t>
      </w:r>
      <w:r w:rsidR="005F7704" w:rsidRPr="003733BF">
        <w:rPr>
          <w:rFonts w:ascii="Times New Roman" w:hAnsi="Times New Roman"/>
          <w:sz w:val="24"/>
          <w:szCs w:val="24"/>
          <w:lang w:val="en-US"/>
        </w:rPr>
        <w:t>I</w:t>
      </w:r>
      <w:r w:rsidR="005F7704" w:rsidRPr="003733BF">
        <w:rPr>
          <w:rFonts w:ascii="Times New Roman" w:hAnsi="Times New Roman"/>
          <w:sz w:val="24"/>
          <w:szCs w:val="24"/>
        </w:rPr>
        <w:t xml:space="preserve"> полугодии 2014 года –</w:t>
      </w:r>
      <w:r w:rsidR="00DC6DB7" w:rsidRPr="003733BF">
        <w:rPr>
          <w:rFonts w:ascii="Times New Roman" w:hAnsi="Times New Roman"/>
          <w:sz w:val="24"/>
          <w:szCs w:val="24"/>
        </w:rPr>
        <w:t xml:space="preserve"> </w:t>
      </w:r>
      <w:r w:rsidR="00937826" w:rsidRPr="003733BF">
        <w:rPr>
          <w:rFonts w:ascii="Times New Roman" w:hAnsi="Times New Roman"/>
          <w:sz w:val="24"/>
          <w:szCs w:val="24"/>
        </w:rPr>
        <w:t>4,0</w:t>
      </w:r>
      <w:r w:rsidR="005F7704" w:rsidRPr="003733BF">
        <w:rPr>
          <w:rFonts w:ascii="Times New Roman" w:hAnsi="Times New Roman"/>
          <w:sz w:val="24"/>
          <w:szCs w:val="24"/>
        </w:rPr>
        <w:t>%).</w:t>
      </w:r>
    </w:p>
    <w:p w:rsidR="00003EF6" w:rsidRPr="003733BF" w:rsidRDefault="005F7704" w:rsidP="00003EF6">
      <w:pPr>
        <w:spacing w:after="0" w:line="240" w:lineRule="auto"/>
        <w:ind w:firstLine="709"/>
        <w:jc w:val="both"/>
        <w:rPr>
          <w:rFonts w:ascii="Times New Roman" w:hAnsi="Times New Roman"/>
          <w:sz w:val="24"/>
          <w:szCs w:val="24"/>
        </w:rPr>
      </w:pPr>
      <w:r w:rsidRPr="003733BF">
        <w:rPr>
          <w:rFonts w:ascii="Times New Roman" w:hAnsi="Times New Roman"/>
          <w:sz w:val="24"/>
          <w:szCs w:val="24"/>
        </w:rPr>
        <w:t>Наибольшее количество индивидуальных предпринимателей</w:t>
      </w:r>
      <w:r w:rsidR="00003EF6" w:rsidRPr="003733BF">
        <w:rPr>
          <w:rFonts w:ascii="Times New Roman" w:hAnsi="Times New Roman"/>
          <w:sz w:val="24"/>
          <w:szCs w:val="24"/>
        </w:rPr>
        <w:t>,</w:t>
      </w:r>
      <w:r w:rsidRPr="003733BF">
        <w:rPr>
          <w:rFonts w:ascii="Times New Roman" w:hAnsi="Times New Roman"/>
          <w:sz w:val="24"/>
          <w:szCs w:val="24"/>
        </w:rPr>
        <w:t xml:space="preserve"> осуществляющих свою деятельность в Приднестровской Молдавской Республике за </w:t>
      </w:r>
      <w:r w:rsidR="00DC6DB7" w:rsidRPr="003733BF">
        <w:rPr>
          <w:rFonts w:ascii="Times New Roman" w:hAnsi="Times New Roman"/>
          <w:sz w:val="24"/>
          <w:szCs w:val="24"/>
          <w:lang w:val="en-US"/>
        </w:rPr>
        <w:t>I</w:t>
      </w:r>
      <w:r w:rsidRPr="003733BF">
        <w:rPr>
          <w:rFonts w:ascii="Times New Roman" w:hAnsi="Times New Roman"/>
          <w:sz w:val="24"/>
          <w:szCs w:val="24"/>
        </w:rPr>
        <w:t xml:space="preserve"> полугодие 2015 года насчитывается в г. Тираспол</w:t>
      </w:r>
      <w:r w:rsidR="00DC6DB7" w:rsidRPr="003733BF">
        <w:rPr>
          <w:rFonts w:ascii="Times New Roman" w:hAnsi="Times New Roman"/>
          <w:sz w:val="24"/>
          <w:szCs w:val="24"/>
        </w:rPr>
        <w:t>ь</w:t>
      </w:r>
      <w:r w:rsidRPr="003733BF">
        <w:rPr>
          <w:rFonts w:ascii="Times New Roman" w:hAnsi="Times New Roman"/>
          <w:sz w:val="24"/>
          <w:szCs w:val="24"/>
        </w:rPr>
        <w:t xml:space="preserve"> и г Днестровск</w:t>
      </w:r>
      <w:r w:rsidR="00003EF6" w:rsidRPr="003733BF">
        <w:rPr>
          <w:rFonts w:ascii="Times New Roman" w:hAnsi="Times New Roman"/>
          <w:sz w:val="24"/>
          <w:szCs w:val="24"/>
        </w:rPr>
        <w:t xml:space="preserve"> (29,9% от общего количества индивидуальных предпринимателей по республике) и </w:t>
      </w:r>
      <w:r w:rsidRPr="003733BF">
        <w:rPr>
          <w:rFonts w:ascii="Times New Roman" w:hAnsi="Times New Roman"/>
          <w:sz w:val="24"/>
          <w:szCs w:val="24"/>
        </w:rPr>
        <w:t xml:space="preserve">в г. Бендеры – </w:t>
      </w:r>
      <w:r w:rsidR="00003EF6" w:rsidRPr="003733BF">
        <w:rPr>
          <w:rFonts w:ascii="Times New Roman" w:hAnsi="Times New Roman"/>
          <w:sz w:val="24"/>
          <w:szCs w:val="24"/>
        </w:rPr>
        <w:t>(19,72% от общего количества индивидуальных предпринимателей по республике) обеспечивших 58,0% всех поступлений от платы за предпринимательский патент и сумм обязательных страховых взносов. В</w:t>
      </w:r>
      <w:r w:rsidRPr="003733BF">
        <w:rPr>
          <w:rFonts w:ascii="Times New Roman" w:hAnsi="Times New Roman"/>
          <w:sz w:val="24"/>
          <w:szCs w:val="24"/>
        </w:rPr>
        <w:t xml:space="preserve"> г. Рыбница и Рыбницком районе </w:t>
      </w:r>
      <w:r w:rsidR="00003EF6" w:rsidRPr="003733BF">
        <w:rPr>
          <w:rFonts w:ascii="Times New Roman" w:hAnsi="Times New Roman"/>
          <w:sz w:val="24"/>
          <w:szCs w:val="24"/>
        </w:rPr>
        <w:t>сосредоточено 15,83</w:t>
      </w:r>
      <w:r w:rsidR="00DC6DB7" w:rsidRPr="003733BF">
        <w:rPr>
          <w:rFonts w:ascii="Times New Roman" w:hAnsi="Times New Roman"/>
          <w:sz w:val="24"/>
          <w:szCs w:val="24"/>
        </w:rPr>
        <w:t>%</w:t>
      </w:r>
      <w:r w:rsidR="00003EF6" w:rsidRPr="003733BF">
        <w:rPr>
          <w:rFonts w:ascii="Times New Roman" w:hAnsi="Times New Roman"/>
          <w:sz w:val="24"/>
          <w:szCs w:val="24"/>
        </w:rPr>
        <w:t xml:space="preserve"> от общего количества предпринимателей по республике</w:t>
      </w:r>
      <w:r w:rsidR="00DC6DB7" w:rsidRPr="003733BF">
        <w:rPr>
          <w:rFonts w:ascii="Times New Roman" w:hAnsi="Times New Roman"/>
          <w:sz w:val="24"/>
          <w:szCs w:val="24"/>
        </w:rPr>
        <w:t>, в г.</w:t>
      </w:r>
      <w:r w:rsidRPr="003733BF">
        <w:rPr>
          <w:rFonts w:ascii="Times New Roman" w:hAnsi="Times New Roman"/>
          <w:sz w:val="24"/>
          <w:szCs w:val="24"/>
        </w:rPr>
        <w:t xml:space="preserve"> Слободзея и Слободзейском районе – 11,39 %,</w:t>
      </w:r>
      <w:r w:rsidR="00003EF6" w:rsidRPr="003733BF">
        <w:rPr>
          <w:rFonts w:ascii="Times New Roman" w:hAnsi="Times New Roman"/>
          <w:sz w:val="24"/>
          <w:szCs w:val="24"/>
        </w:rPr>
        <w:t xml:space="preserve"> </w:t>
      </w:r>
      <w:r w:rsidRPr="003733BF">
        <w:rPr>
          <w:rFonts w:ascii="Times New Roman" w:hAnsi="Times New Roman"/>
          <w:sz w:val="24"/>
          <w:szCs w:val="24"/>
        </w:rPr>
        <w:t>в</w:t>
      </w:r>
      <w:r w:rsidR="000943F5" w:rsidRPr="003733BF">
        <w:rPr>
          <w:rFonts w:ascii="Times New Roman" w:hAnsi="Times New Roman"/>
          <w:sz w:val="24"/>
          <w:szCs w:val="24"/>
        </w:rPr>
        <w:t xml:space="preserve">           </w:t>
      </w:r>
      <w:r w:rsidR="00003EF6" w:rsidRPr="003733BF">
        <w:rPr>
          <w:rFonts w:ascii="Times New Roman" w:hAnsi="Times New Roman"/>
          <w:sz w:val="24"/>
          <w:szCs w:val="24"/>
        </w:rPr>
        <w:t xml:space="preserve"> </w:t>
      </w:r>
      <w:r w:rsidRPr="003733BF">
        <w:rPr>
          <w:rFonts w:ascii="Times New Roman" w:hAnsi="Times New Roman"/>
          <w:sz w:val="24"/>
          <w:szCs w:val="24"/>
        </w:rPr>
        <w:t>г</w:t>
      </w:r>
      <w:r w:rsidR="00DC6DB7" w:rsidRPr="003733BF">
        <w:rPr>
          <w:rFonts w:ascii="Times New Roman" w:hAnsi="Times New Roman"/>
          <w:sz w:val="24"/>
          <w:szCs w:val="24"/>
        </w:rPr>
        <w:t>.</w:t>
      </w:r>
      <w:r w:rsidRPr="003733BF">
        <w:rPr>
          <w:rFonts w:ascii="Times New Roman" w:hAnsi="Times New Roman"/>
          <w:sz w:val="24"/>
          <w:szCs w:val="24"/>
        </w:rPr>
        <w:t xml:space="preserve"> Дубоссары и Дубоссарском районе – 9,71 %, в г</w:t>
      </w:r>
      <w:r w:rsidR="00DC6DB7" w:rsidRPr="003733BF">
        <w:rPr>
          <w:rFonts w:ascii="Times New Roman" w:hAnsi="Times New Roman"/>
          <w:sz w:val="24"/>
          <w:szCs w:val="24"/>
        </w:rPr>
        <w:t>.</w:t>
      </w:r>
      <w:r w:rsidRPr="003733BF">
        <w:rPr>
          <w:rFonts w:ascii="Times New Roman" w:hAnsi="Times New Roman"/>
          <w:sz w:val="24"/>
          <w:szCs w:val="24"/>
        </w:rPr>
        <w:t xml:space="preserve"> Григориополь и Григориопольском районе – 7,84 %, в г</w:t>
      </w:r>
      <w:r w:rsidR="00DC6DB7" w:rsidRPr="003733BF">
        <w:rPr>
          <w:rFonts w:ascii="Times New Roman" w:hAnsi="Times New Roman"/>
          <w:sz w:val="24"/>
          <w:szCs w:val="24"/>
        </w:rPr>
        <w:t>.</w:t>
      </w:r>
      <w:r w:rsidRPr="003733BF">
        <w:rPr>
          <w:rFonts w:ascii="Times New Roman" w:hAnsi="Times New Roman"/>
          <w:sz w:val="24"/>
          <w:szCs w:val="24"/>
        </w:rPr>
        <w:t xml:space="preserve"> Каменка и Каменском районе – 5,6 %</w:t>
      </w:r>
      <w:r w:rsidR="00003EF6" w:rsidRPr="003733BF">
        <w:rPr>
          <w:rFonts w:ascii="Times New Roman" w:hAnsi="Times New Roman"/>
          <w:sz w:val="24"/>
          <w:szCs w:val="24"/>
        </w:rPr>
        <w:t xml:space="preserve"> соответственно</w:t>
      </w:r>
      <w:r w:rsidRPr="003733BF">
        <w:rPr>
          <w:rFonts w:ascii="Times New Roman" w:hAnsi="Times New Roman"/>
          <w:sz w:val="24"/>
          <w:szCs w:val="24"/>
        </w:rPr>
        <w:t>.</w:t>
      </w:r>
    </w:p>
    <w:p w:rsidR="00590F6F" w:rsidRPr="005B6731" w:rsidRDefault="00590F6F" w:rsidP="00590F6F">
      <w:pPr>
        <w:spacing w:after="0" w:line="240" w:lineRule="auto"/>
        <w:ind w:firstLine="709"/>
        <w:jc w:val="both"/>
        <w:rPr>
          <w:rFonts w:ascii="Times New Roman" w:hAnsi="Times New Roman"/>
          <w:bCs/>
          <w:sz w:val="24"/>
          <w:szCs w:val="24"/>
        </w:rPr>
      </w:pPr>
      <w:r w:rsidRPr="003733BF">
        <w:rPr>
          <w:rFonts w:ascii="Times New Roman" w:eastAsia="Calibri" w:hAnsi="Times New Roman"/>
          <w:sz w:val="24"/>
          <w:szCs w:val="24"/>
        </w:rPr>
        <w:t>На основании анализа выполнения мероприятий развития и поддержки малого предпринимательства, можно сделать вывод о том,</w:t>
      </w:r>
      <w:r w:rsidRPr="003733BF">
        <w:rPr>
          <w:rFonts w:ascii="Times New Roman" w:hAnsi="Times New Roman"/>
          <w:bCs/>
          <w:sz w:val="24"/>
          <w:szCs w:val="24"/>
        </w:rPr>
        <w:t xml:space="preserve"> что</w:t>
      </w:r>
      <w:r w:rsidRPr="00B17077">
        <w:rPr>
          <w:rFonts w:ascii="Times New Roman" w:hAnsi="Times New Roman"/>
          <w:bCs/>
          <w:sz w:val="24"/>
          <w:szCs w:val="24"/>
        </w:rPr>
        <w:t xml:space="preserve"> вклад малого предпринимательства в экономику республики с каждым годо</w:t>
      </w:r>
      <w:r>
        <w:rPr>
          <w:rFonts w:ascii="Times New Roman" w:hAnsi="Times New Roman"/>
          <w:bCs/>
          <w:sz w:val="24"/>
          <w:szCs w:val="24"/>
        </w:rPr>
        <w:t>м становится более существенным. Вместе с этим,</w:t>
      </w:r>
      <w:r w:rsidRPr="00B17077">
        <w:rPr>
          <w:rFonts w:ascii="Times New Roman" w:hAnsi="Times New Roman"/>
          <w:bCs/>
          <w:sz w:val="24"/>
          <w:szCs w:val="24"/>
        </w:rPr>
        <w:t xml:space="preserve"> </w:t>
      </w:r>
      <w:r>
        <w:rPr>
          <w:rFonts w:ascii="Times New Roman" w:hAnsi="Times New Roman"/>
          <w:bCs/>
          <w:sz w:val="24"/>
          <w:szCs w:val="24"/>
        </w:rPr>
        <w:t>н</w:t>
      </w:r>
      <w:r w:rsidRPr="00B17077">
        <w:rPr>
          <w:rFonts w:ascii="Times New Roman" w:eastAsia="Calibri" w:hAnsi="Times New Roman"/>
          <w:sz w:val="24"/>
          <w:szCs w:val="24"/>
        </w:rPr>
        <w:t>есмотря на созданные к настоящему времени в республике экономические и правовые основы, малое предпринимательство развивается темпами, недостаточными для удовлетворения потребностей экономики. Предпринимательская активность низкая, при этом подавляющее количество организаций малого бизнеса задействованы в отрасли торговли и общепита, в которой не создается валовой продукт с высокой добавленной стоимостью.</w:t>
      </w:r>
    </w:p>
    <w:p w:rsidR="00335844" w:rsidRDefault="00335844" w:rsidP="00335844">
      <w:pPr>
        <w:shd w:val="clear" w:color="auto" w:fill="FFFFFF"/>
        <w:spacing w:after="0" w:line="240" w:lineRule="auto"/>
        <w:ind w:firstLine="709"/>
        <w:jc w:val="both"/>
        <w:rPr>
          <w:rFonts w:ascii="Times New Roman" w:hAnsi="Times New Roman"/>
          <w:sz w:val="24"/>
          <w:szCs w:val="24"/>
        </w:rPr>
      </w:pPr>
    </w:p>
    <w:p w:rsidR="00335844" w:rsidRPr="0055533C" w:rsidRDefault="00335844" w:rsidP="00335844">
      <w:pPr>
        <w:spacing w:after="0" w:line="240" w:lineRule="auto"/>
        <w:ind w:firstLine="709"/>
        <w:rPr>
          <w:rFonts w:ascii="Times New Roman" w:hAnsi="Times New Roman"/>
          <w:b/>
          <w:sz w:val="24"/>
          <w:szCs w:val="24"/>
        </w:rPr>
      </w:pPr>
      <w:r w:rsidRPr="008209D9">
        <w:rPr>
          <w:rFonts w:ascii="Times New Roman" w:hAnsi="Times New Roman"/>
          <w:b/>
          <w:sz w:val="24"/>
          <w:szCs w:val="24"/>
        </w:rPr>
        <w:t>Экология</w:t>
      </w:r>
    </w:p>
    <w:p w:rsidR="00335844" w:rsidRPr="0055533C" w:rsidRDefault="00335844" w:rsidP="00335844">
      <w:pPr>
        <w:spacing w:after="0" w:line="240" w:lineRule="auto"/>
        <w:ind w:firstLine="709"/>
        <w:rPr>
          <w:rFonts w:ascii="Times New Roman" w:hAnsi="Times New Roman"/>
          <w:b/>
          <w:sz w:val="24"/>
          <w:szCs w:val="24"/>
        </w:rPr>
      </w:pP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Экологическая ситуация, сложившаяся на территории Приднестровской Молдавской Республики, и специфика проблем окружающей среды в каждом из ее районов определяются особенностью местных природно-климатических условий, а также характером и масштабами воздействия реального сектора, транспорта, сельского и коммунального хозяйства на окружающую природную среду.</w:t>
      </w:r>
    </w:p>
    <w:p w:rsidR="00335844" w:rsidRPr="0055533C" w:rsidRDefault="00335844" w:rsidP="00335844">
      <w:pPr>
        <w:spacing w:after="0" w:line="240" w:lineRule="auto"/>
        <w:ind w:firstLine="709"/>
        <w:jc w:val="both"/>
        <w:rPr>
          <w:rFonts w:ascii="Times New Roman" w:hAnsi="Times New Roman"/>
          <w:spacing w:val="6"/>
          <w:sz w:val="24"/>
          <w:szCs w:val="24"/>
        </w:rPr>
      </w:pPr>
      <w:r w:rsidRPr="0055533C">
        <w:rPr>
          <w:rFonts w:ascii="Times New Roman" w:hAnsi="Times New Roman"/>
          <w:sz w:val="24"/>
          <w:szCs w:val="24"/>
        </w:rPr>
        <w:t xml:space="preserve">По итогам </w:t>
      </w:r>
      <w:r w:rsidRPr="0055533C">
        <w:rPr>
          <w:rFonts w:ascii="Times New Roman" w:hAnsi="Times New Roman"/>
          <w:sz w:val="24"/>
          <w:szCs w:val="24"/>
          <w:lang w:val="en-US"/>
        </w:rPr>
        <w:t>I</w:t>
      </w:r>
      <w:r w:rsidRPr="0055533C">
        <w:rPr>
          <w:rFonts w:ascii="Times New Roman" w:hAnsi="Times New Roman"/>
          <w:sz w:val="24"/>
          <w:szCs w:val="24"/>
        </w:rPr>
        <w:t xml:space="preserve"> полугодия 2015 года </w:t>
      </w:r>
      <w:r w:rsidRPr="0055533C">
        <w:rPr>
          <w:rFonts w:ascii="Times New Roman" w:hAnsi="Times New Roman"/>
          <w:spacing w:val="6"/>
          <w:sz w:val="24"/>
          <w:szCs w:val="24"/>
        </w:rPr>
        <w:t xml:space="preserve">в результате роста выбросов загрязняющих веществ от стационарных источников по г. Днестровск (+35,1), а также увеличения выбросов вредных веществ от передвижных источников по г. Рыбница и Рыбницкому району (в 2,2 раза) и г. Тирасполь (+3,5%) , </w:t>
      </w:r>
      <w:r w:rsidRPr="0055533C">
        <w:rPr>
          <w:rFonts w:ascii="Times New Roman" w:hAnsi="Times New Roman"/>
          <w:b/>
          <w:i/>
          <w:spacing w:val="12"/>
          <w:sz w:val="24"/>
          <w:szCs w:val="24"/>
        </w:rPr>
        <w:t xml:space="preserve">валовой </w:t>
      </w:r>
      <w:r w:rsidRPr="0055533C">
        <w:rPr>
          <w:rFonts w:ascii="Times New Roman" w:hAnsi="Times New Roman"/>
          <w:b/>
          <w:i/>
          <w:sz w:val="24"/>
          <w:szCs w:val="24"/>
        </w:rPr>
        <w:t>выброс загрязняющих веществ</w:t>
      </w:r>
      <w:r w:rsidRPr="0055533C">
        <w:rPr>
          <w:rFonts w:ascii="Times New Roman" w:hAnsi="Times New Roman"/>
          <w:sz w:val="24"/>
          <w:szCs w:val="24"/>
        </w:rPr>
        <w:t xml:space="preserve"> в целом по республике вырос</w:t>
      </w:r>
      <w:r w:rsidRPr="0055533C">
        <w:rPr>
          <w:rFonts w:ascii="Times New Roman" w:hAnsi="Times New Roman"/>
          <w:spacing w:val="3"/>
          <w:sz w:val="24"/>
          <w:szCs w:val="24"/>
        </w:rPr>
        <w:t xml:space="preserve"> по отношению к показателю января-июня 2014 года </w:t>
      </w:r>
      <w:r w:rsidRPr="0055533C">
        <w:rPr>
          <w:rFonts w:ascii="Times New Roman" w:hAnsi="Times New Roman"/>
          <w:spacing w:val="2"/>
          <w:sz w:val="24"/>
          <w:szCs w:val="24"/>
        </w:rPr>
        <w:t xml:space="preserve">на 2,1% и достиг </w:t>
      </w:r>
      <w:r w:rsidRPr="0055533C">
        <w:rPr>
          <w:rFonts w:ascii="Times New Roman" w:hAnsi="Times New Roman"/>
          <w:b/>
          <w:spacing w:val="2"/>
          <w:sz w:val="24"/>
          <w:szCs w:val="24"/>
        </w:rPr>
        <w:t>26 636,4</w:t>
      </w:r>
      <w:r w:rsidRPr="0055533C">
        <w:rPr>
          <w:rFonts w:ascii="Times New Roman" w:hAnsi="Times New Roman"/>
          <w:b/>
          <w:spacing w:val="6"/>
          <w:sz w:val="24"/>
          <w:szCs w:val="24"/>
        </w:rPr>
        <w:t xml:space="preserve"> тонн.</w:t>
      </w:r>
    </w:p>
    <w:p w:rsidR="00335844" w:rsidRPr="0055533C" w:rsidRDefault="00335844" w:rsidP="00335844">
      <w:pPr>
        <w:spacing w:after="0" w:line="240" w:lineRule="auto"/>
        <w:ind w:firstLine="720"/>
        <w:jc w:val="both"/>
        <w:rPr>
          <w:rFonts w:ascii="Times New Roman" w:hAnsi="Times New Roman"/>
          <w:spacing w:val="6"/>
          <w:sz w:val="24"/>
          <w:szCs w:val="24"/>
        </w:rPr>
      </w:pPr>
      <w:r w:rsidRPr="0055533C">
        <w:rPr>
          <w:rFonts w:ascii="Times New Roman" w:hAnsi="Times New Roman"/>
          <w:spacing w:val="6"/>
          <w:sz w:val="24"/>
          <w:szCs w:val="24"/>
        </w:rPr>
        <w:t xml:space="preserve">Выбросы вредных веществ </w:t>
      </w:r>
      <w:r w:rsidRPr="0055533C">
        <w:rPr>
          <w:rFonts w:ascii="Times New Roman" w:hAnsi="Times New Roman"/>
          <w:i/>
          <w:spacing w:val="6"/>
          <w:sz w:val="24"/>
          <w:szCs w:val="24"/>
        </w:rPr>
        <w:t xml:space="preserve">от стационарных источников </w:t>
      </w:r>
      <w:r w:rsidRPr="0055533C">
        <w:rPr>
          <w:rFonts w:ascii="Times New Roman" w:hAnsi="Times New Roman"/>
          <w:spacing w:val="6"/>
          <w:sz w:val="24"/>
          <w:szCs w:val="24"/>
        </w:rPr>
        <w:t>в целом по республике снизились на 4,5% к уровню I полугодия 2014 года, составив 6 307,8 тонн. По всем городам и районам, за исключением г. Днестровск и г. Бендеры, отмечено уменьшение выбросов вредных веществ в атмосферу от стационарных источников.</w:t>
      </w:r>
    </w:p>
    <w:p w:rsidR="00335844" w:rsidRDefault="00335844" w:rsidP="00335844">
      <w:pPr>
        <w:spacing w:after="0" w:line="240" w:lineRule="auto"/>
        <w:ind w:firstLine="720"/>
        <w:jc w:val="both"/>
        <w:rPr>
          <w:rFonts w:ascii="Times New Roman" w:eastAsia="Calibri" w:hAnsi="Times New Roman"/>
          <w:sz w:val="24"/>
          <w:szCs w:val="24"/>
        </w:rPr>
      </w:pPr>
      <w:r w:rsidRPr="0055533C">
        <w:rPr>
          <w:rFonts w:ascii="Times New Roman" w:hAnsi="Times New Roman"/>
          <w:spacing w:val="6"/>
          <w:sz w:val="24"/>
          <w:szCs w:val="24"/>
        </w:rPr>
        <w:t>У</w:t>
      </w:r>
      <w:r w:rsidRPr="0055533C">
        <w:rPr>
          <w:rFonts w:ascii="Times New Roman" w:eastAsia="Calibri" w:hAnsi="Times New Roman"/>
          <w:sz w:val="24"/>
          <w:szCs w:val="24"/>
        </w:rPr>
        <w:t xml:space="preserve">меньшение количества выбросов загрязняющих веществ от стационарных источников объясняется в основном за счет сокращения выпуска продукции на ведущих предприятиях </w:t>
      </w:r>
      <w:r w:rsidRPr="0055533C">
        <w:rPr>
          <w:rFonts w:ascii="Times New Roman" w:hAnsi="Times New Roman"/>
          <w:spacing w:val="6"/>
          <w:sz w:val="24"/>
          <w:szCs w:val="24"/>
        </w:rPr>
        <w:t>г. Рыбница и Рыбницкого района</w:t>
      </w:r>
      <w:r w:rsidRPr="0055533C">
        <w:rPr>
          <w:rFonts w:ascii="Times New Roman" w:eastAsia="Calibri" w:hAnsi="Times New Roman"/>
          <w:sz w:val="24"/>
          <w:szCs w:val="24"/>
        </w:rPr>
        <w:t>: ОАО «Молдавский металлургический завод» и ЗАО «Рыбницкий цементный комбинат». На дол</w:t>
      </w:r>
      <w:r w:rsidRPr="0055533C">
        <w:rPr>
          <w:rFonts w:ascii="Times New Roman" w:hAnsi="Times New Roman"/>
          <w:sz w:val="24"/>
          <w:szCs w:val="24"/>
        </w:rPr>
        <w:t>ю этих предприятий пришлось 89,2</w:t>
      </w:r>
      <w:r w:rsidRPr="0055533C">
        <w:rPr>
          <w:rFonts w:ascii="Times New Roman" w:eastAsia="Calibri" w:hAnsi="Times New Roman"/>
          <w:sz w:val="24"/>
          <w:szCs w:val="24"/>
        </w:rPr>
        <w:t>% выбросов загрязняющих веществ от общего объема выбросов, отходящих от стационарных источников.</w:t>
      </w:r>
    </w:p>
    <w:p w:rsidR="00B5001E" w:rsidRDefault="00B5001E" w:rsidP="00335844">
      <w:pPr>
        <w:spacing w:after="0" w:line="240" w:lineRule="auto"/>
        <w:ind w:firstLine="720"/>
        <w:jc w:val="both"/>
        <w:rPr>
          <w:rFonts w:ascii="Times New Roman" w:eastAsia="Calibri" w:hAnsi="Times New Roman"/>
          <w:sz w:val="24"/>
          <w:szCs w:val="24"/>
        </w:rPr>
      </w:pPr>
    </w:p>
    <w:p w:rsidR="00B5001E" w:rsidRDefault="00B5001E" w:rsidP="0044462C">
      <w:pPr>
        <w:spacing w:after="0" w:line="240" w:lineRule="auto"/>
        <w:jc w:val="both"/>
        <w:rPr>
          <w:rFonts w:ascii="Times New Roman" w:eastAsia="Calibri" w:hAnsi="Times New Roman"/>
          <w:sz w:val="24"/>
          <w:szCs w:val="24"/>
        </w:rPr>
      </w:pPr>
    </w:p>
    <w:p w:rsidR="00335844" w:rsidRPr="0055533C" w:rsidRDefault="00335844" w:rsidP="00335844">
      <w:pPr>
        <w:spacing w:after="0" w:line="240" w:lineRule="auto"/>
        <w:ind w:firstLine="720"/>
        <w:jc w:val="right"/>
        <w:rPr>
          <w:rFonts w:ascii="Times New Roman" w:hAnsi="Times New Roman"/>
          <w:b/>
          <w:sz w:val="24"/>
          <w:szCs w:val="24"/>
        </w:rPr>
      </w:pPr>
      <w:r w:rsidRPr="0055533C">
        <w:rPr>
          <w:rFonts w:ascii="Times New Roman" w:hAnsi="Times New Roman"/>
          <w:sz w:val="24"/>
          <w:szCs w:val="24"/>
        </w:rPr>
        <w:lastRenderedPageBreak/>
        <w:t>Таблица №</w:t>
      </w:r>
      <w:r w:rsidR="00494A9C">
        <w:rPr>
          <w:rFonts w:ascii="Times New Roman" w:hAnsi="Times New Roman"/>
          <w:sz w:val="24"/>
          <w:szCs w:val="24"/>
        </w:rPr>
        <w:t>1</w:t>
      </w:r>
      <w:r w:rsidR="005018DA">
        <w:rPr>
          <w:rFonts w:ascii="Times New Roman" w:hAnsi="Times New Roman"/>
          <w:sz w:val="24"/>
          <w:szCs w:val="24"/>
        </w:rPr>
        <w:t>7</w:t>
      </w:r>
    </w:p>
    <w:p w:rsidR="00335844" w:rsidRPr="0055533C" w:rsidRDefault="00335844" w:rsidP="00335844">
      <w:pPr>
        <w:spacing w:after="0" w:line="240" w:lineRule="auto"/>
        <w:ind w:firstLine="720"/>
        <w:jc w:val="center"/>
        <w:rPr>
          <w:rFonts w:ascii="Times New Roman" w:hAnsi="Times New Roman"/>
          <w:b/>
          <w:sz w:val="24"/>
          <w:szCs w:val="24"/>
        </w:rPr>
      </w:pPr>
      <w:r w:rsidRPr="0055533C">
        <w:rPr>
          <w:rFonts w:ascii="Times New Roman" w:hAnsi="Times New Roman"/>
          <w:b/>
          <w:sz w:val="24"/>
          <w:szCs w:val="24"/>
        </w:rPr>
        <w:t xml:space="preserve">Выбросы вредных веществ в атмосферный воздух в разрезе городов и районов за </w:t>
      </w:r>
      <w:r w:rsidRPr="0055533C">
        <w:rPr>
          <w:rFonts w:ascii="Times New Roman" w:hAnsi="Times New Roman"/>
          <w:b/>
          <w:sz w:val="24"/>
          <w:szCs w:val="24"/>
          <w:lang w:val="en-US"/>
        </w:rPr>
        <w:t>I</w:t>
      </w:r>
      <w:r w:rsidRPr="0055533C">
        <w:rPr>
          <w:rFonts w:ascii="Times New Roman" w:hAnsi="Times New Roman"/>
          <w:b/>
          <w:sz w:val="24"/>
          <w:szCs w:val="24"/>
        </w:rPr>
        <w:t xml:space="preserve"> полугодие 2015 год</w:t>
      </w:r>
    </w:p>
    <w:p w:rsidR="00335844" w:rsidRPr="0055533C" w:rsidRDefault="00335844" w:rsidP="00335844">
      <w:pPr>
        <w:spacing w:after="0" w:line="240" w:lineRule="auto"/>
        <w:ind w:firstLine="720"/>
        <w:jc w:val="right"/>
        <w:rPr>
          <w:rFonts w:ascii="Times New Roman" w:hAnsi="Times New Roman"/>
          <w:i/>
          <w:sz w:val="24"/>
          <w:szCs w:val="24"/>
        </w:rPr>
      </w:pPr>
      <w:r w:rsidRPr="0055533C">
        <w:rPr>
          <w:rFonts w:ascii="Times New Roman" w:hAnsi="Times New Roman"/>
          <w:i/>
          <w:sz w:val="24"/>
          <w:szCs w:val="24"/>
        </w:rPr>
        <w:t>(тонн, %)</w:t>
      </w:r>
    </w:p>
    <w:tbl>
      <w:tblPr>
        <w:tblW w:w="9911"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9"/>
        <w:gridCol w:w="1232"/>
        <w:gridCol w:w="941"/>
        <w:gridCol w:w="1232"/>
        <w:gridCol w:w="942"/>
        <w:gridCol w:w="1232"/>
        <w:gridCol w:w="903"/>
      </w:tblGrid>
      <w:tr w:rsidR="00335844" w:rsidRPr="0055533C" w:rsidTr="003F67B2">
        <w:trPr>
          <w:trHeight w:val="468"/>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Город, район</w:t>
            </w:r>
          </w:p>
        </w:tc>
        <w:tc>
          <w:tcPr>
            <w:tcW w:w="2046" w:type="dxa"/>
            <w:gridSpan w:val="2"/>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Всего</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От стационарных источников</w:t>
            </w:r>
          </w:p>
        </w:tc>
        <w:tc>
          <w:tcPr>
            <w:tcW w:w="2142" w:type="dxa"/>
            <w:gridSpan w:val="2"/>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sz w:val="24"/>
                <w:szCs w:val="24"/>
              </w:rPr>
            </w:pPr>
            <w:r w:rsidRPr="0055533C">
              <w:rPr>
                <w:rFonts w:ascii="Times New Roman" w:hAnsi="Times New Roman"/>
                <w:b/>
              </w:rPr>
              <w:t>От передвижных источников</w:t>
            </w:r>
          </w:p>
        </w:tc>
      </w:tr>
      <w:tr w:rsidR="00335844" w:rsidRPr="0055533C" w:rsidTr="003F67B2">
        <w:trPr>
          <w:trHeight w:val="136"/>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b/>
              </w:rPr>
            </w:pP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lang w:val="en-US"/>
              </w:rPr>
              <w:t xml:space="preserve">I полугодие </w:t>
            </w:r>
            <w:r w:rsidRPr="0055533C">
              <w:rPr>
                <w:rFonts w:ascii="Times New Roman" w:hAnsi="Times New Roman"/>
                <w:b/>
              </w:rPr>
              <w:t>2015г.</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в % к 2014г.</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lang w:val="en-US"/>
              </w:rPr>
              <w:t xml:space="preserve">I полугодие </w:t>
            </w:r>
            <w:r w:rsidRPr="0055533C">
              <w:rPr>
                <w:rFonts w:ascii="Times New Roman" w:hAnsi="Times New Roman"/>
                <w:b/>
              </w:rPr>
              <w:t>2015г.</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в % к 2014г.</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lang w:val="en-US"/>
              </w:rPr>
              <w:t xml:space="preserve">I полугодие </w:t>
            </w:r>
            <w:r w:rsidRPr="0055533C">
              <w:rPr>
                <w:rFonts w:ascii="Times New Roman" w:hAnsi="Times New Roman"/>
                <w:b/>
              </w:rPr>
              <w:t>2015г.</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center"/>
              <w:rPr>
                <w:rFonts w:ascii="Times New Roman" w:hAnsi="Times New Roman"/>
                <w:b/>
              </w:rPr>
            </w:pPr>
            <w:r w:rsidRPr="0055533C">
              <w:rPr>
                <w:rFonts w:ascii="Times New Roman" w:hAnsi="Times New Roman"/>
                <w:b/>
              </w:rPr>
              <w:t>в % к. 2014г.</w:t>
            </w:r>
          </w:p>
        </w:tc>
      </w:tr>
      <w:tr w:rsidR="00335844" w:rsidRPr="0055533C" w:rsidTr="003F67B2">
        <w:trPr>
          <w:trHeight w:val="24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Тирасполь</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5 457,5</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102,7</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814,7</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98,0</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4 642,8</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103,5</w:t>
            </w:r>
          </w:p>
        </w:tc>
      </w:tr>
      <w:tr w:rsidR="00335844" w:rsidRPr="0055533C" w:rsidTr="003F67B2">
        <w:trPr>
          <w:trHeight w:val="24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Днестровск</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2 929,8</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133,6</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2 878,5</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135,1</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51,3</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81,4</w:t>
            </w:r>
          </w:p>
        </w:tc>
      </w:tr>
      <w:tr w:rsidR="00335844" w:rsidRPr="0055533C" w:rsidTr="003F67B2">
        <w:trPr>
          <w:trHeight w:val="468"/>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left="368"/>
              <w:rPr>
                <w:rFonts w:ascii="Times New Roman" w:hAnsi="Times New Roman"/>
                <w:i/>
              </w:rPr>
            </w:pPr>
            <w:r w:rsidRPr="0055533C">
              <w:rPr>
                <w:rFonts w:ascii="Times New Roman" w:hAnsi="Times New Roman"/>
                <w:i/>
              </w:rPr>
              <w:t>в том числе:</w:t>
            </w:r>
          </w:p>
          <w:p w:rsidR="00335844" w:rsidRPr="0055533C" w:rsidRDefault="00335844" w:rsidP="003F67B2">
            <w:pPr>
              <w:spacing w:after="0" w:line="240" w:lineRule="auto"/>
              <w:ind w:left="368"/>
              <w:rPr>
                <w:rFonts w:ascii="Times New Roman" w:hAnsi="Times New Roman"/>
              </w:rPr>
            </w:pPr>
            <w:r w:rsidRPr="0055533C">
              <w:rPr>
                <w:rFonts w:ascii="Times New Roman" w:hAnsi="Times New Roman"/>
              </w:rPr>
              <w:t>ЗАО «Молдавская ГРЭС"</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2 925,5</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133,6</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2 874,2</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135,2</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51,3</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81,4</w:t>
            </w:r>
          </w:p>
        </w:tc>
      </w:tr>
      <w:tr w:rsidR="00335844" w:rsidRPr="0055533C" w:rsidTr="003F67B2">
        <w:trPr>
          <w:trHeight w:val="227"/>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Бендеры</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2 596,4</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75,1</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325,5</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102,3</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2 270,9</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72,3</w:t>
            </w:r>
          </w:p>
        </w:tc>
      </w:tr>
      <w:tr w:rsidR="00335844" w:rsidRPr="0055533C" w:rsidTr="003F67B2">
        <w:trPr>
          <w:trHeight w:val="24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Рыбница и Рыбницкий р-н</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8 631,1</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149,9</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1 746,6</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68,4</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6 884,5</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215,0</w:t>
            </w:r>
          </w:p>
        </w:tc>
      </w:tr>
      <w:tr w:rsidR="00335844" w:rsidRPr="0055533C" w:rsidTr="003F67B2">
        <w:trPr>
          <w:trHeight w:val="24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Дубоссары и Дубоссарский р-н</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1 948,6</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57,9</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61,0</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70,1</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1 887,6</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57,5</w:t>
            </w:r>
          </w:p>
        </w:tc>
      </w:tr>
      <w:tr w:rsidR="00335844" w:rsidRPr="0055533C" w:rsidTr="003F67B2">
        <w:trPr>
          <w:trHeight w:val="468"/>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 xml:space="preserve">г. Григориополь и Григориопольский р-н </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875,6</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68,5</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41,0</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66,8</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834,6</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68,6</w:t>
            </w:r>
          </w:p>
        </w:tc>
      </w:tr>
      <w:tr w:rsidR="00335844" w:rsidRPr="0055533C" w:rsidTr="003F67B2">
        <w:trPr>
          <w:trHeight w:val="227"/>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Слободзея и Слободзейский р-н</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3 878,9</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92,1</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425,8</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70,6</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3 453,1</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95,7</w:t>
            </w:r>
          </w:p>
        </w:tc>
      </w:tr>
      <w:tr w:rsidR="00335844" w:rsidRPr="0055533C" w:rsidTr="003F67B2">
        <w:trPr>
          <w:trHeight w:val="24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rPr>
                <w:rFonts w:ascii="Times New Roman" w:hAnsi="Times New Roman"/>
              </w:rPr>
            </w:pPr>
            <w:r w:rsidRPr="0055533C">
              <w:rPr>
                <w:rFonts w:ascii="Times New Roman" w:hAnsi="Times New Roman"/>
              </w:rPr>
              <w:t>г. Каменка и Каменский р-н</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Cs/>
              </w:rPr>
            </w:pPr>
            <w:r w:rsidRPr="0055533C">
              <w:rPr>
                <w:rFonts w:ascii="Times New Roman" w:hAnsi="Times New Roman"/>
                <w:bCs/>
              </w:rPr>
              <w:t>318,5</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right="57"/>
              <w:jc w:val="right"/>
              <w:rPr>
                <w:rFonts w:ascii="Times New Roman" w:hAnsi="Times New Roman"/>
              </w:rPr>
            </w:pPr>
            <w:r w:rsidRPr="0055533C">
              <w:rPr>
                <w:rFonts w:ascii="Times New Roman" w:hAnsi="Times New Roman"/>
              </w:rPr>
              <w:t>62,6</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rPr>
            </w:pPr>
            <w:r w:rsidRPr="0055533C">
              <w:rPr>
                <w:rFonts w:ascii="Times New Roman" w:hAnsi="Times New Roman"/>
              </w:rPr>
              <w:t>14,7</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right="57"/>
              <w:jc w:val="right"/>
              <w:rPr>
                <w:rFonts w:ascii="Times New Roman" w:hAnsi="Times New Roman"/>
              </w:rPr>
            </w:pPr>
            <w:r w:rsidRPr="0055533C">
              <w:rPr>
                <w:rFonts w:ascii="Times New Roman" w:hAnsi="Times New Roman"/>
              </w:rPr>
              <w:t>86,5</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rPr>
            </w:pPr>
            <w:r w:rsidRPr="0055533C">
              <w:rPr>
                <w:rFonts w:ascii="Times New Roman" w:hAnsi="Times New Roman"/>
              </w:rPr>
              <w:t>303,8</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right="57"/>
              <w:jc w:val="right"/>
              <w:rPr>
                <w:rFonts w:ascii="Times New Roman" w:hAnsi="Times New Roman"/>
              </w:rPr>
            </w:pPr>
            <w:r w:rsidRPr="0055533C">
              <w:rPr>
                <w:rFonts w:ascii="Times New Roman" w:hAnsi="Times New Roman"/>
              </w:rPr>
              <w:t>61,8</w:t>
            </w:r>
          </w:p>
        </w:tc>
      </w:tr>
      <w:tr w:rsidR="00335844" w:rsidRPr="0055533C" w:rsidTr="003F67B2">
        <w:trPr>
          <w:trHeight w:val="148"/>
          <w:jc w:val="center"/>
        </w:trPr>
        <w:tc>
          <w:tcPr>
            <w:tcW w:w="3539" w:type="dxa"/>
            <w:tcBorders>
              <w:top w:val="single" w:sz="4" w:space="0" w:color="auto"/>
              <w:left w:val="single" w:sz="4" w:space="0" w:color="auto"/>
              <w:bottom w:val="single" w:sz="4" w:space="0" w:color="auto"/>
              <w:right w:val="single" w:sz="4" w:space="0" w:color="auto"/>
            </w:tcBorders>
            <w:hideMark/>
          </w:tcPr>
          <w:p w:rsidR="00335844" w:rsidRPr="0055533C" w:rsidRDefault="00335844" w:rsidP="003F67B2">
            <w:pPr>
              <w:spacing w:after="0" w:line="240" w:lineRule="auto"/>
              <w:rPr>
                <w:rFonts w:ascii="Times New Roman" w:hAnsi="Times New Roman"/>
                <w:b/>
              </w:rPr>
            </w:pPr>
            <w:r w:rsidRPr="0055533C">
              <w:rPr>
                <w:rFonts w:ascii="Times New Roman" w:hAnsi="Times New Roman"/>
                <w:b/>
              </w:rPr>
              <w:t>Всего</w:t>
            </w:r>
          </w:p>
        </w:tc>
        <w:tc>
          <w:tcPr>
            <w:tcW w:w="1095"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
                <w:bCs/>
              </w:rPr>
            </w:pPr>
            <w:r w:rsidRPr="0055533C">
              <w:rPr>
                <w:rFonts w:ascii="Times New Roman" w:hAnsi="Times New Roman"/>
                <w:b/>
                <w:bCs/>
              </w:rPr>
              <w:t>26 636,4</w:t>
            </w:r>
          </w:p>
        </w:tc>
        <w:tc>
          <w:tcPr>
            <w:tcW w:w="951"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right="57"/>
              <w:jc w:val="right"/>
              <w:rPr>
                <w:rFonts w:ascii="Times New Roman" w:hAnsi="Times New Roman"/>
                <w:b/>
              </w:rPr>
            </w:pPr>
            <w:r w:rsidRPr="0055533C">
              <w:rPr>
                <w:rFonts w:ascii="Times New Roman" w:hAnsi="Times New Roman"/>
                <w:b/>
              </w:rPr>
              <w:t>102,1</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
              </w:rPr>
            </w:pPr>
            <w:r w:rsidRPr="0055533C">
              <w:rPr>
                <w:rFonts w:ascii="Times New Roman" w:hAnsi="Times New Roman"/>
                <w:b/>
              </w:rPr>
              <w:t>6 307,8</w:t>
            </w:r>
          </w:p>
        </w:tc>
        <w:tc>
          <w:tcPr>
            <w:tcW w:w="95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right="57"/>
              <w:jc w:val="right"/>
              <w:rPr>
                <w:rFonts w:ascii="Times New Roman" w:hAnsi="Times New Roman"/>
                <w:b/>
              </w:rPr>
            </w:pPr>
            <w:r w:rsidRPr="0055533C">
              <w:rPr>
                <w:rFonts w:ascii="Times New Roman" w:hAnsi="Times New Roman"/>
                <w:b/>
              </w:rPr>
              <w:t>95,5</w:t>
            </w:r>
          </w:p>
        </w:tc>
        <w:tc>
          <w:tcPr>
            <w:tcW w:w="1232"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jc w:val="right"/>
              <w:rPr>
                <w:rFonts w:ascii="Times New Roman" w:hAnsi="Times New Roman"/>
                <w:b/>
              </w:rPr>
            </w:pPr>
            <w:r w:rsidRPr="0055533C">
              <w:rPr>
                <w:rFonts w:ascii="Times New Roman" w:hAnsi="Times New Roman"/>
                <w:b/>
              </w:rPr>
              <w:t>20 328,6</w:t>
            </w:r>
          </w:p>
        </w:tc>
        <w:tc>
          <w:tcPr>
            <w:tcW w:w="910" w:type="dxa"/>
            <w:tcBorders>
              <w:top w:val="single" w:sz="4" w:space="0" w:color="auto"/>
              <w:left w:val="single" w:sz="4" w:space="0" w:color="auto"/>
              <w:bottom w:val="single" w:sz="4" w:space="0" w:color="auto"/>
              <w:right w:val="single" w:sz="4" w:space="0" w:color="auto"/>
            </w:tcBorders>
            <w:vAlign w:val="center"/>
            <w:hideMark/>
          </w:tcPr>
          <w:p w:rsidR="00335844" w:rsidRPr="0055533C" w:rsidRDefault="00335844" w:rsidP="003F67B2">
            <w:pPr>
              <w:spacing w:after="0" w:line="240" w:lineRule="auto"/>
              <w:ind w:right="57"/>
              <w:jc w:val="right"/>
              <w:rPr>
                <w:rFonts w:ascii="Times New Roman" w:hAnsi="Times New Roman"/>
                <w:b/>
              </w:rPr>
            </w:pPr>
            <w:r w:rsidRPr="0055533C">
              <w:rPr>
                <w:rFonts w:ascii="Times New Roman" w:hAnsi="Times New Roman"/>
                <w:b/>
              </w:rPr>
              <w:t>104,3</w:t>
            </w:r>
          </w:p>
        </w:tc>
      </w:tr>
    </w:tbl>
    <w:p w:rsidR="00335844" w:rsidRPr="0055533C" w:rsidRDefault="00335844" w:rsidP="00335844">
      <w:pPr>
        <w:spacing w:after="0" w:line="240" w:lineRule="auto"/>
        <w:ind w:firstLine="720"/>
        <w:jc w:val="both"/>
        <w:rPr>
          <w:rFonts w:ascii="Times New Roman" w:hAnsi="Times New Roman"/>
          <w:spacing w:val="6"/>
          <w:sz w:val="24"/>
          <w:szCs w:val="24"/>
        </w:rPr>
      </w:pPr>
    </w:p>
    <w:p w:rsidR="00335844" w:rsidRPr="0055533C" w:rsidRDefault="00335844" w:rsidP="00335844">
      <w:pPr>
        <w:spacing w:after="0" w:line="240" w:lineRule="auto"/>
        <w:ind w:firstLine="709"/>
        <w:jc w:val="both"/>
        <w:rPr>
          <w:rFonts w:ascii="Times New Roman" w:hAnsi="Times New Roman"/>
          <w:spacing w:val="6"/>
          <w:sz w:val="24"/>
          <w:szCs w:val="24"/>
        </w:rPr>
      </w:pPr>
      <w:r w:rsidRPr="0055533C">
        <w:rPr>
          <w:rFonts w:ascii="Times New Roman" w:hAnsi="Times New Roman"/>
          <w:spacing w:val="6"/>
          <w:sz w:val="24"/>
          <w:szCs w:val="24"/>
        </w:rPr>
        <w:t>При этом рост выбросов загрязняющих веществ в атмосферу от стационарных источников зафиксирован по г. Днестровск (+35,1), за счет увеличения выработки электроэнергии на ЗАО «Молдавская ГРЭС», что в свою очередь вызвало увеличение потребления газообразного топлива и мазута и как следствие привело к росту выбросов загрязняющих веществ в атмосферу.</w:t>
      </w:r>
    </w:p>
    <w:p w:rsidR="00335844" w:rsidRPr="0055533C" w:rsidRDefault="00335844" w:rsidP="00335844">
      <w:pPr>
        <w:spacing w:after="0" w:line="240" w:lineRule="auto"/>
        <w:ind w:firstLine="709"/>
        <w:jc w:val="both"/>
        <w:rPr>
          <w:rFonts w:ascii="Times New Roman" w:hAnsi="Times New Roman"/>
          <w:spacing w:val="6"/>
          <w:sz w:val="24"/>
          <w:szCs w:val="24"/>
        </w:rPr>
      </w:pPr>
      <w:r w:rsidRPr="0055533C">
        <w:rPr>
          <w:rFonts w:ascii="Times New Roman" w:hAnsi="Times New Roman"/>
          <w:spacing w:val="6"/>
          <w:sz w:val="24"/>
          <w:szCs w:val="24"/>
        </w:rPr>
        <w:t xml:space="preserve">Доминирующее влияние на уровень загрязнения атмосферы городов и районам республики оказывают выбросы от </w:t>
      </w:r>
      <w:r w:rsidRPr="0055533C">
        <w:rPr>
          <w:rFonts w:ascii="Times New Roman" w:hAnsi="Times New Roman"/>
          <w:i/>
          <w:spacing w:val="6"/>
          <w:sz w:val="24"/>
          <w:szCs w:val="24"/>
        </w:rPr>
        <w:t xml:space="preserve">передвижных источников </w:t>
      </w:r>
      <w:r w:rsidRPr="0055533C">
        <w:rPr>
          <w:rFonts w:ascii="Times New Roman" w:hAnsi="Times New Roman"/>
          <w:spacing w:val="6"/>
          <w:sz w:val="24"/>
          <w:szCs w:val="24"/>
        </w:rPr>
        <w:t>(76,3% от общего количества выбросов по республике).</w:t>
      </w:r>
    </w:p>
    <w:p w:rsidR="00335844" w:rsidRPr="0055533C" w:rsidRDefault="00335844" w:rsidP="00335844">
      <w:pPr>
        <w:spacing w:after="0" w:line="240" w:lineRule="auto"/>
        <w:ind w:firstLine="709"/>
        <w:jc w:val="both"/>
        <w:rPr>
          <w:rFonts w:ascii="Times New Roman" w:hAnsi="Times New Roman"/>
          <w:spacing w:val="6"/>
          <w:sz w:val="24"/>
          <w:szCs w:val="24"/>
        </w:rPr>
      </w:pPr>
      <w:r w:rsidRPr="0055533C">
        <w:rPr>
          <w:rFonts w:ascii="Times New Roman" w:hAnsi="Times New Roman"/>
          <w:spacing w:val="6"/>
          <w:sz w:val="24"/>
          <w:szCs w:val="24"/>
        </w:rPr>
        <w:t xml:space="preserve">Количество выбросов от передвижных источников (автотранспорт) в целом по республике в январе-июне 2015 года составило 20 328,6 тонн, что на 4,3% больше аналогичного показателя </w:t>
      </w:r>
      <w:r w:rsidRPr="0055533C">
        <w:rPr>
          <w:rFonts w:ascii="Times New Roman" w:hAnsi="Times New Roman"/>
          <w:spacing w:val="6"/>
          <w:sz w:val="24"/>
          <w:szCs w:val="24"/>
          <w:lang w:val="en-US"/>
        </w:rPr>
        <w:t>I</w:t>
      </w:r>
      <w:r w:rsidRPr="0055533C">
        <w:rPr>
          <w:rFonts w:ascii="Times New Roman" w:hAnsi="Times New Roman"/>
          <w:spacing w:val="6"/>
          <w:sz w:val="24"/>
          <w:szCs w:val="24"/>
        </w:rPr>
        <w:t xml:space="preserve"> полугодия 2014 года.</w:t>
      </w:r>
    </w:p>
    <w:p w:rsidR="00335844" w:rsidRPr="0055533C" w:rsidRDefault="00335844" w:rsidP="00335844">
      <w:pPr>
        <w:spacing w:after="0" w:line="240" w:lineRule="auto"/>
        <w:ind w:firstLine="709"/>
        <w:jc w:val="both"/>
        <w:rPr>
          <w:rFonts w:ascii="Times New Roman" w:hAnsi="Times New Roman"/>
          <w:color w:val="FF0000"/>
          <w:spacing w:val="5"/>
          <w:sz w:val="24"/>
          <w:szCs w:val="24"/>
        </w:rPr>
      </w:pPr>
      <w:r w:rsidRPr="0055533C">
        <w:rPr>
          <w:rFonts w:ascii="Times New Roman" w:hAnsi="Times New Roman"/>
          <w:sz w:val="24"/>
          <w:szCs w:val="24"/>
        </w:rPr>
        <w:t xml:space="preserve">Увеличение объемов вредных выбросов </w:t>
      </w:r>
      <w:r w:rsidRPr="0055533C">
        <w:rPr>
          <w:rFonts w:ascii="Times New Roman" w:hAnsi="Times New Roman"/>
          <w:spacing w:val="6"/>
          <w:sz w:val="24"/>
          <w:szCs w:val="24"/>
        </w:rPr>
        <w:t xml:space="preserve">от передвижных источников </w:t>
      </w:r>
      <w:r w:rsidRPr="0055533C">
        <w:rPr>
          <w:rFonts w:ascii="Times New Roman" w:hAnsi="Times New Roman"/>
          <w:sz w:val="24"/>
          <w:szCs w:val="24"/>
        </w:rPr>
        <w:t>в отчетном периоде зафиксировано по г. Рыбница и Рыбницкому району (в 2,2 раза), г. Тирасполь (на 3,2%), что стало следствием увеличения количества транспортных средств, а также ухудшения их общего технического состояния</w:t>
      </w:r>
      <w:r w:rsidRPr="0055533C">
        <w:rPr>
          <w:rFonts w:ascii="Times New Roman" w:hAnsi="Times New Roman"/>
          <w:spacing w:val="5"/>
          <w:sz w:val="24"/>
          <w:szCs w:val="24"/>
        </w:rPr>
        <w:t>. Однако по остальным административным образованиям наблюдается снижение уровня выбросов от передвижных источников за счет сокращения объемов реализации топлива и газа автозаправочными станциями и автомобильными газонаполнительными компрессорными станциями.</w:t>
      </w:r>
    </w:p>
    <w:p w:rsidR="00335844" w:rsidRPr="0055533C" w:rsidRDefault="00335844" w:rsidP="00335844">
      <w:pPr>
        <w:spacing w:after="0" w:line="240" w:lineRule="auto"/>
        <w:ind w:firstLine="720"/>
        <w:jc w:val="center"/>
        <w:rPr>
          <w:rFonts w:ascii="Times New Roman" w:hAnsi="Times New Roman"/>
          <w:b/>
          <w:sz w:val="24"/>
          <w:szCs w:val="24"/>
        </w:rPr>
      </w:pPr>
      <w:r w:rsidRPr="0055533C">
        <w:rPr>
          <w:rFonts w:ascii="Times New Roman" w:hAnsi="Times New Roman"/>
          <w:b/>
          <w:sz w:val="24"/>
          <w:szCs w:val="24"/>
        </w:rPr>
        <w:t>Структура выбросов вредных веществ в атмосферный воздух (тонн; %)</w:t>
      </w:r>
    </w:p>
    <w:p w:rsidR="00335844" w:rsidRPr="0055533C" w:rsidRDefault="00335844" w:rsidP="00335844">
      <w:pPr>
        <w:spacing w:after="0" w:line="240" w:lineRule="auto"/>
        <w:jc w:val="center"/>
        <w:rPr>
          <w:rFonts w:ascii="Times New Roman" w:hAnsi="Times New Roman"/>
          <w:b/>
          <w:sz w:val="24"/>
          <w:szCs w:val="24"/>
        </w:rPr>
      </w:pPr>
      <w:r>
        <w:rPr>
          <w:b/>
          <w:noProof/>
        </w:rPr>
        <w:drawing>
          <wp:inline distT="0" distB="0" distL="0" distR="0">
            <wp:extent cx="2867025" cy="2047875"/>
            <wp:effectExtent l="19050" t="0" r="0" b="0"/>
            <wp:docPr id="2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b/>
          <w:noProof/>
        </w:rPr>
        <w:drawing>
          <wp:inline distT="0" distB="0" distL="0" distR="0">
            <wp:extent cx="2838450" cy="2076450"/>
            <wp:effectExtent l="19050" t="0" r="0" b="0"/>
            <wp:docPr id="2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lastRenderedPageBreak/>
        <w:t xml:space="preserve">Одним из направлений деятельности в сфере охраны окружающей среды 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2015 года являлось планирование рационального использования, </w:t>
      </w:r>
      <w:r w:rsidRPr="0055533C">
        <w:rPr>
          <w:rFonts w:ascii="Times New Roman" w:hAnsi="Times New Roman"/>
          <w:b/>
          <w:sz w:val="24"/>
          <w:szCs w:val="24"/>
        </w:rPr>
        <w:t>восстановления и охраны водных и рыбных ресурсов</w:t>
      </w:r>
      <w:r w:rsidRPr="0055533C">
        <w:rPr>
          <w:rFonts w:ascii="Times New Roman" w:hAnsi="Times New Roman"/>
          <w:sz w:val="24"/>
          <w:szCs w:val="24"/>
        </w:rPr>
        <w:t>. Государственным учетом были охвачены:</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 - первичные водопользователи (выдача разрешений на спецводопользование);</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 - вторичные водопользователи (установление лимитов водопользования).</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2015 года было установлено 749 лимитов водопользования, что на 5,0% больше, чем за аналогичный период 2014 года. Выдано разрешений на специальное водопользование 28 объектам, что больше по сравнению с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полугодием 2014 года на 27,3%.</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В отчётном году проведена государственная экспертиза предпроектной и проектной документации на строительство и</w:t>
      </w:r>
      <w:r w:rsidRPr="0055533C">
        <w:rPr>
          <w:rFonts w:ascii="Times New Roman" w:hAnsi="Times New Roman"/>
          <w:sz w:val="28"/>
          <w:szCs w:val="28"/>
        </w:rPr>
        <w:t xml:space="preserve"> </w:t>
      </w:r>
      <w:r w:rsidRPr="0055533C">
        <w:rPr>
          <w:rFonts w:ascii="Times New Roman" w:hAnsi="Times New Roman"/>
          <w:sz w:val="24"/>
          <w:szCs w:val="24"/>
        </w:rPr>
        <w:t>реконструкцию хозяйственных и других объектов, влияющих на состояние водных объектов по 49 объектам (в январе-июне 2014 года – по 55 объектам), опломбировано 19 объектов первичных приборов учета забираемой воды водопользователей.</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целях сохранения, восстановления и увеличения рыбных запасов за I полугодие 2015 года были проведены мероприятия по зарыблению рыбохозяйственных водоемов разновозрастными группами промысловых видов рыб (белый и пестрый толстолобик, белый амур, карп карась, судак, лещ, тарань) общим весом 26 725,7 кг и количеством 6 827,6 тыс. шт. (в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2014 года – 8 896,6 кг, 13 302,8 тыс. шт.). Увеличение объемов зарыбления обусловлено выполнением годовой нормы компенсационного зарыбления в первом полугодии 2015 года пользователями рыбопромысловых участков, а также зарыблением ЗАО «Молдавская ГРЭС» на основании научных рекомендаций.</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январе-июне 2015 года пользователями, осуществляющими рыболовство, во исполнение договорных обязательств проведены работы по компенсационному зарыблению (под квоту вылова) реки Днестр, протока Турунчук и Дубоссарского водохранилища годовиком промысловых видов рыб общим весом 18 570,3 кг и количеством 700,9 тыс. шт. </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ООО «Общество рыболовов-любителей «Нептун», во исполнение договорных обязательств, проведены работы по компенсационному зарыблению (под квоту вылова) Кучурганского водохранилища годовиком белого амура общим весом 155,4 кг и количеством 7,8 тыс. шт. </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ЗАО «Молдавская ГРЭС», в счет компенсации за ущерб, причиненный работой водозаборных сооружений, а также на основании научных рекомендаций проведены работы по компенсационному зарыблению личинками, подрощенной молодью (судак, пестрый толстолобик, белый амур, лещ, тарань) и годовиком растительноядных видов рыб общим весом 8 000 кг и количеством 6 126,7 тыс. шт.</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2015 года работа в области </w:t>
      </w:r>
      <w:r w:rsidRPr="0055533C">
        <w:rPr>
          <w:rFonts w:ascii="Times New Roman" w:hAnsi="Times New Roman"/>
          <w:b/>
          <w:sz w:val="24"/>
          <w:szCs w:val="24"/>
        </w:rPr>
        <w:t>геологического изучения недр</w:t>
      </w:r>
      <w:r w:rsidRPr="0055533C">
        <w:rPr>
          <w:rFonts w:ascii="Times New Roman" w:hAnsi="Times New Roman"/>
          <w:sz w:val="24"/>
          <w:szCs w:val="24"/>
        </w:rPr>
        <w:t xml:space="preserve"> была направлена на обеспечение реализации государственной политики в сфере геологического изучения и рационального использования недр.</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lang w:val="en-US"/>
        </w:rPr>
        <w:t>C</w:t>
      </w:r>
      <w:r w:rsidRPr="0055533C">
        <w:rPr>
          <w:rFonts w:ascii="Times New Roman" w:hAnsi="Times New Roman"/>
          <w:sz w:val="24"/>
          <w:szCs w:val="24"/>
        </w:rPr>
        <w:t xml:space="preserve">водным отчетным балансом запасов полезных ископаемых по Республике зарегистрировано 83 </w:t>
      </w:r>
      <w:r w:rsidRPr="0055533C">
        <w:rPr>
          <w:rFonts w:ascii="Times New Roman" w:hAnsi="Times New Roman"/>
          <w:color w:val="000000"/>
          <w:sz w:val="24"/>
          <w:szCs w:val="24"/>
        </w:rPr>
        <w:t>месторождения твердых полезных ископаемых, с суммарными запасами 556 603,3 тыс.м</w:t>
      </w:r>
      <w:r w:rsidRPr="0055533C">
        <w:rPr>
          <w:rFonts w:ascii="Times New Roman" w:hAnsi="Times New Roman"/>
          <w:color w:val="000000"/>
          <w:sz w:val="24"/>
          <w:szCs w:val="24"/>
          <w:vertAlign w:val="superscript"/>
        </w:rPr>
        <w:t>3</w:t>
      </w:r>
      <w:r w:rsidRPr="0055533C">
        <w:rPr>
          <w:rFonts w:ascii="Times New Roman" w:hAnsi="Times New Roman"/>
          <w:sz w:val="24"/>
          <w:szCs w:val="24"/>
        </w:rPr>
        <w:t>.</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В настоящее время разрабатываются 25 месторождений, в том числе 22</w:t>
      </w:r>
      <w:r w:rsidRPr="0055533C">
        <w:rPr>
          <w:rFonts w:ascii="Times New Roman" w:hAnsi="Times New Roman"/>
          <w:sz w:val="24"/>
        </w:rPr>
        <w:t xml:space="preserve"> открытым (карьерным) способом и 3 - пильных известняков, проходкой горизонтальных и слабонаклонных подземных выработок-штолен</w:t>
      </w:r>
      <w:r w:rsidRPr="0055533C">
        <w:rPr>
          <w:rFonts w:ascii="Times New Roman" w:hAnsi="Times New Roman"/>
          <w:sz w:val="24"/>
          <w:szCs w:val="24"/>
        </w:rPr>
        <w:t xml:space="preserve">. </w:t>
      </w:r>
    </w:p>
    <w:p w:rsidR="00335844" w:rsidRPr="0055533C" w:rsidRDefault="00335844" w:rsidP="00335844">
      <w:pPr>
        <w:tabs>
          <w:tab w:val="left" w:pos="851"/>
        </w:tabs>
        <w:spacing w:after="0" w:line="240" w:lineRule="auto"/>
        <w:ind w:firstLine="709"/>
        <w:jc w:val="both"/>
        <w:rPr>
          <w:rFonts w:ascii="Times New Roman" w:hAnsi="Times New Roman"/>
          <w:sz w:val="24"/>
          <w:szCs w:val="24"/>
        </w:rPr>
      </w:pPr>
      <w:r w:rsidRPr="0055533C">
        <w:rPr>
          <w:rFonts w:ascii="Times New Roman" w:hAnsi="Times New Roman"/>
          <w:sz w:val="24"/>
          <w:szCs w:val="24"/>
        </w:rPr>
        <w:t>Кроме того, разрабатываются 3 месторождения по добыче гидроминеральных ресурсов, из них на базе 2 месторождений действуют курортно-оздоровительные санатории и одно предприятие осуществляет розлив лечебно-столовой воды. Осуществляется подготовка ввода в эксплуатацию месторождения радоновых вод на базе Каменского санатория "Днестр".</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Объем добычи минеральной воды к сопоставимому показателю 2014 года сократился на 15,4% и составил 3,3 тыс. м</w:t>
      </w:r>
      <w:r w:rsidRPr="0055533C">
        <w:rPr>
          <w:rFonts w:ascii="Times New Roman" w:hAnsi="Times New Roman"/>
          <w:sz w:val="24"/>
          <w:szCs w:val="24"/>
          <w:vertAlign w:val="superscript"/>
        </w:rPr>
        <w:t>3</w:t>
      </w:r>
      <w:r w:rsidRPr="0055533C">
        <w:rPr>
          <w:rFonts w:ascii="Times New Roman" w:hAnsi="Times New Roman"/>
          <w:sz w:val="24"/>
          <w:szCs w:val="24"/>
        </w:rPr>
        <w:t xml:space="preserve">, при этом платежи за пользование недрами и </w:t>
      </w:r>
      <w:r w:rsidRPr="0055533C">
        <w:rPr>
          <w:rFonts w:ascii="Times New Roman" w:hAnsi="Times New Roman"/>
          <w:sz w:val="24"/>
          <w:szCs w:val="24"/>
        </w:rPr>
        <w:lastRenderedPageBreak/>
        <w:t>отчисления на воспроизводство минерально-сырьевой базы сократились в 14,2% и составили 136,4 тыс. руб.</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Производство нерудных строительных материалов за I полугодие 2015 года сократилось на 50,6% до 232,6 тыс. м</w:t>
      </w:r>
      <w:r w:rsidRPr="0055533C">
        <w:rPr>
          <w:rFonts w:ascii="Times New Roman" w:hAnsi="Times New Roman"/>
          <w:sz w:val="24"/>
          <w:szCs w:val="24"/>
          <w:vertAlign w:val="superscript"/>
        </w:rPr>
        <w:t>3</w:t>
      </w:r>
      <w:r w:rsidRPr="0055533C">
        <w:rPr>
          <w:rFonts w:ascii="Times New Roman" w:hAnsi="Times New Roman"/>
          <w:sz w:val="24"/>
          <w:szCs w:val="24"/>
        </w:rPr>
        <w:t xml:space="preserve"> (в январе-июне 2014 года – 460,1 тыс. м</w:t>
      </w:r>
      <w:r w:rsidRPr="0055533C">
        <w:rPr>
          <w:rFonts w:ascii="Times New Roman" w:hAnsi="Times New Roman"/>
          <w:sz w:val="24"/>
          <w:szCs w:val="24"/>
          <w:vertAlign w:val="superscript"/>
        </w:rPr>
        <w:t>3</w:t>
      </w:r>
      <w:r w:rsidRPr="0055533C">
        <w:rPr>
          <w:rFonts w:ascii="Times New Roman" w:hAnsi="Times New Roman"/>
          <w:sz w:val="24"/>
          <w:szCs w:val="24"/>
        </w:rPr>
        <w:t xml:space="preserve">), при этом платежи за пользование недрами и отчисления на воспроизводство минерально-сырьевой базы составили 3 817,0 тыс. руб., что на 42,9% меньше базового показателя 2014 года. </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целом по Республике платежи за пользование недрами и отчисления на воспроизводство минерально-сырьевой базы за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полугодие 2015 года, в результате сокращения объемов добычи минеральной воды, а также снижения объемов реализации нерудных строительных материалов, сократились на 42,2%, составив 3 953,4 тыс. руб. по отношению к соответствующему периоду прошлого года.</w:t>
      </w:r>
    </w:p>
    <w:p w:rsidR="00335844" w:rsidRPr="0055533C" w:rsidRDefault="00335844" w:rsidP="00335844">
      <w:pPr>
        <w:tabs>
          <w:tab w:val="left" w:pos="851"/>
        </w:tabs>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w:t>
      </w:r>
      <w:r>
        <w:rPr>
          <w:rFonts w:ascii="Times New Roman" w:hAnsi="Times New Roman"/>
          <w:sz w:val="24"/>
          <w:szCs w:val="24"/>
        </w:rPr>
        <w:t xml:space="preserve">I полугодии </w:t>
      </w:r>
      <w:r w:rsidRPr="0055533C">
        <w:rPr>
          <w:rFonts w:ascii="Times New Roman" w:hAnsi="Times New Roman"/>
          <w:sz w:val="24"/>
          <w:szCs w:val="24"/>
        </w:rPr>
        <w:t>2015 год</w:t>
      </w:r>
      <w:r>
        <w:rPr>
          <w:rFonts w:ascii="Times New Roman" w:hAnsi="Times New Roman"/>
          <w:sz w:val="24"/>
          <w:szCs w:val="24"/>
        </w:rPr>
        <w:t>а</w:t>
      </w:r>
      <w:r w:rsidRPr="0055533C">
        <w:rPr>
          <w:rFonts w:ascii="Times New Roman" w:hAnsi="Times New Roman"/>
          <w:sz w:val="24"/>
          <w:szCs w:val="24"/>
        </w:rPr>
        <w:t xml:space="preserve"> рекультивировано и передано прежнему землепользователю 3,0 га земель, нарушенных горными работами.</w:t>
      </w:r>
    </w:p>
    <w:p w:rsidR="00335844" w:rsidRPr="0055533C" w:rsidRDefault="00335844" w:rsidP="00335844">
      <w:pPr>
        <w:tabs>
          <w:tab w:val="left" w:pos="851"/>
        </w:tabs>
        <w:spacing w:after="0" w:line="240" w:lineRule="auto"/>
        <w:ind w:firstLine="709"/>
        <w:jc w:val="both"/>
        <w:rPr>
          <w:rFonts w:ascii="Times New Roman" w:hAnsi="Times New Roman"/>
          <w:sz w:val="24"/>
          <w:szCs w:val="24"/>
        </w:rPr>
      </w:pPr>
      <w:r w:rsidRPr="0055533C">
        <w:rPr>
          <w:rFonts w:ascii="Times New Roman" w:hAnsi="Times New Roman"/>
          <w:sz w:val="24"/>
          <w:szCs w:val="24"/>
        </w:rPr>
        <w:t>В рамках договора, заключенного между Министерством сельского хозяйства и природных ресурсов Приднестровской Молдавской Республики и Приднестровским Государственным университетом на базе НИЛ "Геологические ресурсы" разрабатываются и подготавливаются к внедрению в работу отдела геологии и недропользования новых методов исследования геологического строения и изучения территории Приднестровской Молдавской Республики, а также создания баз данных геологической информации с применением ГИС-систем.</w:t>
      </w:r>
    </w:p>
    <w:p w:rsidR="00335844" w:rsidRPr="0055533C" w:rsidRDefault="00335844" w:rsidP="00335844">
      <w:pPr>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Основными задачами, стоящими перед </w:t>
      </w:r>
      <w:r w:rsidRPr="0055533C">
        <w:rPr>
          <w:rFonts w:ascii="Times New Roman" w:hAnsi="Times New Roman"/>
          <w:b/>
          <w:sz w:val="24"/>
          <w:szCs w:val="24"/>
        </w:rPr>
        <w:t>лесной отраслью</w:t>
      </w:r>
      <w:r w:rsidRPr="0055533C">
        <w:rPr>
          <w:rFonts w:ascii="Times New Roman" w:hAnsi="Times New Roman"/>
          <w:sz w:val="24"/>
          <w:szCs w:val="24"/>
        </w:rPr>
        <w:t>, являются проведение комплекса лесохозяйственных мероприятий, направленных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охрана и защита.</w:t>
      </w:r>
    </w:p>
    <w:p w:rsidR="00335844" w:rsidRPr="0055533C" w:rsidRDefault="00335844" w:rsidP="00335844">
      <w:pPr>
        <w:autoSpaceDE w:val="0"/>
        <w:autoSpaceDN w:val="0"/>
        <w:adjustRightInd w:val="0"/>
        <w:spacing w:after="0" w:line="240" w:lineRule="auto"/>
        <w:ind w:firstLine="709"/>
        <w:jc w:val="both"/>
        <w:rPr>
          <w:rFonts w:ascii="Times New Roman" w:hAnsi="Times New Roman"/>
          <w:sz w:val="24"/>
          <w:szCs w:val="24"/>
        </w:rPr>
      </w:pPr>
      <w:r w:rsidRPr="0055533C">
        <w:rPr>
          <w:rFonts w:ascii="Times New Roman" w:hAnsi="Times New Roman"/>
          <w:sz w:val="24"/>
          <w:szCs w:val="24"/>
        </w:rPr>
        <w:t>В январе-июне 2015 года посев и посадка леса в Гослесфонде проведены на площади 85 га. Дополнение лесных культур прошлых лет проведено на площади 95</w:t>
      </w:r>
      <w:r w:rsidRPr="0055533C">
        <w:rPr>
          <w:rFonts w:ascii="Times New Roman" w:hAnsi="Times New Roman"/>
          <w:b/>
          <w:sz w:val="24"/>
          <w:szCs w:val="24"/>
        </w:rPr>
        <w:t xml:space="preserve"> </w:t>
      </w:r>
      <w:r w:rsidRPr="0055533C">
        <w:rPr>
          <w:rFonts w:ascii="Times New Roman" w:hAnsi="Times New Roman"/>
          <w:sz w:val="24"/>
          <w:szCs w:val="24"/>
        </w:rPr>
        <w:t>га, уход за лесными культурами проведен на площади 412 га. Подготовка почвы по посадку выполнена на площади 84 га.</w:t>
      </w:r>
    </w:p>
    <w:p w:rsidR="00335844" w:rsidRPr="0055533C" w:rsidRDefault="00335844" w:rsidP="00335844">
      <w:pPr>
        <w:autoSpaceDE w:val="0"/>
        <w:autoSpaceDN w:val="0"/>
        <w:adjustRightInd w:val="0"/>
        <w:spacing w:after="0" w:line="240" w:lineRule="auto"/>
        <w:ind w:firstLine="709"/>
        <w:jc w:val="both"/>
        <w:rPr>
          <w:rFonts w:ascii="Times New Roman" w:hAnsi="Times New Roman"/>
          <w:sz w:val="24"/>
          <w:szCs w:val="24"/>
        </w:rPr>
      </w:pPr>
      <w:r w:rsidRPr="0055533C">
        <w:rPr>
          <w:rFonts w:ascii="Times New Roman" w:hAnsi="Times New Roman"/>
          <w:sz w:val="24"/>
          <w:szCs w:val="24"/>
        </w:rPr>
        <w:t xml:space="preserve">В целях выращивания посадочного материала для создания лесных культур и озеленения городов и населенных пунктов республики в лесных питомниках произведена заготовка лесных семян в объеме 416 кг., в аналогичном периоде 2014 года заготовка лесных семян составляла 281 кг. Уменьшение объемов в </w:t>
      </w:r>
      <w:r w:rsidRPr="0055533C">
        <w:rPr>
          <w:rFonts w:ascii="Times New Roman" w:hAnsi="Times New Roman"/>
          <w:sz w:val="24"/>
          <w:szCs w:val="24"/>
          <w:lang w:val="en-US"/>
        </w:rPr>
        <w:t>I</w:t>
      </w:r>
      <w:r w:rsidRPr="0055533C">
        <w:rPr>
          <w:rFonts w:ascii="Times New Roman" w:hAnsi="Times New Roman"/>
          <w:sz w:val="24"/>
          <w:szCs w:val="24"/>
        </w:rPr>
        <w:t xml:space="preserve"> полугодии 2014 года по заготовке семян связанно с изменением породного состава плана сбора семян. В целом  лесокультурные работы выполнены согласно утвержденному плану в полном объеме.</w:t>
      </w:r>
    </w:p>
    <w:p w:rsidR="00335844" w:rsidRPr="0055533C" w:rsidRDefault="00335844" w:rsidP="00335844">
      <w:pPr>
        <w:autoSpaceDE w:val="0"/>
        <w:autoSpaceDN w:val="0"/>
        <w:adjustRightInd w:val="0"/>
        <w:spacing w:after="0" w:line="240" w:lineRule="auto"/>
        <w:ind w:firstLine="709"/>
        <w:jc w:val="both"/>
        <w:rPr>
          <w:rFonts w:ascii="Times New Roman" w:hAnsi="Times New Roman"/>
          <w:sz w:val="24"/>
          <w:szCs w:val="24"/>
        </w:rPr>
      </w:pPr>
      <w:r w:rsidRPr="0055533C">
        <w:rPr>
          <w:rFonts w:ascii="Times New Roman" w:hAnsi="Times New Roman"/>
          <w:sz w:val="24"/>
          <w:szCs w:val="24"/>
        </w:rPr>
        <w:t>В целях увеличения численности охотфауны биотехнические мероприятия выполнены в следующих объемах: закладка кормовых полей – 4,6 га (январь-июнь 2014 года - 3 га), заготовка сена – 13,2 тонн (январь-июнь 2014 года - 7 тонн), заготовка веткорма –14 т.шт., выкладка веткорма 8,68 тыс. шт. (январь-июнь 2014 года - 8,1 тыс. шт.), выкладка сена 6,61 тонн (январь-июнь 2014 года - 8,3 тонны), выкладка зерна и зерноотходов 12 460 кг, что в два раза больше чем в аналогичном периоде 2014 года.</w:t>
      </w:r>
    </w:p>
    <w:p w:rsidR="00335844" w:rsidRPr="0055533C" w:rsidRDefault="00335844" w:rsidP="00335844">
      <w:pPr>
        <w:autoSpaceDE w:val="0"/>
        <w:autoSpaceDN w:val="0"/>
        <w:adjustRightInd w:val="0"/>
        <w:spacing w:after="0" w:line="240" w:lineRule="auto"/>
        <w:ind w:firstLine="709"/>
        <w:jc w:val="both"/>
        <w:rPr>
          <w:rFonts w:ascii="Times New Roman" w:hAnsi="Times New Roman"/>
          <w:sz w:val="24"/>
          <w:szCs w:val="24"/>
        </w:rPr>
      </w:pPr>
      <w:r w:rsidRPr="0055533C">
        <w:rPr>
          <w:rFonts w:ascii="Times New Roman" w:hAnsi="Times New Roman"/>
          <w:sz w:val="24"/>
          <w:szCs w:val="24"/>
        </w:rPr>
        <w:t>Основными сдерживающими факторами развития лесной отрасли в республике являются чрезвычайно низкий уровень оплаты труда, недостаточная техническая оснащенность, а также изношенность автомобильно-тракторного парка, что приводит к дефициту трудовых ресурсов в отрасли и большой текучести кадров.</w:t>
      </w:r>
    </w:p>
    <w:p w:rsidR="00335844" w:rsidRDefault="00335844" w:rsidP="00335844">
      <w:pPr>
        <w:spacing w:after="0" w:line="240" w:lineRule="auto"/>
        <w:ind w:firstLine="720"/>
        <w:jc w:val="both"/>
        <w:rPr>
          <w:rFonts w:ascii="Times New Roman" w:hAnsi="Times New Roman"/>
          <w:sz w:val="24"/>
          <w:szCs w:val="24"/>
        </w:rPr>
      </w:pPr>
    </w:p>
    <w:p w:rsidR="00335844" w:rsidRDefault="00335844" w:rsidP="00335844">
      <w:pPr>
        <w:spacing w:after="0" w:line="240" w:lineRule="auto"/>
        <w:ind w:firstLine="720"/>
        <w:jc w:val="both"/>
        <w:rPr>
          <w:rFonts w:ascii="Times New Roman" w:hAnsi="Times New Roman"/>
          <w:b/>
          <w:sz w:val="24"/>
          <w:szCs w:val="24"/>
        </w:rPr>
      </w:pPr>
      <w:r w:rsidRPr="00E030E3">
        <w:rPr>
          <w:rFonts w:ascii="Times New Roman" w:hAnsi="Times New Roman"/>
          <w:b/>
          <w:sz w:val="24"/>
          <w:szCs w:val="24"/>
        </w:rPr>
        <w:t>Состояние социальной сферы</w:t>
      </w:r>
    </w:p>
    <w:p w:rsidR="00335844" w:rsidRDefault="00335844" w:rsidP="00335844">
      <w:pPr>
        <w:spacing w:after="0" w:line="240" w:lineRule="auto"/>
        <w:ind w:firstLine="720"/>
        <w:jc w:val="both"/>
        <w:rPr>
          <w:rFonts w:ascii="Times New Roman" w:hAnsi="Times New Roman"/>
          <w:sz w:val="24"/>
          <w:szCs w:val="24"/>
        </w:rPr>
      </w:pPr>
    </w:p>
    <w:p w:rsidR="00335844" w:rsidRPr="00131A57" w:rsidRDefault="00335844" w:rsidP="00335844">
      <w:pPr>
        <w:widowControl w:val="0"/>
        <w:spacing w:after="0" w:line="240" w:lineRule="auto"/>
        <w:ind w:firstLineChars="302" w:firstLine="728"/>
        <w:jc w:val="both"/>
        <w:rPr>
          <w:rFonts w:ascii="Times New Roman" w:hAnsi="Times New Roman"/>
          <w:b/>
          <w:sz w:val="24"/>
          <w:szCs w:val="24"/>
        </w:rPr>
      </w:pPr>
      <w:r w:rsidRPr="00131A57">
        <w:rPr>
          <w:rFonts w:ascii="Times New Roman" w:hAnsi="Times New Roman"/>
          <w:b/>
          <w:sz w:val="24"/>
          <w:szCs w:val="24"/>
        </w:rPr>
        <w:t>Уровень жизни населения</w:t>
      </w:r>
    </w:p>
    <w:p w:rsidR="00C84F2A" w:rsidRPr="00C84F2A" w:rsidRDefault="00C84F2A" w:rsidP="00C84F2A">
      <w:pPr>
        <w:spacing w:after="0" w:line="240" w:lineRule="auto"/>
        <w:jc w:val="both"/>
        <w:rPr>
          <w:rFonts w:ascii="Times New Roman" w:hAnsi="Times New Roman"/>
          <w:sz w:val="24"/>
          <w:szCs w:val="24"/>
        </w:rPr>
      </w:pPr>
    </w:p>
    <w:p w:rsidR="00C84F2A" w:rsidRPr="00C84F2A" w:rsidRDefault="00C84F2A" w:rsidP="00C84F2A">
      <w:pPr>
        <w:widowControl w:val="0"/>
        <w:spacing w:after="0" w:line="240" w:lineRule="auto"/>
        <w:ind w:firstLine="709"/>
        <w:jc w:val="both"/>
        <w:rPr>
          <w:rFonts w:ascii="Times New Roman" w:hAnsi="Times New Roman"/>
          <w:sz w:val="24"/>
          <w:szCs w:val="24"/>
        </w:rPr>
      </w:pPr>
      <w:r w:rsidRPr="00C84F2A">
        <w:rPr>
          <w:rFonts w:ascii="Times New Roman" w:eastAsia="Calibri" w:hAnsi="Times New Roman"/>
          <w:sz w:val="24"/>
          <w:szCs w:val="24"/>
        </w:rPr>
        <w:t xml:space="preserve">Одним из наиболее важных индикаторов уровня жизни считается показатель доходов населения, от размера которого главным образом зависит степень удовлетворения личных потребностей и рациональное потребление материальных благ и услуг в контексте с социально-экономическими тенденциями развития общества. Одной из доминирующих </w:t>
      </w:r>
      <w:r w:rsidRPr="00C84F2A">
        <w:rPr>
          <w:rFonts w:ascii="Times New Roman" w:eastAsia="Calibri" w:hAnsi="Times New Roman"/>
          <w:sz w:val="24"/>
          <w:szCs w:val="24"/>
        </w:rPr>
        <w:lastRenderedPageBreak/>
        <w:t xml:space="preserve">составляющих денежных доходов работающего населения является заработная плата. </w:t>
      </w:r>
    </w:p>
    <w:p w:rsidR="00C84F2A" w:rsidRPr="00C84F2A" w:rsidRDefault="00C84F2A" w:rsidP="00C84F2A">
      <w:pPr>
        <w:tabs>
          <w:tab w:val="left" w:pos="851"/>
          <w:tab w:val="left" w:pos="993"/>
        </w:tabs>
        <w:spacing w:after="0" w:line="240" w:lineRule="auto"/>
        <w:ind w:firstLine="709"/>
        <w:jc w:val="both"/>
        <w:rPr>
          <w:rFonts w:ascii="Times New Roman" w:hAnsi="Times New Roman"/>
          <w:sz w:val="24"/>
          <w:szCs w:val="24"/>
          <w:shd w:val="clear" w:color="auto" w:fill="FFFFFF"/>
        </w:rPr>
      </w:pPr>
      <w:r w:rsidRPr="00C84F2A">
        <w:rPr>
          <w:rFonts w:ascii="Times New Roman" w:hAnsi="Times New Roman"/>
          <w:sz w:val="24"/>
          <w:szCs w:val="24"/>
        </w:rPr>
        <w:t>В период кризисных явлений, ухудшения внешнеэкономической ситуации, падения деловой активности хозяйствующих субъектов, н</w:t>
      </w:r>
      <w:r w:rsidRPr="00C84F2A">
        <w:rPr>
          <w:rFonts w:ascii="Times New Roman" w:hAnsi="Times New Roman"/>
          <w:sz w:val="24"/>
          <w:szCs w:val="24"/>
          <w:shd w:val="clear" w:color="auto" w:fill="FFFFFF"/>
        </w:rPr>
        <w:t xml:space="preserve">оминальная заработная плата в целом по республике за </w:t>
      </w:r>
      <w:r w:rsidRPr="00C84F2A">
        <w:rPr>
          <w:rFonts w:ascii="Times New Roman" w:hAnsi="Times New Roman"/>
          <w:sz w:val="24"/>
          <w:szCs w:val="24"/>
          <w:shd w:val="clear" w:color="auto" w:fill="FFFFFF"/>
          <w:lang w:val="en-US"/>
        </w:rPr>
        <w:t>I</w:t>
      </w:r>
      <w:r w:rsidRPr="00C84F2A">
        <w:rPr>
          <w:rFonts w:ascii="Times New Roman" w:hAnsi="Times New Roman"/>
          <w:sz w:val="24"/>
          <w:szCs w:val="24"/>
          <w:shd w:val="clear" w:color="auto" w:fill="FFFFFF"/>
        </w:rPr>
        <w:t xml:space="preserve"> полугодие 2015 года (кроме субъектов малого предпринимательства и без учета силовых структур) сократилась на 4,4%, составив 3 839 руб., а с учетом удорожания жизни, реальная величина заработной платы работающих в январе – июне 2015 года сократилась по отношению к базисному уровню на 4,1%. В долларовом эквиваленте ее размер сократился на 4,4% и соответствовал 346 долл. США.</w:t>
      </w:r>
    </w:p>
    <w:p w:rsidR="00C84F2A" w:rsidRPr="00C84F2A" w:rsidRDefault="00C84F2A" w:rsidP="00C84F2A">
      <w:pPr>
        <w:tabs>
          <w:tab w:val="left" w:pos="851"/>
          <w:tab w:val="left" w:pos="993"/>
        </w:tabs>
        <w:spacing w:after="0" w:line="240" w:lineRule="auto"/>
        <w:ind w:firstLine="709"/>
        <w:jc w:val="both"/>
        <w:rPr>
          <w:rFonts w:ascii="Times New Roman" w:hAnsi="Times New Roman"/>
          <w:sz w:val="24"/>
          <w:szCs w:val="24"/>
        </w:rPr>
      </w:pPr>
    </w:p>
    <w:p w:rsidR="00C84F2A" w:rsidRPr="00C84F2A" w:rsidRDefault="00C84F2A" w:rsidP="00C84F2A">
      <w:pPr>
        <w:jc w:val="center"/>
        <w:rPr>
          <w:rFonts w:ascii="Times New Roman" w:hAnsi="Times New Roman"/>
          <w:b/>
          <w:sz w:val="24"/>
          <w:szCs w:val="24"/>
        </w:rPr>
      </w:pPr>
      <w:r w:rsidRPr="00C84F2A">
        <w:rPr>
          <w:rFonts w:ascii="Times New Roman" w:hAnsi="Times New Roman"/>
          <w:b/>
          <w:sz w:val="24"/>
          <w:szCs w:val="24"/>
        </w:rPr>
        <w:t>Величина среднемесячной заработной платы</w:t>
      </w:r>
    </w:p>
    <w:p w:rsidR="00C84F2A" w:rsidRPr="00C84F2A" w:rsidRDefault="00C84F2A" w:rsidP="00C84F2A">
      <w:pPr>
        <w:jc w:val="center"/>
        <w:rPr>
          <w:rFonts w:ascii="Times New Roman" w:hAnsi="Times New Roman"/>
          <w:b/>
          <w:sz w:val="24"/>
          <w:szCs w:val="24"/>
        </w:rPr>
      </w:pPr>
      <w:r w:rsidRPr="00C84F2A">
        <w:rPr>
          <w:rFonts w:ascii="Times New Roman" w:hAnsi="Times New Roman"/>
          <w:b/>
          <w:noProof/>
          <w:sz w:val="24"/>
          <w:szCs w:val="24"/>
        </w:rPr>
        <w:drawing>
          <wp:inline distT="0" distB="0" distL="0" distR="0">
            <wp:extent cx="6172200" cy="3676650"/>
            <wp:effectExtent l="0" t="0" r="0" b="0"/>
            <wp:docPr id="7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При этом значимым обстоятельством напряженности в обществе                    продолжает выступать степень дифференциации размера заработной платы. Превышение уровня заработной платы в высоко- и низкооплачиваемых отраслях экономики варьировало в пределах 4,8 – 3,1 раза. Самый высокий уровень заработной платы наблюдался у работников таких отраслей экономики как, «Электро и радиосвязь»              9 097 руб. («-»1,9%), «Банки и кредитование» 7 687 руб. («-»7,5%), «Страхование»              5 974 руб. («+»7,0%).</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Существенное сокращение среднемесячной заработной платы отмечено у работников таких отраслей, как: «Физкультура, отдых и туризм» (на 36,1% до 3 232 руб.), «Сельское хозяйство» (на 7,9% до 2 925 руб.), «Культура и искусство» (на 4,0% до               2 391 руб.), ее размер сложился ниже среднереспубликанского уровня на 15,8%, 23,8%, 37,7% соответственно. </w:t>
      </w:r>
    </w:p>
    <w:p w:rsidR="00C84F2A" w:rsidRPr="00C84F2A" w:rsidRDefault="00C84F2A" w:rsidP="00C84F2A">
      <w:pPr>
        <w:widowControl w:val="0"/>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В целом по экономике в I полугодии 2015 года отрицательная динамика оплаты труда («-»4,4%) опережала спад минимального набора товаров и услуг, </w:t>
      </w:r>
      <w:r w:rsidRPr="00C84F2A">
        <w:rPr>
          <w:rFonts w:ascii="Times New Roman" w:hAnsi="Times New Roman"/>
          <w:color w:val="000000"/>
          <w:sz w:val="24"/>
          <w:szCs w:val="24"/>
        </w:rPr>
        <w:t xml:space="preserve">необходимых трудоспособному человеку для поддержания жизнедеятельности </w:t>
      </w:r>
      <w:r w:rsidRPr="00C84F2A">
        <w:rPr>
          <w:rFonts w:ascii="Times New Roman" w:hAnsi="Times New Roman"/>
          <w:sz w:val="24"/>
          <w:szCs w:val="24"/>
        </w:rPr>
        <w:t>(«-»0,9%), что обусловило сокращение покупательной способности зарплаты до 2,7 набора прожиточного минимума (за аналогичный период прошлого года – 2,8 набора прожиточного минимума).</w:t>
      </w:r>
    </w:p>
    <w:p w:rsidR="00C84F2A" w:rsidRPr="00C84F2A" w:rsidRDefault="00C84F2A" w:rsidP="00C84F2A">
      <w:pPr>
        <w:widowControl w:val="0"/>
        <w:spacing w:after="0" w:line="240" w:lineRule="auto"/>
        <w:jc w:val="both"/>
        <w:rPr>
          <w:rFonts w:ascii="Times New Roman" w:hAnsi="Times New Roman"/>
          <w:sz w:val="24"/>
          <w:szCs w:val="24"/>
        </w:rPr>
      </w:pPr>
      <w:r w:rsidRPr="00C84F2A">
        <w:rPr>
          <w:rFonts w:ascii="Times New Roman" w:hAnsi="Times New Roman"/>
          <w:noProof/>
          <w:sz w:val="24"/>
          <w:szCs w:val="24"/>
        </w:rPr>
        <w:lastRenderedPageBreak/>
        <w:drawing>
          <wp:inline distT="0" distB="0" distL="0" distR="0">
            <wp:extent cx="5940425" cy="4540998"/>
            <wp:effectExtent l="0" t="0" r="3175" b="0"/>
            <wp:docPr id="7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84F2A" w:rsidRPr="00C84F2A" w:rsidRDefault="00C84F2A" w:rsidP="00C84F2A">
      <w:pPr>
        <w:spacing w:after="0"/>
        <w:jc w:val="right"/>
        <w:rPr>
          <w:rFonts w:ascii="Times New Roman" w:hAnsi="Times New Roman"/>
          <w:sz w:val="24"/>
          <w:szCs w:val="24"/>
        </w:rPr>
      </w:pPr>
      <w:r w:rsidRPr="00C84F2A">
        <w:rPr>
          <w:rFonts w:ascii="Times New Roman" w:hAnsi="Times New Roman"/>
          <w:sz w:val="24"/>
          <w:szCs w:val="24"/>
        </w:rPr>
        <w:t>Таблица №</w:t>
      </w:r>
      <w:r w:rsidR="00494A9C">
        <w:rPr>
          <w:rFonts w:ascii="Times New Roman" w:hAnsi="Times New Roman"/>
          <w:sz w:val="24"/>
          <w:szCs w:val="24"/>
        </w:rPr>
        <w:t>1</w:t>
      </w:r>
      <w:r w:rsidR="005018DA">
        <w:rPr>
          <w:rFonts w:ascii="Times New Roman" w:hAnsi="Times New Roman"/>
          <w:sz w:val="24"/>
          <w:szCs w:val="24"/>
        </w:rPr>
        <w:t>8</w:t>
      </w:r>
      <w:r w:rsidRPr="00C84F2A">
        <w:rPr>
          <w:rFonts w:ascii="Times New Roman" w:hAnsi="Times New Roman"/>
          <w:sz w:val="24"/>
          <w:szCs w:val="24"/>
        </w:rPr>
        <w:t xml:space="preserve"> </w:t>
      </w:r>
    </w:p>
    <w:p w:rsidR="00C84F2A" w:rsidRPr="00C84F2A" w:rsidRDefault="00C84F2A" w:rsidP="00C84F2A">
      <w:pPr>
        <w:spacing w:after="0" w:line="240" w:lineRule="auto"/>
        <w:ind w:firstLine="709"/>
        <w:jc w:val="center"/>
        <w:rPr>
          <w:rFonts w:ascii="Times New Roman" w:hAnsi="Times New Roman"/>
          <w:b/>
          <w:sz w:val="24"/>
          <w:szCs w:val="24"/>
        </w:rPr>
      </w:pPr>
      <w:r w:rsidRPr="00C84F2A">
        <w:rPr>
          <w:rFonts w:ascii="Times New Roman" w:hAnsi="Times New Roman"/>
          <w:b/>
          <w:sz w:val="24"/>
          <w:szCs w:val="24"/>
        </w:rPr>
        <w:t>Покупательная способность среднемесячной заработной платы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984"/>
        <w:gridCol w:w="1843"/>
      </w:tblGrid>
      <w:tr w:rsidR="00C84F2A" w:rsidRPr="00C84F2A" w:rsidTr="00722024">
        <w:trPr>
          <w:trHeight w:val="292"/>
        </w:trPr>
        <w:tc>
          <w:tcPr>
            <w:tcW w:w="5529" w:type="dxa"/>
            <w:shd w:val="clear" w:color="auto" w:fill="E0E0E0"/>
            <w:vAlign w:val="center"/>
          </w:tcPr>
          <w:p w:rsidR="00C84F2A" w:rsidRPr="00722024" w:rsidRDefault="00C84F2A" w:rsidP="00C84F2A">
            <w:pPr>
              <w:widowControl w:val="0"/>
              <w:spacing w:after="0" w:line="240" w:lineRule="auto"/>
              <w:rPr>
                <w:rFonts w:ascii="Times New Roman" w:hAnsi="Times New Roman"/>
                <w:b/>
              </w:rPr>
            </w:pPr>
            <w:r w:rsidRPr="00722024">
              <w:rPr>
                <w:rFonts w:ascii="Times New Roman" w:hAnsi="Times New Roman"/>
                <w:b/>
              </w:rPr>
              <w:t>Покупательная способность среднемесячной заработной платы</w:t>
            </w:r>
          </w:p>
        </w:tc>
        <w:tc>
          <w:tcPr>
            <w:tcW w:w="1984" w:type="dxa"/>
            <w:shd w:val="clear" w:color="auto" w:fill="E0E0E0"/>
            <w:vAlign w:val="center"/>
          </w:tcPr>
          <w:p w:rsidR="00C84F2A" w:rsidRPr="00722024" w:rsidRDefault="00C84F2A" w:rsidP="00C84F2A">
            <w:pPr>
              <w:widowControl w:val="0"/>
              <w:spacing w:after="0" w:line="240" w:lineRule="auto"/>
              <w:jc w:val="center"/>
              <w:rPr>
                <w:rFonts w:ascii="Times New Roman" w:hAnsi="Times New Roman"/>
                <w:b/>
              </w:rPr>
            </w:pPr>
            <w:r w:rsidRPr="00722024">
              <w:rPr>
                <w:rFonts w:ascii="Times New Roman" w:hAnsi="Times New Roman"/>
                <w:b/>
                <w:lang w:val="en-US"/>
              </w:rPr>
              <w:t xml:space="preserve">I полугодие </w:t>
            </w:r>
          </w:p>
          <w:p w:rsidR="00C84F2A" w:rsidRPr="00722024" w:rsidRDefault="00C84F2A" w:rsidP="00C84F2A">
            <w:pPr>
              <w:widowControl w:val="0"/>
              <w:spacing w:after="0" w:line="240" w:lineRule="auto"/>
              <w:jc w:val="center"/>
              <w:rPr>
                <w:rFonts w:ascii="Times New Roman" w:hAnsi="Times New Roman"/>
                <w:b/>
              </w:rPr>
            </w:pPr>
            <w:r w:rsidRPr="00722024">
              <w:rPr>
                <w:rFonts w:ascii="Times New Roman" w:hAnsi="Times New Roman"/>
                <w:b/>
              </w:rPr>
              <w:t>2014 года</w:t>
            </w:r>
          </w:p>
        </w:tc>
        <w:tc>
          <w:tcPr>
            <w:tcW w:w="1843" w:type="dxa"/>
            <w:shd w:val="clear" w:color="auto" w:fill="E0E0E0"/>
            <w:vAlign w:val="center"/>
          </w:tcPr>
          <w:p w:rsidR="00C84F2A" w:rsidRPr="00722024" w:rsidRDefault="00C84F2A" w:rsidP="00C84F2A">
            <w:pPr>
              <w:widowControl w:val="0"/>
              <w:spacing w:after="0" w:line="240" w:lineRule="auto"/>
              <w:jc w:val="center"/>
              <w:rPr>
                <w:rFonts w:ascii="Times New Roman" w:hAnsi="Times New Roman"/>
                <w:b/>
              </w:rPr>
            </w:pPr>
            <w:r w:rsidRPr="00722024">
              <w:rPr>
                <w:rFonts w:ascii="Times New Roman" w:hAnsi="Times New Roman"/>
                <w:b/>
                <w:lang w:val="en-US"/>
              </w:rPr>
              <w:t xml:space="preserve">I полугодие </w:t>
            </w:r>
            <w:r w:rsidRPr="00722024">
              <w:rPr>
                <w:rFonts w:ascii="Times New Roman" w:hAnsi="Times New Roman"/>
                <w:b/>
              </w:rPr>
              <w:t>2015 года</w:t>
            </w:r>
          </w:p>
        </w:tc>
      </w:tr>
      <w:tr w:rsidR="00C84F2A" w:rsidRPr="00C84F2A" w:rsidTr="00722024">
        <w:trPr>
          <w:trHeight w:val="360"/>
        </w:trPr>
        <w:tc>
          <w:tcPr>
            <w:tcW w:w="5529" w:type="dxa"/>
            <w:vAlign w:val="center"/>
          </w:tcPr>
          <w:p w:rsidR="00C84F2A" w:rsidRPr="00722024" w:rsidRDefault="00C84F2A" w:rsidP="00C84F2A">
            <w:pPr>
              <w:widowControl w:val="0"/>
              <w:spacing w:after="0" w:line="240" w:lineRule="auto"/>
              <w:rPr>
                <w:rFonts w:ascii="Times New Roman" w:hAnsi="Times New Roman"/>
              </w:rPr>
            </w:pPr>
            <w:r w:rsidRPr="00722024">
              <w:rPr>
                <w:rFonts w:ascii="Times New Roman" w:hAnsi="Times New Roman"/>
              </w:rPr>
              <w:t>- в целом по республике</w:t>
            </w:r>
          </w:p>
        </w:tc>
        <w:tc>
          <w:tcPr>
            <w:tcW w:w="1984" w:type="dxa"/>
            <w:vAlign w:val="center"/>
          </w:tcPr>
          <w:p w:rsidR="00C84F2A" w:rsidRPr="00722024" w:rsidRDefault="00C84F2A" w:rsidP="00C84F2A">
            <w:pPr>
              <w:widowControl w:val="0"/>
              <w:spacing w:after="0" w:line="240" w:lineRule="auto"/>
              <w:jc w:val="center"/>
              <w:rPr>
                <w:rFonts w:ascii="Times New Roman" w:hAnsi="Times New Roman"/>
              </w:rPr>
            </w:pPr>
            <w:r w:rsidRPr="00722024">
              <w:rPr>
                <w:rFonts w:ascii="Times New Roman" w:hAnsi="Times New Roman"/>
              </w:rPr>
              <w:t>2,8</w:t>
            </w:r>
          </w:p>
        </w:tc>
        <w:tc>
          <w:tcPr>
            <w:tcW w:w="1843" w:type="dxa"/>
          </w:tcPr>
          <w:p w:rsidR="00C84F2A" w:rsidRPr="00722024" w:rsidRDefault="00C84F2A" w:rsidP="00C84F2A">
            <w:pPr>
              <w:widowControl w:val="0"/>
              <w:spacing w:after="0" w:line="240" w:lineRule="auto"/>
              <w:jc w:val="center"/>
              <w:rPr>
                <w:rFonts w:ascii="Times New Roman" w:hAnsi="Times New Roman"/>
              </w:rPr>
            </w:pPr>
            <w:r w:rsidRPr="00722024">
              <w:rPr>
                <w:rFonts w:ascii="Times New Roman" w:hAnsi="Times New Roman"/>
              </w:rPr>
              <w:t>2,7</w:t>
            </w:r>
          </w:p>
        </w:tc>
      </w:tr>
      <w:tr w:rsidR="00C84F2A" w:rsidRPr="00C84F2A" w:rsidTr="00722024">
        <w:trPr>
          <w:trHeight w:val="360"/>
        </w:trPr>
        <w:tc>
          <w:tcPr>
            <w:tcW w:w="5529" w:type="dxa"/>
            <w:vAlign w:val="center"/>
          </w:tcPr>
          <w:p w:rsidR="00C84F2A" w:rsidRPr="00722024" w:rsidRDefault="00C84F2A" w:rsidP="00C84F2A">
            <w:pPr>
              <w:widowControl w:val="0"/>
              <w:spacing w:after="0" w:line="240" w:lineRule="auto"/>
              <w:rPr>
                <w:rFonts w:ascii="Times New Roman" w:hAnsi="Times New Roman"/>
              </w:rPr>
            </w:pPr>
            <w:r w:rsidRPr="00722024">
              <w:rPr>
                <w:rFonts w:ascii="Times New Roman" w:hAnsi="Times New Roman"/>
              </w:rPr>
              <w:t xml:space="preserve">- в хозрасчетном секторе </w:t>
            </w:r>
          </w:p>
        </w:tc>
        <w:tc>
          <w:tcPr>
            <w:tcW w:w="1984" w:type="dxa"/>
            <w:vAlign w:val="center"/>
          </w:tcPr>
          <w:p w:rsidR="00C84F2A" w:rsidRPr="00722024" w:rsidRDefault="00C84F2A" w:rsidP="00C84F2A">
            <w:pPr>
              <w:widowControl w:val="0"/>
              <w:spacing w:after="0" w:line="240" w:lineRule="auto"/>
              <w:jc w:val="center"/>
              <w:rPr>
                <w:rFonts w:ascii="Times New Roman" w:hAnsi="Times New Roman"/>
              </w:rPr>
            </w:pPr>
            <w:r w:rsidRPr="00722024">
              <w:rPr>
                <w:rFonts w:ascii="Times New Roman" w:hAnsi="Times New Roman"/>
              </w:rPr>
              <w:t>3,6</w:t>
            </w:r>
          </w:p>
        </w:tc>
        <w:tc>
          <w:tcPr>
            <w:tcW w:w="1843" w:type="dxa"/>
          </w:tcPr>
          <w:p w:rsidR="00C84F2A" w:rsidRPr="00722024" w:rsidRDefault="00C84F2A" w:rsidP="00C84F2A">
            <w:pPr>
              <w:widowControl w:val="0"/>
              <w:spacing w:after="0" w:line="240" w:lineRule="auto"/>
              <w:jc w:val="center"/>
              <w:rPr>
                <w:rFonts w:ascii="Times New Roman" w:hAnsi="Times New Roman"/>
              </w:rPr>
            </w:pPr>
            <w:r w:rsidRPr="00722024">
              <w:rPr>
                <w:rFonts w:ascii="Times New Roman" w:hAnsi="Times New Roman"/>
              </w:rPr>
              <w:t>3,4</w:t>
            </w:r>
          </w:p>
        </w:tc>
      </w:tr>
      <w:tr w:rsidR="00C84F2A" w:rsidRPr="00C84F2A" w:rsidTr="00722024">
        <w:trPr>
          <w:trHeight w:val="360"/>
        </w:trPr>
        <w:tc>
          <w:tcPr>
            <w:tcW w:w="5529" w:type="dxa"/>
            <w:vAlign w:val="center"/>
          </w:tcPr>
          <w:p w:rsidR="00C84F2A" w:rsidRPr="00722024" w:rsidRDefault="00C84F2A" w:rsidP="00C84F2A">
            <w:pPr>
              <w:widowControl w:val="0"/>
              <w:spacing w:after="0" w:line="240" w:lineRule="auto"/>
              <w:rPr>
                <w:rFonts w:ascii="Times New Roman" w:hAnsi="Times New Roman"/>
              </w:rPr>
            </w:pPr>
            <w:r w:rsidRPr="00722024">
              <w:rPr>
                <w:rFonts w:ascii="Times New Roman" w:hAnsi="Times New Roman"/>
              </w:rPr>
              <w:t>- в бюджетной сфере</w:t>
            </w:r>
          </w:p>
        </w:tc>
        <w:tc>
          <w:tcPr>
            <w:tcW w:w="1984" w:type="dxa"/>
            <w:vAlign w:val="center"/>
          </w:tcPr>
          <w:p w:rsidR="00C84F2A" w:rsidRPr="00722024" w:rsidRDefault="00C84F2A" w:rsidP="00C84F2A">
            <w:pPr>
              <w:widowControl w:val="0"/>
              <w:spacing w:after="0" w:line="240" w:lineRule="auto"/>
              <w:jc w:val="center"/>
              <w:rPr>
                <w:rFonts w:ascii="Times New Roman" w:hAnsi="Times New Roman"/>
              </w:rPr>
            </w:pPr>
            <w:r w:rsidRPr="00722024">
              <w:rPr>
                <w:rFonts w:ascii="Times New Roman" w:hAnsi="Times New Roman"/>
              </w:rPr>
              <w:t>1,9</w:t>
            </w:r>
          </w:p>
        </w:tc>
        <w:tc>
          <w:tcPr>
            <w:tcW w:w="1843" w:type="dxa"/>
          </w:tcPr>
          <w:p w:rsidR="00C84F2A" w:rsidRPr="00722024" w:rsidRDefault="00C84F2A" w:rsidP="00C84F2A">
            <w:pPr>
              <w:widowControl w:val="0"/>
              <w:spacing w:after="0" w:line="240" w:lineRule="auto"/>
              <w:jc w:val="center"/>
              <w:rPr>
                <w:rFonts w:ascii="Times New Roman" w:hAnsi="Times New Roman"/>
              </w:rPr>
            </w:pPr>
            <w:r w:rsidRPr="00722024">
              <w:rPr>
                <w:rFonts w:ascii="Times New Roman" w:hAnsi="Times New Roman"/>
              </w:rPr>
              <w:t>1,9</w:t>
            </w:r>
          </w:p>
        </w:tc>
      </w:tr>
    </w:tbl>
    <w:p w:rsidR="00C84F2A" w:rsidRPr="00C84F2A" w:rsidRDefault="00C84F2A" w:rsidP="00C84F2A">
      <w:pPr>
        <w:widowControl w:val="0"/>
        <w:spacing w:after="0" w:line="240" w:lineRule="auto"/>
        <w:ind w:firstLine="720"/>
        <w:jc w:val="both"/>
        <w:rPr>
          <w:rFonts w:ascii="Times New Roman" w:hAnsi="Times New Roman"/>
          <w:b/>
          <w:sz w:val="24"/>
          <w:szCs w:val="24"/>
        </w:rPr>
      </w:pPr>
    </w:p>
    <w:p w:rsidR="00C84F2A" w:rsidRPr="00C84F2A" w:rsidRDefault="00C84F2A" w:rsidP="00C84F2A">
      <w:pPr>
        <w:widowControl w:val="0"/>
        <w:spacing w:after="0" w:line="240" w:lineRule="auto"/>
        <w:ind w:firstLine="720"/>
        <w:jc w:val="both"/>
        <w:rPr>
          <w:rFonts w:ascii="Times New Roman" w:hAnsi="Times New Roman"/>
          <w:sz w:val="24"/>
          <w:szCs w:val="24"/>
        </w:rPr>
      </w:pPr>
      <w:r w:rsidRPr="00C84F2A">
        <w:rPr>
          <w:rFonts w:ascii="Times New Roman" w:hAnsi="Times New Roman"/>
          <w:b/>
          <w:sz w:val="24"/>
          <w:szCs w:val="24"/>
        </w:rPr>
        <w:t>Во внебюджетном (хозрасчетном) секторе</w:t>
      </w:r>
      <w:r w:rsidRPr="00C84F2A">
        <w:rPr>
          <w:rFonts w:ascii="Times New Roman" w:hAnsi="Times New Roman"/>
          <w:sz w:val="24"/>
          <w:szCs w:val="24"/>
        </w:rPr>
        <w:t xml:space="preserve"> экономики начисленная среднемесячная заработная плата одного работника за январь – июнь 2015 года сократилась по отношению к базовому показателю 2014 года на 4,9% и сложилась в размере 4 827 руб., что с учетом корректировки на индекс инфляции соответствует ее реальному сокращению на 4,6%.</w:t>
      </w:r>
    </w:p>
    <w:p w:rsidR="00C84F2A" w:rsidRPr="00C84F2A" w:rsidRDefault="00C84F2A" w:rsidP="00C84F2A">
      <w:pPr>
        <w:widowControl w:val="0"/>
        <w:spacing w:after="0" w:line="240" w:lineRule="auto"/>
        <w:ind w:firstLine="708"/>
        <w:jc w:val="both"/>
        <w:rPr>
          <w:rFonts w:ascii="Times New Roman" w:hAnsi="Times New Roman"/>
          <w:sz w:val="24"/>
          <w:szCs w:val="24"/>
        </w:rPr>
      </w:pPr>
      <w:r w:rsidRPr="00C84F2A">
        <w:rPr>
          <w:rFonts w:ascii="Times New Roman" w:hAnsi="Times New Roman"/>
          <w:sz w:val="24"/>
          <w:szCs w:val="24"/>
        </w:rPr>
        <w:t xml:space="preserve">Повышение номинальной заработной платы за I полугодие 2015 года по отношению к соответствующему показателю 2014 года в хозрасчетном (внебюджетном) секторе экономики варьировало от 2,3% в организациях жилищно-коммунального хозяйства (4 174 руб.) до 10,1% в организациях, осуществляющих операции с недвижимым имуществом (4 664 руб.). При этом самыми высокооплачиваемыми отраслями в данном секторе экономики в рассматриваемом периоде выступили: электро и радиосвязь (9 097 руб.), банки и кредитование (7 687 руб.), страхование (5 974 руб.), где превышение среднереспубликанского уровня заработной платы организаций хозрасчетного сектора варьировало от 88,5% до 23,8%. </w:t>
      </w:r>
    </w:p>
    <w:p w:rsidR="00C84F2A" w:rsidRPr="00C84F2A" w:rsidRDefault="00C84F2A" w:rsidP="00C84F2A">
      <w:pPr>
        <w:spacing w:line="240" w:lineRule="auto"/>
        <w:contextualSpacing/>
        <w:jc w:val="right"/>
        <w:rPr>
          <w:rFonts w:ascii="Times New Roman" w:hAnsi="Times New Roman"/>
          <w:sz w:val="24"/>
          <w:szCs w:val="24"/>
        </w:rPr>
      </w:pPr>
      <w:r w:rsidRPr="00C84F2A">
        <w:rPr>
          <w:rFonts w:ascii="Times New Roman" w:hAnsi="Times New Roman"/>
          <w:noProof/>
          <w:sz w:val="24"/>
          <w:szCs w:val="24"/>
        </w:rPr>
        <w:lastRenderedPageBreak/>
        <w:drawing>
          <wp:inline distT="0" distB="0" distL="0" distR="0">
            <wp:extent cx="5943600" cy="4171950"/>
            <wp:effectExtent l="0" t="0" r="0" b="0"/>
            <wp:docPr id="7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84F2A" w:rsidRPr="00C84F2A" w:rsidRDefault="00C84F2A" w:rsidP="00C84F2A">
      <w:pPr>
        <w:widowControl w:val="0"/>
        <w:spacing w:after="0" w:line="240" w:lineRule="auto"/>
        <w:ind w:firstLine="709"/>
        <w:jc w:val="both"/>
        <w:rPr>
          <w:rFonts w:ascii="Times New Roman" w:hAnsi="Times New Roman"/>
          <w:sz w:val="24"/>
          <w:szCs w:val="24"/>
        </w:rPr>
      </w:pPr>
    </w:p>
    <w:p w:rsidR="00C84F2A" w:rsidRPr="00C84F2A" w:rsidRDefault="00C84F2A" w:rsidP="00C84F2A">
      <w:pPr>
        <w:widowControl w:val="0"/>
        <w:spacing w:after="0" w:line="240" w:lineRule="auto"/>
        <w:ind w:firstLine="709"/>
        <w:jc w:val="both"/>
        <w:rPr>
          <w:rFonts w:ascii="Times New Roman" w:hAnsi="Times New Roman"/>
          <w:sz w:val="24"/>
          <w:szCs w:val="24"/>
        </w:rPr>
      </w:pPr>
      <w:r w:rsidRPr="00C84F2A">
        <w:rPr>
          <w:rFonts w:ascii="Times New Roman" w:hAnsi="Times New Roman"/>
          <w:sz w:val="24"/>
          <w:szCs w:val="24"/>
        </w:rPr>
        <w:t>Ситуация в индустриальном секторе республики в рассматриваемом периоде складывалась под влиянием ряда как внешних, так и внутренних рисков, которые обусловили</w:t>
      </w:r>
      <w:r w:rsidRPr="00C84F2A">
        <w:rPr>
          <w:rFonts w:ascii="Times New Roman" w:hAnsi="Times New Roman"/>
          <w:b/>
          <w:sz w:val="24"/>
          <w:szCs w:val="24"/>
        </w:rPr>
        <w:t xml:space="preserve"> </w:t>
      </w:r>
      <w:r w:rsidRPr="00C84F2A">
        <w:rPr>
          <w:rFonts w:ascii="Times New Roman" w:hAnsi="Times New Roman"/>
          <w:sz w:val="24"/>
          <w:szCs w:val="24"/>
        </w:rPr>
        <w:t>сокращение</w:t>
      </w:r>
      <w:r w:rsidRPr="00C84F2A">
        <w:rPr>
          <w:rFonts w:ascii="Times New Roman" w:hAnsi="Times New Roman"/>
          <w:b/>
          <w:sz w:val="24"/>
          <w:szCs w:val="24"/>
        </w:rPr>
        <w:t xml:space="preserve"> </w:t>
      </w:r>
      <w:r w:rsidRPr="00C84F2A">
        <w:rPr>
          <w:rFonts w:ascii="Times New Roman" w:hAnsi="Times New Roman"/>
          <w:sz w:val="24"/>
          <w:szCs w:val="24"/>
        </w:rPr>
        <w:t>среднемесячной номинальной заработной платы работников в январе – июне 2015 года на 3,6%, что в абсолютной величине соответствовало 4 918 руб. или 443 дол. США («-»3,7%). Вместе с тем, с учетом корректировки на индекс инфляции реальная ее величина сократилась на 3,3%.</w:t>
      </w:r>
    </w:p>
    <w:p w:rsidR="00C84F2A" w:rsidRPr="00C84F2A" w:rsidRDefault="00C84F2A" w:rsidP="00C84F2A">
      <w:pPr>
        <w:widowControl w:val="0"/>
        <w:spacing w:after="0" w:line="240" w:lineRule="auto"/>
        <w:ind w:firstLine="709"/>
        <w:jc w:val="both"/>
        <w:rPr>
          <w:rFonts w:ascii="Times New Roman" w:hAnsi="Times New Roman"/>
          <w:sz w:val="24"/>
          <w:szCs w:val="24"/>
        </w:rPr>
      </w:pPr>
      <w:r w:rsidRPr="00C84F2A">
        <w:rPr>
          <w:rFonts w:ascii="Times New Roman" w:hAnsi="Times New Roman"/>
          <w:sz w:val="24"/>
          <w:szCs w:val="24"/>
        </w:rPr>
        <w:t>В разрезе подотраслей промышленности среднемесячная номинальная заработная плата за I полугодие 2015 года по отношению к базовому показателю 2014 года варьировала от «-»15,4% в организациях промышленности строительных материалов (суммарная величина – 4 139 руб.) до «+»33,6% в полиграфической промышленности (суммарная величина – 4 665 руб.).</w:t>
      </w:r>
    </w:p>
    <w:p w:rsidR="00C84F2A" w:rsidRPr="00C84F2A" w:rsidRDefault="00C84F2A" w:rsidP="00B5001E">
      <w:pPr>
        <w:spacing w:line="240" w:lineRule="auto"/>
        <w:contextualSpacing/>
        <w:jc w:val="right"/>
        <w:rPr>
          <w:rFonts w:ascii="Times New Roman" w:hAnsi="Times New Roman"/>
          <w:sz w:val="18"/>
          <w:szCs w:val="18"/>
        </w:rPr>
      </w:pPr>
      <w:r w:rsidRPr="00C84F2A">
        <w:rPr>
          <w:rFonts w:ascii="Times New Roman" w:hAnsi="Times New Roman"/>
          <w:noProof/>
          <w:sz w:val="24"/>
          <w:szCs w:val="24"/>
        </w:rPr>
        <w:drawing>
          <wp:inline distT="0" distB="0" distL="0" distR="0">
            <wp:extent cx="6143625" cy="2933700"/>
            <wp:effectExtent l="19050" t="0" r="0" b="0"/>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5001E" w:rsidRDefault="00B5001E" w:rsidP="00C84F2A">
      <w:pPr>
        <w:widowControl w:val="0"/>
        <w:spacing w:after="0" w:line="240" w:lineRule="auto"/>
        <w:ind w:firstLine="709"/>
        <w:jc w:val="both"/>
        <w:rPr>
          <w:rFonts w:ascii="Times New Roman" w:hAnsi="Times New Roman"/>
          <w:sz w:val="24"/>
          <w:szCs w:val="24"/>
        </w:rPr>
      </w:pPr>
    </w:p>
    <w:p w:rsidR="00C84F2A" w:rsidRPr="00C84F2A" w:rsidRDefault="00C84F2A" w:rsidP="00C84F2A">
      <w:pPr>
        <w:widowControl w:val="0"/>
        <w:spacing w:after="0" w:line="240" w:lineRule="auto"/>
        <w:ind w:firstLine="709"/>
        <w:jc w:val="both"/>
        <w:rPr>
          <w:rFonts w:ascii="Times New Roman" w:hAnsi="Times New Roman"/>
          <w:sz w:val="24"/>
          <w:szCs w:val="24"/>
        </w:rPr>
      </w:pPr>
      <w:r w:rsidRPr="00C84F2A">
        <w:rPr>
          <w:rFonts w:ascii="Times New Roman" w:hAnsi="Times New Roman"/>
          <w:sz w:val="24"/>
          <w:szCs w:val="24"/>
        </w:rPr>
        <w:lastRenderedPageBreak/>
        <w:t>Заработная плата у работников отрасли</w:t>
      </w:r>
      <w:r w:rsidRPr="00C84F2A">
        <w:rPr>
          <w:rFonts w:ascii="Times New Roman" w:hAnsi="Times New Roman"/>
          <w:b/>
          <w:sz w:val="24"/>
          <w:szCs w:val="24"/>
        </w:rPr>
        <w:t xml:space="preserve"> «Сельское хозяйство»</w:t>
      </w:r>
      <w:r w:rsidRPr="00C84F2A">
        <w:rPr>
          <w:rFonts w:ascii="Times New Roman" w:hAnsi="Times New Roman"/>
          <w:sz w:val="24"/>
          <w:szCs w:val="24"/>
        </w:rPr>
        <w:t xml:space="preserve"> в январе – июне 2015 года сократилась на 7,9% и составила 2 925 руб. (264 долл. США), с учетом корректировки на индекс инфляции материальное положение работников отрасли снизилось на 7,6%, но при этом стоит отметить, что номинальный ее размер на 23,8% сложился ниже среднереспубликанского уровня.</w:t>
      </w:r>
    </w:p>
    <w:p w:rsidR="00C84F2A" w:rsidRPr="00C84F2A" w:rsidRDefault="00C84F2A" w:rsidP="00C84F2A">
      <w:pPr>
        <w:autoSpaceDE w:val="0"/>
        <w:autoSpaceDN w:val="0"/>
        <w:adjustRightInd w:val="0"/>
        <w:spacing w:after="0" w:line="240" w:lineRule="auto"/>
        <w:ind w:firstLine="709"/>
        <w:jc w:val="both"/>
        <w:rPr>
          <w:rFonts w:ascii="Times New Roman" w:hAnsi="Times New Roman"/>
          <w:sz w:val="24"/>
          <w:szCs w:val="24"/>
        </w:rPr>
      </w:pPr>
      <w:r w:rsidRPr="00C84F2A">
        <w:rPr>
          <w:rFonts w:ascii="Times New Roman" w:hAnsi="Times New Roman"/>
          <w:sz w:val="24"/>
          <w:szCs w:val="24"/>
        </w:rPr>
        <w:t>Оплата труда в бюджетной сфере по итогам I полугодия 2015 года относительно базового показателя 2014 года сократилась на 1,4% и составила в среднем 2 684 руб.            (242 долл.), покрыв на 69,9% среднереспубликанский уровень. С учетом корректировки на индекс инфляции материальное положение занятых в</w:t>
      </w:r>
      <w:r w:rsidRPr="00C84F2A">
        <w:rPr>
          <w:rFonts w:ascii="Times New Roman" w:hAnsi="Times New Roman"/>
          <w:sz w:val="28"/>
          <w:szCs w:val="28"/>
        </w:rPr>
        <w:t xml:space="preserve"> </w:t>
      </w:r>
      <w:r w:rsidRPr="00C84F2A">
        <w:rPr>
          <w:rFonts w:ascii="Times New Roman" w:hAnsi="Times New Roman"/>
          <w:sz w:val="24"/>
          <w:szCs w:val="24"/>
        </w:rPr>
        <w:t>бюджетном секторе (реальная заработная плата) сократилось на 1,1%.</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В условиях сложной финансово-экономической ситуации в республике, и как следствие, снижения поступлений доходов в бюджеты различных уровней, финансирование расходов по оплате труда работников организаций, финансируемых из бюджетов различных уровней (в том числе бюджета государственного внебюджетного фонда), производится пропорционально поступающим доходам. Так, решениями Государственной комиссии по определению объемов финансирования основных направлений расходов бюджетов различных уровней, заработная плата работникам бюджетной сферы с марта 2015 года выплачивается в размере 70% от фактически начисленных сумм.</w:t>
      </w:r>
    </w:p>
    <w:p w:rsidR="00C84F2A" w:rsidRPr="00C84F2A" w:rsidRDefault="00C84F2A" w:rsidP="00C84F2A">
      <w:pPr>
        <w:rPr>
          <w:rFonts w:ascii="Times New Roman" w:hAnsi="Times New Roman"/>
          <w:sz w:val="24"/>
          <w:szCs w:val="24"/>
        </w:rPr>
      </w:pPr>
      <w:r w:rsidRPr="00C84F2A">
        <w:rPr>
          <w:rFonts w:ascii="Times New Roman" w:hAnsi="Times New Roman"/>
          <w:noProof/>
          <w:sz w:val="24"/>
          <w:szCs w:val="24"/>
        </w:rPr>
        <w:drawing>
          <wp:inline distT="0" distB="0" distL="0" distR="0">
            <wp:extent cx="6076950" cy="3990975"/>
            <wp:effectExtent l="0" t="0" r="0" b="0"/>
            <wp:docPr id="7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Максимальная заработная плата сформировалась в организациях отрасли «Высшие учебные заведения» – 3 715 руб., в судебных органах власти – 3 332 руб.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Вместе с этим заработная плата в таких отраслях как: «Торговля и общепит», «Геология и метеорология», «Социальное обеспечение» сформировалась в пределах          46,2% – 53,7% от среднереспубликанской величины.</w:t>
      </w:r>
    </w:p>
    <w:p w:rsidR="00C84F2A" w:rsidRPr="00C84F2A" w:rsidRDefault="00C84F2A" w:rsidP="00C84F2A">
      <w:pPr>
        <w:spacing w:after="0" w:line="240" w:lineRule="auto"/>
        <w:ind w:firstLine="708"/>
        <w:jc w:val="both"/>
        <w:rPr>
          <w:rFonts w:ascii="Times New Roman" w:hAnsi="Times New Roman"/>
          <w:sz w:val="24"/>
          <w:szCs w:val="24"/>
        </w:rPr>
      </w:pPr>
      <w:r w:rsidRPr="00C84F2A">
        <w:rPr>
          <w:rFonts w:ascii="Times New Roman" w:hAnsi="Times New Roman"/>
          <w:sz w:val="24"/>
          <w:szCs w:val="24"/>
        </w:rPr>
        <w:t>Своевременность выплаты заработной платы</w:t>
      </w:r>
      <w:r w:rsidRPr="00C84F2A">
        <w:rPr>
          <w:rFonts w:ascii="Times New Roman" w:hAnsi="Times New Roman"/>
          <w:b/>
          <w:sz w:val="24"/>
          <w:szCs w:val="24"/>
        </w:rPr>
        <w:t xml:space="preserve"> </w:t>
      </w:r>
      <w:r w:rsidRPr="00C84F2A">
        <w:rPr>
          <w:rFonts w:ascii="Times New Roman" w:hAnsi="Times New Roman"/>
          <w:sz w:val="24"/>
          <w:szCs w:val="24"/>
        </w:rPr>
        <w:t xml:space="preserve">является немаловажным критерием, характеризующим уровень жизни населения. В связи с резким уменьшением поступлений в бюджет республики по состоянию на 1 июля 2015 года сформировалась задолженность бюджета по социально защищенным статьям в сумме 445,7 млн. руб., в том числе задолженность по оплате труда и пенсиям составила 396,7 млн. руб. </w:t>
      </w:r>
    </w:p>
    <w:p w:rsidR="00C84F2A" w:rsidRPr="00C84F2A" w:rsidRDefault="00C84F2A" w:rsidP="00C84F2A">
      <w:pPr>
        <w:spacing w:after="0" w:line="240" w:lineRule="auto"/>
        <w:ind w:firstLine="708"/>
        <w:jc w:val="both"/>
        <w:rPr>
          <w:rFonts w:ascii="Times New Roman" w:hAnsi="Times New Roman"/>
          <w:sz w:val="24"/>
          <w:szCs w:val="24"/>
        </w:rPr>
      </w:pPr>
      <w:r w:rsidRPr="00C84F2A">
        <w:rPr>
          <w:rFonts w:ascii="Times New Roman" w:hAnsi="Times New Roman"/>
          <w:b/>
          <w:sz w:val="24"/>
          <w:szCs w:val="24"/>
        </w:rPr>
        <w:lastRenderedPageBreak/>
        <w:t>Суммарная задолженность</w:t>
      </w:r>
      <w:r w:rsidRPr="00C84F2A">
        <w:rPr>
          <w:rFonts w:ascii="Times New Roman" w:hAnsi="Times New Roman"/>
          <w:sz w:val="24"/>
          <w:szCs w:val="24"/>
        </w:rPr>
        <w:t xml:space="preserve"> по заработной плате в целом по республике на 1 июля 2015 года по сравнению с задолженностью на 1 июля 2014 года выросла в 9,1 раз и составила </w:t>
      </w:r>
      <w:r w:rsidRPr="00C84F2A">
        <w:rPr>
          <w:rFonts w:ascii="Times New Roman" w:hAnsi="Times New Roman"/>
          <w:bCs/>
          <w:sz w:val="24"/>
          <w:szCs w:val="24"/>
        </w:rPr>
        <w:t>144,3 млн</w:t>
      </w:r>
      <w:r w:rsidRPr="00C84F2A">
        <w:rPr>
          <w:rFonts w:ascii="Times New Roman" w:hAnsi="Times New Roman"/>
          <w:sz w:val="24"/>
          <w:szCs w:val="24"/>
        </w:rPr>
        <w:t>. руб., при этом продолжительность ее невыплаты составила                 0,42</w:t>
      </w:r>
      <w:r w:rsidRPr="00C84F2A">
        <w:rPr>
          <w:rFonts w:ascii="Times New Roman" w:hAnsi="Times New Roman"/>
          <w:b/>
          <w:sz w:val="24"/>
          <w:szCs w:val="24"/>
        </w:rPr>
        <w:t xml:space="preserve"> </w:t>
      </w:r>
      <w:r w:rsidRPr="00C84F2A">
        <w:rPr>
          <w:rFonts w:ascii="Times New Roman" w:hAnsi="Times New Roman"/>
          <w:sz w:val="24"/>
          <w:szCs w:val="24"/>
        </w:rPr>
        <w:t>среднемесячного фонда оплаты труда.</w:t>
      </w:r>
    </w:p>
    <w:p w:rsidR="00C84F2A" w:rsidRPr="00C84F2A" w:rsidRDefault="00C84F2A" w:rsidP="00C84F2A">
      <w:pPr>
        <w:spacing w:after="0" w:line="240" w:lineRule="auto"/>
        <w:ind w:firstLine="720"/>
        <w:jc w:val="both"/>
        <w:rPr>
          <w:rFonts w:ascii="Times New Roman" w:hAnsi="Times New Roman"/>
          <w:sz w:val="24"/>
          <w:szCs w:val="24"/>
        </w:rPr>
      </w:pPr>
      <w:r w:rsidRPr="00C84F2A">
        <w:rPr>
          <w:rFonts w:ascii="Times New Roman" w:hAnsi="Times New Roman"/>
          <w:sz w:val="24"/>
          <w:szCs w:val="24"/>
        </w:rPr>
        <w:t>Наибольший удельный вес в общей суммарной задолженности по выплате заработной платы приходится на организации здравоохранения, образования и промышленности (60,8% общей суммарной задолженности по республике), при этом продолжительность невыплаты заработной платы в этих отраслях соответственно составляет 1,1, 0,86 и 0,11 среднемесячного фонда оплаты труда.</w:t>
      </w:r>
    </w:p>
    <w:p w:rsidR="00C84F2A" w:rsidRPr="00C84F2A" w:rsidRDefault="00C84F2A" w:rsidP="00C84F2A">
      <w:pPr>
        <w:widowControl w:val="0"/>
        <w:spacing w:after="0" w:line="240" w:lineRule="auto"/>
        <w:ind w:firstLineChars="295" w:firstLine="708"/>
        <w:jc w:val="both"/>
        <w:rPr>
          <w:rFonts w:ascii="Times New Roman" w:hAnsi="Times New Roman"/>
          <w:sz w:val="24"/>
          <w:szCs w:val="24"/>
        </w:rPr>
      </w:pPr>
      <w:r w:rsidRPr="00C84F2A">
        <w:rPr>
          <w:rFonts w:ascii="Times New Roman" w:hAnsi="Times New Roman"/>
          <w:sz w:val="24"/>
          <w:szCs w:val="24"/>
        </w:rPr>
        <w:t xml:space="preserve">Задолженность по оплате труда в </w:t>
      </w:r>
      <w:r w:rsidRPr="00C84F2A">
        <w:rPr>
          <w:rFonts w:ascii="Times New Roman" w:hAnsi="Times New Roman"/>
          <w:b/>
          <w:sz w:val="24"/>
          <w:szCs w:val="24"/>
        </w:rPr>
        <w:t>бюджетной сфере</w:t>
      </w:r>
      <w:r w:rsidRPr="00C84F2A">
        <w:rPr>
          <w:rFonts w:ascii="Times New Roman" w:hAnsi="Times New Roman"/>
          <w:sz w:val="24"/>
          <w:szCs w:val="24"/>
        </w:rPr>
        <w:t xml:space="preserve"> по состоянию на 1 июля      2015 года составила </w:t>
      </w:r>
      <w:r w:rsidRPr="00C84F2A">
        <w:rPr>
          <w:rFonts w:ascii="Times New Roman" w:hAnsi="Times New Roman"/>
          <w:bCs/>
          <w:sz w:val="24"/>
          <w:szCs w:val="24"/>
        </w:rPr>
        <w:t>108,5 млн</w:t>
      </w:r>
      <w:r w:rsidRPr="00C84F2A">
        <w:rPr>
          <w:rFonts w:ascii="Times New Roman" w:hAnsi="Times New Roman"/>
          <w:sz w:val="24"/>
          <w:szCs w:val="24"/>
        </w:rPr>
        <w:t>. руб., при этом продолжительность ее невыплаты составила 0,97</w:t>
      </w:r>
      <w:r w:rsidRPr="00C84F2A">
        <w:rPr>
          <w:rFonts w:ascii="Times New Roman" w:hAnsi="Times New Roman"/>
          <w:b/>
          <w:sz w:val="24"/>
          <w:szCs w:val="24"/>
        </w:rPr>
        <w:t xml:space="preserve"> </w:t>
      </w:r>
      <w:r w:rsidRPr="00C84F2A">
        <w:rPr>
          <w:rFonts w:ascii="Times New Roman" w:hAnsi="Times New Roman"/>
          <w:sz w:val="24"/>
          <w:szCs w:val="24"/>
        </w:rPr>
        <w:t xml:space="preserve">среднемесячного фонда оплаты труда. Задолженность по заработной плате </w:t>
      </w:r>
      <w:r w:rsidRPr="00C84F2A">
        <w:rPr>
          <w:rFonts w:ascii="Times New Roman" w:hAnsi="Times New Roman"/>
          <w:b/>
          <w:sz w:val="24"/>
          <w:szCs w:val="24"/>
        </w:rPr>
        <w:t xml:space="preserve">во внебюджетном секторе </w:t>
      </w:r>
      <w:r w:rsidRPr="00C84F2A">
        <w:rPr>
          <w:rFonts w:ascii="Times New Roman" w:hAnsi="Times New Roman"/>
          <w:sz w:val="24"/>
          <w:szCs w:val="24"/>
        </w:rPr>
        <w:t xml:space="preserve">экономики на 1 июля 2015 года по сравнению с задолженностью на 1 июля 2014 года выросла в 2,3 раза и составила </w:t>
      </w:r>
      <w:r w:rsidRPr="00C84F2A">
        <w:rPr>
          <w:rFonts w:ascii="Times New Roman" w:hAnsi="Times New Roman"/>
          <w:bCs/>
          <w:sz w:val="24"/>
          <w:szCs w:val="24"/>
        </w:rPr>
        <w:t>35,8 млн</w:t>
      </w:r>
      <w:r w:rsidRPr="00C84F2A">
        <w:rPr>
          <w:rFonts w:ascii="Times New Roman" w:hAnsi="Times New Roman"/>
          <w:sz w:val="24"/>
          <w:szCs w:val="24"/>
        </w:rPr>
        <w:t>. руб., при этом продолжительность ее невыплаты составила 0,15</w:t>
      </w:r>
      <w:r w:rsidRPr="00C84F2A">
        <w:rPr>
          <w:rFonts w:ascii="Times New Roman" w:hAnsi="Times New Roman"/>
          <w:b/>
          <w:sz w:val="24"/>
          <w:szCs w:val="24"/>
        </w:rPr>
        <w:t xml:space="preserve"> </w:t>
      </w:r>
      <w:r w:rsidRPr="00C84F2A">
        <w:rPr>
          <w:rFonts w:ascii="Times New Roman" w:hAnsi="Times New Roman"/>
          <w:sz w:val="24"/>
          <w:szCs w:val="24"/>
        </w:rPr>
        <w:t>среднемесячного фонда оплаты труда.</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C84F2A">
        <w:rPr>
          <w:rFonts w:ascii="Times New Roman" w:hAnsi="Times New Roman"/>
          <w:b/>
          <w:sz w:val="24"/>
          <w:szCs w:val="24"/>
        </w:rPr>
        <w:t>пенсия.</w:t>
      </w:r>
    </w:p>
    <w:p w:rsidR="00C84F2A" w:rsidRPr="00C84F2A" w:rsidRDefault="00C84F2A" w:rsidP="00C84F2A">
      <w:pPr>
        <w:rPr>
          <w:rFonts w:ascii="Times New Roman" w:hAnsi="Times New Roman"/>
          <w:sz w:val="24"/>
          <w:szCs w:val="24"/>
        </w:rPr>
      </w:pPr>
      <w:r w:rsidRPr="00C84F2A">
        <w:rPr>
          <w:rFonts w:ascii="Times New Roman" w:hAnsi="Times New Roman"/>
          <w:noProof/>
          <w:sz w:val="24"/>
          <w:szCs w:val="24"/>
        </w:rPr>
        <w:drawing>
          <wp:inline distT="0" distB="0" distL="0" distR="0">
            <wp:extent cx="5934075" cy="2552700"/>
            <wp:effectExtent l="0" t="0" r="0" b="0"/>
            <wp:docPr id="7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eastAsiaTheme="minorHAnsi" w:hAnsi="Times New Roman" w:cstheme="minorBidi"/>
          <w:sz w:val="24"/>
          <w:szCs w:val="24"/>
          <w:lang w:eastAsia="en-US"/>
        </w:rPr>
        <w:t>На фоне выбытия пенсионеров и переоформления пенсий, число получателей пенсий за I полугодие 2015 года по сравнению с аналогичным периодом прошлого года уменьшилось на 3,6 тыс. чел. или на 2,6%, составив 136,6 тыс. чел.</w:t>
      </w:r>
      <w:r w:rsidRPr="00C84F2A">
        <w:rPr>
          <w:rFonts w:ascii="Times New Roman" w:hAnsi="Times New Roman"/>
          <w:sz w:val="24"/>
          <w:szCs w:val="24"/>
        </w:rPr>
        <w:t xml:space="preserve"> Таким образом, в экономике сложилась ситуация, когда на 100 работающих человек приходится 100,3 пенсионера.</w:t>
      </w:r>
    </w:p>
    <w:p w:rsidR="00C84F2A" w:rsidRPr="00C84F2A" w:rsidRDefault="00C84F2A" w:rsidP="00C84F2A">
      <w:pPr>
        <w:tabs>
          <w:tab w:val="left" w:pos="851"/>
        </w:tabs>
        <w:spacing w:after="0" w:line="240" w:lineRule="auto"/>
        <w:ind w:firstLine="567"/>
        <w:jc w:val="both"/>
        <w:rPr>
          <w:rFonts w:ascii="Times New Roman" w:hAnsi="Times New Roman"/>
          <w:sz w:val="24"/>
          <w:szCs w:val="24"/>
        </w:rPr>
      </w:pPr>
      <w:r w:rsidRPr="00C84F2A">
        <w:rPr>
          <w:rFonts w:ascii="Times New Roman" w:hAnsi="Times New Roman"/>
          <w:sz w:val="24"/>
          <w:szCs w:val="24"/>
        </w:rPr>
        <w:t>Поступления в доходную часть Единого государственного фонда социального страхования Приднестровской Молдавской Республики за I полугодие 2015 года составили 1 277,8 млн. руб., что на 17,8% меньше по сравнению с аналогичным периодом прошлого года, исполнение расходной части бюджета составило 1 222,9 млн. руб., что на 19,8% меньше по сравнению с январем – июнем 2014 года. При этом, расходы для осуществления основных функций бюджета по пенсионному обеспечению составили 1 057,3 млн. руб. или 82,7% от общих доходов, данные расходы производились за счет следующих источников:</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а) средства фонда – 884,8 млн. руб. (83,69% от расходов по пенсионному обеспечению);</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б) средства республиканского бюджета – 90 ,1 млн. руб. (8,52% от расходов по пенсионному обеспечению);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в) средства гуманитарной помощи Российской Федерации – 82,4 млн. руб., (7,79% от расходов по пенсионному обеспечению).</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В связи с недостаточностью средств бюджета Единого государственного фонда социального страхования Приднестровской Молдавской Республики финансирование </w:t>
      </w:r>
      <w:r w:rsidRPr="00C84F2A">
        <w:rPr>
          <w:rFonts w:ascii="Times New Roman" w:hAnsi="Times New Roman"/>
          <w:sz w:val="24"/>
          <w:szCs w:val="24"/>
        </w:rPr>
        <w:lastRenderedPageBreak/>
        <w:t>расходов на выплату трудовых пенсий с 1 марта 2015 года производится в размере 70% от начисленных сумм. В результате чего, за период с марта по июнь месяц 2015 года образовалась задолженность перед получателями пенсий в сумме –222,9 млн. руб.</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Средний размер назначенных пенсий за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полугодие 2015 года составил                  1 347,03 руб., оставшись практически на уровне базового периода минувшего года, превысив на 21,3% прожиточный минимум пенсионера. С учетом инфляции материальное положение пенсионеров повысилось на 0,2%.</w:t>
      </w:r>
    </w:p>
    <w:p w:rsidR="00C84F2A" w:rsidRPr="00C84F2A" w:rsidRDefault="00C84F2A" w:rsidP="00C84F2A">
      <w:pPr>
        <w:spacing w:after="0" w:line="240" w:lineRule="auto"/>
        <w:ind w:firstLine="709"/>
        <w:jc w:val="both"/>
        <w:rPr>
          <w:rFonts w:ascii="Times New Roman" w:hAnsi="Times New Roman"/>
          <w:sz w:val="24"/>
          <w:szCs w:val="24"/>
          <w:highlight w:val="cyan"/>
        </w:rPr>
      </w:pPr>
      <w:r w:rsidRPr="00C84F2A">
        <w:rPr>
          <w:rFonts w:ascii="Times New Roman" w:hAnsi="Times New Roman"/>
          <w:sz w:val="24"/>
          <w:szCs w:val="24"/>
        </w:rPr>
        <w:t>В целях поддержания материального благосостояния пенсионеров республики дополнительно к пенсии в январе – феврале 2015 года производилась выплата дополнительной помощи из средств Единого государственного фонда социального страхования Приднестровской Молдавской Республики в размере 50 рублей и гуманитарной помощи Российской Федерации в размере 100 рублей.</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b/>
          <w:sz w:val="24"/>
          <w:szCs w:val="24"/>
        </w:rPr>
        <w:t>Величина прожиточного минимума,</w:t>
      </w:r>
      <w:r w:rsidRPr="00C84F2A">
        <w:rPr>
          <w:rFonts w:ascii="Times New Roman" w:hAnsi="Times New Roman"/>
          <w:sz w:val="24"/>
          <w:szCs w:val="24"/>
        </w:rPr>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за I полугодие в среднем на душу населения составила 1 319,87 руб. («-»0,8%), из которой расходы на питание составили 605,0 руб. («-»9,4%), затраты на непродовольственные товары –265,7 руб. («+»4,6%), на оплату услуг – 424,7 руб. («+»10,5%), а величина расходов по обязательным платежам и сборам – 24,5 руб. («-»1,2%).</w:t>
      </w:r>
    </w:p>
    <w:p w:rsidR="00C84F2A" w:rsidRPr="00C84F2A" w:rsidRDefault="00C84F2A" w:rsidP="00C84F2A">
      <w:pPr>
        <w:spacing w:after="0" w:line="240" w:lineRule="auto"/>
        <w:jc w:val="center"/>
        <w:rPr>
          <w:rFonts w:ascii="Times New Roman" w:hAnsi="Times New Roman"/>
          <w:b/>
          <w:sz w:val="24"/>
          <w:szCs w:val="24"/>
        </w:rPr>
      </w:pPr>
    </w:p>
    <w:p w:rsidR="00C84F2A" w:rsidRPr="00C84F2A" w:rsidRDefault="00C84F2A" w:rsidP="00C84F2A">
      <w:pPr>
        <w:spacing w:after="0" w:line="240" w:lineRule="auto"/>
        <w:jc w:val="center"/>
        <w:rPr>
          <w:rFonts w:ascii="Times New Roman" w:hAnsi="Times New Roman"/>
          <w:b/>
          <w:sz w:val="24"/>
          <w:szCs w:val="24"/>
        </w:rPr>
      </w:pPr>
      <w:r w:rsidRPr="00C84F2A">
        <w:rPr>
          <w:rFonts w:ascii="Times New Roman" w:hAnsi="Times New Roman"/>
          <w:b/>
          <w:sz w:val="24"/>
          <w:szCs w:val="24"/>
        </w:rPr>
        <w:t>Структура прожиточного минимума, руб.</w:t>
      </w:r>
    </w:p>
    <w:p w:rsidR="00C84F2A" w:rsidRPr="00C84F2A" w:rsidRDefault="00C84F2A" w:rsidP="00C84F2A">
      <w:pPr>
        <w:spacing w:after="0" w:line="240" w:lineRule="auto"/>
        <w:jc w:val="center"/>
        <w:rPr>
          <w:rFonts w:ascii="Times New Roman" w:hAnsi="Times New Roman"/>
          <w:b/>
          <w:sz w:val="24"/>
          <w:szCs w:val="24"/>
        </w:rPr>
      </w:pPr>
      <w:r w:rsidRPr="00C84F2A">
        <w:rPr>
          <w:rFonts w:ascii="Times New Roman" w:hAnsi="Times New Roman"/>
          <w:b/>
          <w:noProof/>
          <w:sz w:val="24"/>
          <w:szCs w:val="24"/>
        </w:rPr>
        <w:drawing>
          <wp:inline distT="0" distB="0" distL="0" distR="0">
            <wp:extent cx="2724150" cy="2257425"/>
            <wp:effectExtent l="19050" t="0" r="0" b="0"/>
            <wp:docPr id="8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C84F2A">
        <w:rPr>
          <w:rFonts w:ascii="Times New Roman" w:hAnsi="Times New Roman"/>
          <w:noProof/>
        </w:rPr>
        <w:drawing>
          <wp:inline distT="0" distB="0" distL="0" distR="0">
            <wp:extent cx="2724150" cy="2257425"/>
            <wp:effectExtent l="19050" t="0" r="0" b="0"/>
            <wp:docPr id="8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C84F2A">
        <w:t xml:space="preserve"> </w:t>
      </w:r>
    </w:p>
    <w:p w:rsidR="00C84F2A" w:rsidRPr="00C84F2A" w:rsidRDefault="00C84F2A" w:rsidP="00C84F2A">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В разрезе социально-демографических групп населения величина прожиточного минимума в </w:t>
      </w:r>
      <w:r w:rsidRPr="00C84F2A">
        <w:rPr>
          <w:rFonts w:ascii="Times New Roman" w:hAnsi="Times New Roman"/>
          <w:sz w:val="24"/>
          <w:szCs w:val="24"/>
          <w:lang w:val="en-US"/>
        </w:rPr>
        <w:t>I</w:t>
      </w:r>
      <w:r w:rsidRPr="00C84F2A">
        <w:rPr>
          <w:rFonts w:ascii="Times New Roman" w:hAnsi="Times New Roman"/>
          <w:sz w:val="24"/>
          <w:szCs w:val="24"/>
        </w:rPr>
        <w:t xml:space="preserve"> полугодии 2015 года сложилась следующим образом:</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9"/>
        <w:gridCol w:w="1603"/>
        <w:gridCol w:w="1602"/>
        <w:gridCol w:w="2331"/>
      </w:tblGrid>
      <w:tr w:rsidR="00C84F2A" w:rsidRPr="00C84F2A" w:rsidTr="00D80FCA">
        <w:trPr>
          <w:trHeight w:val="743"/>
        </w:trPr>
        <w:tc>
          <w:tcPr>
            <w:tcW w:w="4079" w:type="dxa"/>
            <w:vMerge w:val="restart"/>
            <w:vAlign w:val="center"/>
          </w:tcPr>
          <w:p w:rsidR="00C84F2A" w:rsidRPr="00C84F2A" w:rsidRDefault="00C84F2A" w:rsidP="00C84F2A">
            <w:pPr>
              <w:spacing w:after="0"/>
              <w:ind w:left="34"/>
              <w:rPr>
                <w:rFonts w:ascii="Times New Roman" w:hAnsi="Times New Roman"/>
                <w:b/>
              </w:rPr>
            </w:pPr>
            <w:r w:rsidRPr="00C84F2A">
              <w:rPr>
                <w:rFonts w:ascii="Times New Roman" w:hAnsi="Times New Roman"/>
                <w:b/>
              </w:rPr>
              <w:t>Социально-демографическая группа</w:t>
            </w:r>
          </w:p>
        </w:tc>
        <w:tc>
          <w:tcPr>
            <w:tcW w:w="3205" w:type="dxa"/>
            <w:gridSpan w:val="2"/>
            <w:vAlign w:val="center"/>
          </w:tcPr>
          <w:p w:rsidR="00C84F2A" w:rsidRPr="00C84F2A" w:rsidRDefault="00C84F2A" w:rsidP="00C84F2A">
            <w:pPr>
              <w:spacing w:after="0"/>
              <w:ind w:left="34"/>
              <w:jc w:val="center"/>
              <w:rPr>
                <w:rFonts w:ascii="Times New Roman" w:hAnsi="Times New Roman"/>
                <w:b/>
              </w:rPr>
            </w:pPr>
            <w:r w:rsidRPr="00C84F2A">
              <w:rPr>
                <w:rFonts w:ascii="Times New Roman" w:hAnsi="Times New Roman"/>
                <w:b/>
              </w:rPr>
              <w:t xml:space="preserve">Величина ПМ </w:t>
            </w:r>
          </w:p>
          <w:p w:rsidR="00C84F2A" w:rsidRPr="00C84F2A" w:rsidRDefault="00C84F2A" w:rsidP="00C84F2A">
            <w:pPr>
              <w:spacing w:after="0"/>
              <w:ind w:left="34"/>
              <w:jc w:val="center"/>
              <w:rPr>
                <w:rFonts w:ascii="Times New Roman" w:hAnsi="Times New Roman"/>
                <w:b/>
              </w:rPr>
            </w:pPr>
            <w:r w:rsidRPr="00C84F2A">
              <w:rPr>
                <w:rFonts w:ascii="Times New Roman" w:hAnsi="Times New Roman"/>
                <w:b/>
              </w:rPr>
              <w:t xml:space="preserve">за I полугодие, </w:t>
            </w:r>
          </w:p>
          <w:p w:rsidR="00C84F2A" w:rsidRPr="00C84F2A" w:rsidRDefault="00C84F2A" w:rsidP="00C84F2A">
            <w:pPr>
              <w:spacing w:after="0"/>
              <w:ind w:firstLine="34"/>
              <w:jc w:val="center"/>
              <w:rPr>
                <w:rFonts w:ascii="Times New Roman" w:hAnsi="Times New Roman"/>
                <w:b/>
              </w:rPr>
            </w:pPr>
            <w:r w:rsidRPr="00C84F2A">
              <w:rPr>
                <w:rFonts w:ascii="Times New Roman" w:hAnsi="Times New Roman"/>
                <w:b/>
              </w:rPr>
              <w:t>руб.</w:t>
            </w:r>
          </w:p>
        </w:tc>
        <w:tc>
          <w:tcPr>
            <w:tcW w:w="2331" w:type="dxa"/>
            <w:vMerge w:val="restart"/>
            <w:vAlign w:val="center"/>
          </w:tcPr>
          <w:p w:rsidR="00C84F2A" w:rsidRPr="00C84F2A" w:rsidRDefault="00C84F2A" w:rsidP="00C84F2A">
            <w:pPr>
              <w:spacing w:after="0"/>
              <w:ind w:firstLine="34"/>
              <w:jc w:val="center"/>
              <w:rPr>
                <w:rFonts w:ascii="Times New Roman" w:hAnsi="Times New Roman"/>
                <w:b/>
              </w:rPr>
            </w:pPr>
            <w:r w:rsidRPr="00C84F2A">
              <w:rPr>
                <w:rFonts w:ascii="Times New Roman" w:hAnsi="Times New Roman"/>
                <w:b/>
              </w:rPr>
              <w:t>Темп роста I полуг.</w:t>
            </w:r>
          </w:p>
          <w:p w:rsidR="00C84F2A" w:rsidRPr="00C84F2A" w:rsidRDefault="00C84F2A" w:rsidP="00C84F2A">
            <w:pPr>
              <w:spacing w:after="0"/>
              <w:ind w:left="34"/>
              <w:jc w:val="center"/>
              <w:rPr>
                <w:rFonts w:ascii="Times New Roman" w:hAnsi="Times New Roman"/>
                <w:b/>
              </w:rPr>
            </w:pPr>
            <w:r w:rsidRPr="00C84F2A">
              <w:rPr>
                <w:rFonts w:ascii="Times New Roman" w:hAnsi="Times New Roman"/>
                <w:b/>
              </w:rPr>
              <w:t>2015 г. к I полуг. 2014 г., %</w:t>
            </w:r>
          </w:p>
        </w:tc>
      </w:tr>
      <w:tr w:rsidR="00C84F2A" w:rsidRPr="00C84F2A" w:rsidTr="00D80FCA">
        <w:trPr>
          <w:trHeight w:val="143"/>
        </w:trPr>
        <w:tc>
          <w:tcPr>
            <w:tcW w:w="4079" w:type="dxa"/>
            <w:vMerge/>
            <w:vAlign w:val="center"/>
          </w:tcPr>
          <w:p w:rsidR="00C84F2A" w:rsidRPr="00C84F2A" w:rsidRDefault="00C84F2A" w:rsidP="00C84F2A">
            <w:pPr>
              <w:spacing w:after="0"/>
              <w:ind w:left="34"/>
              <w:rPr>
                <w:rFonts w:ascii="Times New Roman" w:hAnsi="Times New Roman"/>
              </w:rPr>
            </w:pPr>
          </w:p>
        </w:tc>
        <w:tc>
          <w:tcPr>
            <w:tcW w:w="1603" w:type="dxa"/>
            <w:vAlign w:val="center"/>
          </w:tcPr>
          <w:p w:rsidR="00C84F2A" w:rsidRPr="00C84F2A" w:rsidRDefault="00C84F2A" w:rsidP="00C84F2A">
            <w:pPr>
              <w:spacing w:after="0"/>
              <w:ind w:left="-76" w:right="-96"/>
              <w:jc w:val="center"/>
              <w:rPr>
                <w:rFonts w:ascii="Times New Roman" w:hAnsi="Times New Roman"/>
                <w:b/>
              </w:rPr>
            </w:pPr>
            <w:r w:rsidRPr="00C84F2A">
              <w:rPr>
                <w:rFonts w:ascii="Times New Roman" w:hAnsi="Times New Roman"/>
                <w:b/>
              </w:rPr>
              <w:t>2014 год</w:t>
            </w:r>
          </w:p>
        </w:tc>
        <w:tc>
          <w:tcPr>
            <w:tcW w:w="1602" w:type="dxa"/>
            <w:vAlign w:val="center"/>
          </w:tcPr>
          <w:p w:rsidR="00C84F2A" w:rsidRPr="00C84F2A" w:rsidRDefault="00C84F2A" w:rsidP="00C84F2A">
            <w:pPr>
              <w:spacing w:after="0"/>
              <w:ind w:left="34"/>
              <w:jc w:val="center"/>
              <w:rPr>
                <w:rFonts w:ascii="Times New Roman" w:hAnsi="Times New Roman"/>
                <w:b/>
              </w:rPr>
            </w:pPr>
            <w:r w:rsidRPr="00C84F2A">
              <w:rPr>
                <w:rFonts w:ascii="Times New Roman" w:hAnsi="Times New Roman"/>
                <w:b/>
              </w:rPr>
              <w:t>2015 год</w:t>
            </w:r>
          </w:p>
        </w:tc>
        <w:tc>
          <w:tcPr>
            <w:tcW w:w="2331" w:type="dxa"/>
            <w:vMerge/>
            <w:vAlign w:val="center"/>
          </w:tcPr>
          <w:p w:rsidR="00C84F2A" w:rsidRPr="00C84F2A" w:rsidRDefault="00C84F2A" w:rsidP="00C84F2A">
            <w:pPr>
              <w:spacing w:after="0"/>
              <w:ind w:firstLine="34"/>
              <w:jc w:val="center"/>
              <w:rPr>
                <w:rFonts w:ascii="Times New Roman" w:hAnsi="Times New Roman"/>
              </w:rPr>
            </w:pPr>
          </w:p>
        </w:tc>
      </w:tr>
      <w:tr w:rsidR="00C84F2A" w:rsidRPr="00C84F2A" w:rsidTr="00D80FCA">
        <w:trPr>
          <w:trHeight w:val="244"/>
        </w:trPr>
        <w:tc>
          <w:tcPr>
            <w:tcW w:w="4079" w:type="dxa"/>
          </w:tcPr>
          <w:p w:rsidR="00C84F2A" w:rsidRPr="00C84F2A" w:rsidRDefault="00C84F2A" w:rsidP="00C84F2A">
            <w:pPr>
              <w:spacing w:after="0"/>
              <w:ind w:left="34"/>
              <w:rPr>
                <w:rFonts w:ascii="Times New Roman" w:hAnsi="Times New Roman"/>
              </w:rPr>
            </w:pPr>
            <w:r w:rsidRPr="00C84F2A">
              <w:rPr>
                <w:rFonts w:ascii="Times New Roman" w:hAnsi="Times New Roman"/>
              </w:rPr>
              <w:t>Мужчины трудоспособного возраста</w:t>
            </w:r>
          </w:p>
        </w:tc>
        <w:tc>
          <w:tcPr>
            <w:tcW w:w="1603"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1 461,82</w:t>
            </w:r>
          </w:p>
        </w:tc>
        <w:tc>
          <w:tcPr>
            <w:tcW w:w="1602"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1 441,09</w:t>
            </w:r>
          </w:p>
        </w:tc>
        <w:tc>
          <w:tcPr>
            <w:tcW w:w="2331"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98,6</w:t>
            </w:r>
          </w:p>
        </w:tc>
      </w:tr>
      <w:tr w:rsidR="00C84F2A" w:rsidRPr="00C84F2A" w:rsidTr="00D80FCA">
        <w:trPr>
          <w:trHeight w:val="257"/>
        </w:trPr>
        <w:tc>
          <w:tcPr>
            <w:tcW w:w="4079" w:type="dxa"/>
          </w:tcPr>
          <w:p w:rsidR="00C84F2A" w:rsidRPr="00C84F2A" w:rsidRDefault="00C84F2A" w:rsidP="00C84F2A">
            <w:pPr>
              <w:spacing w:after="0"/>
              <w:ind w:left="34"/>
              <w:rPr>
                <w:rFonts w:ascii="Times New Roman" w:hAnsi="Times New Roman"/>
              </w:rPr>
            </w:pPr>
            <w:r w:rsidRPr="00C84F2A">
              <w:rPr>
                <w:rFonts w:ascii="Times New Roman" w:hAnsi="Times New Roman"/>
              </w:rPr>
              <w:t>Женщины трудоспособного возраста</w:t>
            </w:r>
          </w:p>
        </w:tc>
        <w:tc>
          <w:tcPr>
            <w:tcW w:w="1603"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1 370,39</w:t>
            </w:r>
          </w:p>
        </w:tc>
        <w:tc>
          <w:tcPr>
            <w:tcW w:w="1602"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1 365,88</w:t>
            </w:r>
          </w:p>
        </w:tc>
        <w:tc>
          <w:tcPr>
            <w:tcW w:w="2331"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99,7</w:t>
            </w:r>
          </w:p>
        </w:tc>
      </w:tr>
      <w:tr w:rsidR="00C84F2A" w:rsidRPr="00C84F2A" w:rsidTr="00D80FCA">
        <w:trPr>
          <w:trHeight w:val="244"/>
        </w:trPr>
        <w:tc>
          <w:tcPr>
            <w:tcW w:w="4079" w:type="dxa"/>
          </w:tcPr>
          <w:p w:rsidR="00C84F2A" w:rsidRPr="00C84F2A" w:rsidRDefault="00C84F2A" w:rsidP="00C84F2A">
            <w:pPr>
              <w:spacing w:after="0"/>
              <w:ind w:left="34"/>
              <w:rPr>
                <w:rFonts w:ascii="Times New Roman" w:hAnsi="Times New Roman"/>
              </w:rPr>
            </w:pPr>
            <w:r w:rsidRPr="00C84F2A">
              <w:rPr>
                <w:rFonts w:ascii="Times New Roman" w:hAnsi="Times New Roman"/>
              </w:rPr>
              <w:t>Пенсионеры</w:t>
            </w:r>
          </w:p>
        </w:tc>
        <w:tc>
          <w:tcPr>
            <w:tcW w:w="1603"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1 112,76</w:t>
            </w:r>
          </w:p>
        </w:tc>
        <w:tc>
          <w:tcPr>
            <w:tcW w:w="1602"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1 110,53</w:t>
            </w:r>
          </w:p>
        </w:tc>
        <w:tc>
          <w:tcPr>
            <w:tcW w:w="2331"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99,1</w:t>
            </w:r>
          </w:p>
        </w:tc>
      </w:tr>
      <w:tr w:rsidR="00C84F2A" w:rsidRPr="00C84F2A" w:rsidTr="00D80FCA">
        <w:trPr>
          <w:trHeight w:val="257"/>
        </w:trPr>
        <w:tc>
          <w:tcPr>
            <w:tcW w:w="4079" w:type="dxa"/>
          </w:tcPr>
          <w:p w:rsidR="00C84F2A" w:rsidRPr="00C84F2A" w:rsidRDefault="00C84F2A" w:rsidP="00C84F2A">
            <w:pPr>
              <w:spacing w:after="0"/>
              <w:ind w:left="34"/>
              <w:rPr>
                <w:rFonts w:ascii="Times New Roman" w:hAnsi="Times New Roman"/>
              </w:rPr>
            </w:pPr>
            <w:r w:rsidRPr="00C84F2A">
              <w:rPr>
                <w:rFonts w:ascii="Times New Roman" w:hAnsi="Times New Roman"/>
              </w:rPr>
              <w:t>Дети от 0 до 6 лет</w:t>
            </w:r>
          </w:p>
        </w:tc>
        <w:tc>
          <w:tcPr>
            <w:tcW w:w="1603"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1 202,26</w:t>
            </w:r>
          </w:p>
        </w:tc>
        <w:tc>
          <w:tcPr>
            <w:tcW w:w="1602"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1 198,47</w:t>
            </w:r>
          </w:p>
        </w:tc>
        <w:tc>
          <w:tcPr>
            <w:tcW w:w="2331"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99,7</w:t>
            </w:r>
          </w:p>
        </w:tc>
      </w:tr>
      <w:tr w:rsidR="00C84F2A" w:rsidRPr="00C84F2A" w:rsidTr="00D80FCA">
        <w:trPr>
          <w:trHeight w:val="257"/>
        </w:trPr>
        <w:tc>
          <w:tcPr>
            <w:tcW w:w="4079" w:type="dxa"/>
          </w:tcPr>
          <w:p w:rsidR="00C84F2A" w:rsidRPr="00C84F2A" w:rsidRDefault="00C84F2A" w:rsidP="00C84F2A">
            <w:pPr>
              <w:spacing w:after="0"/>
              <w:ind w:left="34"/>
              <w:rPr>
                <w:rFonts w:ascii="Times New Roman" w:hAnsi="Times New Roman"/>
              </w:rPr>
            </w:pPr>
            <w:r w:rsidRPr="00C84F2A">
              <w:rPr>
                <w:rFonts w:ascii="Times New Roman" w:hAnsi="Times New Roman"/>
              </w:rPr>
              <w:t>Дети от 7 до 15 лет</w:t>
            </w:r>
          </w:p>
        </w:tc>
        <w:tc>
          <w:tcPr>
            <w:tcW w:w="1603"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1 474,43</w:t>
            </w:r>
          </w:p>
        </w:tc>
        <w:tc>
          <w:tcPr>
            <w:tcW w:w="1602"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1 449,06</w:t>
            </w:r>
          </w:p>
        </w:tc>
        <w:tc>
          <w:tcPr>
            <w:tcW w:w="2331" w:type="dxa"/>
            <w:vAlign w:val="center"/>
          </w:tcPr>
          <w:p w:rsidR="00C84F2A" w:rsidRPr="00C84F2A" w:rsidRDefault="00C84F2A" w:rsidP="00C84F2A">
            <w:pPr>
              <w:spacing w:after="0"/>
              <w:ind w:firstLine="34"/>
              <w:jc w:val="center"/>
              <w:rPr>
                <w:rFonts w:ascii="Times New Roman" w:hAnsi="Times New Roman"/>
              </w:rPr>
            </w:pPr>
            <w:r w:rsidRPr="00C84F2A">
              <w:rPr>
                <w:rFonts w:ascii="Times New Roman" w:hAnsi="Times New Roman"/>
              </w:rPr>
              <w:t>98,3</w:t>
            </w:r>
          </w:p>
        </w:tc>
      </w:tr>
    </w:tbl>
    <w:p w:rsidR="00C84F2A" w:rsidRPr="00C84F2A" w:rsidRDefault="00C84F2A" w:rsidP="00C84F2A">
      <w:pPr>
        <w:spacing w:after="0" w:line="240" w:lineRule="auto"/>
        <w:ind w:firstLine="709"/>
        <w:jc w:val="both"/>
        <w:rPr>
          <w:rFonts w:ascii="Times New Roman" w:hAnsi="Times New Roman"/>
          <w:sz w:val="24"/>
          <w:szCs w:val="24"/>
        </w:rPr>
      </w:pPr>
    </w:p>
    <w:p w:rsidR="003F67B2" w:rsidRPr="00C54A01" w:rsidRDefault="00C84F2A" w:rsidP="00B5001E">
      <w:pPr>
        <w:spacing w:after="0" w:line="240" w:lineRule="auto"/>
        <w:ind w:firstLine="709"/>
        <w:jc w:val="both"/>
        <w:rPr>
          <w:rFonts w:ascii="Times New Roman" w:hAnsi="Times New Roman"/>
          <w:sz w:val="24"/>
          <w:szCs w:val="24"/>
        </w:rPr>
      </w:pPr>
      <w:r w:rsidRPr="00C84F2A">
        <w:rPr>
          <w:rFonts w:ascii="Times New Roman" w:hAnsi="Times New Roman"/>
          <w:sz w:val="24"/>
          <w:szCs w:val="24"/>
        </w:rPr>
        <w:t xml:space="preserve">В помесячной динамике в течение </w:t>
      </w:r>
      <w:r w:rsidRPr="00C84F2A">
        <w:rPr>
          <w:rFonts w:ascii="Times New Roman" w:hAnsi="Times New Roman"/>
          <w:sz w:val="24"/>
          <w:szCs w:val="24"/>
          <w:lang w:val="en-US"/>
        </w:rPr>
        <w:t>I</w:t>
      </w:r>
      <w:r w:rsidRPr="00C84F2A">
        <w:rPr>
          <w:rFonts w:ascii="Times New Roman" w:hAnsi="Times New Roman"/>
          <w:sz w:val="24"/>
          <w:szCs w:val="24"/>
        </w:rPr>
        <w:t xml:space="preserve"> полугодия 2015 года наблюдался прирост величины прожиточного минимума по отношению к предыдущему месяцу (на 0,5 – 1,1%%), за исключением марта и апреля 2015 года, когда было отмечено незначительное падение величины прожиточного минимума по отношению к февралю и марту (на 1,4% и 0,7% соответственно), которое было обусловлено снижением стоимости продуктового набора и уменьшением тарифов на отдельные виды услуг.</w:t>
      </w:r>
    </w:p>
    <w:p w:rsidR="00335844" w:rsidRDefault="00335844" w:rsidP="00335844">
      <w:pPr>
        <w:spacing w:after="0" w:line="240" w:lineRule="auto"/>
        <w:ind w:firstLine="720"/>
        <w:jc w:val="both"/>
        <w:rPr>
          <w:rFonts w:ascii="Times New Roman" w:hAnsi="Times New Roman"/>
          <w:b/>
          <w:sz w:val="24"/>
          <w:szCs w:val="24"/>
        </w:rPr>
      </w:pPr>
      <w:r w:rsidRPr="00290676">
        <w:rPr>
          <w:rFonts w:ascii="Times New Roman" w:hAnsi="Times New Roman"/>
          <w:b/>
          <w:sz w:val="24"/>
          <w:szCs w:val="24"/>
        </w:rPr>
        <w:lastRenderedPageBreak/>
        <w:t>Рынок труда и сфера занятости</w:t>
      </w:r>
    </w:p>
    <w:p w:rsidR="00335844" w:rsidRDefault="00335844" w:rsidP="00652529">
      <w:pPr>
        <w:spacing w:after="0" w:line="240" w:lineRule="auto"/>
        <w:ind w:firstLine="709"/>
        <w:jc w:val="both"/>
        <w:rPr>
          <w:rFonts w:ascii="Times New Roman" w:hAnsi="Times New Roman"/>
          <w:b/>
          <w:sz w:val="24"/>
          <w:szCs w:val="24"/>
        </w:rPr>
      </w:pP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Ситуация на рынке труда 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2015 года определялась социально – экономическими и демографическими процессами, происходящими в республике.</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Численность экономически активного населения по состоянию на 1 июля 2015 года составила 139,9 тыс. чел. (без учета работников силовых структур республики) и по сравнению с началом года уменьшилась на 7,6 тыс. чел.</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Численность занятых в экономике республики (без учета работников силовых структур) на 1 июля 2015 года на фоне снижения числа индивидуальных предпринимателей на 400 человек, или на 2,1%, </w:t>
      </w:r>
      <w:r w:rsidRPr="00652529">
        <w:rPr>
          <w:rFonts w:ascii="Times New Roman" w:hAnsi="Times New Roman"/>
          <w:sz w:val="24"/>
          <w:szCs w:val="24"/>
          <w:shd w:val="clear" w:color="auto" w:fill="FFFFFF" w:themeFill="background1"/>
        </w:rPr>
        <w:t>зафиксирована на уровне 136,2 тыс. чел.</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Всего с начала 2015 года было принято на работу (без учета субъектов малого бизнеса) </w:t>
      </w:r>
      <w:r w:rsidRPr="00652529">
        <w:rPr>
          <w:rFonts w:ascii="Times New Roman" w:hAnsi="Times New Roman"/>
          <w:snapToGrid w:val="0"/>
          <w:sz w:val="24"/>
          <w:szCs w:val="24"/>
        </w:rPr>
        <w:t xml:space="preserve">9 059 </w:t>
      </w:r>
      <w:r w:rsidRPr="00652529">
        <w:rPr>
          <w:rFonts w:ascii="Times New Roman" w:hAnsi="Times New Roman"/>
          <w:sz w:val="24"/>
          <w:szCs w:val="24"/>
        </w:rPr>
        <w:t>чел., из них 484 чел. – на вновь созданные и дополнительно введенные рабочие места. Процент замещения выбывших работников новыми кадрами составил 86,8%.</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Уволилось из организаций </w:t>
      </w:r>
      <w:r w:rsidRPr="00652529">
        <w:rPr>
          <w:rFonts w:ascii="Times New Roman" w:hAnsi="Times New Roman"/>
          <w:snapToGrid w:val="0"/>
          <w:sz w:val="24"/>
          <w:szCs w:val="24"/>
        </w:rPr>
        <w:t>10 434</w:t>
      </w:r>
      <w:r w:rsidRPr="00652529">
        <w:rPr>
          <w:rFonts w:ascii="Times New Roman" w:hAnsi="Times New Roman"/>
          <w:sz w:val="24"/>
          <w:szCs w:val="24"/>
        </w:rPr>
        <w:t xml:space="preserve"> чел., что составляет 10,2% от списочной численности работников на начало года. Основной причиной</w:t>
      </w:r>
      <w:r w:rsidRPr="00652529">
        <w:rPr>
          <w:rFonts w:ascii="Times New Roman" w:hAnsi="Times New Roman"/>
          <w:sz w:val="28"/>
          <w:szCs w:val="28"/>
        </w:rPr>
        <w:t xml:space="preserve"> </w:t>
      </w:r>
      <w:r w:rsidRPr="00652529">
        <w:rPr>
          <w:rFonts w:ascii="Times New Roman" w:hAnsi="Times New Roman"/>
          <w:sz w:val="24"/>
          <w:szCs w:val="24"/>
        </w:rPr>
        <w:t>выбытия является увольнение по инициативе работника, на ее долю приходится 83,0% увольнений (8 661 чел.).</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color w:val="000000"/>
          <w:sz w:val="24"/>
          <w:szCs w:val="24"/>
        </w:rPr>
        <w:t xml:space="preserve">В течение рассматриваемого периода 94 организации республики предоставили в Центры социального страхования и социальной защиты городов и районов республики информацию </w:t>
      </w:r>
      <w:r w:rsidRPr="00652529">
        <w:rPr>
          <w:rFonts w:ascii="Times New Roman" w:hAnsi="Times New Roman"/>
          <w:sz w:val="24"/>
          <w:szCs w:val="24"/>
        </w:rPr>
        <w:t>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1 444 работника (в январе-июне 2014 года – 610 чел.), однако фактически было уволено 528 работников.</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Среди намеченных к увольнению работников молодежь 16-29 лет составила 10,9%, граждане предпенсионного возраста – 8,2%.</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В разрезе отраслей экономики наибольшее количество</w:t>
      </w:r>
      <w:r w:rsidRPr="00652529">
        <w:rPr>
          <w:rFonts w:ascii="Times New Roman" w:hAnsi="Times New Roman"/>
          <w:b/>
          <w:sz w:val="24"/>
          <w:szCs w:val="24"/>
        </w:rPr>
        <w:t xml:space="preserve"> </w:t>
      </w:r>
      <w:r w:rsidRPr="00652529">
        <w:rPr>
          <w:rFonts w:ascii="Times New Roman" w:hAnsi="Times New Roman"/>
          <w:sz w:val="24"/>
          <w:szCs w:val="24"/>
        </w:rPr>
        <w:t>намеченных к высвобождению работников пришлось на промышленность – 73,1%, образование – 6,7%, сельское хозяйство – 5,9%, жилищно – коммунальное хозяйство – 5,6%.</w:t>
      </w:r>
    </w:p>
    <w:p w:rsid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За I полугодие 2015 года в Центры социального страхования и социальной зашиты городов и районов за содействием в поиске подходящей работы и получением консультаций обратились более 14,6 тыс. человек, что составило 100,0% к уровню прошлого года.</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2015 года в качестве лиц ищущих подходящую работу были зарегистрированы 4 176 граждан </w:t>
      </w:r>
      <w:r w:rsidRPr="00652529">
        <w:rPr>
          <w:rFonts w:ascii="Times New Roman" w:hAnsi="Times New Roman"/>
          <w:color w:val="000000"/>
          <w:sz w:val="24"/>
          <w:szCs w:val="24"/>
        </w:rPr>
        <w:t xml:space="preserve">(в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2014 года – </w:t>
      </w:r>
      <w:r w:rsidRPr="00652529">
        <w:rPr>
          <w:rFonts w:ascii="Times New Roman" w:hAnsi="Times New Roman"/>
          <w:color w:val="000000"/>
          <w:sz w:val="24"/>
          <w:szCs w:val="24"/>
        </w:rPr>
        <w:t>5 535 чел.)</w:t>
      </w:r>
      <w:r w:rsidRPr="00652529">
        <w:rPr>
          <w:rFonts w:ascii="Times New Roman" w:hAnsi="Times New Roman"/>
          <w:sz w:val="24"/>
          <w:szCs w:val="24"/>
        </w:rPr>
        <w:t xml:space="preserve">, официально признаны безработными 2 657 граждан </w:t>
      </w:r>
      <w:r w:rsidRPr="00652529">
        <w:rPr>
          <w:rFonts w:ascii="Times New Roman" w:hAnsi="Times New Roman"/>
          <w:color w:val="000000"/>
          <w:sz w:val="24"/>
          <w:szCs w:val="24"/>
        </w:rPr>
        <w:t xml:space="preserve">(в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2014 года – 3</w:t>
      </w:r>
      <w:r w:rsidRPr="00652529">
        <w:rPr>
          <w:rFonts w:ascii="Times New Roman" w:hAnsi="Times New Roman"/>
          <w:color w:val="000000"/>
          <w:sz w:val="24"/>
          <w:szCs w:val="24"/>
        </w:rPr>
        <w:t xml:space="preserve"> 906 чел.).</w:t>
      </w:r>
    </w:p>
    <w:p w:rsidR="00652529" w:rsidRPr="00652529" w:rsidRDefault="00652529" w:rsidP="00652529">
      <w:pPr>
        <w:spacing w:after="0" w:line="240" w:lineRule="auto"/>
        <w:ind w:right="-284"/>
        <w:contextualSpacing/>
        <w:jc w:val="both"/>
        <w:rPr>
          <w:rFonts w:ascii="Times New Roman" w:hAnsi="Times New Roman"/>
          <w:sz w:val="24"/>
          <w:szCs w:val="24"/>
          <w:highlight w:val="yellow"/>
        </w:rPr>
      </w:pPr>
      <w:r w:rsidRPr="00652529">
        <w:rPr>
          <w:rFonts w:ascii="Times New Roman" w:hAnsi="Times New Roman"/>
          <w:noProof/>
          <w:sz w:val="24"/>
          <w:szCs w:val="24"/>
          <w:highlight w:val="yellow"/>
        </w:rPr>
        <w:drawing>
          <wp:inline distT="0" distB="0" distL="0" distR="0">
            <wp:extent cx="6124575" cy="2466975"/>
            <wp:effectExtent l="0" t="0" r="0" b="0"/>
            <wp:docPr id="2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В целом по республике 71,6% зарегистрированных граждан в качестве лиц ищущих подходящую работу являлись жителями городов. В то же время, по двум районам </w:t>
      </w:r>
      <w:r w:rsidRPr="00652529">
        <w:rPr>
          <w:rFonts w:ascii="Times New Roman" w:hAnsi="Times New Roman"/>
          <w:sz w:val="24"/>
          <w:szCs w:val="24"/>
        </w:rPr>
        <w:lastRenderedPageBreak/>
        <w:t>республики в числе зарегистрированных граждан преобладали жители сельской местности, удельный вес которых составил:</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 в Григориопольском районе –78,5%, </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в Слободзейском районе – 57,2%.</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Наибольшее количество зарегистрированных граждан пришлось на следующие Центры социального страхования и социальной защиты: г. Тирасполь – 1 192 человек,            г. Рыбница и Рыбницкого района – 1 134 человек, г. Бендеры – 638 человек, г. Слободзея и Слободзейского района - 467 человек, в которых зарегистрировано 82,2% от общей численности зарегистрированных граждан, в качестве лиц ищущих работу.</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Среди граждан, зарегистрированных в Центрах социального страхования и социальной защиты в качестве лиц ищущих работу 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2015 года, наиболее многочисленными являлись следующие категории граждан:</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граждане, имеющие длительный (более года) перерыв в работе – 1 875 человек, их удельный вес в общей численности, зарегистрированных граждан, составил 44,9%;</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граждане, ранее не работавшие, ищущие работу впервые – 700 человек, их удельный вес в общей численности, зарегистрированных граждан, составил 16,8%;</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рассматриваемого периода - 482 чел., их удельный вес в общей численности, зарегистрированных граждан, составил 11,5%.</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По состоянию на 1 июля 2015 года численность зарегистрированных граждан в качестве лиц, ищущих работу, составила 3 758 чел. (на 1 июля 2014 года – 5 305 чел.), из них 2 835 гражданина имели статус безработного, т. е. получали пособие по безработице (на 1 июля 2014 года – 4 272 чел.).</w:t>
      </w:r>
    </w:p>
    <w:p w:rsidR="00652529" w:rsidRPr="00652529" w:rsidRDefault="00652529" w:rsidP="00652529">
      <w:pPr>
        <w:spacing w:after="0" w:line="240" w:lineRule="auto"/>
        <w:ind w:firstLine="709"/>
        <w:contextualSpacing/>
        <w:jc w:val="both"/>
        <w:rPr>
          <w:rFonts w:ascii="Times New Roman" w:hAnsi="Times New Roman"/>
          <w:sz w:val="24"/>
          <w:szCs w:val="24"/>
        </w:rPr>
      </w:pPr>
      <w:r w:rsidRPr="00652529">
        <w:rPr>
          <w:rFonts w:ascii="Times New Roman" w:hAnsi="Times New Roman"/>
          <w:sz w:val="24"/>
          <w:szCs w:val="24"/>
        </w:rPr>
        <w:t>Уровень регистрируемой безработицы в среднем по республике по состоянию на               1 июля 2015 года составил 2,69% к численности экономически активного населения (без учета численности работающих в силовых структурах), снизившись по сравнению с уровнем регистрируемой безработицы на 1 июля 2014 года на 0,93 процентных пункта.</w:t>
      </w:r>
    </w:p>
    <w:p w:rsidR="00652529" w:rsidRPr="00652529" w:rsidRDefault="00652529" w:rsidP="00652529">
      <w:pPr>
        <w:spacing w:after="0" w:line="240" w:lineRule="auto"/>
        <w:jc w:val="both"/>
        <w:rPr>
          <w:noProof/>
        </w:rPr>
      </w:pPr>
      <w:r w:rsidRPr="00652529">
        <w:rPr>
          <w:noProof/>
        </w:rPr>
        <w:drawing>
          <wp:inline distT="0" distB="0" distL="0" distR="0">
            <wp:extent cx="5495925" cy="3209925"/>
            <wp:effectExtent l="19050" t="0" r="0" b="0"/>
            <wp:docPr id="3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52529" w:rsidRPr="00652529" w:rsidRDefault="00652529" w:rsidP="00652529">
      <w:pPr>
        <w:spacing w:after="0" w:line="240" w:lineRule="auto"/>
        <w:ind w:firstLine="709"/>
        <w:jc w:val="both"/>
        <w:rPr>
          <w:rFonts w:ascii="Times New Roman" w:hAnsi="Times New Roman"/>
          <w:noProof/>
          <w:sz w:val="24"/>
          <w:szCs w:val="24"/>
        </w:rPr>
      </w:pPr>
      <w:r w:rsidRPr="00652529">
        <w:rPr>
          <w:rFonts w:ascii="Times New Roman" w:hAnsi="Times New Roman"/>
          <w:sz w:val="24"/>
          <w:szCs w:val="24"/>
        </w:rPr>
        <w:t xml:space="preserve">За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полугодие 2015 года в Центры социального страхования и социальной защиты республики работодателями заявлено 1 252 вакантных рабочих места (должности) (за январь-июнь 2014 года – 3 083 ед.). Среди заявленных за I полугодие 2015 года работодателями вакансий 69,4 </w:t>
      </w:r>
      <w:r w:rsidRPr="00652529">
        <w:rPr>
          <w:rFonts w:ascii="Times New Roman" w:hAnsi="Times New Roman"/>
          <w:color w:val="000000"/>
          <w:sz w:val="24"/>
          <w:szCs w:val="24"/>
        </w:rPr>
        <w:t>% составляли вакантные места по рабочим профессиям и 30,6 % - вакансий для специалистов и служащих.</w:t>
      </w:r>
    </w:p>
    <w:p w:rsidR="00652529" w:rsidRPr="00652529" w:rsidRDefault="00652529" w:rsidP="00652529">
      <w:pPr>
        <w:spacing w:after="0" w:line="240" w:lineRule="auto"/>
        <w:ind w:firstLine="709"/>
        <w:jc w:val="both"/>
        <w:rPr>
          <w:rFonts w:ascii="Times New Roman" w:hAnsi="Times New Roman"/>
          <w:sz w:val="28"/>
          <w:szCs w:val="28"/>
        </w:rPr>
      </w:pPr>
      <w:r w:rsidRPr="00652529">
        <w:rPr>
          <w:rFonts w:ascii="Times New Roman" w:hAnsi="Times New Roman"/>
          <w:sz w:val="24"/>
          <w:szCs w:val="24"/>
        </w:rPr>
        <w:t xml:space="preserve">В разрезе отраслей экономики наибольшее количество заявленных вакансий приходилось на следующие отрасли: промышленность – 33,4% от общего количества </w:t>
      </w:r>
      <w:r w:rsidRPr="00652529">
        <w:rPr>
          <w:rFonts w:ascii="Times New Roman" w:hAnsi="Times New Roman"/>
          <w:sz w:val="24"/>
          <w:szCs w:val="24"/>
        </w:rPr>
        <w:lastRenderedPageBreak/>
        <w:t>представленных вакантных рабочих мест (должностей); образование – 12,1%; торговля и общественное питание – 8,1%; жилищно-коммунальное хозяйство – 7,6%; здравоохранение – 7,3%.</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Коэффициент напряженности по состоянию на 1 июля 2015 года составил 3,3 человека на 1 вакантное место (на 1 июля 2014 года – 2,5 человека на 1 вакантное место).</w:t>
      </w:r>
    </w:p>
    <w:p w:rsidR="00652529" w:rsidRPr="00652529" w:rsidRDefault="00652529" w:rsidP="00652529">
      <w:pPr>
        <w:spacing w:after="0" w:line="240" w:lineRule="auto"/>
        <w:ind w:left="-567" w:right="-284"/>
        <w:jc w:val="both"/>
        <w:rPr>
          <w:rFonts w:ascii="Times New Roman" w:hAnsi="Times New Roman"/>
          <w:sz w:val="24"/>
          <w:szCs w:val="24"/>
        </w:rPr>
      </w:pPr>
      <w:r w:rsidRPr="00652529">
        <w:rPr>
          <w:rFonts w:ascii="Times New Roman" w:hAnsi="Times New Roman"/>
          <w:noProof/>
          <w:sz w:val="24"/>
          <w:szCs w:val="24"/>
        </w:rPr>
        <w:drawing>
          <wp:inline distT="0" distB="0" distL="0" distR="0">
            <wp:extent cx="6496050" cy="2724150"/>
            <wp:effectExtent l="0" t="0" r="0"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За январь-июнь 2015 года при содействии Центров социального страхования и социальной защиты трудоустроено 1 072 безработных граждан (за январь-июнь 2014 год – 1 048 человек).</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Оформлено на досрочную пенсию 29 граждан предпенсионного возраста, уволенных с последнего места работы в связи с ликвидацией организации, сокращением численности или штата работников организации.</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2015 года проведены 5 «Ярмарок учебных мест» и 2 мини-ярмарки. Одна мини-ярмарка вакансий для мужчин 18-59 лет, владеющих рабочей специальностью, и мини ярмарка вакансий с представителями Государственной службы статистики Приднестровской Молдавской Республики, которые проводились в г. Бендеры. Данные мероприятия посетили более 2400 человек. Выпускникам школ республики и молодым людям, ранее окончившим учебные заведения, а также участникам ярмарки была представлена возможность ознакомиться с условиями приема и обучения в учебных организациях профессионального образования республики. </w:t>
      </w:r>
      <w:r w:rsidRPr="00652529">
        <w:rPr>
          <w:rFonts w:ascii="Times New Roman" w:hAnsi="Times New Roman"/>
          <w:bCs/>
          <w:sz w:val="24"/>
          <w:szCs w:val="24"/>
        </w:rPr>
        <w:t>Центрами социального страхования и социальной защиты городов и районов республики</w:t>
      </w:r>
      <w:r w:rsidRPr="00652529">
        <w:rPr>
          <w:rFonts w:ascii="Times New Roman" w:hAnsi="Times New Roman"/>
          <w:sz w:val="24"/>
          <w:szCs w:val="24"/>
        </w:rPr>
        <w:t xml:space="preserve"> было оказано содействие в профессиональном самоопределении (проведены мероприятия по профессиональной ориентации) около 1,7 тысячи человек.</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 xml:space="preserve">На реализацию программ активной политики занятости в </w:t>
      </w:r>
      <w:r w:rsidRPr="00652529">
        <w:rPr>
          <w:rFonts w:ascii="Times New Roman" w:hAnsi="Times New Roman"/>
          <w:sz w:val="24"/>
          <w:szCs w:val="24"/>
          <w:lang w:val="en-US"/>
        </w:rPr>
        <w:t>I</w:t>
      </w:r>
      <w:r w:rsidRPr="00652529">
        <w:rPr>
          <w:rFonts w:ascii="Times New Roman" w:hAnsi="Times New Roman"/>
          <w:sz w:val="24"/>
          <w:szCs w:val="24"/>
        </w:rPr>
        <w:t xml:space="preserve"> полугодии 2015 года израсходовано 3,8 тыс. рублей, на материальную поддержку безработных граждан израсходовано около 9 098,6 тыс. рублей.</w:t>
      </w:r>
    </w:p>
    <w:p w:rsidR="00652529" w:rsidRPr="00652529" w:rsidRDefault="00652529" w:rsidP="00652529">
      <w:pPr>
        <w:spacing w:after="0" w:line="240" w:lineRule="auto"/>
        <w:ind w:firstLine="709"/>
        <w:jc w:val="both"/>
        <w:rPr>
          <w:rFonts w:ascii="Times New Roman" w:hAnsi="Times New Roman"/>
          <w:sz w:val="24"/>
          <w:szCs w:val="24"/>
        </w:rPr>
      </w:pPr>
      <w:r w:rsidRPr="00652529">
        <w:rPr>
          <w:rFonts w:ascii="Times New Roman" w:hAnsi="Times New Roman"/>
          <w:sz w:val="24"/>
          <w:szCs w:val="24"/>
        </w:rPr>
        <w:t>Средний размер пособия по безработице в январе-июне 2015 года составил 424,56 рублей, среднесписочная численность безработных получивших пособие по безработице составила 3 539 человек.</w:t>
      </w:r>
    </w:p>
    <w:p w:rsidR="00652529" w:rsidRPr="00652529" w:rsidRDefault="00652529" w:rsidP="00652529">
      <w:pPr>
        <w:spacing w:after="0" w:line="240" w:lineRule="auto"/>
        <w:ind w:firstLine="709"/>
        <w:jc w:val="both"/>
        <w:rPr>
          <w:rFonts w:ascii="Times New Roman" w:hAnsi="Times New Roman"/>
          <w:sz w:val="24"/>
          <w:szCs w:val="24"/>
          <w:shd w:val="clear" w:color="auto" w:fill="FFFFFF"/>
        </w:rPr>
      </w:pPr>
      <w:r w:rsidRPr="00652529">
        <w:rPr>
          <w:rFonts w:ascii="Times New Roman" w:hAnsi="Times New Roman"/>
          <w:color w:val="000000"/>
          <w:sz w:val="24"/>
          <w:szCs w:val="24"/>
        </w:rPr>
        <w:t xml:space="preserve">Проблема трудовых ресурсов является одной из самых актуальных. Она имеет определенную связь с демографической ситуацией и миграционными процессами. </w:t>
      </w:r>
      <w:r w:rsidRPr="00652529">
        <w:rPr>
          <w:rFonts w:ascii="Times New Roman" w:hAnsi="Times New Roman"/>
          <w:sz w:val="24"/>
          <w:szCs w:val="24"/>
          <w:shd w:val="clear" w:color="auto" w:fill="FFFFFF"/>
        </w:rPr>
        <w:t xml:space="preserve">Трудовая миграция в сочетании со структурной безработицей, при которой на фоне прогрессирующего дефицита квалифицированных рабочих, непрестижности рабочих специальностей, значительная численность безработных сочетается с сокращением </w:t>
      </w:r>
      <w:r w:rsidRPr="00652529">
        <w:rPr>
          <w:rFonts w:ascii="Times New Roman" w:hAnsi="Times New Roman"/>
          <w:sz w:val="24"/>
          <w:szCs w:val="24"/>
          <w:shd w:val="clear" w:color="auto" w:fill="FFFFFF"/>
        </w:rPr>
        <w:lastRenderedPageBreak/>
        <w:t>потребности организаций в работниках, порождает о</w:t>
      </w:r>
      <w:r w:rsidRPr="00652529">
        <w:rPr>
          <w:rFonts w:ascii="Times New Roman" w:hAnsi="Times New Roman"/>
          <w:color w:val="000000"/>
          <w:sz w:val="24"/>
          <w:szCs w:val="24"/>
        </w:rPr>
        <w:t>стрый дефицит рабочей силы, который зафиксирован не только среди квалифицированных специалистов узкого направления. В настоящее время на ранке труда не хватает сотрудников на должности с низкой квалификацией.</w:t>
      </w:r>
    </w:p>
    <w:p w:rsidR="00652529" w:rsidRPr="00652529" w:rsidRDefault="00652529" w:rsidP="00652529">
      <w:pPr>
        <w:spacing w:after="0" w:line="240" w:lineRule="auto"/>
        <w:ind w:firstLine="709"/>
        <w:jc w:val="both"/>
        <w:rPr>
          <w:rFonts w:ascii="Times New Roman" w:hAnsi="Times New Roman"/>
          <w:sz w:val="24"/>
          <w:szCs w:val="24"/>
          <w:shd w:val="clear" w:color="auto" w:fill="FFFFFF"/>
        </w:rPr>
      </w:pPr>
      <w:r w:rsidRPr="00652529">
        <w:rPr>
          <w:rFonts w:ascii="Times New Roman" w:hAnsi="Times New Roman"/>
          <w:sz w:val="24"/>
          <w:szCs w:val="24"/>
          <w:shd w:val="clear" w:color="auto" w:fill="FFFFFF"/>
        </w:rPr>
        <w:t>Кроме того, отмечается скрытая безработица, когда работники находятся в простое по вине администрации или работают неполное рабочее время, а также отмечается рост числа неработающих граждан, не занимающихся активным поиском работы.</w:t>
      </w:r>
    </w:p>
    <w:p w:rsidR="00335844" w:rsidRPr="00290676" w:rsidRDefault="00335844" w:rsidP="00335844">
      <w:pPr>
        <w:spacing w:after="0" w:line="240" w:lineRule="auto"/>
        <w:ind w:right="-284"/>
        <w:jc w:val="both"/>
        <w:rPr>
          <w:rFonts w:ascii="Times New Roman" w:hAnsi="Times New Roman"/>
          <w:sz w:val="24"/>
          <w:szCs w:val="24"/>
        </w:rPr>
      </w:pPr>
    </w:p>
    <w:p w:rsidR="00335844" w:rsidRPr="00290676" w:rsidRDefault="00335844" w:rsidP="00335844">
      <w:pPr>
        <w:spacing w:after="0" w:line="240" w:lineRule="auto"/>
        <w:ind w:firstLine="709"/>
        <w:jc w:val="both"/>
        <w:rPr>
          <w:rFonts w:ascii="Times New Roman" w:hAnsi="Times New Roman"/>
          <w:sz w:val="24"/>
          <w:szCs w:val="24"/>
          <w:shd w:val="clear" w:color="auto" w:fill="FFFFFF"/>
        </w:rPr>
      </w:pPr>
    </w:p>
    <w:p w:rsidR="00335844" w:rsidRDefault="00335844" w:rsidP="00335844">
      <w:pPr>
        <w:spacing w:after="0" w:line="240" w:lineRule="auto"/>
        <w:jc w:val="both"/>
        <w:rPr>
          <w:rFonts w:ascii="Times New Roman" w:hAnsi="Times New Roman"/>
          <w:sz w:val="24"/>
          <w:szCs w:val="24"/>
        </w:rPr>
        <w:sectPr w:rsidR="00335844" w:rsidSect="003F67B2">
          <w:pgSz w:w="11906" w:h="16838" w:code="9"/>
          <w:pgMar w:top="851" w:right="851" w:bottom="1134" w:left="1701" w:header="709" w:footer="709" w:gutter="0"/>
          <w:cols w:space="708"/>
          <w:titlePg/>
          <w:docGrid w:linePitch="360"/>
        </w:sectPr>
      </w:pPr>
    </w:p>
    <w:tbl>
      <w:tblPr>
        <w:tblpPr w:leftFromText="180" w:rightFromText="180" w:vertAnchor="page" w:horzAnchor="margin" w:tblpXSpec="center" w:tblpY="451"/>
        <w:tblW w:w="11207" w:type="dxa"/>
        <w:tblLayout w:type="fixed"/>
        <w:tblLook w:val="00A0"/>
      </w:tblPr>
      <w:tblGrid>
        <w:gridCol w:w="4219"/>
        <w:gridCol w:w="992"/>
        <w:gridCol w:w="1134"/>
        <w:gridCol w:w="709"/>
        <w:gridCol w:w="425"/>
        <w:gridCol w:w="544"/>
        <w:gridCol w:w="307"/>
        <w:gridCol w:w="709"/>
        <w:gridCol w:w="425"/>
        <w:gridCol w:w="657"/>
        <w:gridCol w:w="193"/>
        <w:gridCol w:w="893"/>
      </w:tblGrid>
      <w:tr w:rsidR="00335844" w:rsidRPr="00407470" w:rsidTr="003F67B2">
        <w:trPr>
          <w:gridAfter w:val="2"/>
          <w:wAfter w:w="1086" w:type="dxa"/>
          <w:trHeight w:val="140"/>
        </w:trPr>
        <w:tc>
          <w:tcPr>
            <w:tcW w:w="10121" w:type="dxa"/>
            <w:gridSpan w:val="10"/>
            <w:tcBorders>
              <w:top w:val="nil"/>
              <w:left w:val="nil"/>
              <w:bottom w:val="nil"/>
              <w:right w:val="nil"/>
            </w:tcBorders>
            <w:vAlign w:val="bottom"/>
          </w:tcPr>
          <w:p w:rsidR="00335844" w:rsidRPr="00E86D11" w:rsidRDefault="00335844" w:rsidP="003F67B2">
            <w:pPr>
              <w:spacing w:after="0" w:line="240" w:lineRule="auto"/>
              <w:rPr>
                <w:rFonts w:ascii="Times New Roman" w:hAnsi="Times New Roman"/>
                <w:b/>
                <w:bCs/>
                <w:color w:val="000000"/>
                <w:sz w:val="24"/>
                <w:szCs w:val="24"/>
              </w:rPr>
            </w:pPr>
          </w:p>
        </w:tc>
      </w:tr>
      <w:tr w:rsidR="00335844" w:rsidTr="00D80FCA">
        <w:trPr>
          <w:gridAfter w:val="2"/>
          <w:wAfter w:w="1086" w:type="dxa"/>
          <w:trHeight w:val="322"/>
        </w:trPr>
        <w:tc>
          <w:tcPr>
            <w:tcW w:w="10121" w:type="dxa"/>
            <w:gridSpan w:val="10"/>
            <w:vAlign w:val="center"/>
            <w:hideMark/>
          </w:tcPr>
          <w:tbl>
            <w:tblPr>
              <w:tblpPr w:leftFromText="180" w:rightFromText="180" w:horzAnchor="page" w:tblpX="448" w:tblpY="-615"/>
              <w:tblW w:w="11340" w:type="dxa"/>
              <w:tblLayout w:type="fixed"/>
              <w:tblLook w:val="00A0"/>
            </w:tblPr>
            <w:tblGrid>
              <w:gridCol w:w="11340"/>
            </w:tblGrid>
            <w:tr w:rsidR="00335844" w:rsidTr="003F67B2">
              <w:trPr>
                <w:trHeight w:val="423"/>
              </w:trPr>
              <w:tc>
                <w:tcPr>
                  <w:tcW w:w="11339" w:type="dxa"/>
                  <w:vAlign w:val="bottom"/>
                </w:tcPr>
                <w:p w:rsidR="00335844" w:rsidRDefault="00335844" w:rsidP="003F67B2">
                  <w:pPr>
                    <w:tabs>
                      <w:tab w:val="left" w:pos="7122"/>
                    </w:tabs>
                    <w:spacing w:after="0" w:line="240" w:lineRule="auto"/>
                    <w:ind w:left="-142" w:right="1167" w:firstLine="142"/>
                    <w:jc w:val="right"/>
                    <w:rPr>
                      <w:rFonts w:ascii="Times New Roman" w:hAnsi="Times New Roman"/>
                      <w:b/>
                      <w:bCs/>
                      <w:color w:val="000000"/>
                      <w:sz w:val="24"/>
                      <w:szCs w:val="24"/>
                    </w:rPr>
                  </w:pPr>
                  <w:r>
                    <w:rPr>
                      <w:rFonts w:ascii="Times New Roman" w:hAnsi="Times New Roman"/>
                      <w:b/>
                      <w:bCs/>
                      <w:color w:val="000000"/>
                      <w:sz w:val="24"/>
                      <w:szCs w:val="24"/>
                    </w:rPr>
                    <w:tab/>
                    <w:t>Приложение №1</w:t>
                  </w:r>
                </w:p>
                <w:p w:rsidR="00335844" w:rsidRDefault="00335844" w:rsidP="003F67B2">
                  <w:pPr>
                    <w:spacing w:after="0" w:line="240" w:lineRule="auto"/>
                    <w:ind w:left="-142" w:firstLine="142"/>
                    <w:jc w:val="center"/>
                    <w:rPr>
                      <w:rFonts w:ascii="Times New Roman" w:hAnsi="Times New Roman"/>
                      <w:b/>
                      <w:bCs/>
                      <w:color w:val="000000"/>
                    </w:rPr>
                  </w:pPr>
                </w:p>
              </w:tc>
            </w:tr>
            <w:tr w:rsidR="00335844" w:rsidTr="003F67B2">
              <w:trPr>
                <w:trHeight w:val="420"/>
              </w:trPr>
              <w:tc>
                <w:tcPr>
                  <w:tcW w:w="11339" w:type="dxa"/>
                  <w:vAlign w:val="bottom"/>
                  <w:hideMark/>
                </w:tcPr>
                <w:p w:rsidR="00335844" w:rsidRDefault="00335844" w:rsidP="003F67B2">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Основные макроэкономические показатели</w:t>
                  </w:r>
                </w:p>
                <w:p w:rsidR="00335844" w:rsidRDefault="00335844" w:rsidP="003F67B2">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 xml:space="preserve">Приднестровской Молдавской Республики </w:t>
                  </w:r>
                  <w:r w:rsidR="00C84F2A">
                    <w:rPr>
                      <w:rFonts w:ascii="Times New Roman" w:hAnsi="Times New Roman"/>
                      <w:b/>
                      <w:bCs/>
                      <w:color w:val="000000"/>
                      <w:sz w:val="24"/>
                      <w:szCs w:val="24"/>
                    </w:rPr>
                    <w:t xml:space="preserve"> январь – июнь 2015 года</w:t>
                  </w:r>
                </w:p>
              </w:tc>
            </w:tr>
          </w:tbl>
          <w:p w:rsidR="00335844" w:rsidRDefault="00335844" w:rsidP="003F67B2">
            <w:pPr>
              <w:spacing w:after="0" w:line="240" w:lineRule="auto"/>
              <w:ind w:left="-142" w:firstLine="142"/>
              <w:rPr>
                <w:rFonts w:ascii="Times New Roman" w:hAnsi="Times New Roman"/>
                <w:b/>
                <w:bCs/>
                <w:color w:val="000000"/>
                <w:sz w:val="28"/>
                <w:szCs w:val="28"/>
              </w:rPr>
            </w:pPr>
          </w:p>
        </w:tc>
      </w:tr>
      <w:tr w:rsidR="00335844" w:rsidTr="0041685A">
        <w:trPr>
          <w:trHeight w:val="80"/>
        </w:trPr>
        <w:tc>
          <w:tcPr>
            <w:tcW w:w="4219" w:type="dxa"/>
            <w:tcBorders>
              <w:top w:val="nil"/>
              <w:left w:val="nil"/>
              <w:bottom w:val="single" w:sz="4" w:space="0" w:color="auto"/>
              <w:right w:val="nil"/>
            </w:tcBorders>
            <w:noWrap/>
            <w:vAlign w:val="bottom"/>
          </w:tcPr>
          <w:p w:rsidR="00335844" w:rsidRDefault="00335844" w:rsidP="003F67B2">
            <w:pPr>
              <w:spacing w:after="0" w:line="240" w:lineRule="auto"/>
              <w:ind w:left="-142" w:firstLine="142"/>
              <w:rPr>
                <w:color w:val="000000"/>
              </w:rPr>
            </w:pPr>
          </w:p>
        </w:tc>
        <w:tc>
          <w:tcPr>
            <w:tcW w:w="992" w:type="dxa"/>
            <w:tcBorders>
              <w:top w:val="nil"/>
              <w:left w:val="nil"/>
              <w:bottom w:val="single" w:sz="4" w:space="0" w:color="auto"/>
              <w:right w:val="nil"/>
            </w:tcBorders>
            <w:noWrap/>
            <w:vAlign w:val="bottom"/>
          </w:tcPr>
          <w:p w:rsidR="00335844" w:rsidRDefault="00335844" w:rsidP="003F67B2">
            <w:pPr>
              <w:spacing w:after="0" w:line="240" w:lineRule="auto"/>
              <w:ind w:left="-142" w:firstLine="142"/>
              <w:rPr>
                <w:color w:val="000000"/>
              </w:rPr>
            </w:pPr>
          </w:p>
        </w:tc>
        <w:tc>
          <w:tcPr>
            <w:tcW w:w="1134" w:type="dxa"/>
            <w:tcBorders>
              <w:top w:val="nil"/>
              <w:left w:val="nil"/>
              <w:bottom w:val="single" w:sz="4" w:space="0" w:color="auto"/>
              <w:right w:val="nil"/>
            </w:tcBorders>
            <w:noWrap/>
            <w:vAlign w:val="bottom"/>
          </w:tcPr>
          <w:p w:rsidR="00335844" w:rsidRDefault="00335844" w:rsidP="003F67B2">
            <w:pPr>
              <w:spacing w:after="0" w:line="240" w:lineRule="auto"/>
              <w:ind w:left="-142" w:firstLine="142"/>
              <w:rPr>
                <w:color w:val="000000"/>
              </w:rPr>
            </w:pPr>
          </w:p>
        </w:tc>
        <w:tc>
          <w:tcPr>
            <w:tcW w:w="709" w:type="dxa"/>
            <w:tcBorders>
              <w:top w:val="nil"/>
              <w:left w:val="nil"/>
              <w:bottom w:val="single" w:sz="4" w:space="0" w:color="auto"/>
              <w:right w:val="nil"/>
            </w:tcBorders>
            <w:noWrap/>
            <w:vAlign w:val="bottom"/>
          </w:tcPr>
          <w:p w:rsidR="00335844" w:rsidRDefault="00335844" w:rsidP="003F67B2">
            <w:pPr>
              <w:spacing w:after="0" w:line="240" w:lineRule="auto"/>
              <w:ind w:left="-142" w:firstLine="142"/>
              <w:rPr>
                <w:color w:val="000000"/>
              </w:rPr>
            </w:pPr>
          </w:p>
        </w:tc>
        <w:tc>
          <w:tcPr>
            <w:tcW w:w="969" w:type="dxa"/>
            <w:gridSpan w:val="2"/>
            <w:tcBorders>
              <w:top w:val="nil"/>
              <w:left w:val="nil"/>
              <w:bottom w:val="single" w:sz="4" w:space="0" w:color="auto"/>
              <w:right w:val="nil"/>
            </w:tcBorders>
            <w:noWrap/>
            <w:vAlign w:val="bottom"/>
          </w:tcPr>
          <w:p w:rsidR="00335844" w:rsidRDefault="00335844" w:rsidP="003F67B2">
            <w:pPr>
              <w:spacing w:after="0" w:line="240" w:lineRule="auto"/>
              <w:ind w:left="-142" w:firstLine="142"/>
              <w:rPr>
                <w:color w:val="000000"/>
              </w:rPr>
            </w:pPr>
          </w:p>
        </w:tc>
        <w:tc>
          <w:tcPr>
            <w:tcW w:w="1016" w:type="dxa"/>
            <w:gridSpan w:val="2"/>
            <w:tcBorders>
              <w:top w:val="nil"/>
              <w:left w:val="nil"/>
              <w:bottom w:val="single" w:sz="4" w:space="0" w:color="auto"/>
              <w:right w:val="nil"/>
            </w:tcBorders>
            <w:noWrap/>
            <w:vAlign w:val="bottom"/>
          </w:tcPr>
          <w:p w:rsidR="00335844" w:rsidRDefault="00335844" w:rsidP="003F67B2">
            <w:pPr>
              <w:spacing w:after="0" w:line="240" w:lineRule="auto"/>
              <w:ind w:left="-142" w:firstLine="142"/>
              <w:rPr>
                <w:color w:val="000000"/>
              </w:rPr>
            </w:pPr>
          </w:p>
        </w:tc>
        <w:tc>
          <w:tcPr>
            <w:tcW w:w="1082" w:type="dxa"/>
            <w:gridSpan w:val="2"/>
            <w:tcBorders>
              <w:top w:val="nil"/>
              <w:left w:val="nil"/>
              <w:bottom w:val="single" w:sz="4" w:space="0" w:color="auto"/>
              <w:right w:val="nil"/>
            </w:tcBorders>
          </w:tcPr>
          <w:p w:rsidR="00335844" w:rsidRDefault="00335844" w:rsidP="003F67B2">
            <w:pPr>
              <w:spacing w:after="0" w:line="240" w:lineRule="auto"/>
              <w:ind w:left="-142" w:firstLine="142"/>
              <w:rPr>
                <w:color w:val="000000"/>
              </w:rPr>
            </w:pPr>
          </w:p>
        </w:tc>
        <w:tc>
          <w:tcPr>
            <w:tcW w:w="1086" w:type="dxa"/>
            <w:gridSpan w:val="2"/>
            <w:tcBorders>
              <w:top w:val="nil"/>
              <w:left w:val="nil"/>
              <w:right w:val="nil"/>
            </w:tcBorders>
            <w:noWrap/>
            <w:vAlign w:val="bottom"/>
          </w:tcPr>
          <w:p w:rsidR="00335844" w:rsidRDefault="00335844" w:rsidP="003F67B2">
            <w:pPr>
              <w:spacing w:after="0" w:line="240" w:lineRule="auto"/>
              <w:ind w:left="-142" w:firstLine="142"/>
              <w:rPr>
                <w:color w:val="000000"/>
              </w:rPr>
            </w:pPr>
          </w:p>
        </w:tc>
      </w:tr>
      <w:tr w:rsidR="0041685A" w:rsidTr="0041685A">
        <w:trPr>
          <w:gridAfter w:val="1"/>
          <w:wAfter w:w="893" w:type="dxa"/>
          <w:trHeight w:val="878"/>
        </w:trPr>
        <w:tc>
          <w:tcPr>
            <w:tcW w:w="4219" w:type="dxa"/>
            <w:tcBorders>
              <w:top w:val="single" w:sz="4" w:space="0" w:color="auto"/>
              <w:left w:val="single" w:sz="4" w:space="0" w:color="auto"/>
              <w:bottom w:val="single" w:sz="4" w:space="0" w:color="auto"/>
              <w:right w:val="single" w:sz="4" w:space="0" w:color="auto"/>
            </w:tcBorders>
            <w:noWrap/>
            <w:vAlign w:val="center"/>
            <w:hideMark/>
          </w:tcPr>
          <w:p w:rsidR="0041685A" w:rsidRDefault="0041685A" w:rsidP="0041685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Показатели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1685A" w:rsidRDefault="0041685A" w:rsidP="0041685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Ед. изм.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685A" w:rsidRDefault="0041685A" w:rsidP="0041685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Факт за I полугодие 2013 г.</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1685A" w:rsidRDefault="0041685A" w:rsidP="0041685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Факт за I полугодие 2014 г.</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41685A" w:rsidRDefault="0041685A" w:rsidP="0041685A">
            <w:pPr>
              <w:spacing w:after="0" w:line="240" w:lineRule="auto"/>
              <w:ind w:left="-95" w:right="-80" w:firstLine="10"/>
              <w:jc w:val="center"/>
              <w:rPr>
                <w:rFonts w:ascii="Times New Roman" w:hAnsi="Times New Roman"/>
                <w:b/>
                <w:bCs/>
                <w:color w:val="000000"/>
                <w:sz w:val="20"/>
                <w:szCs w:val="20"/>
              </w:rPr>
            </w:pPr>
            <w:r>
              <w:rPr>
                <w:rFonts w:ascii="Times New Roman" w:hAnsi="Times New Roman"/>
                <w:b/>
                <w:bCs/>
                <w:color w:val="000000"/>
                <w:sz w:val="20"/>
                <w:szCs w:val="20"/>
              </w:rPr>
              <w:t>Темп роста* 2014 г. к 2013 г.,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41685A" w:rsidRDefault="0041685A" w:rsidP="0041685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Факт за I полугодие 2015 г.</w:t>
            </w:r>
          </w:p>
        </w:tc>
        <w:tc>
          <w:tcPr>
            <w:tcW w:w="850" w:type="dxa"/>
            <w:gridSpan w:val="2"/>
            <w:tcBorders>
              <w:top w:val="single" w:sz="4" w:space="0" w:color="auto"/>
              <w:left w:val="single" w:sz="4" w:space="0" w:color="auto"/>
              <w:bottom w:val="single" w:sz="4" w:space="0" w:color="auto"/>
              <w:right w:val="single" w:sz="4" w:space="0" w:color="auto"/>
            </w:tcBorders>
          </w:tcPr>
          <w:p w:rsidR="0041685A" w:rsidRDefault="0041685A" w:rsidP="0041685A">
            <w:pPr>
              <w:spacing w:after="0" w:line="240" w:lineRule="auto"/>
              <w:ind w:left="-182" w:hanging="68"/>
              <w:jc w:val="right"/>
              <w:rPr>
                <w:rFonts w:ascii="Times New Roman" w:hAnsi="Times New Roman"/>
                <w:b/>
                <w:bCs/>
                <w:color w:val="000000"/>
                <w:sz w:val="20"/>
                <w:szCs w:val="20"/>
              </w:rPr>
            </w:pPr>
            <w:r>
              <w:rPr>
                <w:rFonts w:ascii="Times New Roman" w:hAnsi="Times New Roman"/>
                <w:b/>
                <w:bCs/>
                <w:color w:val="000000"/>
                <w:sz w:val="20"/>
                <w:szCs w:val="20"/>
              </w:rPr>
              <w:t>Темп роста*    2015 г. к 2014 г., %</w:t>
            </w:r>
          </w:p>
        </w:tc>
      </w:tr>
      <w:tr w:rsidR="00335844" w:rsidTr="0041685A">
        <w:trPr>
          <w:gridAfter w:val="1"/>
          <w:wAfter w:w="893" w:type="dxa"/>
          <w:trHeight w:val="97"/>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50" w:type="dxa"/>
            <w:gridSpan w:val="2"/>
            <w:tcBorders>
              <w:top w:val="single" w:sz="4" w:space="0" w:color="auto"/>
              <w:left w:val="single" w:sz="4" w:space="0" w:color="auto"/>
              <w:bottom w:val="single" w:sz="4" w:space="0" w:color="auto"/>
              <w:right w:val="single" w:sz="4" w:space="0" w:color="auto"/>
            </w:tcBorders>
          </w:tcPr>
          <w:p w:rsidR="00335844" w:rsidRDefault="00335844" w:rsidP="003F67B2">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7</w:t>
            </w:r>
          </w:p>
        </w:tc>
      </w:tr>
      <w:tr w:rsidR="00D80FCA" w:rsidTr="0041685A">
        <w:trPr>
          <w:gridAfter w:val="1"/>
          <w:wAfter w:w="893" w:type="dxa"/>
          <w:trHeight w:val="171"/>
        </w:trPr>
        <w:tc>
          <w:tcPr>
            <w:tcW w:w="4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4 246,8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0"/>
              <w:jc w:val="right"/>
              <w:rPr>
                <w:rFonts w:ascii="Times New Roman" w:hAnsi="Times New Roman"/>
                <w:color w:val="000000"/>
                <w:sz w:val="20"/>
                <w:szCs w:val="20"/>
              </w:rPr>
            </w:pPr>
            <w:r w:rsidRPr="002361A2">
              <w:rPr>
                <w:rFonts w:ascii="Times New Roman" w:hAnsi="Times New Roman"/>
                <w:color w:val="000000"/>
                <w:sz w:val="20"/>
                <w:szCs w:val="20"/>
              </w:rPr>
              <w:t>4 767,5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475A52"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3 753,0</w:t>
            </w:r>
          </w:p>
        </w:tc>
        <w:tc>
          <w:tcPr>
            <w:tcW w:w="850" w:type="dxa"/>
            <w:gridSpan w:val="2"/>
            <w:tcBorders>
              <w:top w:val="single" w:sz="4" w:space="0" w:color="auto"/>
              <w:left w:val="single" w:sz="4" w:space="0" w:color="auto"/>
              <w:bottom w:val="single" w:sz="4" w:space="0" w:color="auto"/>
              <w:right w:val="single" w:sz="4" w:space="0" w:color="auto"/>
            </w:tcBorders>
          </w:tcPr>
          <w:p w:rsidR="00D80FCA" w:rsidRPr="002361A2" w:rsidRDefault="002361A2"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81,3</w:t>
            </w:r>
          </w:p>
        </w:tc>
      </w:tr>
      <w:tr w:rsidR="00D80FCA" w:rsidTr="0041685A">
        <w:trPr>
          <w:gridAfter w:val="1"/>
          <w:wAfter w:w="893" w:type="dxa"/>
          <w:trHeight w:val="217"/>
        </w:trPr>
        <w:tc>
          <w:tcPr>
            <w:tcW w:w="4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382,6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429,5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475A52"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338,1</w:t>
            </w:r>
          </w:p>
        </w:tc>
        <w:tc>
          <w:tcPr>
            <w:tcW w:w="850" w:type="dxa"/>
            <w:gridSpan w:val="2"/>
            <w:tcBorders>
              <w:top w:val="single" w:sz="4" w:space="0" w:color="auto"/>
              <w:left w:val="single" w:sz="4" w:space="0" w:color="auto"/>
              <w:bottom w:val="single" w:sz="4" w:space="0" w:color="auto"/>
              <w:right w:val="single" w:sz="4" w:space="0" w:color="auto"/>
            </w:tcBorders>
          </w:tcPr>
          <w:p w:rsidR="00D80FCA" w:rsidRPr="002361A2" w:rsidRDefault="002361A2"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81,3</w:t>
            </w:r>
          </w:p>
        </w:tc>
      </w:tr>
      <w:tr w:rsidR="00D80FCA" w:rsidTr="00825523">
        <w:trPr>
          <w:gridAfter w:val="1"/>
          <w:wAfter w:w="893" w:type="dxa"/>
          <w:trHeight w:val="409"/>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промышленного производства (оценка)</w:t>
            </w:r>
            <w:r>
              <w:rPr>
                <w:rFonts w:ascii="Times New Roman" w:hAnsi="Times New Roman"/>
                <w:color w:val="000000"/>
                <w:sz w:val="20"/>
                <w:szCs w:val="20"/>
                <w:vertAlign w:val="superscript"/>
              </w:rPr>
              <w:t>1</w:t>
            </w:r>
            <w:r>
              <w:rPr>
                <w:rFonts w:ascii="Times New Roman" w:hAnsi="Times New Roman"/>
                <w:color w:val="000000"/>
                <w:sz w:val="20"/>
                <w:szCs w:val="20"/>
              </w:rPr>
              <w:t xml:space="preserve">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3 387,3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5 218,7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145,6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4 404,6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83,7</w:t>
            </w:r>
          </w:p>
        </w:tc>
      </w:tr>
      <w:tr w:rsidR="00D80FCA" w:rsidTr="00825523">
        <w:trPr>
          <w:gridAfter w:val="1"/>
          <w:wAfter w:w="893" w:type="dxa"/>
          <w:trHeight w:val="359"/>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том числе по предприятия промышленности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3 214,6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4 945,2</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146,9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4 159,3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p>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84,1</w:t>
            </w:r>
          </w:p>
        </w:tc>
      </w:tr>
      <w:tr w:rsidR="00D80FCA" w:rsidTr="00825523">
        <w:trPr>
          <w:gridAfter w:val="1"/>
          <w:wAfter w:w="893" w:type="dxa"/>
          <w:trHeight w:val="324"/>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промышленного производства по полному кругу предприятий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305,2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470,2</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145,6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396,8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p>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83,7</w:t>
            </w:r>
          </w:p>
        </w:tc>
      </w:tr>
      <w:tr w:rsidR="00D80FCA" w:rsidTr="00825523">
        <w:trPr>
          <w:gridAfter w:val="1"/>
          <w:wAfter w:w="893" w:type="dxa"/>
          <w:trHeight w:val="274"/>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в том числе по предприятия промышленности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289,6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445,5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146,9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374,7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84,1</w:t>
            </w:r>
          </w:p>
        </w:tc>
      </w:tr>
      <w:tr w:rsidR="00D80FCA" w:rsidTr="00825523">
        <w:trPr>
          <w:gridAfter w:val="1"/>
          <w:wAfter w:w="893" w:type="dxa"/>
          <w:trHeight w:val="419"/>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Объем сельскохозяйственного производства (в текущих ценах)</w:t>
            </w:r>
            <w:r>
              <w:rPr>
                <w:rFonts w:ascii="Times New Roman" w:hAnsi="Times New Roman"/>
                <w:color w:val="000000"/>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392,2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415,3</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106,6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438,9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112,1</w:t>
            </w:r>
          </w:p>
        </w:tc>
      </w:tr>
      <w:tr w:rsidR="00D80FCA" w:rsidTr="00825523">
        <w:trPr>
          <w:gridAfter w:val="1"/>
          <w:wAfter w:w="893" w:type="dxa"/>
          <w:trHeight w:val="186"/>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35,3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37,4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105,9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39,5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105,6</w:t>
            </w:r>
          </w:p>
        </w:tc>
      </w:tr>
      <w:tr w:rsidR="00D80FCA" w:rsidTr="00825523">
        <w:trPr>
          <w:gridAfter w:val="1"/>
          <w:wAfter w:w="893" w:type="dxa"/>
          <w:trHeight w:val="361"/>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перевозок грузов организациями автомобильного транспорта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тыс. тонн</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511,3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1 070,6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в 2,1р.</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786,9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73,5</w:t>
            </w:r>
          </w:p>
        </w:tc>
      </w:tr>
      <w:tr w:rsidR="00D80FCA" w:rsidTr="00825523">
        <w:trPr>
          <w:gridAfter w:val="1"/>
          <w:wAfter w:w="893" w:type="dxa"/>
          <w:trHeight w:val="750"/>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729,2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711,70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82,6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462,1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58,9</w:t>
            </w:r>
          </w:p>
        </w:tc>
      </w:tr>
      <w:tr w:rsidR="00D80FCA" w:rsidTr="00825523">
        <w:trPr>
          <w:gridAfter w:val="1"/>
          <w:wAfter w:w="893" w:type="dxa"/>
          <w:trHeight w:val="476"/>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Ввод в действие жилых домов</w:t>
            </w:r>
          </w:p>
        </w:tc>
        <w:tc>
          <w:tcPr>
            <w:tcW w:w="992" w:type="dxa"/>
            <w:tcBorders>
              <w:top w:val="single" w:sz="4" w:space="0" w:color="auto"/>
              <w:left w:val="single" w:sz="4" w:space="0" w:color="auto"/>
              <w:bottom w:val="single" w:sz="4" w:space="0" w:color="auto"/>
              <w:right w:val="single" w:sz="4" w:space="0" w:color="auto"/>
            </w:tcBorders>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кв. м. общей площади</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18 060,0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11 721,70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64,9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9 018,4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76,9</w:t>
            </w:r>
          </w:p>
        </w:tc>
      </w:tr>
      <w:tr w:rsidR="00D80FCA" w:rsidTr="00825523">
        <w:trPr>
          <w:gridAfter w:val="1"/>
          <w:wAfter w:w="893" w:type="dxa"/>
          <w:trHeight w:val="647"/>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34"/>
              <w:jc w:val="right"/>
              <w:rPr>
                <w:rFonts w:ascii="Times New Roman" w:hAnsi="Times New Roman"/>
                <w:color w:val="000000"/>
                <w:sz w:val="20"/>
                <w:szCs w:val="20"/>
              </w:rPr>
            </w:pPr>
            <w:r w:rsidRPr="002361A2">
              <w:rPr>
                <w:rFonts w:ascii="Times New Roman" w:hAnsi="Times New Roman"/>
                <w:color w:val="000000"/>
                <w:sz w:val="20"/>
                <w:szCs w:val="20"/>
              </w:rPr>
              <w:t>4 613,5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4 675,40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100,1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3 806,8</w:t>
            </w:r>
          </w:p>
        </w:tc>
        <w:tc>
          <w:tcPr>
            <w:tcW w:w="850" w:type="dxa"/>
            <w:gridSpan w:val="2"/>
            <w:tcBorders>
              <w:top w:val="single" w:sz="4" w:space="0" w:color="auto"/>
              <w:left w:val="single" w:sz="4" w:space="0" w:color="auto"/>
              <w:bottom w:val="single" w:sz="4" w:space="0" w:color="auto"/>
              <w:right w:val="single" w:sz="4" w:space="0" w:color="auto"/>
            </w:tcBorders>
          </w:tcPr>
          <w:p w:rsidR="00D80FCA" w:rsidRPr="002361A2" w:rsidRDefault="00D80FCA" w:rsidP="00D80FCA">
            <w:pPr>
              <w:spacing w:after="0" w:line="240" w:lineRule="auto"/>
              <w:ind w:left="-142" w:firstLine="142"/>
              <w:jc w:val="right"/>
              <w:rPr>
                <w:rFonts w:ascii="Times New Roman" w:hAnsi="Times New Roman"/>
                <w:color w:val="000000"/>
                <w:sz w:val="20"/>
                <w:szCs w:val="20"/>
              </w:rPr>
            </w:pPr>
          </w:p>
          <w:p w:rsidR="00D80FCA" w:rsidRPr="002361A2" w:rsidRDefault="00D80FCA" w:rsidP="00D80FCA">
            <w:pPr>
              <w:spacing w:after="0" w:line="240" w:lineRule="auto"/>
              <w:ind w:left="-142" w:firstLine="142"/>
              <w:jc w:val="right"/>
              <w:rPr>
                <w:rFonts w:ascii="Times New Roman" w:hAnsi="Times New Roman"/>
                <w:color w:val="000000"/>
                <w:sz w:val="20"/>
                <w:szCs w:val="20"/>
              </w:rPr>
            </w:pPr>
          </w:p>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81,5</w:t>
            </w:r>
          </w:p>
        </w:tc>
      </w:tr>
      <w:tr w:rsidR="00D80FCA" w:rsidTr="0041685A">
        <w:trPr>
          <w:gridAfter w:val="1"/>
          <w:wAfter w:w="893" w:type="dxa"/>
          <w:trHeight w:val="312"/>
        </w:trPr>
        <w:tc>
          <w:tcPr>
            <w:tcW w:w="42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Розничный товарооборот +общественное питание</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r>
      <w:tr w:rsidR="00D80FCA" w:rsidTr="0041685A">
        <w:trPr>
          <w:gridAfter w:val="1"/>
          <w:wAfter w:w="893" w:type="dxa"/>
          <w:trHeight w:val="284"/>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3 561,4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center"/>
              <w:rPr>
                <w:rFonts w:ascii="Times New Roman" w:hAnsi="Times New Roman"/>
                <w:sz w:val="20"/>
                <w:szCs w:val="20"/>
              </w:rPr>
            </w:pPr>
            <w:r w:rsidRPr="002361A2">
              <w:rPr>
                <w:rFonts w:ascii="Times New Roman" w:hAnsi="Times New Roman"/>
                <w:sz w:val="20"/>
                <w:szCs w:val="20"/>
              </w:rPr>
              <w:t>3 756,00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center"/>
              <w:rPr>
                <w:rFonts w:ascii="Times New Roman" w:hAnsi="Times New Roman"/>
                <w:sz w:val="20"/>
                <w:szCs w:val="20"/>
              </w:rPr>
            </w:pPr>
            <w:r w:rsidRPr="002361A2">
              <w:rPr>
                <w:rFonts w:ascii="Times New Roman" w:hAnsi="Times New Roman"/>
                <w:sz w:val="20"/>
                <w:szCs w:val="20"/>
              </w:rPr>
              <w:t>99,7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2 698,7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75,6</w:t>
            </w:r>
          </w:p>
        </w:tc>
      </w:tr>
      <w:tr w:rsidR="00D80FCA" w:rsidTr="0041685A">
        <w:trPr>
          <w:gridAfter w:val="1"/>
          <w:wAfter w:w="893" w:type="dxa"/>
          <w:trHeight w:val="101"/>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104,1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center"/>
              <w:rPr>
                <w:rFonts w:ascii="Times New Roman" w:hAnsi="Times New Roman"/>
                <w:sz w:val="20"/>
                <w:szCs w:val="20"/>
              </w:rPr>
            </w:pPr>
            <w:r w:rsidRPr="002361A2">
              <w:rPr>
                <w:rFonts w:ascii="Times New Roman" w:hAnsi="Times New Roman"/>
                <w:sz w:val="20"/>
                <w:szCs w:val="20"/>
              </w:rPr>
              <w:t>98,8</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center"/>
              <w:rPr>
                <w:rFonts w:ascii="Times New Roman" w:hAnsi="Times New Roman"/>
                <w:sz w:val="20"/>
                <w:szCs w:val="20"/>
              </w:rPr>
            </w:pPr>
            <w:r w:rsidRPr="002361A2">
              <w:rPr>
                <w:rFonts w:ascii="Times New Roman" w:hAnsi="Times New Roman"/>
                <w:sz w:val="20"/>
                <w:szCs w:val="20"/>
              </w:rPr>
              <w:t>х</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77,7</w:t>
            </w:r>
          </w:p>
        </w:tc>
        <w:tc>
          <w:tcPr>
            <w:tcW w:w="850" w:type="dxa"/>
            <w:gridSpan w:val="2"/>
            <w:tcBorders>
              <w:top w:val="single" w:sz="4" w:space="0" w:color="auto"/>
              <w:left w:val="single" w:sz="4" w:space="0" w:color="auto"/>
              <w:bottom w:val="single" w:sz="4" w:space="0" w:color="auto"/>
              <w:right w:val="single" w:sz="4" w:space="0" w:color="auto"/>
            </w:tcBorders>
          </w:tcPr>
          <w:p w:rsidR="00D80FCA" w:rsidRPr="002361A2" w:rsidRDefault="00D80FCA" w:rsidP="00D80FCA">
            <w:pPr>
              <w:spacing w:after="0" w:line="240" w:lineRule="auto"/>
              <w:ind w:left="-142" w:firstLine="142"/>
              <w:jc w:val="center"/>
              <w:rPr>
                <w:rFonts w:ascii="Times New Roman" w:hAnsi="Times New Roman"/>
                <w:color w:val="000000"/>
                <w:sz w:val="20"/>
                <w:szCs w:val="20"/>
              </w:rPr>
            </w:pPr>
            <w:r w:rsidRPr="002361A2">
              <w:rPr>
                <w:rFonts w:ascii="Times New Roman" w:hAnsi="Times New Roman"/>
                <w:color w:val="000000"/>
                <w:sz w:val="20"/>
                <w:szCs w:val="20"/>
              </w:rPr>
              <w:t>х</w:t>
            </w:r>
          </w:p>
        </w:tc>
      </w:tr>
      <w:tr w:rsidR="00D80FCA" w:rsidTr="0041685A">
        <w:trPr>
          <w:gridAfter w:val="1"/>
          <w:wAfter w:w="893" w:type="dxa"/>
          <w:trHeight w:val="270"/>
        </w:trPr>
        <w:tc>
          <w:tcPr>
            <w:tcW w:w="42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платных услуг</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D80FCA" w:rsidRDefault="00D80FCA" w:rsidP="00D80FCA">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r>
      <w:tr w:rsidR="00D80FCA" w:rsidTr="0041685A">
        <w:trPr>
          <w:gridAfter w:val="1"/>
          <w:wAfter w:w="893" w:type="dxa"/>
          <w:trHeight w:val="225"/>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1 052,1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1 099,50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105,7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1 108,1</w:t>
            </w:r>
          </w:p>
        </w:tc>
        <w:tc>
          <w:tcPr>
            <w:tcW w:w="850" w:type="dxa"/>
            <w:gridSpan w:val="2"/>
            <w:tcBorders>
              <w:top w:val="single" w:sz="4" w:space="0" w:color="auto"/>
              <w:left w:val="single" w:sz="4" w:space="0" w:color="auto"/>
              <w:bottom w:val="single" w:sz="4" w:space="0" w:color="auto"/>
              <w:right w:val="single" w:sz="4" w:space="0" w:color="auto"/>
            </w:tcBorders>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100,6</w:t>
            </w:r>
          </w:p>
        </w:tc>
      </w:tr>
      <w:tr w:rsidR="00D80FCA" w:rsidTr="0041685A">
        <w:trPr>
          <w:gridAfter w:val="1"/>
          <w:wAfter w:w="893" w:type="dxa"/>
          <w:trHeight w:val="270"/>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103,1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104,5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center"/>
              <w:rPr>
                <w:rFonts w:ascii="Times New Roman" w:hAnsi="Times New Roman"/>
                <w:sz w:val="20"/>
                <w:szCs w:val="20"/>
              </w:rPr>
            </w:pPr>
            <w:r w:rsidRPr="002361A2">
              <w:rPr>
                <w:rFonts w:ascii="Times New Roman" w:hAnsi="Times New Roman"/>
                <w:sz w:val="20"/>
                <w:szCs w:val="20"/>
              </w:rPr>
              <w:t>х</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92,4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center"/>
              <w:rPr>
                <w:rFonts w:ascii="Times New Roman" w:hAnsi="Times New Roman"/>
                <w:color w:val="000000"/>
                <w:sz w:val="20"/>
                <w:szCs w:val="20"/>
              </w:rPr>
            </w:pPr>
            <w:r w:rsidRPr="002361A2">
              <w:rPr>
                <w:rFonts w:ascii="Times New Roman" w:hAnsi="Times New Roman"/>
                <w:color w:val="000000"/>
                <w:sz w:val="20"/>
                <w:szCs w:val="20"/>
              </w:rPr>
              <w:t>х</w:t>
            </w:r>
          </w:p>
        </w:tc>
      </w:tr>
      <w:tr w:rsidR="00D80FCA" w:rsidTr="0041685A">
        <w:trPr>
          <w:gridAfter w:val="1"/>
          <w:wAfter w:w="893" w:type="dxa"/>
          <w:trHeight w:val="283"/>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Внешнеторговый оборот</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959,4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1 187,6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123,6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905,2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76,2</w:t>
            </w:r>
          </w:p>
        </w:tc>
      </w:tr>
      <w:tr w:rsidR="00D80FCA" w:rsidTr="0041685A">
        <w:trPr>
          <w:gridAfter w:val="1"/>
          <w:wAfter w:w="893" w:type="dxa"/>
          <w:trHeight w:val="285"/>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Экспорт товаров</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211,8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363,0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171,4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288,6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79,5</w:t>
            </w:r>
          </w:p>
        </w:tc>
      </w:tr>
      <w:tr w:rsidR="00D80FCA" w:rsidTr="0041685A">
        <w:trPr>
          <w:gridAfter w:val="1"/>
          <w:wAfter w:w="893" w:type="dxa"/>
          <w:trHeight w:val="255"/>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Импорт товаров</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747,6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824,6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110,1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616,6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74,8</w:t>
            </w:r>
          </w:p>
        </w:tc>
      </w:tr>
      <w:tr w:rsidR="00D80FCA" w:rsidTr="0041685A">
        <w:trPr>
          <w:gridAfter w:val="1"/>
          <w:wAfter w:w="893" w:type="dxa"/>
          <w:trHeight w:val="157"/>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Сальдо внешнеторгового оборота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80FCA" w:rsidRDefault="00D80FCA" w:rsidP="00D80FCA">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-535,8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-461,7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center"/>
              <w:rPr>
                <w:rFonts w:ascii="Times New Roman" w:hAnsi="Times New Roman"/>
                <w:sz w:val="20"/>
                <w:szCs w:val="20"/>
              </w:rPr>
            </w:pPr>
            <w:r w:rsidRPr="002361A2">
              <w:rPr>
                <w:rFonts w:ascii="Times New Roman" w:hAnsi="Times New Roman"/>
                <w:sz w:val="20"/>
                <w:szCs w:val="20"/>
              </w:rPr>
              <w:t>х</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-328,0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center"/>
              <w:rPr>
                <w:rFonts w:ascii="Times New Roman" w:hAnsi="Times New Roman"/>
                <w:color w:val="000000"/>
                <w:sz w:val="20"/>
                <w:szCs w:val="20"/>
              </w:rPr>
            </w:pPr>
            <w:r w:rsidRPr="002361A2">
              <w:rPr>
                <w:rFonts w:ascii="Times New Roman" w:hAnsi="Times New Roman"/>
                <w:color w:val="000000"/>
                <w:sz w:val="20"/>
                <w:szCs w:val="20"/>
              </w:rPr>
              <w:t>х</w:t>
            </w:r>
          </w:p>
        </w:tc>
      </w:tr>
      <w:tr w:rsidR="00D80FCA" w:rsidTr="00825523">
        <w:trPr>
          <w:gridAfter w:val="1"/>
          <w:wAfter w:w="893" w:type="dxa"/>
          <w:trHeight w:val="322"/>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2 290,3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2 508,0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109,9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2 308,1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92,6</w:t>
            </w:r>
          </w:p>
        </w:tc>
      </w:tr>
      <w:tr w:rsidR="00D80FCA" w:rsidTr="00825523">
        <w:trPr>
          <w:gridAfter w:val="1"/>
          <w:wAfter w:w="893" w:type="dxa"/>
          <w:trHeight w:val="257"/>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2 078,3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2 275,9</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109,6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2 075,4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91,2</w:t>
            </w:r>
          </w:p>
        </w:tc>
      </w:tr>
      <w:tr w:rsidR="00D80FCA" w:rsidTr="00825523">
        <w:trPr>
          <w:gridAfter w:val="1"/>
          <w:wAfter w:w="893" w:type="dxa"/>
          <w:trHeight w:val="715"/>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Среднесписочная численность работающих,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126,3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121,3</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99,8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118,4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98,0</w:t>
            </w:r>
          </w:p>
        </w:tc>
      </w:tr>
      <w:tr w:rsidR="00D80FCA" w:rsidTr="00825523">
        <w:trPr>
          <w:gridAfter w:val="1"/>
          <w:wAfter w:w="893" w:type="dxa"/>
          <w:trHeight w:val="309"/>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3 571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3 930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109,9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3 776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96,5</w:t>
            </w:r>
          </w:p>
        </w:tc>
      </w:tr>
      <w:tr w:rsidR="00D80FCA" w:rsidTr="00825523">
        <w:trPr>
          <w:gridAfter w:val="1"/>
          <w:wAfter w:w="893" w:type="dxa"/>
          <w:trHeight w:val="435"/>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Среднемесячная заработная плата одного работника</w:t>
            </w:r>
            <w:r>
              <w:rPr>
                <w:rFonts w:ascii="Times New Roman" w:hAnsi="Times New Roman"/>
                <w:color w:val="000000"/>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3 656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4 020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109,9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3 839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95,5</w:t>
            </w:r>
          </w:p>
        </w:tc>
      </w:tr>
      <w:tr w:rsidR="00D80FCA" w:rsidTr="00825523">
        <w:trPr>
          <w:gridAfter w:val="1"/>
          <w:wAfter w:w="893" w:type="dxa"/>
          <w:trHeight w:val="70"/>
        </w:trPr>
        <w:tc>
          <w:tcPr>
            <w:tcW w:w="4219" w:type="dxa"/>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одного работника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329,0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362,0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109,7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345,9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95,5</w:t>
            </w:r>
          </w:p>
        </w:tc>
      </w:tr>
      <w:tr w:rsidR="00D80FCA" w:rsidTr="0041685A">
        <w:trPr>
          <w:gridAfter w:val="1"/>
          <w:wAfter w:w="893" w:type="dxa"/>
          <w:trHeight w:val="70"/>
        </w:trPr>
        <w:tc>
          <w:tcPr>
            <w:tcW w:w="4219" w:type="dxa"/>
            <w:tcBorders>
              <w:top w:val="single" w:sz="4" w:space="0" w:color="auto"/>
              <w:left w:val="single" w:sz="4" w:space="0" w:color="auto"/>
              <w:bottom w:val="single" w:sz="4" w:space="0" w:color="auto"/>
              <w:right w:val="single" w:sz="4" w:space="0" w:color="auto"/>
            </w:tcBorders>
            <w:vAlign w:val="bottom"/>
            <w:hideMark/>
          </w:tcPr>
          <w:p w:rsidR="00D80FCA" w:rsidRDefault="00D80FCA" w:rsidP="00D80FCA">
            <w:pPr>
              <w:spacing w:after="0" w:line="240" w:lineRule="auto"/>
              <w:ind w:right="-108"/>
              <w:jc w:val="center"/>
              <w:rPr>
                <w:rFonts w:ascii="Times New Roman" w:hAnsi="Times New Roman"/>
                <w:b/>
                <w:bCs/>
                <w:color w:val="000000"/>
                <w:sz w:val="20"/>
                <w:szCs w:val="20"/>
              </w:rPr>
            </w:pPr>
            <w:r>
              <w:rPr>
                <w:rFonts w:ascii="Times New Roman" w:hAnsi="Times New Roman"/>
                <w:b/>
                <w:bCs/>
                <w:color w:val="000000"/>
                <w:sz w:val="20"/>
                <w:szCs w:val="20"/>
              </w:rPr>
              <w:lastRenderedPageBreak/>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D80FC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center"/>
              <w:rPr>
                <w:rFonts w:ascii="Times New Roman" w:hAnsi="Times New Roman"/>
                <w:b/>
                <w:bCs/>
                <w:color w:val="000000"/>
                <w:sz w:val="20"/>
                <w:szCs w:val="20"/>
              </w:rPr>
            </w:pPr>
            <w:r w:rsidRPr="002361A2">
              <w:rPr>
                <w:rFonts w:ascii="Times New Roman" w:hAnsi="Times New Roman"/>
                <w:b/>
                <w:bCs/>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825523" w:rsidP="00D80FC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825523" w:rsidP="00D80FCA">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825523" w:rsidP="00825523">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50" w:type="dxa"/>
            <w:gridSpan w:val="2"/>
            <w:tcBorders>
              <w:top w:val="single" w:sz="4" w:space="0" w:color="auto"/>
              <w:left w:val="single" w:sz="4" w:space="0" w:color="auto"/>
              <w:bottom w:val="single" w:sz="4" w:space="0" w:color="auto"/>
              <w:right w:val="single" w:sz="4" w:space="0" w:color="auto"/>
            </w:tcBorders>
          </w:tcPr>
          <w:p w:rsidR="00D80FCA" w:rsidRPr="002361A2" w:rsidRDefault="00825523" w:rsidP="00825523">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7</w:t>
            </w:r>
          </w:p>
        </w:tc>
      </w:tr>
      <w:tr w:rsidR="00D80FCA" w:rsidTr="00825523">
        <w:trPr>
          <w:gridAfter w:val="1"/>
          <w:wAfter w:w="893" w:type="dxa"/>
          <w:trHeight w:val="454"/>
        </w:trPr>
        <w:tc>
          <w:tcPr>
            <w:tcW w:w="4219" w:type="dxa"/>
            <w:tcBorders>
              <w:top w:val="single" w:sz="4" w:space="0" w:color="auto"/>
              <w:left w:val="single" w:sz="4" w:space="0" w:color="auto"/>
              <w:bottom w:val="single" w:sz="4" w:space="0" w:color="auto"/>
              <w:right w:val="single" w:sz="4" w:space="0" w:color="auto"/>
            </w:tcBorders>
            <w:vAlign w:val="bottom"/>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Сводный индекс потребительских цен (инфляция)</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D80FCA">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center"/>
              <w:rPr>
                <w:rFonts w:ascii="Times New Roman" w:hAnsi="Times New Roman"/>
                <w:color w:val="000000"/>
                <w:sz w:val="20"/>
                <w:szCs w:val="20"/>
                <w:vertAlign w:val="superscript"/>
              </w:rPr>
            </w:pPr>
            <w:r w:rsidRPr="002361A2">
              <w:rPr>
                <w:rFonts w:ascii="Times New Roman" w:hAnsi="Times New Roman"/>
                <w:color w:val="000000"/>
                <w:sz w:val="20"/>
                <w:szCs w:val="20"/>
              </w:rPr>
              <w:t>103,42</w:t>
            </w:r>
            <w:r w:rsidRPr="002361A2">
              <w:rPr>
                <w:rFonts w:ascii="Times New Roman" w:hAnsi="Times New Roman"/>
                <w:color w:val="000000"/>
                <w:sz w:val="20"/>
                <w:szCs w:val="20"/>
                <w:vertAlign w:val="superscript"/>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vertAlign w:val="superscript"/>
              </w:rPr>
            </w:pPr>
            <w:r w:rsidRPr="002361A2">
              <w:rPr>
                <w:rFonts w:ascii="Times New Roman" w:hAnsi="Times New Roman"/>
                <w:sz w:val="20"/>
                <w:szCs w:val="20"/>
              </w:rPr>
              <w:t>101,96</w:t>
            </w:r>
            <w:r w:rsidRPr="002361A2">
              <w:rPr>
                <w:rFonts w:ascii="Times New Roman" w:hAnsi="Times New Roman"/>
                <w:color w:val="000000"/>
                <w:sz w:val="20"/>
                <w:szCs w:val="20"/>
                <w:vertAlign w:val="superscript"/>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102,2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vertAlign w:val="superscript"/>
              </w:rPr>
            </w:pPr>
            <w:r w:rsidRPr="002361A2">
              <w:rPr>
                <w:rFonts w:ascii="Times New Roman" w:hAnsi="Times New Roman"/>
                <w:color w:val="000000"/>
                <w:sz w:val="20"/>
                <w:szCs w:val="20"/>
              </w:rPr>
              <w:t>100,22</w:t>
            </w:r>
            <w:r w:rsidRPr="002361A2">
              <w:rPr>
                <w:rFonts w:ascii="Times New Roman" w:hAnsi="Times New Roman"/>
                <w:color w:val="000000"/>
                <w:sz w:val="20"/>
                <w:szCs w:val="20"/>
                <w:vertAlign w:val="superscript"/>
              </w:rPr>
              <w:t>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99,7</w:t>
            </w:r>
          </w:p>
        </w:tc>
      </w:tr>
      <w:tr w:rsidR="00D80FCA" w:rsidTr="0041685A">
        <w:trPr>
          <w:gridAfter w:val="1"/>
          <w:wAfter w:w="893" w:type="dxa"/>
          <w:trHeight w:val="525"/>
        </w:trPr>
        <w:tc>
          <w:tcPr>
            <w:tcW w:w="4219" w:type="dxa"/>
            <w:tcBorders>
              <w:top w:val="single" w:sz="4" w:space="0" w:color="auto"/>
              <w:left w:val="single" w:sz="4" w:space="0" w:color="auto"/>
              <w:bottom w:val="single" w:sz="4" w:space="0" w:color="auto"/>
              <w:right w:val="single" w:sz="4" w:space="0" w:color="auto"/>
            </w:tcBorders>
            <w:vAlign w:val="bottom"/>
            <w:hideMark/>
          </w:tcPr>
          <w:p w:rsidR="00D80FCA" w:rsidRDefault="00D80FCA" w:rsidP="00D80FC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Индекс цен производителей на промышленную продукцию</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D80FCA">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center"/>
              <w:rPr>
                <w:rFonts w:ascii="Times New Roman" w:hAnsi="Times New Roman"/>
                <w:color w:val="000000"/>
                <w:sz w:val="20"/>
                <w:szCs w:val="20"/>
                <w:vertAlign w:val="superscript"/>
              </w:rPr>
            </w:pPr>
            <w:r w:rsidRPr="002361A2">
              <w:rPr>
                <w:rFonts w:ascii="Times New Roman" w:hAnsi="Times New Roman"/>
                <w:color w:val="000000"/>
                <w:sz w:val="20"/>
                <w:szCs w:val="20"/>
              </w:rPr>
              <w:t>100,13</w:t>
            </w:r>
            <w:r w:rsidRPr="002361A2">
              <w:rPr>
                <w:rFonts w:ascii="Times New Roman" w:hAnsi="Times New Roman"/>
                <w:color w:val="000000"/>
                <w:sz w:val="20"/>
                <w:szCs w:val="20"/>
                <w:vertAlign w:val="superscript"/>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vertAlign w:val="superscript"/>
              </w:rPr>
            </w:pPr>
            <w:r w:rsidRPr="002361A2">
              <w:rPr>
                <w:rFonts w:ascii="Times New Roman" w:hAnsi="Times New Roman"/>
                <w:sz w:val="20"/>
                <w:szCs w:val="20"/>
              </w:rPr>
              <w:t>110,78</w:t>
            </w:r>
            <w:r w:rsidRPr="002361A2">
              <w:rPr>
                <w:rFonts w:ascii="Times New Roman" w:hAnsi="Times New Roman"/>
                <w:color w:val="000000"/>
                <w:sz w:val="20"/>
                <w:szCs w:val="20"/>
                <w:vertAlign w:val="superscript"/>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sz w:val="20"/>
                <w:szCs w:val="20"/>
              </w:rPr>
            </w:pPr>
            <w:r w:rsidRPr="002361A2">
              <w:rPr>
                <w:rFonts w:ascii="Times New Roman" w:hAnsi="Times New Roman"/>
                <w:sz w:val="20"/>
                <w:szCs w:val="20"/>
              </w:rPr>
              <w:t>104,1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vertAlign w:val="superscript"/>
              </w:rPr>
            </w:pPr>
            <w:r w:rsidRPr="002361A2">
              <w:rPr>
                <w:rFonts w:ascii="Times New Roman" w:hAnsi="Times New Roman"/>
                <w:color w:val="000000"/>
                <w:sz w:val="20"/>
                <w:szCs w:val="20"/>
              </w:rPr>
              <w:t>90,60</w:t>
            </w:r>
            <w:r w:rsidRPr="002361A2">
              <w:rPr>
                <w:rFonts w:ascii="Times New Roman" w:hAnsi="Times New Roman"/>
                <w:color w:val="000000"/>
                <w:sz w:val="20"/>
                <w:szCs w:val="20"/>
                <w:vertAlign w:val="superscript"/>
              </w:rPr>
              <w:t>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95,0</w:t>
            </w:r>
          </w:p>
        </w:tc>
      </w:tr>
      <w:tr w:rsidR="00D80FCA" w:rsidTr="00825523">
        <w:trPr>
          <w:gridAfter w:val="1"/>
          <w:wAfter w:w="893"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Консолидированного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1 318,5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1 594,5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120,9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1 070,6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67,1</w:t>
            </w:r>
          </w:p>
        </w:tc>
      </w:tr>
      <w:tr w:rsidR="00D80FCA" w:rsidTr="00825523">
        <w:trPr>
          <w:gridAfter w:val="1"/>
          <w:wAfter w:w="893"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118,8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143,6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120,9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96,5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67,2</w:t>
            </w:r>
          </w:p>
        </w:tc>
      </w:tr>
      <w:tr w:rsidR="00D80FCA" w:rsidTr="00825523">
        <w:trPr>
          <w:gridAfter w:val="1"/>
          <w:wAfter w:w="893"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Республиканского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881,6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1 142,9</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129,6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681,5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59,6</w:t>
            </w:r>
          </w:p>
        </w:tc>
      </w:tr>
      <w:tr w:rsidR="00D80FCA" w:rsidTr="00825523">
        <w:trPr>
          <w:gridAfter w:val="1"/>
          <w:wAfter w:w="893"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79,4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103,0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129,7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61,4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59,6</w:t>
            </w:r>
          </w:p>
        </w:tc>
      </w:tr>
      <w:tr w:rsidR="00D80FCA" w:rsidTr="00825523">
        <w:trPr>
          <w:gridAfter w:val="1"/>
          <w:wAfter w:w="893"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местных бюджетов</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437,0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451,6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103,3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389,1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86,2</w:t>
            </w:r>
          </w:p>
        </w:tc>
      </w:tr>
      <w:tr w:rsidR="00D80FCA" w:rsidTr="00825523">
        <w:trPr>
          <w:gridAfter w:val="1"/>
          <w:wAfter w:w="893"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39,4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40,7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103,3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35,1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86,2</w:t>
            </w:r>
          </w:p>
        </w:tc>
      </w:tr>
      <w:tr w:rsidR="00D80FCA" w:rsidTr="00825523">
        <w:trPr>
          <w:gridAfter w:val="1"/>
          <w:wAfter w:w="893"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Консолидированного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1 659,9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2 021,2</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121,8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1 472,6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72,9</w:t>
            </w:r>
          </w:p>
        </w:tc>
      </w:tr>
      <w:tr w:rsidR="00D80FCA" w:rsidTr="00825523">
        <w:trPr>
          <w:gridAfter w:val="1"/>
          <w:wAfter w:w="893"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149,5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182,1</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121,8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132,7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72,9</w:t>
            </w:r>
          </w:p>
        </w:tc>
      </w:tr>
      <w:tr w:rsidR="00D80FCA" w:rsidTr="00825523">
        <w:trPr>
          <w:gridAfter w:val="1"/>
          <w:wAfter w:w="893"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Республиканского бюджета</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1 126,1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1 458,1</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1 008,4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69,2</w:t>
            </w:r>
          </w:p>
        </w:tc>
      </w:tr>
      <w:tr w:rsidR="00D80FCA" w:rsidTr="00825523">
        <w:trPr>
          <w:gridAfter w:val="1"/>
          <w:wAfter w:w="893"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101,5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131,4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129,5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90,8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69,1</w:t>
            </w:r>
          </w:p>
        </w:tc>
      </w:tr>
      <w:tr w:rsidR="00D80FCA" w:rsidTr="00825523">
        <w:trPr>
          <w:gridAfter w:val="1"/>
          <w:wAfter w:w="893" w:type="dxa"/>
          <w:trHeight w:val="300"/>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D80FCA" w:rsidRDefault="00D80FCA" w:rsidP="00825523">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местных бюджетов</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533,9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563,1</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105,5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464,2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82,4</w:t>
            </w:r>
          </w:p>
        </w:tc>
      </w:tr>
      <w:tr w:rsidR="00D80FCA" w:rsidTr="0041685A">
        <w:trPr>
          <w:gridAfter w:val="1"/>
          <w:wAfter w:w="893" w:type="dxa"/>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D80FCA" w:rsidRDefault="00D80FCA" w:rsidP="00D80FCA">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D80FCA" w:rsidRDefault="00D80FCA" w:rsidP="00825523">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000000"/>
                <w:sz w:val="20"/>
                <w:szCs w:val="20"/>
              </w:rPr>
            </w:pPr>
            <w:r w:rsidRPr="002361A2">
              <w:rPr>
                <w:rFonts w:ascii="Times New Roman" w:hAnsi="Times New Roman"/>
                <w:color w:val="000000"/>
                <w:sz w:val="20"/>
                <w:szCs w:val="20"/>
              </w:rPr>
              <w:t>48,1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50,7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jc w:val="right"/>
              <w:rPr>
                <w:rFonts w:ascii="Times New Roman" w:hAnsi="Times New Roman"/>
                <w:color w:val="1F497D"/>
                <w:sz w:val="20"/>
                <w:szCs w:val="20"/>
              </w:rPr>
            </w:pPr>
            <w:r w:rsidRPr="002361A2">
              <w:rPr>
                <w:rFonts w:ascii="Times New Roman" w:hAnsi="Times New Roman"/>
                <w:color w:val="1F497D"/>
                <w:sz w:val="20"/>
                <w:szCs w:val="20"/>
              </w:rPr>
              <w:t>105,4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41,8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D80FCA" w:rsidRPr="002361A2" w:rsidRDefault="00D80FCA" w:rsidP="00D80FCA">
            <w:pPr>
              <w:spacing w:after="0" w:line="240" w:lineRule="auto"/>
              <w:ind w:left="-142" w:firstLine="142"/>
              <w:jc w:val="right"/>
              <w:rPr>
                <w:rFonts w:ascii="Times New Roman" w:hAnsi="Times New Roman"/>
                <w:color w:val="000000"/>
                <w:sz w:val="20"/>
                <w:szCs w:val="20"/>
              </w:rPr>
            </w:pPr>
            <w:r w:rsidRPr="002361A2">
              <w:rPr>
                <w:rFonts w:ascii="Times New Roman" w:hAnsi="Times New Roman"/>
                <w:color w:val="000000"/>
                <w:sz w:val="20"/>
                <w:szCs w:val="20"/>
              </w:rPr>
              <w:t>82,4</w:t>
            </w:r>
          </w:p>
        </w:tc>
      </w:tr>
      <w:tr w:rsidR="00335844" w:rsidTr="0041685A">
        <w:trPr>
          <w:trHeight w:val="300"/>
        </w:trPr>
        <w:tc>
          <w:tcPr>
            <w:tcW w:w="5211" w:type="dxa"/>
            <w:gridSpan w:val="2"/>
            <w:tcBorders>
              <w:top w:val="single" w:sz="4" w:space="0" w:color="auto"/>
              <w:left w:val="nil"/>
              <w:bottom w:val="nil"/>
              <w:right w:val="nil"/>
            </w:tcBorders>
            <w:noWrap/>
            <w:vAlign w:val="bottom"/>
            <w:hideMark/>
          </w:tcPr>
          <w:p w:rsidR="00335844" w:rsidRDefault="00335844" w:rsidP="003F67B2">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rPr>
              <w:t>* - темпы пересчитаны к уточненным данным;</w:t>
            </w:r>
          </w:p>
        </w:tc>
        <w:tc>
          <w:tcPr>
            <w:tcW w:w="1134" w:type="dxa"/>
            <w:tcBorders>
              <w:top w:val="single" w:sz="4" w:space="0" w:color="auto"/>
              <w:left w:val="nil"/>
              <w:bottom w:val="nil"/>
              <w:right w:val="nil"/>
            </w:tcBorders>
            <w:vAlign w:val="bottom"/>
          </w:tcPr>
          <w:p w:rsidR="00335844" w:rsidRDefault="00335844" w:rsidP="003F67B2">
            <w:pPr>
              <w:spacing w:after="0" w:line="240" w:lineRule="auto"/>
              <w:ind w:left="-142" w:firstLine="142"/>
              <w:rPr>
                <w:color w:val="000000"/>
              </w:rPr>
            </w:pPr>
          </w:p>
        </w:tc>
        <w:tc>
          <w:tcPr>
            <w:tcW w:w="709" w:type="dxa"/>
            <w:tcBorders>
              <w:top w:val="single" w:sz="4" w:space="0" w:color="auto"/>
              <w:left w:val="nil"/>
              <w:bottom w:val="nil"/>
              <w:right w:val="nil"/>
            </w:tcBorders>
            <w:noWrap/>
            <w:vAlign w:val="bottom"/>
          </w:tcPr>
          <w:p w:rsidR="00335844" w:rsidRDefault="00335844" w:rsidP="003F67B2">
            <w:pPr>
              <w:spacing w:after="0" w:line="240" w:lineRule="auto"/>
              <w:ind w:left="-142" w:firstLine="142"/>
              <w:rPr>
                <w:color w:val="000000"/>
              </w:rPr>
            </w:pPr>
          </w:p>
        </w:tc>
        <w:tc>
          <w:tcPr>
            <w:tcW w:w="969" w:type="dxa"/>
            <w:gridSpan w:val="2"/>
            <w:tcBorders>
              <w:top w:val="single" w:sz="4" w:space="0" w:color="auto"/>
              <w:left w:val="nil"/>
              <w:bottom w:val="nil"/>
              <w:right w:val="nil"/>
            </w:tcBorders>
            <w:noWrap/>
            <w:vAlign w:val="bottom"/>
          </w:tcPr>
          <w:p w:rsidR="00335844" w:rsidRDefault="00335844" w:rsidP="003F67B2">
            <w:pPr>
              <w:spacing w:after="0" w:line="240" w:lineRule="auto"/>
              <w:ind w:left="-142" w:firstLine="142"/>
              <w:rPr>
                <w:color w:val="000000"/>
              </w:rPr>
            </w:pPr>
          </w:p>
        </w:tc>
        <w:tc>
          <w:tcPr>
            <w:tcW w:w="1016" w:type="dxa"/>
            <w:gridSpan w:val="2"/>
            <w:tcBorders>
              <w:top w:val="single" w:sz="4" w:space="0" w:color="auto"/>
              <w:left w:val="nil"/>
              <w:bottom w:val="nil"/>
              <w:right w:val="nil"/>
            </w:tcBorders>
            <w:noWrap/>
            <w:vAlign w:val="bottom"/>
          </w:tcPr>
          <w:p w:rsidR="00335844" w:rsidRDefault="00335844" w:rsidP="003F67B2">
            <w:pPr>
              <w:spacing w:after="0" w:line="240" w:lineRule="auto"/>
              <w:ind w:left="-142" w:firstLine="142"/>
              <w:rPr>
                <w:color w:val="000000"/>
              </w:rPr>
            </w:pPr>
          </w:p>
        </w:tc>
        <w:tc>
          <w:tcPr>
            <w:tcW w:w="1082" w:type="dxa"/>
            <w:gridSpan w:val="2"/>
            <w:tcBorders>
              <w:top w:val="single" w:sz="4" w:space="0" w:color="auto"/>
              <w:left w:val="nil"/>
              <w:bottom w:val="nil"/>
              <w:right w:val="nil"/>
            </w:tcBorders>
          </w:tcPr>
          <w:p w:rsidR="00335844" w:rsidRDefault="00335844" w:rsidP="003F67B2">
            <w:pPr>
              <w:spacing w:after="0" w:line="240" w:lineRule="auto"/>
              <w:ind w:left="-142" w:firstLine="142"/>
              <w:rPr>
                <w:color w:val="000000"/>
              </w:rPr>
            </w:pPr>
          </w:p>
        </w:tc>
        <w:tc>
          <w:tcPr>
            <w:tcW w:w="1086" w:type="dxa"/>
            <w:gridSpan w:val="2"/>
            <w:tcBorders>
              <w:top w:val="single" w:sz="4" w:space="0" w:color="auto"/>
              <w:left w:val="nil"/>
              <w:bottom w:val="nil"/>
              <w:right w:val="nil"/>
            </w:tcBorders>
            <w:noWrap/>
            <w:vAlign w:val="bottom"/>
          </w:tcPr>
          <w:p w:rsidR="00335844" w:rsidRDefault="00335844" w:rsidP="003F67B2">
            <w:pPr>
              <w:spacing w:after="0" w:line="240" w:lineRule="auto"/>
              <w:ind w:left="-142" w:firstLine="142"/>
              <w:rPr>
                <w:color w:val="000000"/>
              </w:rPr>
            </w:pPr>
          </w:p>
        </w:tc>
      </w:tr>
      <w:tr w:rsidR="00335844" w:rsidTr="0041685A">
        <w:trPr>
          <w:trHeight w:val="300"/>
        </w:trPr>
        <w:tc>
          <w:tcPr>
            <w:tcW w:w="6345" w:type="dxa"/>
            <w:gridSpan w:val="3"/>
            <w:noWrap/>
            <w:vAlign w:val="bottom"/>
            <w:hideMark/>
          </w:tcPr>
          <w:p w:rsidR="00335844" w:rsidRDefault="00335844" w:rsidP="003F67B2">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1</w:t>
            </w:r>
            <w:r>
              <w:rPr>
                <w:rFonts w:ascii="Times New Roman" w:hAnsi="Times New Roman"/>
                <w:color w:val="000000"/>
                <w:sz w:val="20"/>
                <w:szCs w:val="20"/>
              </w:rPr>
              <w:t xml:space="preserve"> - с учетом объемов субъектов малого предпринимательства;</w:t>
            </w:r>
          </w:p>
          <w:p w:rsidR="00335844" w:rsidRDefault="00335844" w:rsidP="003F67B2">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2</w:t>
            </w:r>
            <w:r>
              <w:rPr>
                <w:rFonts w:ascii="Times New Roman" w:hAnsi="Times New Roman"/>
                <w:color w:val="000000"/>
                <w:sz w:val="20"/>
                <w:szCs w:val="20"/>
              </w:rPr>
              <w:t xml:space="preserve"> - </w:t>
            </w:r>
            <w:r>
              <w:rPr>
                <w:rFonts w:ascii="Times New Roman" w:hAnsi="Times New Roman"/>
                <w:color w:val="000000"/>
                <w:sz w:val="20"/>
                <w:szCs w:val="20"/>
                <w:vertAlign w:val="superscript"/>
              </w:rPr>
              <w:t xml:space="preserve"> </w:t>
            </w:r>
            <w:r>
              <w:rPr>
                <w:rFonts w:ascii="Times New Roman" w:hAnsi="Times New Roman"/>
                <w:color w:val="000000"/>
                <w:sz w:val="20"/>
                <w:szCs w:val="20"/>
              </w:rPr>
              <w:t>во всех категориях хозяйств;</w:t>
            </w:r>
          </w:p>
          <w:p w:rsidR="00335844" w:rsidRDefault="00335844" w:rsidP="003F67B2">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 xml:space="preserve">3 – </w:t>
            </w:r>
            <w:r>
              <w:rPr>
                <w:rFonts w:ascii="Times New Roman" w:hAnsi="Times New Roman"/>
                <w:color w:val="000000"/>
                <w:sz w:val="20"/>
                <w:szCs w:val="20"/>
              </w:rPr>
              <w:t xml:space="preserve">без силовых структур и таможенных органов; </w:t>
            </w:r>
          </w:p>
        </w:tc>
        <w:tc>
          <w:tcPr>
            <w:tcW w:w="709" w:type="dxa"/>
            <w:noWrap/>
            <w:vAlign w:val="bottom"/>
          </w:tcPr>
          <w:p w:rsidR="00335844" w:rsidRDefault="00335844" w:rsidP="003F67B2">
            <w:pPr>
              <w:spacing w:after="0" w:line="240" w:lineRule="auto"/>
              <w:ind w:left="-142" w:firstLine="142"/>
              <w:rPr>
                <w:color w:val="000000"/>
              </w:rPr>
            </w:pPr>
          </w:p>
        </w:tc>
        <w:tc>
          <w:tcPr>
            <w:tcW w:w="969" w:type="dxa"/>
            <w:gridSpan w:val="2"/>
            <w:noWrap/>
            <w:vAlign w:val="bottom"/>
          </w:tcPr>
          <w:p w:rsidR="00335844" w:rsidRDefault="00335844" w:rsidP="003F67B2">
            <w:pPr>
              <w:spacing w:after="0" w:line="240" w:lineRule="auto"/>
              <w:ind w:left="-142" w:firstLine="142"/>
              <w:rPr>
                <w:color w:val="000000"/>
              </w:rPr>
            </w:pPr>
          </w:p>
        </w:tc>
        <w:tc>
          <w:tcPr>
            <w:tcW w:w="1016" w:type="dxa"/>
            <w:gridSpan w:val="2"/>
            <w:noWrap/>
            <w:vAlign w:val="bottom"/>
          </w:tcPr>
          <w:p w:rsidR="00335844" w:rsidRDefault="00335844" w:rsidP="003F67B2">
            <w:pPr>
              <w:spacing w:after="0" w:line="240" w:lineRule="auto"/>
              <w:ind w:left="-142" w:firstLine="142"/>
              <w:rPr>
                <w:color w:val="000000"/>
              </w:rPr>
            </w:pPr>
          </w:p>
        </w:tc>
        <w:tc>
          <w:tcPr>
            <w:tcW w:w="1082" w:type="dxa"/>
            <w:gridSpan w:val="2"/>
          </w:tcPr>
          <w:p w:rsidR="00335844" w:rsidRDefault="00335844" w:rsidP="003F67B2">
            <w:pPr>
              <w:spacing w:after="0" w:line="240" w:lineRule="auto"/>
              <w:ind w:left="-142" w:firstLine="142"/>
              <w:rPr>
                <w:color w:val="000000"/>
              </w:rPr>
            </w:pPr>
          </w:p>
        </w:tc>
        <w:tc>
          <w:tcPr>
            <w:tcW w:w="1086" w:type="dxa"/>
            <w:gridSpan w:val="2"/>
            <w:noWrap/>
            <w:vAlign w:val="bottom"/>
          </w:tcPr>
          <w:p w:rsidR="00335844" w:rsidRDefault="00335844" w:rsidP="003F67B2">
            <w:pPr>
              <w:spacing w:after="0" w:line="240" w:lineRule="auto"/>
              <w:ind w:left="-142" w:firstLine="142"/>
              <w:rPr>
                <w:color w:val="000000"/>
              </w:rPr>
            </w:pPr>
          </w:p>
        </w:tc>
      </w:tr>
      <w:tr w:rsidR="00335844" w:rsidTr="0041685A">
        <w:trPr>
          <w:trHeight w:val="300"/>
        </w:trPr>
        <w:tc>
          <w:tcPr>
            <w:tcW w:w="4219" w:type="dxa"/>
            <w:noWrap/>
            <w:vAlign w:val="bottom"/>
            <w:hideMark/>
          </w:tcPr>
          <w:p w:rsidR="00335844" w:rsidRDefault="00335844" w:rsidP="003F67B2">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4</w:t>
            </w:r>
            <w:r>
              <w:rPr>
                <w:rFonts w:ascii="Times New Roman" w:hAnsi="Times New Roman"/>
                <w:color w:val="000000"/>
                <w:sz w:val="20"/>
                <w:szCs w:val="20"/>
              </w:rPr>
              <w:t xml:space="preserve"> - к декабрю предыдущего года</w:t>
            </w:r>
          </w:p>
        </w:tc>
        <w:tc>
          <w:tcPr>
            <w:tcW w:w="2126" w:type="dxa"/>
            <w:gridSpan w:val="2"/>
            <w:vAlign w:val="bottom"/>
          </w:tcPr>
          <w:p w:rsidR="00335844" w:rsidRDefault="00335844" w:rsidP="003F67B2">
            <w:pPr>
              <w:spacing w:after="0" w:line="240" w:lineRule="auto"/>
              <w:ind w:left="-142" w:firstLine="142"/>
              <w:rPr>
                <w:color w:val="000000"/>
              </w:rPr>
            </w:pPr>
          </w:p>
        </w:tc>
        <w:tc>
          <w:tcPr>
            <w:tcW w:w="709" w:type="dxa"/>
            <w:noWrap/>
            <w:vAlign w:val="bottom"/>
          </w:tcPr>
          <w:p w:rsidR="00335844" w:rsidRDefault="00335844" w:rsidP="003F67B2">
            <w:pPr>
              <w:spacing w:after="0" w:line="240" w:lineRule="auto"/>
              <w:ind w:left="-142" w:firstLine="142"/>
              <w:rPr>
                <w:color w:val="000000"/>
              </w:rPr>
            </w:pPr>
          </w:p>
        </w:tc>
        <w:tc>
          <w:tcPr>
            <w:tcW w:w="969" w:type="dxa"/>
            <w:gridSpan w:val="2"/>
            <w:noWrap/>
            <w:vAlign w:val="bottom"/>
          </w:tcPr>
          <w:p w:rsidR="00335844" w:rsidRDefault="00335844" w:rsidP="003F67B2">
            <w:pPr>
              <w:spacing w:after="0" w:line="240" w:lineRule="auto"/>
              <w:ind w:left="-142" w:firstLine="142"/>
              <w:rPr>
                <w:color w:val="000000"/>
              </w:rPr>
            </w:pPr>
          </w:p>
        </w:tc>
        <w:tc>
          <w:tcPr>
            <w:tcW w:w="1016" w:type="dxa"/>
            <w:gridSpan w:val="2"/>
            <w:noWrap/>
            <w:vAlign w:val="bottom"/>
          </w:tcPr>
          <w:p w:rsidR="00335844" w:rsidRDefault="00335844" w:rsidP="003F67B2">
            <w:pPr>
              <w:spacing w:after="0" w:line="240" w:lineRule="auto"/>
              <w:ind w:left="-142" w:firstLine="142"/>
              <w:rPr>
                <w:color w:val="000000"/>
              </w:rPr>
            </w:pPr>
          </w:p>
        </w:tc>
        <w:tc>
          <w:tcPr>
            <w:tcW w:w="1082" w:type="dxa"/>
            <w:gridSpan w:val="2"/>
          </w:tcPr>
          <w:p w:rsidR="00335844" w:rsidRDefault="00335844" w:rsidP="003F67B2">
            <w:pPr>
              <w:spacing w:after="0" w:line="240" w:lineRule="auto"/>
              <w:ind w:left="-142" w:firstLine="142"/>
              <w:rPr>
                <w:color w:val="000000"/>
              </w:rPr>
            </w:pPr>
          </w:p>
        </w:tc>
        <w:tc>
          <w:tcPr>
            <w:tcW w:w="1086" w:type="dxa"/>
            <w:gridSpan w:val="2"/>
            <w:noWrap/>
            <w:vAlign w:val="bottom"/>
          </w:tcPr>
          <w:p w:rsidR="00335844" w:rsidRDefault="00335844" w:rsidP="003F67B2">
            <w:pPr>
              <w:spacing w:after="0" w:line="240" w:lineRule="auto"/>
              <w:ind w:left="-142" w:firstLine="142"/>
              <w:rPr>
                <w:color w:val="000000"/>
              </w:rPr>
            </w:pPr>
          </w:p>
        </w:tc>
      </w:tr>
    </w:tbl>
    <w:p w:rsidR="00335844" w:rsidRDefault="00335844" w:rsidP="00335844">
      <w:pPr>
        <w:spacing w:after="0" w:line="240" w:lineRule="auto"/>
        <w:ind w:firstLine="709"/>
        <w:jc w:val="center"/>
        <w:rPr>
          <w:rFonts w:ascii="Times New Roman" w:hAnsi="Times New Roman"/>
          <w:sz w:val="24"/>
          <w:szCs w:val="24"/>
        </w:rPr>
        <w:sectPr w:rsidR="00335844" w:rsidSect="003F67B2">
          <w:pgSz w:w="11906" w:h="16838" w:code="9"/>
          <w:pgMar w:top="1134" w:right="851" w:bottom="1134" w:left="1701" w:header="709" w:footer="709" w:gutter="0"/>
          <w:cols w:space="708"/>
          <w:titlePg/>
          <w:docGrid w:linePitch="360"/>
        </w:sectPr>
      </w:pPr>
    </w:p>
    <w:p w:rsidR="00335844" w:rsidRPr="000F4642" w:rsidRDefault="00335844" w:rsidP="00335844">
      <w:pPr>
        <w:keepNext/>
        <w:spacing w:after="0" w:line="240" w:lineRule="auto"/>
        <w:jc w:val="right"/>
        <w:rPr>
          <w:rFonts w:ascii="Times New Roman" w:hAnsi="Times New Roman"/>
          <w:b/>
          <w:bCs/>
          <w:sz w:val="24"/>
          <w:szCs w:val="24"/>
        </w:rPr>
      </w:pPr>
      <w:r w:rsidRPr="000F4642">
        <w:rPr>
          <w:rFonts w:ascii="Times New Roman" w:hAnsi="Times New Roman"/>
          <w:b/>
          <w:bCs/>
          <w:sz w:val="24"/>
          <w:szCs w:val="24"/>
        </w:rPr>
        <w:lastRenderedPageBreak/>
        <w:t>Приложение №2</w:t>
      </w:r>
    </w:p>
    <w:p w:rsidR="00335844" w:rsidRPr="000F4642" w:rsidRDefault="00335844" w:rsidP="00335844">
      <w:pPr>
        <w:spacing w:after="0" w:line="240" w:lineRule="auto"/>
        <w:ind w:firstLine="709"/>
        <w:jc w:val="right"/>
        <w:rPr>
          <w:rFonts w:ascii="Times New Roman" w:hAnsi="Times New Roman"/>
          <w:b/>
          <w:sz w:val="24"/>
          <w:szCs w:val="24"/>
        </w:rPr>
      </w:pPr>
    </w:p>
    <w:p w:rsidR="00335844" w:rsidRPr="00B953F1" w:rsidRDefault="00D80FCA" w:rsidP="00D80FCA">
      <w:pPr>
        <w:spacing w:after="0" w:line="240" w:lineRule="auto"/>
        <w:jc w:val="center"/>
        <w:rPr>
          <w:rFonts w:ascii="Times New Roman" w:hAnsi="Times New Roman"/>
          <w:b/>
          <w:sz w:val="24"/>
          <w:szCs w:val="24"/>
        </w:rPr>
      </w:pPr>
      <w:r w:rsidRPr="00B953F1">
        <w:rPr>
          <w:rFonts w:ascii="Times New Roman" w:hAnsi="Times New Roman"/>
          <w:b/>
          <w:sz w:val="24"/>
          <w:szCs w:val="24"/>
        </w:rPr>
        <w:t>Динамика и структура промышленного производства и реализации продукции по отраслям промышленности</w:t>
      </w:r>
    </w:p>
    <w:p w:rsidR="00335844" w:rsidRPr="004C49D8" w:rsidRDefault="00335844" w:rsidP="00335844">
      <w:pPr>
        <w:spacing w:after="0" w:line="240" w:lineRule="auto"/>
        <w:jc w:val="center"/>
        <w:rPr>
          <w:rFonts w:ascii="Times New Roman" w:hAnsi="Times New Roman"/>
          <w:b/>
          <w:sz w:val="28"/>
          <w:szCs w:val="28"/>
        </w:rPr>
      </w:pPr>
    </w:p>
    <w:tbl>
      <w:tblPr>
        <w:tblW w:w="9982" w:type="dxa"/>
        <w:tblInd w:w="-72" w:type="dxa"/>
        <w:tblLayout w:type="fixed"/>
        <w:tblLook w:val="0000"/>
      </w:tblPr>
      <w:tblGrid>
        <w:gridCol w:w="3582"/>
        <w:gridCol w:w="851"/>
        <w:gridCol w:w="850"/>
        <w:gridCol w:w="983"/>
        <w:gridCol w:w="894"/>
        <w:gridCol w:w="915"/>
        <w:gridCol w:w="875"/>
        <w:gridCol w:w="1032"/>
      </w:tblGrid>
      <w:tr w:rsidR="00335844" w:rsidRPr="004C49D8" w:rsidTr="00A23F62">
        <w:trPr>
          <w:cantSplit/>
          <w:trHeight w:val="371"/>
        </w:trPr>
        <w:tc>
          <w:tcPr>
            <w:tcW w:w="3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35844" w:rsidRPr="004C49D8" w:rsidRDefault="00335844" w:rsidP="003F67B2">
            <w:pPr>
              <w:spacing w:after="0" w:line="240" w:lineRule="auto"/>
              <w:ind w:left="-108" w:right="-108"/>
              <w:jc w:val="center"/>
              <w:rPr>
                <w:rFonts w:ascii="Times New Roman" w:hAnsi="Times New Roman"/>
                <w:sz w:val="24"/>
                <w:szCs w:val="24"/>
              </w:rPr>
            </w:pPr>
            <w:r w:rsidRPr="004C49D8">
              <w:rPr>
                <w:rFonts w:ascii="Times New Roman" w:hAnsi="Times New Roman"/>
                <w:sz w:val="24"/>
                <w:szCs w:val="24"/>
              </w:rPr>
              <w:t>Название отраслей промышленности</w:t>
            </w:r>
          </w:p>
        </w:tc>
        <w:tc>
          <w:tcPr>
            <w:tcW w:w="3578" w:type="dxa"/>
            <w:gridSpan w:val="4"/>
            <w:tcBorders>
              <w:top w:val="single" w:sz="4" w:space="0" w:color="auto"/>
              <w:left w:val="nil"/>
              <w:bottom w:val="single" w:sz="4" w:space="0" w:color="auto"/>
              <w:right w:val="single" w:sz="4" w:space="0" w:color="auto"/>
            </w:tcBorders>
            <w:shd w:val="clear" w:color="auto" w:fill="auto"/>
            <w:noWrap/>
            <w:vAlign w:val="center"/>
          </w:tcPr>
          <w:p w:rsidR="00335844" w:rsidRPr="004C49D8" w:rsidRDefault="00335844" w:rsidP="003F67B2">
            <w:pPr>
              <w:spacing w:after="0" w:line="240" w:lineRule="auto"/>
              <w:jc w:val="center"/>
              <w:rPr>
                <w:rFonts w:ascii="Times New Roman" w:hAnsi="Times New Roman"/>
                <w:sz w:val="24"/>
                <w:szCs w:val="24"/>
              </w:rPr>
            </w:pPr>
            <w:r w:rsidRPr="004C49D8">
              <w:rPr>
                <w:rFonts w:ascii="Times New Roman" w:hAnsi="Times New Roman"/>
                <w:sz w:val="24"/>
                <w:szCs w:val="24"/>
              </w:rPr>
              <w:t>Объем промышленного производства</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35844" w:rsidRPr="004C49D8" w:rsidRDefault="00335844" w:rsidP="003F67B2">
            <w:pPr>
              <w:spacing w:after="0" w:line="240" w:lineRule="auto"/>
              <w:jc w:val="center"/>
              <w:rPr>
                <w:rFonts w:ascii="Times New Roman" w:hAnsi="Times New Roman"/>
                <w:sz w:val="24"/>
                <w:szCs w:val="24"/>
              </w:rPr>
            </w:pPr>
            <w:r w:rsidRPr="004C49D8">
              <w:rPr>
                <w:rFonts w:ascii="Times New Roman" w:hAnsi="Times New Roman"/>
                <w:sz w:val="24"/>
                <w:szCs w:val="24"/>
              </w:rPr>
              <w:t>Удельный вес отрасли в общем объеме производства, %</w:t>
            </w:r>
          </w:p>
        </w:tc>
        <w:tc>
          <w:tcPr>
            <w:tcW w:w="1907" w:type="dxa"/>
            <w:gridSpan w:val="2"/>
            <w:tcBorders>
              <w:top w:val="single" w:sz="4" w:space="0" w:color="auto"/>
              <w:left w:val="nil"/>
              <w:bottom w:val="single" w:sz="4" w:space="0" w:color="auto"/>
              <w:right w:val="single" w:sz="4" w:space="0" w:color="auto"/>
            </w:tcBorders>
            <w:shd w:val="clear" w:color="auto" w:fill="auto"/>
          </w:tcPr>
          <w:p w:rsidR="00335844" w:rsidRPr="004C49D8" w:rsidRDefault="00335844" w:rsidP="003F67B2">
            <w:pPr>
              <w:spacing w:after="0" w:line="240" w:lineRule="auto"/>
              <w:ind w:left="-169"/>
              <w:jc w:val="center"/>
              <w:rPr>
                <w:rFonts w:ascii="Times New Roman" w:hAnsi="Times New Roman"/>
                <w:sz w:val="24"/>
                <w:szCs w:val="24"/>
              </w:rPr>
            </w:pPr>
            <w:r w:rsidRPr="004C49D8">
              <w:rPr>
                <w:rFonts w:ascii="Times New Roman" w:hAnsi="Times New Roman"/>
                <w:sz w:val="24"/>
                <w:szCs w:val="24"/>
              </w:rPr>
              <w:t>Объем реализованной продукции</w:t>
            </w:r>
          </w:p>
        </w:tc>
      </w:tr>
      <w:tr w:rsidR="00B953F1" w:rsidRPr="004C49D8" w:rsidTr="00A23F62">
        <w:trPr>
          <w:cantSplit/>
          <w:trHeight w:val="2625"/>
        </w:trPr>
        <w:tc>
          <w:tcPr>
            <w:tcW w:w="35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3F1" w:rsidRPr="004C49D8" w:rsidRDefault="00B953F1" w:rsidP="003F67B2">
            <w:pPr>
              <w:spacing w:after="0" w:line="240" w:lineRule="auto"/>
              <w:ind w:left="-108" w:right="-108"/>
              <w:rPr>
                <w:rFonts w:ascii="Times New Roman" w:hAnsi="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B953F1" w:rsidRPr="00B953F1" w:rsidRDefault="00B953F1" w:rsidP="00D25279">
            <w:pPr>
              <w:suppressAutoHyphens/>
              <w:spacing w:after="0" w:line="240" w:lineRule="auto"/>
              <w:jc w:val="center"/>
              <w:rPr>
                <w:rFonts w:ascii="Times New Roman" w:hAnsi="Times New Roman"/>
                <w:snapToGrid w:val="0"/>
                <w:sz w:val="24"/>
                <w:szCs w:val="24"/>
              </w:rPr>
            </w:pPr>
            <w:r w:rsidRPr="00B953F1">
              <w:rPr>
                <w:rFonts w:ascii="Times New Roman" w:hAnsi="Times New Roman"/>
                <w:snapToGrid w:val="0"/>
                <w:sz w:val="24"/>
                <w:szCs w:val="24"/>
                <w:lang w:val="en-US"/>
              </w:rPr>
              <w:t>I</w:t>
            </w:r>
            <w:r w:rsidRPr="00B953F1">
              <w:rPr>
                <w:rFonts w:ascii="Times New Roman" w:hAnsi="Times New Roman"/>
                <w:snapToGrid w:val="0"/>
                <w:sz w:val="24"/>
                <w:szCs w:val="24"/>
              </w:rPr>
              <w:t xml:space="preserve"> полугодие 2015 г.,</w:t>
            </w:r>
          </w:p>
          <w:p w:rsidR="00B953F1" w:rsidRPr="00B953F1" w:rsidRDefault="00B953F1" w:rsidP="003F67B2">
            <w:pPr>
              <w:suppressAutoHyphens/>
              <w:spacing w:after="0" w:line="240" w:lineRule="auto"/>
              <w:jc w:val="center"/>
              <w:rPr>
                <w:rFonts w:ascii="Times New Roman" w:hAnsi="Times New Roman"/>
                <w:snapToGrid w:val="0"/>
                <w:sz w:val="24"/>
                <w:szCs w:val="24"/>
              </w:rPr>
            </w:pPr>
            <w:r w:rsidRPr="00B953F1">
              <w:rPr>
                <w:rFonts w:ascii="Times New Roman" w:hAnsi="Times New Roman"/>
                <w:snapToGrid w:val="0"/>
                <w:sz w:val="24"/>
                <w:szCs w:val="24"/>
              </w:rPr>
              <w:t>млн. долл.</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B953F1" w:rsidRPr="00B953F1" w:rsidRDefault="00B953F1" w:rsidP="00D25279">
            <w:pPr>
              <w:pStyle w:val="afc"/>
              <w:ind w:left="0" w:right="0"/>
              <w:rPr>
                <w:b w:val="0"/>
                <w:snapToGrid w:val="0"/>
                <w:sz w:val="24"/>
                <w:szCs w:val="24"/>
              </w:rPr>
            </w:pPr>
            <w:r w:rsidRPr="00B953F1">
              <w:rPr>
                <w:b w:val="0"/>
                <w:sz w:val="24"/>
                <w:szCs w:val="24"/>
              </w:rPr>
              <w:t>Темп роста</w:t>
            </w:r>
          </w:p>
          <w:p w:rsidR="00B953F1" w:rsidRPr="00B953F1" w:rsidRDefault="00B953F1" w:rsidP="00D25279">
            <w:pPr>
              <w:pStyle w:val="afc"/>
              <w:ind w:left="0" w:right="0"/>
              <w:rPr>
                <w:b w:val="0"/>
                <w:snapToGrid w:val="0"/>
                <w:sz w:val="24"/>
                <w:szCs w:val="24"/>
              </w:rPr>
            </w:pPr>
            <w:r w:rsidRPr="00B953F1">
              <w:rPr>
                <w:b w:val="0"/>
                <w:snapToGrid w:val="0"/>
                <w:sz w:val="24"/>
                <w:szCs w:val="24"/>
                <w:lang w:val="en-US"/>
              </w:rPr>
              <w:t>I</w:t>
            </w:r>
            <w:r w:rsidRPr="00B953F1">
              <w:rPr>
                <w:b w:val="0"/>
                <w:snapToGrid w:val="0"/>
                <w:sz w:val="24"/>
                <w:szCs w:val="24"/>
              </w:rPr>
              <w:t xml:space="preserve"> полугодие 2015 г.</w:t>
            </w:r>
          </w:p>
          <w:p w:rsidR="00B953F1" w:rsidRPr="00B953F1" w:rsidRDefault="00B953F1" w:rsidP="003F67B2">
            <w:pPr>
              <w:pStyle w:val="afc"/>
              <w:ind w:left="0" w:right="0"/>
              <w:rPr>
                <w:b w:val="0"/>
                <w:snapToGrid w:val="0"/>
                <w:sz w:val="24"/>
                <w:szCs w:val="24"/>
              </w:rPr>
            </w:pPr>
            <w:r w:rsidRPr="00B953F1">
              <w:rPr>
                <w:b w:val="0"/>
                <w:snapToGrid w:val="0"/>
                <w:sz w:val="24"/>
                <w:szCs w:val="24"/>
              </w:rPr>
              <w:t>к I полугодию 2014 г.</w:t>
            </w:r>
            <w:r w:rsidRPr="00B953F1">
              <w:rPr>
                <w:b w:val="0"/>
                <w:sz w:val="24"/>
                <w:szCs w:val="24"/>
              </w:rPr>
              <w:t>, %</w:t>
            </w:r>
          </w:p>
        </w:tc>
        <w:tc>
          <w:tcPr>
            <w:tcW w:w="983" w:type="dxa"/>
            <w:tcBorders>
              <w:top w:val="single" w:sz="4" w:space="0" w:color="auto"/>
              <w:left w:val="nil"/>
              <w:bottom w:val="single" w:sz="4" w:space="0" w:color="auto"/>
              <w:right w:val="single" w:sz="4" w:space="0" w:color="auto"/>
            </w:tcBorders>
            <w:shd w:val="clear" w:color="auto" w:fill="auto"/>
            <w:textDirection w:val="btLr"/>
            <w:vAlign w:val="center"/>
          </w:tcPr>
          <w:p w:rsidR="00B953F1" w:rsidRPr="00B953F1" w:rsidRDefault="00B953F1" w:rsidP="00D25279">
            <w:pPr>
              <w:spacing w:after="0" w:line="240" w:lineRule="auto"/>
              <w:jc w:val="center"/>
              <w:rPr>
                <w:rFonts w:ascii="Times New Roman" w:hAnsi="Times New Roman"/>
                <w:sz w:val="24"/>
                <w:szCs w:val="24"/>
              </w:rPr>
            </w:pPr>
            <w:r w:rsidRPr="00B953F1">
              <w:rPr>
                <w:rFonts w:ascii="Times New Roman" w:hAnsi="Times New Roman"/>
                <w:snapToGrid w:val="0"/>
                <w:sz w:val="24"/>
                <w:szCs w:val="24"/>
                <w:lang w:val="en-US"/>
              </w:rPr>
              <w:t>I</w:t>
            </w:r>
            <w:r w:rsidRPr="00B953F1">
              <w:rPr>
                <w:rFonts w:ascii="Times New Roman" w:hAnsi="Times New Roman"/>
                <w:snapToGrid w:val="0"/>
                <w:sz w:val="24"/>
                <w:szCs w:val="24"/>
              </w:rPr>
              <w:t xml:space="preserve"> полугодие 2015 г.</w:t>
            </w:r>
            <w:r w:rsidRPr="00B953F1">
              <w:rPr>
                <w:rFonts w:ascii="Times New Roman" w:hAnsi="Times New Roman"/>
                <w:sz w:val="24"/>
                <w:szCs w:val="24"/>
              </w:rPr>
              <w:t>в текущих ценах,</w:t>
            </w:r>
          </w:p>
          <w:p w:rsidR="00B953F1" w:rsidRPr="00B953F1" w:rsidRDefault="00B953F1" w:rsidP="003F67B2">
            <w:pPr>
              <w:spacing w:after="0" w:line="240" w:lineRule="auto"/>
              <w:jc w:val="center"/>
              <w:rPr>
                <w:rFonts w:ascii="Times New Roman" w:hAnsi="Times New Roman"/>
                <w:sz w:val="24"/>
                <w:szCs w:val="24"/>
              </w:rPr>
            </w:pPr>
            <w:r w:rsidRPr="00B953F1">
              <w:rPr>
                <w:rFonts w:ascii="Times New Roman" w:hAnsi="Times New Roman"/>
                <w:sz w:val="24"/>
                <w:szCs w:val="24"/>
              </w:rPr>
              <w:t>млн. руб.</w:t>
            </w:r>
          </w:p>
        </w:tc>
        <w:tc>
          <w:tcPr>
            <w:tcW w:w="894" w:type="dxa"/>
            <w:tcBorders>
              <w:top w:val="single" w:sz="4" w:space="0" w:color="auto"/>
              <w:left w:val="nil"/>
              <w:bottom w:val="single" w:sz="4" w:space="0" w:color="auto"/>
              <w:right w:val="single" w:sz="4" w:space="0" w:color="auto"/>
            </w:tcBorders>
            <w:shd w:val="clear" w:color="auto" w:fill="auto"/>
            <w:textDirection w:val="btLr"/>
            <w:vAlign w:val="center"/>
          </w:tcPr>
          <w:p w:rsidR="00B953F1" w:rsidRPr="00B953F1" w:rsidRDefault="00B953F1" w:rsidP="00D25279">
            <w:pPr>
              <w:pStyle w:val="afc"/>
              <w:ind w:left="0" w:right="0"/>
              <w:rPr>
                <w:b w:val="0"/>
                <w:snapToGrid w:val="0"/>
                <w:sz w:val="24"/>
                <w:szCs w:val="24"/>
              </w:rPr>
            </w:pPr>
            <w:r w:rsidRPr="00B953F1">
              <w:rPr>
                <w:b w:val="0"/>
                <w:sz w:val="24"/>
                <w:szCs w:val="24"/>
              </w:rPr>
              <w:t>Темп роста</w:t>
            </w:r>
          </w:p>
          <w:p w:rsidR="00B953F1" w:rsidRPr="00B953F1" w:rsidRDefault="00B953F1" w:rsidP="00D25279">
            <w:pPr>
              <w:pStyle w:val="afc"/>
              <w:ind w:left="0" w:right="0"/>
              <w:rPr>
                <w:b w:val="0"/>
                <w:snapToGrid w:val="0"/>
                <w:sz w:val="24"/>
                <w:szCs w:val="24"/>
              </w:rPr>
            </w:pPr>
            <w:r w:rsidRPr="00B953F1">
              <w:rPr>
                <w:b w:val="0"/>
                <w:snapToGrid w:val="0"/>
                <w:sz w:val="24"/>
                <w:szCs w:val="24"/>
                <w:lang w:val="en-US"/>
              </w:rPr>
              <w:t>I</w:t>
            </w:r>
            <w:r w:rsidRPr="00B953F1">
              <w:rPr>
                <w:b w:val="0"/>
                <w:snapToGrid w:val="0"/>
                <w:sz w:val="24"/>
                <w:szCs w:val="24"/>
              </w:rPr>
              <w:t xml:space="preserve"> полугодие 2015 г.</w:t>
            </w:r>
          </w:p>
          <w:p w:rsidR="00B953F1" w:rsidRPr="00B953F1" w:rsidRDefault="00B953F1" w:rsidP="003F67B2">
            <w:pPr>
              <w:pStyle w:val="afc"/>
              <w:ind w:left="0" w:right="0"/>
              <w:rPr>
                <w:b w:val="0"/>
                <w:snapToGrid w:val="0"/>
                <w:sz w:val="24"/>
                <w:szCs w:val="24"/>
              </w:rPr>
            </w:pPr>
            <w:r w:rsidRPr="00B953F1">
              <w:rPr>
                <w:b w:val="0"/>
                <w:snapToGrid w:val="0"/>
                <w:sz w:val="24"/>
                <w:szCs w:val="24"/>
              </w:rPr>
              <w:t>к I полугодию 2014 г.</w:t>
            </w:r>
            <w:r w:rsidRPr="00B953F1">
              <w:rPr>
                <w:b w:val="0"/>
                <w:sz w:val="24"/>
                <w:szCs w:val="24"/>
              </w:rPr>
              <w:t>, %</w:t>
            </w: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3F1" w:rsidRPr="00B953F1" w:rsidRDefault="00B953F1" w:rsidP="003F67B2">
            <w:pPr>
              <w:spacing w:after="0" w:line="240" w:lineRule="auto"/>
              <w:jc w:val="center"/>
              <w:rPr>
                <w:rFonts w:ascii="Times New Roman" w:hAnsi="Times New Roman"/>
                <w:sz w:val="24"/>
                <w:szCs w:val="24"/>
              </w:rPr>
            </w:pPr>
          </w:p>
        </w:tc>
        <w:tc>
          <w:tcPr>
            <w:tcW w:w="875" w:type="dxa"/>
            <w:tcBorders>
              <w:top w:val="nil"/>
              <w:left w:val="nil"/>
              <w:bottom w:val="single" w:sz="4" w:space="0" w:color="auto"/>
              <w:right w:val="single" w:sz="4" w:space="0" w:color="auto"/>
            </w:tcBorders>
            <w:shd w:val="clear" w:color="auto" w:fill="auto"/>
            <w:textDirection w:val="btLr"/>
            <w:vAlign w:val="center"/>
          </w:tcPr>
          <w:p w:rsidR="00B953F1" w:rsidRPr="00B953F1" w:rsidRDefault="00B953F1" w:rsidP="003F67B2">
            <w:pPr>
              <w:spacing w:after="0" w:line="240" w:lineRule="auto"/>
              <w:jc w:val="center"/>
              <w:rPr>
                <w:rFonts w:ascii="Times New Roman" w:hAnsi="Times New Roman"/>
                <w:sz w:val="24"/>
                <w:szCs w:val="24"/>
              </w:rPr>
            </w:pPr>
            <w:r w:rsidRPr="00B953F1">
              <w:rPr>
                <w:rFonts w:ascii="Times New Roman" w:hAnsi="Times New Roman"/>
                <w:snapToGrid w:val="0"/>
                <w:sz w:val="24"/>
                <w:szCs w:val="24"/>
                <w:lang w:val="en-US"/>
              </w:rPr>
              <w:t>I</w:t>
            </w:r>
            <w:r w:rsidRPr="00B953F1">
              <w:rPr>
                <w:rFonts w:ascii="Times New Roman" w:hAnsi="Times New Roman"/>
                <w:snapToGrid w:val="0"/>
                <w:sz w:val="24"/>
                <w:szCs w:val="24"/>
              </w:rPr>
              <w:t xml:space="preserve"> полугодие 2015 г.,</w:t>
            </w:r>
            <w:r w:rsidRPr="00B953F1">
              <w:rPr>
                <w:rFonts w:ascii="Times New Roman" w:hAnsi="Times New Roman"/>
                <w:sz w:val="24"/>
                <w:szCs w:val="24"/>
              </w:rPr>
              <w:t xml:space="preserve">     млн. руб.</w:t>
            </w:r>
          </w:p>
        </w:tc>
        <w:tc>
          <w:tcPr>
            <w:tcW w:w="1032" w:type="dxa"/>
            <w:tcBorders>
              <w:top w:val="nil"/>
              <w:left w:val="nil"/>
              <w:bottom w:val="single" w:sz="4" w:space="0" w:color="auto"/>
              <w:right w:val="single" w:sz="4" w:space="0" w:color="auto"/>
            </w:tcBorders>
            <w:shd w:val="clear" w:color="auto" w:fill="auto"/>
            <w:textDirection w:val="btLr"/>
            <w:vAlign w:val="center"/>
          </w:tcPr>
          <w:p w:rsidR="00B953F1" w:rsidRPr="00B953F1" w:rsidRDefault="00B953F1" w:rsidP="00D25279">
            <w:pPr>
              <w:pStyle w:val="afc"/>
              <w:ind w:left="0" w:right="0"/>
              <w:rPr>
                <w:b w:val="0"/>
                <w:snapToGrid w:val="0"/>
                <w:sz w:val="24"/>
                <w:szCs w:val="24"/>
              </w:rPr>
            </w:pPr>
            <w:r w:rsidRPr="00B953F1">
              <w:rPr>
                <w:b w:val="0"/>
                <w:sz w:val="24"/>
                <w:szCs w:val="24"/>
              </w:rPr>
              <w:t>Темп роста</w:t>
            </w:r>
          </w:p>
          <w:p w:rsidR="00B953F1" w:rsidRPr="00B953F1" w:rsidRDefault="00B953F1" w:rsidP="00D25279">
            <w:pPr>
              <w:pStyle w:val="afc"/>
              <w:ind w:left="0" w:right="0"/>
              <w:rPr>
                <w:b w:val="0"/>
                <w:snapToGrid w:val="0"/>
                <w:sz w:val="24"/>
                <w:szCs w:val="24"/>
              </w:rPr>
            </w:pPr>
            <w:r w:rsidRPr="00B953F1">
              <w:rPr>
                <w:b w:val="0"/>
                <w:snapToGrid w:val="0"/>
                <w:sz w:val="24"/>
                <w:szCs w:val="24"/>
                <w:lang w:val="en-US"/>
              </w:rPr>
              <w:t>I</w:t>
            </w:r>
            <w:r w:rsidRPr="00B953F1">
              <w:rPr>
                <w:b w:val="0"/>
                <w:snapToGrid w:val="0"/>
                <w:sz w:val="24"/>
                <w:szCs w:val="24"/>
              </w:rPr>
              <w:t xml:space="preserve"> полугодие 2015 г.</w:t>
            </w:r>
          </w:p>
          <w:p w:rsidR="00B953F1" w:rsidRPr="00B953F1" w:rsidRDefault="00B953F1" w:rsidP="003F67B2">
            <w:pPr>
              <w:pStyle w:val="afc"/>
              <w:ind w:left="0" w:right="0"/>
              <w:rPr>
                <w:b w:val="0"/>
                <w:snapToGrid w:val="0"/>
                <w:sz w:val="24"/>
                <w:szCs w:val="24"/>
              </w:rPr>
            </w:pPr>
            <w:r w:rsidRPr="00B953F1">
              <w:rPr>
                <w:b w:val="0"/>
                <w:snapToGrid w:val="0"/>
                <w:sz w:val="24"/>
                <w:szCs w:val="24"/>
              </w:rPr>
              <w:t>к I полугодию 2014 г.</w:t>
            </w:r>
            <w:r w:rsidRPr="00B953F1">
              <w:rPr>
                <w:b w:val="0"/>
                <w:sz w:val="24"/>
                <w:szCs w:val="24"/>
              </w:rPr>
              <w:t>, %</w:t>
            </w:r>
          </w:p>
        </w:tc>
      </w:tr>
      <w:tr w:rsidR="00B953F1" w:rsidRPr="004C49D8" w:rsidTr="00A23F62">
        <w:trPr>
          <w:trHeight w:val="337"/>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Электроэнергетика</w:t>
            </w:r>
          </w:p>
        </w:tc>
        <w:tc>
          <w:tcPr>
            <w:tcW w:w="851" w:type="dxa"/>
            <w:tcBorders>
              <w:top w:val="single" w:sz="4"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189,9</w:t>
            </w:r>
          </w:p>
        </w:tc>
        <w:tc>
          <w:tcPr>
            <w:tcW w:w="850" w:type="dxa"/>
            <w:tcBorders>
              <w:top w:val="single" w:sz="4"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121,7</w:t>
            </w:r>
          </w:p>
        </w:tc>
        <w:tc>
          <w:tcPr>
            <w:tcW w:w="983" w:type="dxa"/>
            <w:tcBorders>
              <w:top w:val="single" w:sz="4"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2 108,5</w:t>
            </w:r>
          </w:p>
        </w:tc>
        <w:tc>
          <w:tcPr>
            <w:tcW w:w="894" w:type="dxa"/>
            <w:tcBorders>
              <w:top w:val="single" w:sz="4"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121,7</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50,7</w:t>
            </w:r>
          </w:p>
        </w:tc>
        <w:tc>
          <w:tcPr>
            <w:tcW w:w="875" w:type="dxa"/>
            <w:tcBorders>
              <w:top w:val="nil"/>
              <w:left w:val="nil"/>
              <w:bottom w:val="single" w:sz="4" w:space="0" w:color="auto"/>
              <w:right w:val="single" w:sz="4" w:space="0" w:color="auto"/>
            </w:tcBorders>
            <w:shd w:val="clear" w:color="auto" w:fill="auto"/>
            <w:noWrap/>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2 248,1</w:t>
            </w:r>
          </w:p>
        </w:tc>
        <w:tc>
          <w:tcPr>
            <w:tcW w:w="1032" w:type="dxa"/>
            <w:tcBorders>
              <w:top w:val="nil"/>
              <w:left w:val="nil"/>
              <w:bottom w:val="single" w:sz="4" w:space="0" w:color="auto"/>
              <w:right w:val="single" w:sz="4" w:space="0" w:color="auto"/>
            </w:tcBorders>
            <w:shd w:val="clear" w:color="auto" w:fill="auto"/>
            <w:noWrap/>
            <w:vAlign w:val="bottom"/>
          </w:tcPr>
          <w:p w:rsidR="00B953F1" w:rsidRPr="00844C94" w:rsidRDefault="00B953F1" w:rsidP="00D25279">
            <w:pPr>
              <w:spacing w:after="0" w:line="240" w:lineRule="auto"/>
              <w:ind w:left="-65"/>
              <w:jc w:val="center"/>
              <w:rPr>
                <w:rFonts w:ascii="Times New Roman" w:hAnsi="Times New Roman"/>
                <w:sz w:val="24"/>
                <w:szCs w:val="24"/>
              </w:rPr>
            </w:pPr>
            <w:r w:rsidRPr="00844C94">
              <w:rPr>
                <w:rFonts w:ascii="Times New Roman" w:hAnsi="Times New Roman"/>
                <w:sz w:val="24"/>
                <w:szCs w:val="24"/>
              </w:rPr>
              <w:t>132,1</w:t>
            </w:r>
          </w:p>
        </w:tc>
      </w:tr>
      <w:tr w:rsidR="00B953F1" w:rsidRPr="004C49D8" w:rsidTr="00A23F62">
        <w:trPr>
          <w:trHeight w:val="306"/>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Черная металлургия</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57,4</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47,6</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637,6</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47,6</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15,3</w:t>
            </w:r>
          </w:p>
        </w:tc>
        <w:tc>
          <w:tcPr>
            <w:tcW w:w="875" w:type="dxa"/>
            <w:tcBorders>
              <w:top w:val="nil"/>
              <w:left w:val="nil"/>
              <w:bottom w:val="single" w:sz="4" w:space="0" w:color="auto"/>
              <w:right w:val="single" w:sz="4" w:space="0" w:color="auto"/>
            </w:tcBorders>
            <w:shd w:val="clear" w:color="auto" w:fill="auto"/>
            <w:noWrap/>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639,0</w:t>
            </w:r>
          </w:p>
        </w:tc>
        <w:tc>
          <w:tcPr>
            <w:tcW w:w="1032" w:type="dxa"/>
            <w:tcBorders>
              <w:top w:val="nil"/>
              <w:left w:val="nil"/>
              <w:bottom w:val="single" w:sz="4" w:space="0" w:color="auto"/>
              <w:right w:val="single" w:sz="4" w:space="0" w:color="auto"/>
            </w:tcBorders>
            <w:shd w:val="clear" w:color="auto" w:fill="auto"/>
            <w:noWrap/>
            <w:vAlign w:val="bottom"/>
          </w:tcPr>
          <w:p w:rsidR="00B953F1" w:rsidRPr="00844C94" w:rsidRDefault="00B953F1" w:rsidP="00D25279">
            <w:pPr>
              <w:spacing w:after="0" w:line="240" w:lineRule="auto"/>
              <w:ind w:left="-95"/>
              <w:jc w:val="center"/>
              <w:rPr>
                <w:rFonts w:ascii="Times New Roman" w:hAnsi="Times New Roman"/>
                <w:sz w:val="24"/>
                <w:szCs w:val="24"/>
              </w:rPr>
            </w:pPr>
            <w:r w:rsidRPr="00844C94">
              <w:rPr>
                <w:rFonts w:ascii="Times New Roman" w:hAnsi="Times New Roman"/>
                <w:sz w:val="24"/>
                <w:szCs w:val="24"/>
              </w:rPr>
              <w:t>47,7</w:t>
            </w:r>
          </w:p>
        </w:tc>
      </w:tr>
      <w:tr w:rsidR="00B953F1" w:rsidRPr="00DE750C" w:rsidTr="00A23F62">
        <w:trPr>
          <w:trHeight w:val="238"/>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Химическая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64,3</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67,0</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64,3</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1,6</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74,6</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83,4</w:t>
            </w:r>
          </w:p>
        </w:tc>
      </w:tr>
      <w:tr w:rsidR="00B953F1" w:rsidRPr="004C49D8" w:rsidTr="00A23F62">
        <w:trPr>
          <w:trHeight w:val="340"/>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Машиностроение</w:t>
            </w:r>
            <w:r>
              <w:rPr>
                <w:rFonts w:ascii="Times New Roman" w:hAnsi="Times New Roman"/>
                <w:sz w:val="24"/>
                <w:szCs w:val="24"/>
              </w:rPr>
              <w:t xml:space="preserve"> и </w:t>
            </w:r>
            <w:r w:rsidRPr="004C49D8">
              <w:rPr>
                <w:rFonts w:ascii="Times New Roman" w:hAnsi="Times New Roman"/>
                <w:sz w:val="24"/>
                <w:szCs w:val="24"/>
              </w:rPr>
              <w:t>металлообработка</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86,5</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88,7</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86,5</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2,1</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82,0</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79,5</w:t>
            </w:r>
          </w:p>
        </w:tc>
      </w:tr>
      <w:tr w:rsidR="00B953F1" w:rsidRPr="004C49D8" w:rsidTr="00A23F62">
        <w:trPr>
          <w:trHeight w:val="420"/>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Электротехническая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85,3</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69,6</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85,3</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1,7</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72,1</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68,6</w:t>
            </w:r>
          </w:p>
        </w:tc>
      </w:tr>
      <w:tr w:rsidR="00B953F1" w:rsidRPr="004C49D8" w:rsidTr="00A23F62">
        <w:trPr>
          <w:trHeight w:val="499"/>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Pr>
                <w:rFonts w:ascii="Times New Roman" w:hAnsi="Times New Roman"/>
                <w:sz w:val="24"/>
                <w:szCs w:val="24"/>
              </w:rPr>
              <w:t>Лесная и д</w:t>
            </w:r>
            <w:r w:rsidRPr="004C49D8">
              <w:rPr>
                <w:rFonts w:ascii="Times New Roman" w:hAnsi="Times New Roman"/>
                <w:sz w:val="24"/>
                <w:szCs w:val="24"/>
              </w:rPr>
              <w:t>еревообрабатывающая</w:t>
            </w:r>
            <w:r>
              <w:rPr>
                <w:rFonts w:ascii="Times New Roman" w:hAnsi="Times New Roman"/>
                <w:sz w:val="24"/>
                <w:szCs w:val="24"/>
              </w:rPr>
              <w:t xml:space="preserve">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0,8</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87,7</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8,5</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87,7</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0,2</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2,7</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31,8</w:t>
            </w:r>
          </w:p>
        </w:tc>
      </w:tr>
      <w:tr w:rsidR="00B953F1" w:rsidRPr="004C49D8" w:rsidTr="00A23F62">
        <w:trPr>
          <w:trHeight w:val="522"/>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Промышленность стройматериалов</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13,7</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55,5</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152,0</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55,5</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3,7</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155,9</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55,4</w:t>
            </w:r>
          </w:p>
        </w:tc>
      </w:tr>
      <w:tr w:rsidR="00B953F1" w:rsidRPr="004C49D8" w:rsidTr="00A23F62">
        <w:trPr>
          <w:trHeight w:val="236"/>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Легкая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42,7</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74,9</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474,2</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74,9</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11,4</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436,4</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67,8</w:t>
            </w:r>
          </w:p>
        </w:tc>
      </w:tr>
      <w:tr w:rsidR="00B953F1" w:rsidRPr="004C49D8" w:rsidTr="00A23F62">
        <w:trPr>
          <w:trHeight w:val="243"/>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Пищевая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42,0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78,6</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466,6</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78,6</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11,2</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469,1</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82,3</w:t>
            </w:r>
          </w:p>
        </w:tc>
      </w:tr>
      <w:tr w:rsidR="00B953F1" w:rsidRPr="004C49D8" w:rsidTr="00A23F62">
        <w:trPr>
          <w:trHeight w:val="367"/>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Мукомольно-крупяная</w:t>
            </w:r>
            <w:r>
              <w:rPr>
                <w:rFonts w:ascii="Times New Roman" w:hAnsi="Times New Roman"/>
                <w:sz w:val="24"/>
                <w:szCs w:val="24"/>
              </w:rPr>
              <w:t xml:space="preserve"> и комбикормовая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5,3</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89,3</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58,9</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89,3</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1,4</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57,7</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right="-33"/>
              <w:jc w:val="center"/>
              <w:rPr>
                <w:rFonts w:ascii="Times New Roman" w:hAnsi="Times New Roman"/>
                <w:sz w:val="24"/>
                <w:szCs w:val="24"/>
              </w:rPr>
            </w:pPr>
            <w:r w:rsidRPr="00844C94">
              <w:rPr>
                <w:rFonts w:ascii="Times New Roman" w:hAnsi="Times New Roman"/>
                <w:sz w:val="24"/>
                <w:szCs w:val="24"/>
              </w:rPr>
              <w:t>84,5</w:t>
            </w:r>
          </w:p>
        </w:tc>
      </w:tr>
      <w:tr w:rsidR="00B953F1" w:rsidRPr="004C49D8" w:rsidTr="00A23F62">
        <w:trPr>
          <w:trHeight w:val="131"/>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Полиграфическая промышленность</w:t>
            </w:r>
          </w:p>
        </w:tc>
        <w:tc>
          <w:tcPr>
            <w:tcW w:w="851" w:type="dxa"/>
            <w:tcBorders>
              <w:top w:val="single" w:sz="6" w:space="0" w:color="auto"/>
              <w:left w:val="nil"/>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2,5</w:t>
            </w:r>
          </w:p>
        </w:tc>
        <w:tc>
          <w:tcPr>
            <w:tcW w:w="850"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2,8 р.</w:t>
            </w:r>
          </w:p>
        </w:tc>
        <w:tc>
          <w:tcPr>
            <w:tcW w:w="983" w:type="dxa"/>
            <w:tcBorders>
              <w:top w:val="single" w:sz="6" w:space="0" w:color="auto"/>
              <w:left w:val="single" w:sz="6" w:space="0" w:color="auto"/>
              <w:bottom w:val="single" w:sz="6"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27,8</w:t>
            </w:r>
          </w:p>
        </w:tc>
        <w:tc>
          <w:tcPr>
            <w:tcW w:w="894" w:type="dxa"/>
            <w:tcBorders>
              <w:top w:val="single" w:sz="6" w:space="0" w:color="auto"/>
              <w:left w:val="single" w:sz="6" w:space="0" w:color="auto"/>
              <w:bottom w:val="single" w:sz="6"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2,8 р.</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0,7</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23,4</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2,4 р.</w:t>
            </w:r>
          </w:p>
        </w:tc>
      </w:tr>
      <w:tr w:rsidR="00B953F1" w:rsidRPr="00C47E4E" w:rsidTr="00A23F62">
        <w:trPr>
          <w:trHeight w:val="230"/>
        </w:trPr>
        <w:tc>
          <w:tcPr>
            <w:tcW w:w="3582" w:type="dxa"/>
            <w:tcBorders>
              <w:top w:val="nil"/>
              <w:left w:val="single" w:sz="4" w:space="0" w:color="auto"/>
              <w:bottom w:val="single" w:sz="4" w:space="0" w:color="auto"/>
              <w:right w:val="single" w:sz="4" w:space="0" w:color="auto"/>
            </w:tcBorders>
            <w:shd w:val="clear" w:color="auto" w:fill="auto"/>
            <w:vAlign w:val="bottom"/>
          </w:tcPr>
          <w:p w:rsidR="00B953F1" w:rsidRPr="004C49D8" w:rsidRDefault="00B953F1" w:rsidP="003F67B2">
            <w:pPr>
              <w:spacing w:after="0" w:line="240" w:lineRule="auto"/>
              <w:ind w:left="-108" w:right="-108"/>
              <w:rPr>
                <w:rFonts w:ascii="Times New Roman" w:hAnsi="Times New Roman"/>
                <w:sz w:val="24"/>
                <w:szCs w:val="24"/>
              </w:rPr>
            </w:pPr>
            <w:r w:rsidRPr="004C49D8">
              <w:rPr>
                <w:rFonts w:ascii="Times New Roman" w:hAnsi="Times New Roman"/>
                <w:sz w:val="24"/>
                <w:szCs w:val="24"/>
              </w:rPr>
              <w:t>ИТОГО по ПМР</w:t>
            </w:r>
          </w:p>
        </w:tc>
        <w:tc>
          <w:tcPr>
            <w:tcW w:w="851" w:type="dxa"/>
            <w:tcBorders>
              <w:top w:val="single" w:sz="6" w:space="0" w:color="auto"/>
              <w:left w:val="nil"/>
              <w:bottom w:val="single" w:sz="4" w:space="0" w:color="auto"/>
              <w:right w:val="single" w:sz="6" w:space="0" w:color="auto"/>
            </w:tcBorders>
            <w:shd w:val="clear" w:color="auto" w:fill="auto"/>
            <w:vAlign w:val="bottom"/>
          </w:tcPr>
          <w:p w:rsidR="00B953F1" w:rsidRPr="00844C94" w:rsidRDefault="00B953F1" w:rsidP="00D25279">
            <w:pPr>
              <w:spacing w:after="0" w:line="240" w:lineRule="auto"/>
              <w:ind w:left="-74" w:right="-94"/>
              <w:jc w:val="center"/>
              <w:rPr>
                <w:rFonts w:ascii="Times New Roman" w:hAnsi="Times New Roman"/>
                <w:sz w:val="24"/>
                <w:szCs w:val="24"/>
              </w:rPr>
            </w:pPr>
            <w:r w:rsidRPr="00844C94">
              <w:rPr>
                <w:rFonts w:ascii="Times New Roman" w:hAnsi="Times New Roman"/>
                <w:sz w:val="24"/>
                <w:szCs w:val="24"/>
              </w:rPr>
              <w:t>374,7</w:t>
            </w:r>
          </w:p>
        </w:tc>
        <w:tc>
          <w:tcPr>
            <w:tcW w:w="850" w:type="dxa"/>
            <w:tcBorders>
              <w:top w:val="single" w:sz="6" w:space="0" w:color="auto"/>
              <w:left w:val="single" w:sz="6" w:space="0" w:color="auto"/>
              <w:bottom w:val="single" w:sz="4" w:space="0" w:color="auto"/>
              <w:right w:val="single" w:sz="6" w:space="0" w:color="auto"/>
            </w:tcBorders>
            <w:shd w:val="clear" w:color="auto" w:fill="auto"/>
            <w:vAlign w:val="bottom"/>
          </w:tcPr>
          <w:p w:rsidR="00B953F1" w:rsidRPr="00844C94" w:rsidRDefault="00B953F1" w:rsidP="00D25279">
            <w:pPr>
              <w:spacing w:after="0" w:line="240" w:lineRule="auto"/>
              <w:ind w:right="-108"/>
              <w:jc w:val="center"/>
              <w:rPr>
                <w:rFonts w:ascii="Times New Roman" w:hAnsi="Times New Roman"/>
                <w:sz w:val="24"/>
                <w:szCs w:val="24"/>
              </w:rPr>
            </w:pPr>
            <w:r w:rsidRPr="00844C94">
              <w:rPr>
                <w:rFonts w:ascii="Times New Roman" w:hAnsi="Times New Roman"/>
                <w:sz w:val="24"/>
                <w:szCs w:val="24"/>
              </w:rPr>
              <w:t>84,1</w:t>
            </w:r>
          </w:p>
        </w:tc>
        <w:tc>
          <w:tcPr>
            <w:tcW w:w="983" w:type="dxa"/>
            <w:tcBorders>
              <w:top w:val="single" w:sz="6" w:space="0" w:color="auto"/>
              <w:left w:val="single" w:sz="6" w:space="0" w:color="auto"/>
              <w:bottom w:val="single" w:sz="4" w:space="0" w:color="auto"/>
              <w:right w:val="single" w:sz="6"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4 159,3</w:t>
            </w:r>
          </w:p>
        </w:tc>
        <w:tc>
          <w:tcPr>
            <w:tcW w:w="894" w:type="dxa"/>
            <w:tcBorders>
              <w:top w:val="single" w:sz="6" w:space="0" w:color="auto"/>
              <w:left w:val="single" w:sz="6" w:space="0" w:color="auto"/>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84,1</w:t>
            </w:r>
          </w:p>
        </w:tc>
        <w:tc>
          <w:tcPr>
            <w:tcW w:w="91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0" w:lineRule="atLeast"/>
              <w:jc w:val="center"/>
              <w:rPr>
                <w:rFonts w:ascii="Times New Roman" w:hAnsi="Times New Roman"/>
                <w:sz w:val="24"/>
                <w:szCs w:val="24"/>
              </w:rPr>
            </w:pPr>
            <w:r w:rsidRPr="00844C94">
              <w:rPr>
                <w:rFonts w:ascii="Times New Roman" w:hAnsi="Times New Roman"/>
                <w:sz w:val="24"/>
                <w:szCs w:val="24"/>
              </w:rPr>
              <w:t>100,0</w:t>
            </w:r>
          </w:p>
        </w:tc>
        <w:tc>
          <w:tcPr>
            <w:tcW w:w="875"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ind w:left="-108" w:right="-66"/>
              <w:jc w:val="center"/>
              <w:rPr>
                <w:rFonts w:ascii="Times New Roman" w:hAnsi="Times New Roman"/>
                <w:sz w:val="24"/>
                <w:szCs w:val="24"/>
              </w:rPr>
            </w:pPr>
            <w:r w:rsidRPr="00844C94">
              <w:rPr>
                <w:rFonts w:ascii="Times New Roman" w:hAnsi="Times New Roman"/>
                <w:sz w:val="24"/>
                <w:szCs w:val="24"/>
              </w:rPr>
              <w:t>4 260,9</w:t>
            </w:r>
          </w:p>
        </w:tc>
        <w:tc>
          <w:tcPr>
            <w:tcW w:w="1032" w:type="dxa"/>
            <w:tcBorders>
              <w:top w:val="nil"/>
              <w:left w:val="nil"/>
              <w:bottom w:val="single" w:sz="4" w:space="0" w:color="auto"/>
              <w:right w:val="single" w:sz="4" w:space="0" w:color="auto"/>
            </w:tcBorders>
            <w:shd w:val="clear" w:color="auto" w:fill="auto"/>
            <w:vAlign w:val="bottom"/>
          </w:tcPr>
          <w:p w:rsidR="00B953F1" w:rsidRPr="00844C94" w:rsidRDefault="00B953F1" w:rsidP="00D25279">
            <w:pPr>
              <w:spacing w:after="0" w:line="240" w:lineRule="auto"/>
              <w:jc w:val="center"/>
              <w:rPr>
                <w:rFonts w:ascii="Times New Roman" w:hAnsi="Times New Roman"/>
                <w:sz w:val="24"/>
                <w:szCs w:val="24"/>
              </w:rPr>
            </w:pPr>
            <w:r w:rsidRPr="00844C94">
              <w:rPr>
                <w:rFonts w:ascii="Times New Roman" w:hAnsi="Times New Roman"/>
                <w:sz w:val="24"/>
                <w:szCs w:val="24"/>
              </w:rPr>
              <w:t>86,6</w:t>
            </w:r>
          </w:p>
        </w:tc>
      </w:tr>
    </w:tbl>
    <w:p w:rsidR="00335844" w:rsidRDefault="00335844" w:rsidP="00335844">
      <w:pPr>
        <w:spacing w:after="0" w:line="240" w:lineRule="auto"/>
        <w:ind w:firstLine="709"/>
        <w:jc w:val="right"/>
        <w:rPr>
          <w:rFonts w:ascii="Times New Roman" w:hAnsi="Times New Roman"/>
          <w:b/>
          <w:sz w:val="28"/>
          <w:szCs w:val="28"/>
        </w:rPr>
      </w:pPr>
    </w:p>
    <w:p w:rsidR="00335844" w:rsidRDefault="00335844" w:rsidP="00335844"/>
    <w:p w:rsidR="00335844" w:rsidRDefault="00335844" w:rsidP="00335844">
      <w:pPr>
        <w:spacing w:after="0" w:line="240" w:lineRule="auto"/>
        <w:ind w:firstLine="709"/>
        <w:jc w:val="right"/>
        <w:rPr>
          <w:rFonts w:ascii="Times New Roman" w:hAnsi="Times New Roman"/>
          <w:b/>
          <w:sz w:val="28"/>
          <w:szCs w:val="28"/>
        </w:rPr>
      </w:pPr>
    </w:p>
    <w:p w:rsidR="00335844" w:rsidRDefault="00335844" w:rsidP="00335844"/>
    <w:p w:rsidR="00335844" w:rsidRDefault="00335844" w:rsidP="00335844"/>
    <w:p w:rsidR="00335844" w:rsidRDefault="00335844" w:rsidP="00335844"/>
    <w:p w:rsidR="00335844" w:rsidRDefault="00335844" w:rsidP="00335844">
      <w:pPr>
        <w:spacing w:after="0" w:line="240" w:lineRule="auto"/>
        <w:ind w:firstLine="709"/>
        <w:jc w:val="right"/>
        <w:rPr>
          <w:rFonts w:ascii="Times New Roman" w:hAnsi="Times New Roman"/>
          <w:b/>
          <w:sz w:val="24"/>
          <w:szCs w:val="24"/>
        </w:rPr>
      </w:pPr>
    </w:p>
    <w:p w:rsidR="00A23F62" w:rsidRDefault="00A23F62" w:rsidP="00335844">
      <w:pPr>
        <w:spacing w:after="0" w:line="240" w:lineRule="auto"/>
        <w:ind w:firstLine="709"/>
        <w:jc w:val="right"/>
        <w:rPr>
          <w:rFonts w:ascii="Times New Roman" w:hAnsi="Times New Roman"/>
          <w:b/>
          <w:sz w:val="24"/>
          <w:szCs w:val="24"/>
        </w:rPr>
      </w:pPr>
    </w:p>
    <w:p w:rsidR="00A23F62" w:rsidRDefault="00A23F62" w:rsidP="00335844">
      <w:pPr>
        <w:spacing w:after="0" w:line="240" w:lineRule="auto"/>
        <w:ind w:firstLine="709"/>
        <w:jc w:val="right"/>
        <w:rPr>
          <w:rFonts w:ascii="Times New Roman" w:hAnsi="Times New Roman"/>
          <w:b/>
          <w:sz w:val="24"/>
          <w:szCs w:val="24"/>
        </w:rPr>
      </w:pPr>
    </w:p>
    <w:p w:rsidR="00335844" w:rsidRDefault="00335844" w:rsidP="00335844">
      <w:pPr>
        <w:spacing w:after="0" w:line="240" w:lineRule="auto"/>
        <w:ind w:firstLine="709"/>
        <w:jc w:val="right"/>
        <w:rPr>
          <w:rFonts w:ascii="Times New Roman" w:hAnsi="Times New Roman"/>
          <w:b/>
          <w:sz w:val="24"/>
          <w:szCs w:val="24"/>
        </w:rPr>
      </w:pPr>
    </w:p>
    <w:p w:rsidR="00335844" w:rsidRDefault="00335844" w:rsidP="00335844">
      <w:pPr>
        <w:spacing w:after="0" w:line="240" w:lineRule="auto"/>
        <w:ind w:firstLine="709"/>
        <w:jc w:val="right"/>
        <w:rPr>
          <w:rFonts w:ascii="Times New Roman" w:hAnsi="Times New Roman"/>
          <w:b/>
          <w:sz w:val="24"/>
          <w:szCs w:val="24"/>
        </w:rPr>
      </w:pPr>
    </w:p>
    <w:p w:rsidR="00335844" w:rsidRDefault="00335844" w:rsidP="00335844">
      <w:pPr>
        <w:spacing w:after="0" w:line="240" w:lineRule="auto"/>
        <w:ind w:firstLine="709"/>
        <w:jc w:val="right"/>
        <w:rPr>
          <w:rFonts w:ascii="Times New Roman" w:hAnsi="Times New Roman"/>
          <w:b/>
          <w:sz w:val="24"/>
          <w:szCs w:val="24"/>
        </w:rPr>
      </w:pPr>
    </w:p>
    <w:p w:rsidR="00335844" w:rsidRPr="00E62A9B" w:rsidRDefault="00335844" w:rsidP="00335844">
      <w:pPr>
        <w:spacing w:after="0" w:line="240" w:lineRule="auto"/>
        <w:ind w:firstLine="709"/>
        <w:jc w:val="right"/>
        <w:rPr>
          <w:rFonts w:ascii="Times New Roman" w:hAnsi="Times New Roman"/>
          <w:b/>
          <w:sz w:val="24"/>
          <w:szCs w:val="24"/>
        </w:rPr>
      </w:pPr>
      <w:r w:rsidRPr="00E62A9B">
        <w:rPr>
          <w:rFonts w:ascii="Times New Roman" w:hAnsi="Times New Roman"/>
          <w:b/>
          <w:sz w:val="24"/>
          <w:szCs w:val="24"/>
        </w:rPr>
        <w:lastRenderedPageBreak/>
        <w:t>Приложение№3</w:t>
      </w:r>
    </w:p>
    <w:p w:rsidR="00335844" w:rsidRPr="000F4642" w:rsidRDefault="00335844" w:rsidP="00335844">
      <w:pPr>
        <w:spacing w:after="0" w:line="240" w:lineRule="auto"/>
        <w:jc w:val="center"/>
        <w:rPr>
          <w:rFonts w:ascii="Times New Roman" w:hAnsi="Times New Roman"/>
          <w:b/>
          <w:sz w:val="24"/>
          <w:szCs w:val="24"/>
          <w:highlight w:val="cyan"/>
        </w:rPr>
      </w:pPr>
    </w:p>
    <w:p w:rsidR="00716471" w:rsidRPr="00E25EC3" w:rsidRDefault="00716471" w:rsidP="00716471">
      <w:pPr>
        <w:spacing w:after="0" w:line="240" w:lineRule="auto"/>
        <w:jc w:val="center"/>
        <w:rPr>
          <w:rFonts w:ascii="Times New Roman" w:hAnsi="Times New Roman"/>
          <w:b/>
          <w:sz w:val="24"/>
          <w:szCs w:val="24"/>
        </w:rPr>
      </w:pPr>
      <w:r w:rsidRPr="00E25EC3">
        <w:rPr>
          <w:rFonts w:ascii="Times New Roman" w:hAnsi="Times New Roman"/>
          <w:b/>
          <w:sz w:val="24"/>
          <w:szCs w:val="24"/>
        </w:rPr>
        <w:t>Основные показатели развития малого предпринимательства</w:t>
      </w:r>
    </w:p>
    <w:p w:rsidR="00716471" w:rsidRPr="00E25EC3" w:rsidRDefault="00716471" w:rsidP="00716471">
      <w:pPr>
        <w:spacing w:after="0" w:line="240" w:lineRule="auto"/>
        <w:jc w:val="center"/>
        <w:rPr>
          <w:rFonts w:ascii="Times New Roman" w:hAnsi="Times New Roman"/>
          <w:b/>
          <w:sz w:val="24"/>
          <w:szCs w:val="24"/>
        </w:rPr>
      </w:pPr>
      <w:r w:rsidRPr="00E25EC3">
        <w:rPr>
          <w:rFonts w:ascii="Times New Roman" w:hAnsi="Times New Roman"/>
          <w:b/>
          <w:sz w:val="24"/>
          <w:szCs w:val="24"/>
        </w:rPr>
        <w:t>за январь – июнь 2015 года</w:t>
      </w:r>
    </w:p>
    <w:p w:rsidR="00716471" w:rsidRPr="00E25EC3" w:rsidRDefault="00716471" w:rsidP="00716471">
      <w:pPr>
        <w:spacing w:after="0" w:line="240" w:lineRule="auto"/>
        <w:jc w:val="center"/>
        <w:rPr>
          <w:rFonts w:ascii="Times New Roman" w:hAnsi="Times New Roman"/>
          <w:b/>
          <w:sz w:val="20"/>
          <w:szCs w:val="20"/>
        </w:rPr>
      </w:pPr>
    </w:p>
    <w:tbl>
      <w:tblPr>
        <w:tblW w:w="9729" w:type="dxa"/>
        <w:tblInd w:w="94" w:type="dxa"/>
        <w:tblLayout w:type="fixed"/>
        <w:tblLook w:val="0000"/>
      </w:tblPr>
      <w:tblGrid>
        <w:gridCol w:w="4731"/>
        <w:gridCol w:w="1270"/>
        <w:gridCol w:w="1270"/>
        <w:gridCol w:w="1270"/>
        <w:gridCol w:w="1188"/>
      </w:tblGrid>
      <w:tr w:rsidR="00716471" w:rsidRPr="00E25EC3" w:rsidTr="00A23F62">
        <w:trPr>
          <w:trHeight w:val="257"/>
        </w:trPr>
        <w:tc>
          <w:tcPr>
            <w:tcW w:w="47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b/>
                <w:bCs/>
                <w:color w:val="000000"/>
                <w:sz w:val="24"/>
                <w:szCs w:val="24"/>
              </w:rPr>
            </w:pPr>
            <w:r w:rsidRPr="00E25EC3">
              <w:rPr>
                <w:rFonts w:ascii="Times New Roman" w:hAnsi="Times New Roman"/>
                <w:b/>
                <w:bCs/>
                <w:color w:val="000000"/>
                <w:sz w:val="24"/>
                <w:szCs w:val="24"/>
              </w:rPr>
              <w:t>Показатели</w:t>
            </w:r>
          </w:p>
        </w:tc>
        <w:tc>
          <w:tcPr>
            <w:tcW w:w="12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6471" w:rsidRPr="00E25EC3" w:rsidRDefault="00716471" w:rsidP="00261469">
            <w:pPr>
              <w:spacing w:after="0" w:line="240" w:lineRule="auto"/>
              <w:ind w:left="-108" w:right="-84"/>
              <w:jc w:val="center"/>
              <w:rPr>
                <w:rFonts w:ascii="Times New Roman" w:hAnsi="Times New Roman"/>
                <w:b/>
                <w:bCs/>
                <w:color w:val="000000"/>
                <w:sz w:val="24"/>
                <w:szCs w:val="24"/>
              </w:rPr>
            </w:pPr>
            <w:r w:rsidRPr="00E25EC3">
              <w:rPr>
                <w:rFonts w:ascii="Times New Roman" w:hAnsi="Times New Roman"/>
                <w:b/>
                <w:bCs/>
                <w:color w:val="000000"/>
                <w:sz w:val="24"/>
                <w:szCs w:val="24"/>
              </w:rPr>
              <w:t>Ед. измерения</w:t>
            </w:r>
          </w:p>
        </w:tc>
        <w:tc>
          <w:tcPr>
            <w:tcW w:w="2540" w:type="dxa"/>
            <w:gridSpan w:val="2"/>
            <w:tcBorders>
              <w:top w:val="single" w:sz="8" w:space="0" w:color="auto"/>
              <w:left w:val="nil"/>
              <w:bottom w:val="single" w:sz="4" w:space="0" w:color="auto"/>
              <w:right w:val="single" w:sz="8" w:space="0" w:color="000000"/>
            </w:tcBorders>
            <w:shd w:val="clear" w:color="auto" w:fill="auto"/>
            <w:vAlign w:val="center"/>
          </w:tcPr>
          <w:p w:rsidR="00716471" w:rsidRPr="00E25EC3" w:rsidRDefault="00716471" w:rsidP="00261469">
            <w:pPr>
              <w:spacing w:after="0" w:line="240" w:lineRule="auto"/>
              <w:jc w:val="center"/>
              <w:rPr>
                <w:rFonts w:ascii="Times New Roman" w:hAnsi="Times New Roman"/>
                <w:b/>
                <w:bCs/>
                <w:color w:val="000000"/>
                <w:sz w:val="24"/>
                <w:szCs w:val="24"/>
              </w:rPr>
            </w:pPr>
            <w:r w:rsidRPr="00E25EC3">
              <w:rPr>
                <w:rFonts w:ascii="Times New Roman" w:hAnsi="Times New Roman"/>
                <w:b/>
                <w:bCs/>
                <w:color w:val="000000"/>
                <w:sz w:val="24"/>
                <w:szCs w:val="24"/>
              </w:rPr>
              <w:t>Факт</w:t>
            </w:r>
          </w:p>
        </w:tc>
        <w:tc>
          <w:tcPr>
            <w:tcW w:w="11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6471" w:rsidRPr="00E25EC3" w:rsidRDefault="00716471" w:rsidP="00261469">
            <w:pPr>
              <w:spacing w:after="0" w:line="240" w:lineRule="auto"/>
              <w:ind w:left="-108" w:right="-108"/>
              <w:jc w:val="center"/>
              <w:rPr>
                <w:rFonts w:ascii="Times New Roman" w:hAnsi="Times New Roman"/>
                <w:b/>
                <w:bCs/>
                <w:color w:val="000000"/>
                <w:sz w:val="24"/>
                <w:szCs w:val="24"/>
              </w:rPr>
            </w:pPr>
            <w:r w:rsidRPr="00E25EC3">
              <w:rPr>
                <w:rFonts w:ascii="Times New Roman" w:hAnsi="Times New Roman"/>
                <w:b/>
                <w:bCs/>
                <w:color w:val="000000"/>
                <w:sz w:val="24"/>
                <w:szCs w:val="24"/>
                <w:lang w:val="en-US"/>
              </w:rPr>
              <w:t>I</w:t>
            </w:r>
            <w:r w:rsidRPr="00E25EC3">
              <w:rPr>
                <w:rFonts w:ascii="Times New Roman" w:hAnsi="Times New Roman"/>
                <w:b/>
                <w:bCs/>
                <w:color w:val="000000"/>
                <w:sz w:val="24"/>
                <w:szCs w:val="24"/>
              </w:rPr>
              <w:t xml:space="preserve"> полуг. 2015 г. к </w:t>
            </w:r>
            <w:r>
              <w:rPr>
                <w:rFonts w:ascii="Times New Roman" w:hAnsi="Times New Roman"/>
                <w:b/>
                <w:bCs/>
                <w:color w:val="000000"/>
                <w:sz w:val="24"/>
                <w:szCs w:val="24"/>
              </w:rPr>
              <w:t xml:space="preserve"> </w:t>
            </w:r>
            <w:r w:rsidR="00A23F62">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Pr="00E25EC3">
              <w:rPr>
                <w:rFonts w:ascii="Times New Roman" w:hAnsi="Times New Roman"/>
                <w:b/>
                <w:bCs/>
                <w:color w:val="000000"/>
                <w:sz w:val="24"/>
                <w:szCs w:val="24"/>
              </w:rPr>
              <w:t>I полуг. 2014 г., %</w:t>
            </w:r>
          </w:p>
        </w:tc>
      </w:tr>
      <w:tr w:rsidR="00716471" w:rsidRPr="00E25EC3" w:rsidTr="00A23F62">
        <w:trPr>
          <w:trHeight w:val="529"/>
        </w:trPr>
        <w:tc>
          <w:tcPr>
            <w:tcW w:w="4731" w:type="dxa"/>
            <w:vMerge/>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both"/>
              <w:rPr>
                <w:rFonts w:ascii="Times New Roman" w:hAnsi="Times New Roman"/>
                <w:b/>
                <w:bCs/>
                <w:color w:val="000000"/>
                <w:sz w:val="24"/>
                <w:szCs w:val="24"/>
              </w:rPr>
            </w:pPr>
          </w:p>
        </w:tc>
        <w:tc>
          <w:tcPr>
            <w:tcW w:w="127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b/>
                <w:bCs/>
                <w:color w:val="000000"/>
                <w:sz w:val="24"/>
                <w:szCs w:val="24"/>
              </w:rPr>
            </w:pPr>
          </w:p>
        </w:tc>
        <w:tc>
          <w:tcPr>
            <w:tcW w:w="1270" w:type="dxa"/>
            <w:tcBorders>
              <w:top w:val="nil"/>
              <w:left w:val="nil"/>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left="-62" w:right="-103"/>
              <w:jc w:val="center"/>
              <w:rPr>
                <w:rFonts w:ascii="Times New Roman" w:hAnsi="Times New Roman"/>
                <w:b/>
                <w:bCs/>
                <w:color w:val="000000"/>
                <w:sz w:val="24"/>
                <w:szCs w:val="24"/>
              </w:rPr>
            </w:pPr>
            <w:r w:rsidRPr="00E25EC3">
              <w:rPr>
                <w:rFonts w:ascii="Times New Roman" w:hAnsi="Times New Roman"/>
                <w:b/>
                <w:bCs/>
                <w:color w:val="000000"/>
                <w:sz w:val="24"/>
                <w:szCs w:val="24"/>
              </w:rPr>
              <w:t xml:space="preserve">За </w:t>
            </w:r>
            <w:r w:rsidRPr="00E25EC3">
              <w:rPr>
                <w:rFonts w:ascii="Times New Roman" w:hAnsi="Times New Roman"/>
                <w:b/>
                <w:bCs/>
                <w:color w:val="000000"/>
                <w:sz w:val="24"/>
                <w:szCs w:val="24"/>
                <w:lang w:val="en-US"/>
              </w:rPr>
              <w:t>I</w:t>
            </w:r>
            <w:r w:rsidRPr="00E25EC3">
              <w:rPr>
                <w:rFonts w:ascii="Times New Roman" w:hAnsi="Times New Roman"/>
                <w:b/>
                <w:bCs/>
                <w:color w:val="000000"/>
                <w:sz w:val="24"/>
                <w:szCs w:val="24"/>
              </w:rPr>
              <w:t xml:space="preserve"> полугодие 2015 г.</w:t>
            </w:r>
          </w:p>
        </w:tc>
        <w:tc>
          <w:tcPr>
            <w:tcW w:w="1270" w:type="dxa"/>
            <w:tcBorders>
              <w:top w:val="nil"/>
              <w:left w:val="nil"/>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left="-62" w:right="-103"/>
              <w:jc w:val="center"/>
              <w:rPr>
                <w:rFonts w:ascii="Times New Roman" w:hAnsi="Times New Roman"/>
                <w:b/>
                <w:bCs/>
                <w:color w:val="000000"/>
                <w:sz w:val="24"/>
                <w:szCs w:val="24"/>
              </w:rPr>
            </w:pPr>
            <w:r w:rsidRPr="00E25EC3">
              <w:rPr>
                <w:rFonts w:ascii="Times New Roman" w:hAnsi="Times New Roman"/>
                <w:b/>
                <w:bCs/>
                <w:color w:val="000000"/>
                <w:sz w:val="24"/>
                <w:szCs w:val="24"/>
              </w:rPr>
              <w:t xml:space="preserve">За </w:t>
            </w:r>
            <w:r w:rsidRPr="00E25EC3">
              <w:rPr>
                <w:rFonts w:ascii="Times New Roman" w:hAnsi="Times New Roman"/>
                <w:b/>
                <w:bCs/>
                <w:color w:val="000000"/>
                <w:sz w:val="24"/>
                <w:szCs w:val="24"/>
                <w:lang w:val="en-US"/>
              </w:rPr>
              <w:t>I</w:t>
            </w:r>
            <w:r w:rsidRPr="00E25EC3">
              <w:rPr>
                <w:rFonts w:ascii="Times New Roman" w:hAnsi="Times New Roman"/>
                <w:b/>
                <w:bCs/>
                <w:color w:val="000000"/>
                <w:sz w:val="24"/>
                <w:szCs w:val="24"/>
              </w:rPr>
              <w:t xml:space="preserve"> полугодие 2014 г.</w:t>
            </w:r>
          </w:p>
        </w:tc>
        <w:tc>
          <w:tcPr>
            <w:tcW w:w="1188" w:type="dxa"/>
            <w:vMerge/>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b/>
                <w:bCs/>
                <w:color w:val="000000"/>
                <w:sz w:val="24"/>
                <w:szCs w:val="24"/>
              </w:rPr>
            </w:pPr>
          </w:p>
        </w:tc>
      </w:tr>
      <w:tr w:rsidR="00716471" w:rsidRPr="00E25EC3" w:rsidTr="00A23F62">
        <w:trPr>
          <w:trHeight w:val="30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Количество отчитавшихся предприятий</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единиц</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4 148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3 746</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color w:val="000000"/>
                <w:sz w:val="24"/>
                <w:szCs w:val="24"/>
              </w:rPr>
            </w:pPr>
            <w:r w:rsidRPr="00E25EC3">
              <w:rPr>
                <w:rFonts w:ascii="Times New Roman" w:hAnsi="Times New Roman"/>
                <w:color w:val="000000"/>
                <w:sz w:val="24"/>
                <w:szCs w:val="24"/>
              </w:rPr>
              <w:t>110,7</w:t>
            </w:r>
          </w:p>
        </w:tc>
      </w:tr>
      <w:tr w:rsidR="00716471" w:rsidRPr="00E25EC3" w:rsidTr="00A23F62">
        <w:trPr>
          <w:trHeight w:val="262"/>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xml:space="preserve">Среднесписочная численность работников </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чел.</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20 369</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20 935</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color w:val="000000"/>
                <w:sz w:val="24"/>
                <w:szCs w:val="24"/>
              </w:rPr>
            </w:pPr>
            <w:r w:rsidRPr="00E25EC3">
              <w:rPr>
                <w:rFonts w:ascii="Times New Roman" w:hAnsi="Times New Roman"/>
                <w:color w:val="000000"/>
                <w:sz w:val="24"/>
                <w:szCs w:val="24"/>
              </w:rPr>
              <w:t>97,3</w:t>
            </w:r>
          </w:p>
        </w:tc>
      </w:tr>
      <w:tr w:rsidR="00716471" w:rsidRPr="00E25EC3" w:rsidTr="00A23F62">
        <w:trPr>
          <w:trHeight w:val="272"/>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Фонд начисленной заработной платы</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221 035,3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234 260,4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94,4</w:t>
            </w:r>
          </w:p>
        </w:tc>
      </w:tr>
      <w:tr w:rsidR="00716471" w:rsidRPr="00E25EC3" w:rsidTr="00A23F62">
        <w:trPr>
          <w:trHeight w:val="426"/>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xml:space="preserve">Среднемесячная номинальная </w:t>
            </w:r>
            <w:r>
              <w:rPr>
                <w:rFonts w:ascii="Times New Roman" w:hAnsi="Times New Roman"/>
                <w:color w:val="000000"/>
                <w:sz w:val="24"/>
                <w:szCs w:val="24"/>
              </w:rPr>
              <w:t xml:space="preserve">начисленная </w:t>
            </w:r>
            <w:r w:rsidRPr="00E25EC3">
              <w:rPr>
                <w:rFonts w:ascii="Times New Roman" w:hAnsi="Times New Roman"/>
                <w:color w:val="000000"/>
                <w:sz w:val="24"/>
                <w:szCs w:val="24"/>
              </w:rPr>
              <w:t>заработная плата одного работника</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sidRPr="00E25EC3">
              <w:rPr>
                <w:rFonts w:ascii="Times New Roman" w:hAnsi="Times New Roman"/>
                <w:color w:val="000000"/>
                <w:sz w:val="24"/>
                <w:szCs w:val="24"/>
              </w:rPr>
              <w:t>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3 327,5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3 281,0</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101,4</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Доход</w:t>
            </w:r>
            <w:r>
              <w:rPr>
                <w:rFonts w:ascii="Times New Roman" w:hAnsi="Times New Roman"/>
                <w:color w:val="000000"/>
                <w:sz w:val="24"/>
                <w:szCs w:val="24"/>
              </w:rPr>
              <w:t xml:space="preserve"> от продаж</w:t>
            </w:r>
            <w:r w:rsidRPr="00E25EC3">
              <w:rPr>
                <w:rFonts w:ascii="Times New Roman" w:hAnsi="Times New Roman"/>
                <w:color w:val="000000"/>
                <w:sz w:val="24"/>
                <w:szCs w:val="24"/>
              </w:rPr>
              <w:t xml:space="preserve"> (выручка)</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left="-94" w:right="-138"/>
              <w:rPr>
                <w:rFonts w:ascii="Times New Roman" w:hAnsi="Times New Roman"/>
                <w:sz w:val="24"/>
                <w:szCs w:val="24"/>
              </w:rPr>
            </w:pPr>
            <w:r w:rsidRPr="00E25EC3">
              <w:rPr>
                <w:rFonts w:ascii="Times New Roman" w:hAnsi="Times New Roman"/>
                <w:sz w:val="24"/>
                <w:szCs w:val="24"/>
              </w:rPr>
              <w:t>2 682 776,8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left="-78" w:right="-153"/>
              <w:jc w:val="center"/>
              <w:rPr>
                <w:rFonts w:ascii="Times New Roman" w:hAnsi="Times New Roman"/>
                <w:sz w:val="24"/>
                <w:szCs w:val="24"/>
              </w:rPr>
            </w:pPr>
            <w:r w:rsidRPr="00E25EC3">
              <w:rPr>
                <w:rFonts w:ascii="Times New Roman" w:hAnsi="Times New Roman"/>
                <w:sz w:val="24"/>
                <w:szCs w:val="24"/>
              </w:rPr>
              <w:t>1 865 575,5</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143,8</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из него по основным видам деятельности:</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808080"/>
                <w:sz w:val="24"/>
                <w:szCs w:val="24"/>
              </w:rPr>
            </w:pP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808080"/>
                <w:sz w:val="24"/>
                <w:szCs w:val="24"/>
              </w:rPr>
            </w:pP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color w:val="808080"/>
                <w:sz w:val="24"/>
                <w:szCs w:val="24"/>
              </w:rPr>
            </w:pP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промышленность</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178 620,6</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234 201,3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76,3</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сельское хозяйство</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141 003,6</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126 301,3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111,6</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транспорт</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39 682,4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30 801,4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128,8</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строительство</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95 424,3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100 903,3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94,6</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торговля и общепит</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left="-94" w:right="-138"/>
              <w:jc w:val="center"/>
              <w:rPr>
                <w:rFonts w:ascii="Times New Roman" w:hAnsi="Times New Roman"/>
                <w:sz w:val="24"/>
                <w:szCs w:val="24"/>
              </w:rPr>
            </w:pPr>
            <w:r w:rsidRPr="00E25EC3">
              <w:rPr>
                <w:rFonts w:ascii="Times New Roman" w:hAnsi="Times New Roman"/>
                <w:sz w:val="24"/>
                <w:szCs w:val="24"/>
              </w:rPr>
              <w:t>2 027 351,3</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left="-78" w:right="-153"/>
              <w:jc w:val="center"/>
              <w:rPr>
                <w:rFonts w:ascii="Times New Roman" w:hAnsi="Times New Roman"/>
                <w:sz w:val="24"/>
                <w:szCs w:val="24"/>
              </w:rPr>
            </w:pPr>
            <w:r w:rsidRPr="00E25EC3">
              <w:rPr>
                <w:rFonts w:ascii="Times New Roman" w:hAnsi="Times New Roman"/>
                <w:sz w:val="24"/>
                <w:szCs w:val="24"/>
              </w:rPr>
              <w:t>1 169 614,3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в 1,7 р.</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общая коммерческая деятельность</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28 726,7</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35 476,9</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81,0</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 отдых и туризм</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12 255,7</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16 915,4</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72,5</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Объем розничного товарооборота</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479 466,0</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501 020,3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95,7</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Объем платных услуг</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82 871,0</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86 392,5</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95,9</w:t>
            </w:r>
          </w:p>
        </w:tc>
      </w:tr>
      <w:tr w:rsidR="00716471" w:rsidRPr="00E25EC3" w:rsidTr="00A23F62">
        <w:trPr>
          <w:trHeight w:val="283"/>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sidRPr="00E25EC3">
              <w:rPr>
                <w:rFonts w:ascii="Times New Roman" w:hAnsi="Times New Roman"/>
                <w:color w:val="000000"/>
                <w:sz w:val="24"/>
                <w:szCs w:val="24"/>
              </w:rPr>
              <w:t>Инвестиции в основной капитал</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107 925,8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sidRPr="00E25EC3">
              <w:rPr>
                <w:rFonts w:ascii="Times New Roman" w:hAnsi="Times New Roman"/>
                <w:sz w:val="24"/>
                <w:szCs w:val="24"/>
              </w:rPr>
              <w:t>93 439,3</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sidRPr="00E25EC3">
              <w:rPr>
                <w:rFonts w:ascii="Times New Roman" w:hAnsi="Times New Roman"/>
                <w:sz w:val="24"/>
                <w:szCs w:val="24"/>
              </w:rPr>
              <w:t>115,5</w:t>
            </w:r>
          </w:p>
        </w:tc>
      </w:tr>
      <w:tr w:rsidR="00716471" w:rsidRPr="00E25EC3" w:rsidTr="00A23F62">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Pr="00E25EC3" w:rsidRDefault="00716471" w:rsidP="00261469">
            <w:pPr>
              <w:spacing w:after="0" w:line="240" w:lineRule="auto"/>
              <w:ind w:right="-108"/>
              <w:rPr>
                <w:rFonts w:ascii="Times New Roman" w:hAnsi="Times New Roman"/>
                <w:color w:val="000000"/>
                <w:sz w:val="24"/>
                <w:szCs w:val="24"/>
              </w:rPr>
            </w:pPr>
            <w:r>
              <w:rPr>
                <w:rFonts w:ascii="Times New Roman" w:hAnsi="Times New Roman"/>
                <w:color w:val="000000"/>
                <w:sz w:val="24"/>
                <w:szCs w:val="24"/>
              </w:rPr>
              <w:t>Платежи в бюджет и внебюджетные фонды (фактически внесено), в том числе:</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153 891,8</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164 679,2</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Pr="00E25EC3" w:rsidRDefault="00716471" w:rsidP="00261469">
            <w:pPr>
              <w:spacing w:after="0" w:line="240" w:lineRule="auto"/>
              <w:ind w:right="-108"/>
              <w:jc w:val="center"/>
              <w:rPr>
                <w:rFonts w:ascii="Times New Roman" w:hAnsi="Times New Roman"/>
                <w:sz w:val="24"/>
                <w:szCs w:val="24"/>
              </w:rPr>
            </w:pPr>
            <w:r>
              <w:rPr>
                <w:rFonts w:ascii="Times New Roman" w:hAnsi="Times New Roman"/>
                <w:sz w:val="24"/>
                <w:szCs w:val="24"/>
              </w:rPr>
              <w:t>93,4</w:t>
            </w:r>
          </w:p>
        </w:tc>
      </w:tr>
      <w:tr w:rsidR="00716471" w:rsidRPr="00E25EC3" w:rsidTr="00A23F62">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Default="00716471" w:rsidP="00261469">
            <w:pPr>
              <w:spacing w:after="0" w:line="240" w:lineRule="auto"/>
              <w:ind w:right="-108"/>
              <w:rPr>
                <w:rFonts w:ascii="Times New Roman" w:hAnsi="Times New Roman"/>
                <w:color w:val="000000"/>
                <w:sz w:val="24"/>
                <w:szCs w:val="24"/>
              </w:rPr>
            </w:pPr>
            <w:r>
              <w:rPr>
                <w:rFonts w:ascii="Times New Roman" w:hAnsi="Times New Roman"/>
                <w:color w:val="000000"/>
                <w:sz w:val="24"/>
                <w:szCs w:val="24"/>
              </w:rPr>
              <w:t>- налог на доходы организаций</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55 153,0</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62 189,8</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ind w:right="-108"/>
              <w:jc w:val="center"/>
              <w:rPr>
                <w:rFonts w:ascii="Times New Roman" w:hAnsi="Times New Roman"/>
                <w:sz w:val="24"/>
                <w:szCs w:val="24"/>
              </w:rPr>
            </w:pPr>
            <w:r>
              <w:rPr>
                <w:rFonts w:ascii="Times New Roman" w:hAnsi="Times New Roman"/>
                <w:sz w:val="24"/>
                <w:szCs w:val="24"/>
              </w:rPr>
              <w:t>88,7</w:t>
            </w:r>
          </w:p>
        </w:tc>
      </w:tr>
      <w:tr w:rsidR="00716471" w:rsidRPr="00E25EC3" w:rsidTr="00A23F62">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Default="00716471" w:rsidP="00261469">
            <w:pPr>
              <w:spacing w:after="0" w:line="240" w:lineRule="auto"/>
              <w:ind w:right="-108"/>
              <w:rPr>
                <w:rFonts w:ascii="Times New Roman" w:hAnsi="Times New Roman"/>
                <w:color w:val="000000"/>
                <w:sz w:val="24"/>
                <w:szCs w:val="24"/>
              </w:rPr>
            </w:pPr>
            <w:r>
              <w:rPr>
                <w:rFonts w:ascii="Times New Roman" w:hAnsi="Times New Roman"/>
                <w:color w:val="000000"/>
                <w:sz w:val="24"/>
                <w:szCs w:val="24"/>
              </w:rPr>
              <w:t>- единый социальный налог</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52 059,4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55 361,5</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ind w:right="-108"/>
              <w:jc w:val="center"/>
              <w:rPr>
                <w:rFonts w:ascii="Times New Roman" w:hAnsi="Times New Roman"/>
                <w:sz w:val="24"/>
                <w:szCs w:val="24"/>
              </w:rPr>
            </w:pPr>
            <w:r>
              <w:rPr>
                <w:rFonts w:ascii="Times New Roman" w:hAnsi="Times New Roman"/>
                <w:sz w:val="24"/>
                <w:szCs w:val="24"/>
              </w:rPr>
              <w:t>94,0</w:t>
            </w:r>
          </w:p>
        </w:tc>
      </w:tr>
      <w:tr w:rsidR="00716471" w:rsidRPr="00E25EC3" w:rsidTr="00A23F62">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Default="00716471" w:rsidP="00261469">
            <w:pPr>
              <w:spacing w:after="0" w:line="240" w:lineRule="auto"/>
              <w:ind w:right="-108"/>
              <w:rPr>
                <w:rFonts w:ascii="Times New Roman" w:hAnsi="Times New Roman"/>
                <w:color w:val="000000"/>
                <w:sz w:val="24"/>
                <w:szCs w:val="24"/>
              </w:rPr>
            </w:pPr>
            <w:r>
              <w:rPr>
                <w:rFonts w:ascii="Times New Roman" w:hAnsi="Times New Roman"/>
                <w:color w:val="000000"/>
                <w:sz w:val="24"/>
                <w:szCs w:val="24"/>
              </w:rPr>
              <w:t>- подоходный налог с физических лиц</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14 514,9</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17 673,6</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ind w:right="-108"/>
              <w:jc w:val="center"/>
              <w:rPr>
                <w:rFonts w:ascii="Times New Roman" w:hAnsi="Times New Roman"/>
                <w:sz w:val="24"/>
                <w:szCs w:val="24"/>
              </w:rPr>
            </w:pPr>
            <w:r>
              <w:rPr>
                <w:rFonts w:ascii="Times New Roman" w:hAnsi="Times New Roman"/>
                <w:sz w:val="24"/>
                <w:szCs w:val="24"/>
              </w:rPr>
              <w:t>82,1</w:t>
            </w:r>
          </w:p>
        </w:tc>
      </w:tr>
      <w:tr w:rsidR="00716471" w:rsidRPr="00E25EC3" w:rsidTr="00A23F62">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Default="00716471" w:rsidP="00261469">
            <w:pPr>
              <w:spacing w:after="0" w:line="240" w:lineRule="auto"/>
              <w:ind w:right="-108"/>
              <w:rPr>
                <w:rFonts w:ascii="Times New Roman" w:hAnsi="Times New Roman"/>
                <w:color w:val="000000"/>
                <w:sz w:val="24"/>
                <w:szCs w:val="24"/>
              </w:rPr>
            </w:pPr>
            <w:r>
              <w:rPr>
                <w:rFonts w:ascii="Times New Roman" w:hAnsi="Times New Roman"/>
                <w:color w:val="000000"/>
                <w:sz w:val="24"/>
                <w:szCs w:val="24"/>
              </w:rPr>
              <w:t>- земельный налог</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4 827,4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4 658,9</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ind w:right="-108"/>
              <w:jc w:val="center"/>
              <w:rPr>
                <w:rFonts w:ascii="Times New Roman" w:hAnsi="Times New Roman"/>
                <w:sz w:val="24"/>
                <w:szCs w:val="24"/>
              </w:rPr>
            </w:pPr>
            <w:r>
              <w:rPr>
                <w:rFonts w:ascii="Times New Roman" w:hAnsi="Times New Roman"/>
                <w:sz w:val="24"/>
                <w:szCs w:val="24"/>
              </w:rPr>
              <w:t>103,6</w:t>
            </w:r>
          </w:p>
        </w:tc>
      </w:tr>
      <w:tr w:rsidR="00716471" w:rsidRPr="00E25EC3" w:rsidTr="00A23F62">
        <w:trPr>
          <w:trHeight w:val="157"/>
        </w:trPr>
        <w:tc>
          <w:tcPr>
            <w:tcW w:w="4731" w:type="dxa"/>
            <w:tcBorders>
              <w:top w:val="single" w:sz="8" w:space="0" w:color="auto"/>
              <w:left w:val="single" w:sz="8" w:space="0" w:color="auto"/>
              <w:bottom w:val="single" w:sz="8" w:space="0" w:color="auto"/>
              <w:right w:val="single" w:sz="8" w:space="0" w:color="auto"/>
            </w:tcBorders>
            <w:shd w:val="clear" w:color="auto" w:fill="auto"/>
          </w:tcPr>
          <w:p w:rsidR="00716471" w:rsidRDefault="00716471" w:rsidP="00261469">
            <w:pPr>
              <w:spacing w:after="0" w:line="240" w:lineRule="auto"/>
              <w:ind w:right="-108"/>
              <w:rPr>
                <w:rFonts w:ascii="Times New Roman" w:hAnsi="Times New Roman"/>
                <w:color w:val="000000"/>
                <w:sz w:val="24"/>
                <w:szCs w:val="24"/>
              </w:rPr>
            </w:pPr>
            <w:r>
              <w:rPr>
                <w:rFonts w:ascii="Times New Roman" w:hAnsi="Times New Roman"/>
                <w:color w:val="000000"/>
                <w:sz w:val="24"/>
                <w:szCs w:val="24"/>
              </w:rPr>
              <w:t>- акцизы</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тыс</w:t>
            </w:r>
            <w:r w:rsidRPr="00E25EC3">
              <w:rPr>
                <w:rFonts w:ascii="Times New Roman" w:hAnsi="Times New Roman"/>
                <w:color w:val="000000"/>
                <w:sz w:val="24"/>
                <w:szCs w:val="24"/>
              </w:rPr>
              <w:t>. руб.</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11 085,7</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jc w:val="center"/>
              <w:rPr>
                <w:rFonts w:ascii="Times New Roman" w:hAnsi="Times New Roman"/>
                <w:sz w:val="24"/>
                <w:szCs w:val="24"/>
              </w:rPr>
            </w:pPr>
            <w:r>
              <w:rPr>
                <w:rFonts w:ascii="Times New Roman" w:hAnsi="Times New Roman"/>
                <w:sz w:val="24"/>
                <w:szCs w:val="24"/>
              </w:rPr>
              <w:t>2 680,7</w:t>
            </w:r>
          </w:p>
        </w:tc>
        <w:tc>
          <w:tcPr>
            <w:tcW w:w="1188" w:type="dxa"/>
            <w:tcBorders>
              <w:top w:val="single" w:sz="8" w:space="0" w:color="auto"/>
              <w:left w:val="single" w:sz="8" w:space="0" w:color="auto"/>
              <w:bottom w:val="single" w:sz="8" w:space="0" w:color="auto"/>
              <w:right w:val="single" w:sz="8" w:space="0" w:color="auto"/>
            </w:tcBorders>
            <w:shd w:val="clear" w:color="auto" w:fill="auto"/>
            <w:vAlign w:val="center"/>
          </w:tcPr>
          <w:p w:rsidR="00716471" w:rsidRDefault="00716471" w:rsidP="00261469">
            <w:pPr>
              <w:spacing w:after="0" w:line="240" w:lineRule="auto"/>
              <w:ind w:right="-108"/>
              <w:jc w:val="center"/>
              <w:rPr>
                <w:rFonts w:ascii="Times New Roman" w:hAnsi="Times New Roman"/>
                <w:sz w:val="24"/>
                <w:szCs w:val="24"/>
              </w:rPr>
            </w:pPr>
            <w:r>
              <w:rPr>
                <w:rFonts w:ascii="Times New Roman" w:hAnsi="Times New Roman"/>
                <w:sz w:val="24"/>
                <w:szCs w:val="24"/>
              </w:rPr>
              <w:t>в 4,1 р.</w:t>
            </w:r>
          </w:p>
        </w:tc>
      </w:tr>
    </w:tbl>
    <w:p w:rsidR="006F6442" w:rsidRDefault="006F6442" w:rsidP="002361A2"/>
    <w:sectPr w:rsidR="006F6442" w:rsidSect="00E57013">
      <w:pgSz w:w="11906" w:h="16838"/>
      <w:pgMar w:top="1134" w:right="720"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6F6" w:rsidRDefault="000436F6" w:rsidP="0009759B">
      <w:pPr>
        <w:spacing w:after="0" w:line="240" w:lineRule="auto"/>
      </w:pPr>
      <w:r>
        <w:separator/>
      </w:r>
    </w:p>
  </w:endnote>
  <w:endnote w:type="continuationSeparator" w:id="1">
    <w:p w:rsidR="000436F6" w:rsidRDefault="000436F6" w:rsidP="00097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New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3E3" w:rsidRDefault="00BB569E" w:rsidP="003F67B2">
    <w:pPr>
      <w:pStyle w:val="af2"/>
      <w:framePr w:wrap="around" w:vAnchor="text" w:hAnchor="margin" w:xAlign="right" w:y="1"/>
      <w:rPr>
        <w:rStyle w:val="af7"/>
      </w:rPr>
    </w:pPr>
    <w:r>
      <w:rPr>
        <w:rStyle w:val="af7"/>
      </w:rPr>
      <w:fldChar w:fldCharType="begin"/>
    </w:r>
    <w:r w:rsidR="003613E3">
      <w:rPr>
        <w:rStyle w:val="af7"/>
      </w:rPr>
      <w:instrText xml:space="preserve">PAGE  </w:instrText>
    </w:r>
    <w:r>
      <w:rPr>
        <w:rStyle w:val="af7"/>
      </w:rPr>
      <w:fldChar w:fldCharType="end"/>
    </w:r>
  </w:p>
  <w:p w:rsidR="003613E3" w:rsidRDefault="003613E3" w:rsidP="003F67B2">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3E3" w:rsidRDefault="00BB569E" w:rsidP="003F67B2">
    <w:pPr>
      <w:pStyle w:val="af2"/>
      <w:framePr w:wrap="around" w:vAnchor="text" w:hAnchor="margin" w:xAlign="right" w:y="1"/>
      <w:rPr>
        <w:rStyle w:val="af7"/>
      </w:rPr>
    </w:pPr>
    <w:r>
      <w:rPr>
        <w:rStyle w:val="af7"/>
      </w:rPr>
      <w:fldChar w:fldCharType="begin"/>
    </w:r>
    <w:r w:rsidR="003613E3">
      <w:rPr>
        <w:rStyle w:val="af7"/>
      </w:rPr>
      <w:instrText xml:space="preserve">PAGE  </w:instrText>
    </w:r>
    <w:r>
      <w:rPr>
        <w:rStyle w:val="af7"/>
      </w:rPr>
      <w:fldChar w:fldCharType="separate"/>
    </w:r>
    <w:r w:rsidR="00825523">
      <w:rPr>
        <w:rStyle w:val="af7"/>
        <w:noProof/>
      </w:rPr>
      <w:t>75</w:t>
    </w:r>
    <w:r>
      <w:rPr>
        <w:rStyle w:val="af7"/>
      </w:rPr>
      <w:fldChar w:fldCharType="end"/>
    </w:r>
  </w:p>
  <w:p w:rsidR="003613E3" w:rsidRDefault="003613E3" w:rsidP="003F67B2">
    <w:pPr>
      <w:pStyle w:val="af2"/>
      <w:ind w:right="360"/>
      <w:jc w:val="right"/>
    </w:pPr>
  </w:p>
  <w:p w:rsidR="003613E3" w:rsidRDefault="003613E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6F6" w:rsidRDefault="000436F6" w:rsidP="0009759B">
      <w:pPr>
        <w:spacing w:after="0" w:line="240" w:lineRule="auto"/>
      </w:pPr>
      <w:r>
        <w:separator/>
      </w:r>
    </w:p>
  </w:footnote>
  <w:footnote w:type="continuationSeparator" w:id="1">
    <w:p w:rsidR="000436F6" w:rsidRDefault="000436F6" w:rsidP="000975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E61"/>
    <w:multiLevelType w:val="hybridMultilevel"/>
    <w:tmpl w:val="B2F02A5C"/>
    <w:lvl w:ilvl="0" w:tplc="335825B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335844"/>
    <w:rsid w:val="00003EF6"/>
    <w:rsid w:val="00005D3C"/>
    <w:rsid w:val="00034BEF"/>
    <w:rsid w:val="000436F6"/>
    <w:rsid w:val="00057CA6"/>
    <w:rsid w:val="00071E07"/>
    <w:rsid w:val="0007541F"/>
    <w:rsid w:val="000806BE"/>
    <w:rsid w:val="0009396E"/>
    <w:rsid w:val="000943F5"/>
    <w:rsid w:val="0009759B"/>
    <w:rsid w:val="000A3FF8"/>
    <w:rsid w:val="00132C09"/>
    <w:rsid w:val="00196C8F"/>
    <w:rsid w:val="002153BA"/>
    <w:rsid w:val="002230CC"/>
    <w:rsid w:val="002361A2"/>
    <w:rsid w:val="002524A9"/>
    <w:rsid w:val="00261469"/>
    <w:rsid w:val="002619F6"/>
    <w:rsid w:val="00282C86"/>
    <w:rsid w:val="003028B7"/>
    <w:rsid w:val="0032086A"/>
    <w:rsid w:val="00335844"/>
    <w:rsid w:val="003613E3"/>
    <w:rsid w:val="003733BF"/>
    <w:rsid w:val="00374673"/>
    <w:rsid w:val="003F67B2"/>
    <w:rsid w:val="00406BFA"/>
    <w:rsid w:val="00415F99"/>
    <w:rsid w:val="0041685A"/>
    <w:rsid w:val="0044462C"/>
    <w:rsid w:val="00475A52"/>
    <w:rsid w:val="004839A0"/>
    <w:rsid w:val="004905EE"/>
    <w:rsid w:val="00494A9C"/>
    <w:rsid w:val="0049581A"/>
    <w:rsid w:val="004B6D4D"/>
    <w:rsid w:val="004C5F3F"/>
    <w:rsid w:val="005018DA"/>
    <w:rsid w:val="00513069"/>
    <w:rsid w:val="00590F6F"/>
    <w:rsid w:val="005B5A6A"/>
    <w:rsid w:val="005C0F1D"/>
    <w:rsid w:val="005F7704"/>
    <w:rsid w:val="0063092C"/>
    <w:rsid w:val="00641EB5"/>
    <w:rsid w:val="00652529"/>
    <w:rsid w:val="00667003"/>
    <w:rsid w:val="00682EED"/>
    <w:rsid w:val="00690DBF"/>
    <w:rsid w:val="006C3634"/>
    <w:rsid w:val="006D713A"/>
    <w:rsid w:val="006F6442"/>
    <w:rsid w:val="00703FA6"/>
    <w:rsid w:val="00716471"/>
    <w:rsid w:val="00722024"/>
    <w:rsid w:val="007316BD"/>
    <w:rsid w:val="0073305E"/>
    <w:rsid w:val="00747D66"/>
    <w:rsid w:val="00787577"/>
    <w:rsid w:val="007A2EE2"/>
    <w:rsid w:val="007B14B0"/>
    <w:rsid w:val="007D50AD"/>
    <w:rsid w:val="008022A1"/>
    <w:rsid w:val="00825523"/>
    <w:rsid w:val="00830EBC"/>
    <w:rsid w:val="008623ED"/>
    <w:rsid w:val="00862B36"/>
    <w:rsid w:val="00872ACE"/>
    <w:rsid w:val="008B5F4B"/>
    <w:rsid w:val="008B783B"/>
    <w:rsid w:val="008C7AFF"/>
    <w:rsid w:val="008D41F7"/>
    <w:rsid w:val="008E524B"/>
    <w:rsid w:val="008F70F5"/>
    <w:rsid w:val="00905FE6"/>
    <w:rsid w:val="00937826"/>
    <w:rsid w:val="00950524"/>
    <w:rsid w:val="009717AC"/>
    <w:rsid w:val="009843C8"/>
    <w:rsid w:val="009E1383"/>
    <w:rsid w:val="009E463D"/>
    <w:rsid w:val="00A06803"/>
    <w:rsid w:val="00A218CA"/>
    <w:rsid w:val="00A23F62"/>
    <w:rsid w:val="00A278C2"/>
    <w:rsid w:val="00A471FD"/>
    <w:rsid w:val="00A57742"/>
    <w:rsid w:val="00A61992"/>
    <w:rsid w:val="00AF42F2"/>
    <w:rsid w:val="00B0566B"/>
    <w:rsid w:val="00B2311D"/>
    <w:rsid w:val="00B3408A"/>
    <w:rsid w:val="00B34F82"/>
    <w:rsid w:val="00B5001E"/>
    <w:rsid w:val="00B54282"/>
    <w:rsid w:val="00B82901"/>
    <w:rsid w:val="00B830EB"/>
    <w:rsid w:val="00B9157B"/>
    <w:rsid w:val="00B953F1"/>
    <w:rsid w:val="00B96ECC"/>
    <w:rsid w:val="00BB3679"/>
    <w:rsid w:val="00BB569E"/>
    <w:rsid w:val="00BC044C"/>
    <w:rsid w:val="00BC7E62"/>
    <w:rsid w:val="00BE10EB"/>
    <w:rsid w:val="00BE3886"/>
    <w:rsid w:val="00C34F7A"/>
    <w:rsid w:val="00C84F2A"/>
    <w:rsid w:val="00C85BAC"/>
    <w:rsid w:val="00C92DA9"/>
    <w:rsid w:val="00C94C0B"/>
    <w:rsid w:val="00CA1A34"/>
    <w:rsid w:val="00CB3639"/>
    <w:rsid w:val="00CC2D9B"/>
    <w:rsid w:val="00CE11FA"/>
    <w:rsid w:val="00CE1DEA"/>
    <w:rsid w:val="00D25279"/>
    <w:rsid w:val="00D54854"/>
    <w:rsid w:val="00D57ABD"/>
    <w:rsid w:val="00D75287"/>
    <w:rsid w:val="00D80FCA"/>
    <w:rsid w:val="00DB2613"/>
    <w:rsid w:val="00DC6DB7"/>
    <w:rsid w:val="00DD0B3F"/>
    <w:rsid w:val="00E20379"/>
    <w:rsid w:val="00E26FAD"/>
    <w:rsid w:val="00E27A44"/>
    <w:rsid w:val="00E57013"/>
    <w:rsid w:val="00E66F58"/>
    <w:rsid w:val="00E7353B"/>
    <w:rsid w:val="00F05AE5"/>
    <w:rsid w:val="00F34FEB"/>
    <w:rsid w:val="00F600B6"/>
    <w:rsid w:val="00F83CB3"/>
    <w:rsid w:val="00FA59F9"/>
    <w:rsid w:val="00FB5017"/>
    <w:rsid w:val="00FC3D67"/>
    <w:rsid w:val="00FE5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844"/>
    <w:rPr>
      <w:rFonts w:ascii="Calibri" w:eastAsia="Times New Roman" w:hAnsi="Calibri" w:cs="Times New Roman"/>
      <w:lang w:eastAsia="ru-RU"/>
    </w:rPr>
  </w:style>
  <w:style w:type="paragraph" w:styleId="1">
    <w:name w:val="heading 1"/>
    <w:basedOn w:val="a"/>
    <w:next w:val="a"/>
    <w:link w:val="10"/>
    <w:uiPriority w:val="99"/>
    <w:qFormat/>
    <w:rsid w:val="00335844"/>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33584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335844"/>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5844"/>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335844"/>
    <w:rPr>
      <w:rFonts w:ascii="Cambria" w:eastAsia="Times New Roman" w:hAnsi="Cambria" w:cs="Times New Roman"/>
      <w:b/>
      <w:bCs/>
      <w:color w:val="4F81BD"/>
    </w:rPr>
  </w:style>
  <w:style w:type="character" w:customStyle="1" w:styleId="40">
    <w:name w:val="Заголовок 4 Знак"/>
    <w:basedOn w:val="a0"/>
    <w:link w:val="4"/>
    <w:uiPriority w:val="99"/>
    <w:rsid w:val="00335844"/>
    <w:rPr>
      <w:rFonts w:ascii="Times New Roman" w:eastAsia="Times New Roman" w:hAnsi="Times New Roman" w:cs="Times New Roman"/>
      <w:b/>
      <w:bCs/>
      <w:sz w:val="28"/>
      <w:szCs w:val="28"/>
    </w:rPr>
  </w:style>
  <w:style w:type="character" w:styleId="a3">
    <w:name w:val="Hyperlink"/>
    <w:uiPriority w:val="99"/>
    <w:rsid w:val="00335844"/>
    <w:rPr>
      <w:rFonts w:cs="Times New Roman"/>
      <w:color w:val="0000FF"/>
      <w:u w:val="single"/>
    </w:rPr>
  </w:style>
  <w:style w:type="paragraph" w:styleId="a4">
    <w:name w:val="No Spacing"/>
    <w:link w:val="a5"/>
    <w:uiPriority w:val="99"/>
    <w:qFormat/>
    <w:rsid w:val="00335844"/>
    <w:pPr>
      <w:spacing w:after="0" w:line="240" w:lineRule="auto"/>
      <w:ind w:firstLine="709"/>
      <w:jc w:val="both"/>
    </w:pPr>
    <w:rPr>
      <w:rFonts w:ascii="Times New Roman" w:eastAsia="Times New Roman" w:hAnsi="Times New Roman" w:cs="Times New Roman"/>
      <w:sz w:val="24"/>
      <w:lang w:eastAsia="ru-RU"/>
    </w:rPr>
  </w:style>
  <w:style w:type="character" w:customStyle="1" w:styleId="a5">
    <w:name w:val="Без интервала Знак"/>
    <w:link w:val="a4"/>
    <w:uiPriority w:val="99"/>
    <w:locked/>
    <w:rsid w:val="00335844"/>
    <w:rPr>
      <w:rFonts w:ascii="Times New Roman" w:eastAsia="Times New Roman" w:hAnsi="Times New Roman" w:cs="Times New Roman"/>
      <w:sz w:val="24"/>
      <w:lang w:eastAsia="ru-RU"/>
    </w:rPr>
  </w:style>
  <w:style w:type="paragraph" w:styleId="a6">
    <w:name w:val="List Paragraph"/>
    <w:basedOn w:val="a"/>
    <w:uiPriority w:val="34"/>
    <w:qFormat/>
    <w:rsid w:val="00335844"/>
    <w:pPr>
      <w:ind w:left="720"/>
      <w:contextualSpacing/>
    </w:pPr>
  </w:style>
  <w:style w:type="paragraph" w:styleId="a7">
    <w:name w:val="Balloon Text"/>
    <w:basedOn w:val="a"/>
    <w:link w:val="a8"/>
    <w:uiPriority w:val="99"/>
    <w:semiHidden/>
    <w:rsid w:val="00335844"/>
    <w:pPr>
      <w:spacing w:after="0" w:line="240" w:lineRule="auto"/>
    </w:pPr>
    <w:rPr>
      <w:rFonts w:ascii="Tahoma" w:hAnsi="Tahoma"/>
      <w:sz w:val="16"/>
      <w:szCs w:val="16"/>
    </w:rPr>
  </w:style>
  <w:style w:type="character" w:customStyle="1" w:styleId="a8">
    <w:name w:val="Текст выноски Знак"/>
    <w:basedOn w:val="a0"/>
    <w:link w:val="a7"/>
    <w:uiPriority w:val="99"/>
    <w:semiHidden/>
    <w:rsid w:val="00335844"/>
    <w:rPr>
      <w:rFonts w:ascii="Tahoma" w:eastAsia="Times New Roman" w:hAnsi="Tahoma" w:cs="Times New Roman"/>
      <w:sz w:val="16"/>
      <w:szCs w:val="16"/>
    </w:rPr>
  </w:style>
  <w:style w:type="paragraph" w:customStyle="1" w:styleId="2">
    <w:name w:val="сновной текст с отступом 2"/>
    <w:basedOn w:val="a"/>
    <w:uiPriority w:val="99"/>
    <w:rsid w:val="00335844"/>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335844"/>
    <w:pPr>
      <w:spacing w:after="120" w:line="480" w:lineRule="auto"/>
      <w:ind w:left="283"/>
    </w:pPr>
  </w:style>
  <w:style w:type="character" w:customStyle="1" w:styleId="21">
    <w:name w:val="Основной текст с отступом 2 Знак"/>
    <w:basedOn w:val="a0"/>
    <w:link w:val="20"/>
    <w:uiPriority w:val="99"/>
    <w:semiHidden/>
    <w:rsid w:val="00335844"/>
    <w:rPr>
      <w:rFonts w:ascii="Calibri" w:eastAsia="Times New Roman" w:hAnsi="Calibri" w:cs="Times New Roman"/>
    </w:rPr>
  </w:style>
  <w:style w:type="paragraph" w:styleId="31">
    <w:name w:val="Body Text Indent 3"/>
    <w:basedOn w:val="a"/>
    <w:link w:val="32"/>
    <w:uiPriority w:val="99"/>
    <w:semiHidden/>
    <w:rsid w:val="00335844"/>
    <w:pPr>
      <w:spacing w:after="120"/>
      <w:ind w:left="283"/>
    </w:pPr>
    <w:rPr>
      <w:sz w:val="16"/>
      <w:szCs w:val="16"/>
    </w:rPr>
  </w:style>
  <w:style w:type="character" w:customStyle="1" w:styleId="32">
    <w:name w:val="Основной текст с отступом 3 Знак"/>
    <w:basedOn w:val="a0"/>
    <w:link w:val="31"/>
    <w:uiPriority w:val="99"/>
    <w:semiHidden/>
    <w:rsid w:val="00335844"/>
    <w:rPr>
      <w:rFonts w:ascii="Calibri" w:eastAsia="Times New Roman" w:hAnsi="Calibri" w:cs="Times New Roman"/>
      <w:sz w:val="16"/>
      <w:szCs w:val="16"/>
    </w:rPr>
  </w:style>
  <w:style w:type="character" w:customStyle="1" w:styleId="FontStyle186">
    <w:name w:val="Font Style186"/>
    <w:uiPriority w:val="99"/>
    <w:rsid w:val="00335844"/>
    <w:rPr>
      <w:rFonts w:ascii="Sylfaen" w:hAnsi="Sylfaen" w:cs="Sylfaen"/>
      <w:i/>
      <w:iCs/>
      <w:spacing w:val="-10"/>
      <w:sz w:val="22"/>
      <w:szCs w:val="22"/>
    </w:rPr>
  </w:style>
  <w:style w:type="character" w:customStyle="1" w:styleId="FontStyle183">
    <w:name w:val="Font Style183"/>
    <w:uiPriority w:val="99"/>
    <w:rsid w:val="00335844"/>
    <w:rPr>
      <w:rFonts w:ascii="Sylfaen" w:hAnsi="Sylfaen" w:cs="Sylfaen"/>
      <w:sz w:val="20"/>
      <w:szCs w:val="20"/>
    </w:rPr>
  </w:style>
  <w:style w:type="paragraph" w:customStyle="1" w:styleId="Style26">
    <w:name w:val="Style26"/>
    <w:basedOn w:val="a"/>
    <w:rsid w:val="00335844"/>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rsid w:val="00335844"/>
    <w:pPr>
      <w:spacing w:after="0" w:line="240" w:lineRule="auto"/>
    </w:pPr>
    <w:rPr>
      <w:rFonts w:ascii="Calibri" w:eastAsia="Times New Roman" w:hAnsi="Calibri" w:cs="Times New Roman"/>
      <w:lang w:eastAsia="ru-RU"/>
    </w:rPr>
  </w:style>
  <w:style w:type="paragraph" w:styleId="22">
    <w:name w:val="Body Text 2"/>
    <w:basedOn w:val="a"/>
    <w:link w:val="23"/>
    <w:rsid w:val="00335844"/>
    <w:pPr>
      <w:spacing w:after="120" w:line="480" w:lineRule="auto"/>
    </w:pPr>
  </w:style>
  <w:style w:type="character" w:customStyle="1" w:styleId="23">
    <w:name w:val="Основной текст 2 Знак"/>
    <w:basedOn w:val="a0"/>
    <w:link w:val="22"/>
    <w:rsid w:val="00335844"/>
    <w:rPr>
      <w:rFonts w:ascii="Calibri" w:eastAsia="Times New Roman" w:hAnsi="Calibri" w:cs="Times New Roman"/>
    </w:rPr>
  </w:style>
  <w:style w:type="paragraph" w:styleId="a9">
    <w:name w:val="caption"/>
    <w:basedOn w:val="a"/>
    <w:next w:val="a"/>
    <w:uiPriority w:val="35"/>
    <w:qFormat/>
    <w:rsid w:val="00335844"/>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Знак,Текст Знак Знак"/>
    <w:basedOn w:val="a"/>
    <w:link w:val="33"/>
    <w:rsid w:val="00335844"/>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link w:val="aa"/>
    <w:locked/>
    <w:rsid w:val="00335844"/>
    <w:rPr>
      <w:rFonts w:ascii="Courier New" w:eastAsia="Times New Roman" w:hAnsi="Courier New" w:cs="Times New Roman"/>
      <w:sz w:val="20"/>
      <w:szCs w:val="20"/>
    </w:rPr>
  </w:style>
  <w:style w:type="character" w:customStyle="1" w:styleId="ab">
    <w:name w:val="Текст Знак"/>
    <w:basedOn w:val="a0"/>
    <w:link w:val="aa"/>
    <w:rsid w:val="00335844"/>
    <w:rPr>
      <w:rFonts w:ascii="Consolas" w:eastAsia="Times New Roman" w:hAnsi="Consolas" w:cs="Times New Roman"/>
      <w:sz w:val="21"/>
      <w:szCs w:val="21"/>
      <w:lang w:eastAsia="ru-RU"/>
    </w:rPr>
  </w:style>
  <w:style w:type="character" w:customStyle="1" w:styleId="ac">
    <w:name w:val="Основной текст Знак"/>
    <w:aliases w:val="Знак3 Знак"/>
    <w:link w:val="ad"/>
    <w:locked/>
    <w:rsid w:val="00335844"/>
    <w:rPr>
      <w:rFonts w:cs="Times New Roman"/>
    </w:rPr>
  </w:style>
  <w:style w:type="paragraph" w:styleId="ad">
    <w:name w:val="Body Text"/>
    <w:aliases w:val="Знак3"/>
    <w:basedOn w:val="a"/>
    <w:link w:val="ac"/>
    <w:rsid w:val="00335844"/>
    <w:pPr>
      <w:spacing w:after="120" w:line="240" w:lineRule="auto"/>
    </w:pPr>
    <w:rPr>
      <w:rFonts w:asciiTheme="minorHAnsi" w:eastAsiaTheme="minorHAnsi" w:hAnsiTheme="minorHAnsi"/>
      <w:lang w:eastAsia="en-US"/>
    </w:rPr>
  </w:style>
  <w:style w:type="character" w:customStyle="1" w:styleId="12">
    <w:name w:val="Основной текст Знак1"/>
    <w:basedOn w:val="a0"/>
    <w:link w:val="ad"/>
    <w:uiPriority w:val="99"/>
    <w:semiHidden/>
    <w:rsid w:val="00335844"/>
    <w:rPr>
      <w:rFonts w:ascii="Calibri" w:eastAsia="Times New Roman" w:hAnsi="Calibri" w:cs="Times New Roman"/>
      <w:lang w:eastAsia="ru-RU"/>
    </w:rPr>
  </w:style>
  <w:style w:type="character" w:customStyle="1" w:styleId="BodyTextChar1">
    <w:name w:val="Body Text Char1"/>
    <w:aliases w:val="Знак3 Char1"/>
    <w:uiPriority w:val="99"/>
    <w:semiHidden/>
    <w:rsid w:val="00335844"/>
    <w:rPr>
      <w:rFonts w:ascii="Calibri" w:hAnsi="Calibri"/>
    </w:rPr>
  </w:style>
  <w:style w:type="paragraph" w:customStyle="1" w:styleId="13">
    <w:name w:val="Обычный (веб)1"/>
    <w:basedOn w:val="a"/>
    <w:rsid w:val="00335844"/>
    <w:pPr>
      <w:spacing w:after="0" w:line="240" w:lineRule="auto"/>
    </w:pPr>
    <w:rPr>
      <w:rFonts w:ascii="Arial" w:hAnsi="Arial" w:cs="Arial"/>
      <w:sz w:val="24"/>
      <w:szCs w:val="24"/>
    </w:rPr>
  </w:style>
  <w:style w:type="paragraph" w:customStyle="1" w:styleId="ae">
    <w:name w:val="Нормальный"/>
    <w:basedOn w:val="a"/>
    <w:rsid w:val="00335844"/>
    <w:pPr>
      <w:spacing w:after="0" w:line="240" w:lineRule="auto"/>
      <w:jc w:val="both"/>
    </w:pPr>
    <w:rPr>
      <w:rFonts w:ascii="Times New Roman" w:hAnsi="Times New Roman"/>
      <w:sz w:val="28"/>
      <w:szCs w:val="20"/>
    </w:rPr>
  </w:style>
  <w:style w:type="character" w:customStyle="1" w:styleId="af">
    <w:name w:val="Основной текст_"/>
    <w:rsid w:val="00335844"/>
    <w:rPr>
      <w:rFonts w:ascii="Times New Roman" w:hAnsi="Times New Roman" w:cs="Times New Roman"/>
      <w:sz w:val="27"/>
      <w:szCs w:val="27"/>
      <w:u w:val="none"/>
    </w:rPr>
  </w:style>
  <w:style w:type="paragraph" w:styleId="af0">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
    <w:basedOn w:val="a"/>
    <w:link w:val="af1"/>
    <w:uiPriority w:val="99"/>
    <w:rsid w:val="00335844"/>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веб) Знак1 Знак1,Обычный (веб) Знак Знак Знак2,Знак Знак3 Знак1,Знак4 Знак2,Знак4 Знак Знак Знак1,Знак4 Знак Знак2,Обычный (Web)1 Знак1,Обычный (веб) Знак Знак1 Знак1,Знак Знак1 Знак Знак1,Обычный (веб) Знак Знак Знак Знак"/>
    <w:link w:val="af0"/>
    <w:rsid w:val="00335844"/>
    <w:rPr>
      <w:rFonts w:ascii="Times New Roman" w:eastAsia="Times New Roman" w:hAnsi="Times New Roman" w:cs="Times New Roman"/>
      <w:sz w:val="24"/>
      <w:szCs w:val="24"/>
    </w:rPr>
  </w:style>
  <w:style w:type="paragraph" w:styleId="af2">
    <w:name w:val="footer"/>
    <w:basedOn w:val="a"/>
    <w:link w:val="af3"/>
    <w:rsid w:val="00335844"/>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basedOn w:val="a0"/>
    <w:link w:val="af2"/>
    <w:rsid w:val="00335844"/>
    <w:rPr>
      <w:rFonts w:ascii="Times New Roman" w:eastAsia="Times New Roman" w:hAnsi="Times New Roman" w:cs="Times New Roman"/>
      <w:sz w:val="20"/>
      <w:szCs w:val="20"/>
    </w:rPr>
  </w:style>
  <w:style w:type="table" w:styleId="af4">
    <w:name w:val="Table Grid"/>
    <w:basedOn w:val="a1"/>
    <w:rsid w:val="0033584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rsid w:val="00335844"/>
    <w:pPr>
      <w:spacing w:after="0" w:line="240" w:lineRule="auto"/>
      <w:ind w:firstLine="709"/>
      <w:jc w:val="both"/>
    </w:pPr>
    <w:rPr>
      <w:rFonts w:ascii="Times New Roman" w:eastAsia="Times New Roman" w:hAnsi="Times New Roman" w:cs="Times New Roman"/>
      <w:sz w:val="24"/>
      <w:szCs w:val="24"/>
      <w:lang w:eastAsia="ru-RU"/>
    </w:rPr>
  </w:style>
  <w:style w:type="paragraph" w:styleId="af5">
    <w:name w:val="header"/>
    <w:basedOn w:val="a"/>
    <w:link w:val="af6"/>
    <w:uiPriority w:val="99"/>
    <w:semiHidden/>
    <w:rsid w:val="00335844"/>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335844"/>
    <w:rPr>
      <w:rFonts w:ascii="Calibri" w:eastAsia="Times New Roman" w:hAnsi="Calibri" w:cs="Times New Roman"/>
    </w:rPr>
  </w:style>
  <w:style w:type="character" w:styleId="af7">
    <w:name w:val="page number"/>
    <w:uiPriority w:val="99"/>
    <w:rsid w:val="00335844"/>
    <w:rPr>
      <w:rFonts w:cs="Times New Roman"/>
    </w:rPr>
  </w:style>
  <w:style w:type="paragraph" w:styleId="af8">
    <w:name w:val="Body Text Indent"/>
    <w:basedOn w:val="a"/>
    <w:link w:val="af9"/>
    <w:uiPriority w:val="99"/>
    <w:unhideWhenUsed/>
    <w:rsid w:val="00335844"/>
    <w:pPr>
      <w:spacing w:after="120"/>
      <w:ind w:left="283"/>
    </w:pPr>
    <w:rPr>
      <w:rFonts w:eastAsia="Calibri"/>
    </w:rPr>
  </w:style>
  <w:style w:type="character" w:customStyle="1" w:styleId="af9">
    <w:name w:val="Основной текст с отступом Знак"/>
    <w:basedOn w:val="a0"/>
    <w:link w:val="af8"/>
    <w:uiPriority w:val="99"/>
    <w:rsid w:val="00335844"/>
    <w:rPr>
      <w:rFonts w:ascii="Calibri" w:eastAsia="Calibri" w:hAnsi="Calibri" w:cs="Times New Roman"/>
    </w:rPr>
  </w:style>
  <w:style w:type="character" w:customStyle="1" w:styleId="34">
    <w:name w:val="Основной текст (3)_"/>
    <w:link w:val="35"/>
    <w:rsid w:val="00335844"/>
    <w:rPr>
      <w:b/>
      <w:bCs/>
      <w:sz w:val="27"/>
      <w:szCs w:val="27"/>
      <w:shd w:val="clear" w:color="auto" w:fill="FFFFFF"/>
    </w:rPr>
  </w:style>
  <w:style w:type="paragraph" w:customStyle="1" w:styleId="35">
    <w:name w:val="Основной текст (3)"/>
    <w:basedOn w:val="a"/>
    <w:link w:val="34"/>
    <w:rsid w:val="00335844"/>
    <w:pPr>
      <w:widowControl w:val="0"/>
      <w:shd w:val="clear" w:color="auto" w:fill="FFFFFF"/>
      <w:spacing w:after="0" w:line="322" w:lineRule="exact"/>
      <w:ind w:firstLine="580"/>
      <w:jc w:val="both"/>
    </w:pPr>
    <w:rPr>
      <w:rFonts w:asciiTheme="minorHAnsi" w:eastAsiaTheme="minorHAnsi" w:hAnsiTheme="minorHAnsi" w:cstheme="minorBidi"/>
      <w:b/>
      <w:bCs/>
      <w:sz w:val="27"/>
      <w:szCs w:val="27"/>
      <w:lang w:eastAsia="en-US"/>
    </w:rPr>
  </w:style>
  <w:style w:type="character" w:customStyle="1" w:styleId="afa">
    <w:name w:val="Подпись к таблице_"/>
    <w:link w:val="afb"/>
    <w:rsid w:val="00335844"/>
    <w:rPr>
      <w:b/>
      <w:bCs/>
      <w:sz w:val="27"/>
      <w:szCs w:val="27"/>
      <w:shd w:val="clear" w:color="auto" w:fill="FFFFFF"/>
    </w:rPr>
  </w:style>
  <w:style w:type="paragraph" w:customStyle="1" w:styleId="afb">
    <w:name w:val="Подпись к таблице"/>
    <w:basedOn w:val="a"/>
    <w:link w:val="afa"/>
    <w:rsid w:val="00335844"/>
    <w:pPr>
      <w:widowControl w:val="0"/>
      <w:shd w:val="clear" w:color="auto" w:fill="FFFFFF"/>
      <w:spacing w:after="0" w:line="240" w:lineRule="atLeast"/>
    </w:pPr>
    <w:rPr>
      <w:rFonts w:asciiTheme="minorHAnsi" w:eastAsiaTheme="minorHAnsi" w:hAnsiTheme="minorHAnsi" w:cstheme="minorBidi"/>
      <w:b/>
      <w:bCs/>
      <w:sz w:val="27"/>
      <w:szCs w:val="27"/>
      <w:lang w:eastAsia="en-US"/>
    </w:rPr>
  </w:style>
  <w:style w:type="paragraph" w:styleId="afc">
    <w:name w:val="Block Text"/>
    <w:basedOn w:val="a"/>
    <w:rsid w:val="00335844"/>
    <w:pPr>
      <w:widowControl w:val="0"/>
      <w:suppressAutoHyphens/>
      <w:snapToGrid w:val="0"/>
      <w:spacing w:after="0" w:line="240" w:lineRule="auto"/>
      <w:ind w:left="-32" w:right="-92"/>
      <w:jc w:val="center"/>
    </w:pPr>
    <w:rPr>
      <w:rFonts w:ascii="Times New Roman" w:hAnsi="Times New Roman"/>
      <w:b/>
      <w:sz w:val="20"/>
      <w:szCs w:val="20"/>
    </w:rPr>
  </w:style>
  <w:style w:type="table" w:customStyle="1" w:styleId="14">
    <w:name w:val="Сетка таблицы1"/>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бычный (веб) Знак2"/>
    <w:aliases w:val="Обычный (веб)1 Знак,Обычный (веб) Знак Знак2,Обычный (веб) Знак1 Знак,Обычный (веб) Знак Знак Знак1,Знак Знак3 Знак,Знак4 Знак1,Знак4 Знак Знак Знак,Знак4 Знак Знак1,Обычный (Web)1 Знак,Обычный (веб) Знак Знак1 Знак"/>
    <w:locked/>
    <w:rsid w:val="003F67B2"/>
    <w:rPr>
      <w:rFonts w:ascii="Times New Roman" w:eastAsia="Times New Roman" w:hAnsi="Times New Roman" w:cs="Times New Roman"/>
      <w:sz w:val="24"/>
      <w:szCs w:val="24"/>
    </w:rPr>
  </w:style>
  <w:style w:type="paragraph" w:customStyle="1" w:styleId="37">
    <w:name w:val="Без интервала3"/>
    <w:rsid w:val="00F83CB3"/>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0.xml"/><Relationship Id="rId68" Type="http://schemas.openxmlformats.org/officeDocument/2006/relationships/chart" Target="charts/chart55.xml"/><Relationship Id="rId76" Type="http://schemas.openxmlformats.org/officeDocument/2006/relationships/chart" Target="charts/chart63.xml"/><Relationship Id="rId84" Type="http://schemas.openxmlformats.org/officeDocument/2006/relationships/chart" Target="charts/chart71.xml"/><Relationship Id="rId7" Type="http://schemas.openxmlformats.org/officeDocument/2006/relationships/endnotes" Target="endnotes.xml"/><Relationship Id="rId71" Type="http://schemas.openxmlformats.org/officeDocument/2006/relationships/chart" Target="charts/chart58.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image" Target="media/image11.emf"/><Relationship Id="rId66" Type="http://schemas.openxmlformats.org/officeDocument/2006/relationships/chart" Target="charts/chart53.xml"/><Relationship Id="rId74" Type="http://schemas.openxmlformats.org/officeDocument/2006/relationships/chart" Target="charts/chart61.xml"/><Relationship Id="rId79" Type="http://schemas.openxmlformats.org/officeDocument/2006/relationships/chart" Target="charts/chart66.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8.xml"/><Relationship Id="rId82" Type="http://schemas.openxmlformats.org/officeDocument/2006/relationships/chart" Target="charts/chart69.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chart" Target="charts/chart64.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chart" Target="charts/chart7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image" Target="media/image12.emf"/><Relationship Id="rId67" Type="http://schemas.openxmlformats.org/officeDocument/2006/relationships/chart" Target="charts/chart54.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chart" Target="charts/chart7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image" Target="media/image10.emf"/><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image" Target="media/image13.emf"/><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jpeg"/><Relationship Id="rId6" Type="http://schemas.openxmlformats.org/officeDocument/2006/relationships/package" Target="../embeddings/_____Microsoft_Office_Excel25.xlsx"/><Relationship Id="rId5" Type="http://schemas.openxmlformats.org/officeDocument/2006/relationships/image" Target="../media/image7.jpeg"/><Relationship Id="rId4" Type="http://schemas.openxmlformats.org/officeDocument/2006/relationships/image" Target="../media/image6.jpeg"/></Relationships>
</file>

<file path=word/charts/_rels/chart2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4.jpeg"/><Relationship Id="rId6" Type="http://schemas.openxmlformats.org/officeDocument/2006/relationships/package" Target="../embeddings/_____Microsoft_Office_Excel26.xlsx"/><Relationship Id="rId5" Type="http://schemas.openxmlformats.org/officeDocument/2006/relationships/image" Target="../media/image7.jpeg"/><Relationship Id="rId4" Type="http://schemas.openxmlformats.org/officeDocument/2006/relationships/image" Target="../media/image6.jpeg"/></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file:///D:\&#1052;&#1054;&#1048;%20&#1044;&#1054;&#1050;&#1059;&#1052;&#1045;&#1053;&#1058;&#1067;\&#1044;&#1080;&#1072;&#1075;&#1088;&#1072;&#1084;&#1084;&#1099;%20&#1082;%20&#1076;&#1086;&#1082;&#1083;&#1072;&#1076;&#1091;%20&#1048;&#1085;&#1074;&#1077;&#1089;-&#1072;&#1103;%20&#1076;&#1077;&#1103;&#1090;-&#1090;&#1100;%20&#1079;&#1072;%202012-2013%20&#1075;&#1075;\&#1080;&#1085;&#1074;-&#1072;&#1103;%20&#1076;&#1077;&#1103;&#1090;-&#1090;&#1100;%202012-2013%20&#1075;&#1075;._&#1048;&#1074;&#1072;&#1085;&#1086;&#1074;&#1072;.xlsx" TargetMode="External"/><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oleObject" Target="file:///D:\&#1052;&#1054;&#1048;%20&#1044;&#1054;&#1050;&#1059;&#1052;&#1045;&#1053;&#1058;&#1067;\&#1044;&#1080;&#1072;&#1075;&#1088;&#1072;&#1084;&#1084;&#1099;%20&#1082;%20&#1076;&#1086;&#1082;&#1083;&#1072;&#1076;&#1091;%20&#1048;&#1085;&#1074;&#1077;&#1089;-&#1072;&#1103;%20&#1076;&#1077;&#1103;&#1090;-&#1090;&#1100;%20&#1079;&#1072;%202012-2013%20&#1075;&#1075;\&#1080;&#1085;&#1074;-&#1072;&#1103;%20&#1076;&#1077;&#1103;&#1090;-&#1090;&#1100;%202012-2013%20&#1075;&#1075;._&#1048;&#1074;&#1072;&#1085;&#1086;&#1074;&#1072;.xlsx" TargetMode="External"/><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Office_Excel40.xlsx"/><Relationship Id="rId2" Type="http://schemas.openxmlformats.org/officeDocument/2006/relationships/image" Target="../media/image9.jpeg"/><Relationship Id="rId1" Type="http://schemas.openxmlformats.org/officeDocument/2006/relationships/themeOverride" Target="../theme/themeOverride3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Office_Excel41.xlsx"/><Relationship Id="rId2" Type="http://schemas.openxmlformats.org/officeDocument/2006/relationships/image" Target="../media/image9.jpeg"/><Relationship Id="rId1" Type="http://schemas.openxmlformats.org/officeDocument/2006/relationships/themeOverride" Target="../theme/themeOverride3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Office_Excel42.xlsx"/><Relationship Id="rId2" Type="http://schemas.openxmlformats.org/officeDocument/2006/relationships/image" Target="../media/image9.jpeg"/><Relationship Id="rId1" Type="http://schemas.openxmlformats.org/officeDocument/2006/relationships/themeOverride" Target="../theme/themeOverride3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Office_Excel43.xlsx"/><Relationship Id="rId2" Type="http://schemas.openxmlformats.org/officeDocument/2006/relationships/image" Target="../media/image9.jpeg"/><Relationship Id="rId1" Type="http://schemas.openxmlformats.org/officeDocument/2006/relationships/themeOverride" Target="../theme/themeOverride3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Office_Excel49.xlsx"/><Relationship Id="rId2" Type="http://schemas.openxmlformats.org/officeDocument/2006/relationships/image" Target="../media/image5.jpeg"/><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Office_Excel50.xlsx"/><Relationship Id="rId2" Type="http://schemas.openxmlformats.org/officeDocument/2006/relationships/image" Target="../media/image5.jpeg"/><Relationship Id="rId1" Type="http://schemas.openxmlformats.org/officeDocument/2006/relationships/themeOverride" Target="../theme/themeOverride42.xml"/></Relationships>
</file>

<file path=word/charts/_rels/chart5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4.jpeg"/><Relationship Id="rId1" Type="http://schemas.openxmlformats.org/officeDocument/2006/relationships/themeOverride" Target="../theme/themeOverride43.xml"/><Relationship Id="rId4" Type="http://schemas.openxmlformats.org/officeDocument/2006/relationships/package" Target="../embeddings/_____Microsoft_Office_Excel51.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5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5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5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5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5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5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8.xml"/></Relationships>
</file>

<file path=word/charts/_rels/chart6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4.jpeg"/><Relationship Id="rId1" Type="http://schemas.openxmlformats.org/officeDocument/2006/relationships/themeOverride" Target="../theme/themeOverride59.xml"/><Relationship Id="rId5" Type="http://schemas.openxmlformats.org/officeDocument/2006/relationships/package" Target="../embeddings/_____Microsoft_Office_Excel67.xlsx"/><Relationship Id="rId4" Type="http://schemas.openxmlformats.org/officeDocument/2006/relationships/image" Target="../media/image15.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4.jpeg"/><Relationship Id="rId1" Type="http://schemas.openxmlformats.org/officeDocument/2006/relationships/themeOverride" Target="../theme/themeOverride60.xml"/><Relationship Id="rId5" Type="http://schemas.openxmlformats.org/officeDocument/2006/relationships/package" Target="../embeddings/_____Microsoft_Office_Excel68.xlsx"/><Relationship Id="rId4" Type="http://schemas.openxmlformats.org/officeDocument/2006/relationships/image" Target="../media/image15.jpeg"/></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6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6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6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4089347079037996"/>
          <c:y val="4.0780141843972113E-2"/>
          <c:w val="0.58734982332156505"/>
          <c:h val="0.49271517784416402"/>
        </c:manualLayout>
      </c:layout>
      <c:lineChart>
        <c:grouping val="standard"/>
        <c:ser>
          <c:idx val="0"/>
          <c:order val="0"/>
          <c:tx>
            <c:strRef>
              <c:f>Лист1!$B$1</c:f>
              <c:strCache>
                <c:ptCount val="1"/>
                <c:pt idx="0">
                  <c:v>Валовой внутренний продукт (в текущих ценах), млн. долл. США</c:v>
                </c:pt>
              </c:strCache>
            </c:strRef>
          </c:tx>
          <c:spPr>
            <a:ln>
              <a:solidFill>
                <a:schemeClr val="accent3">
                  <a:lumMod val="75000"/>
                </a:schemeClr>
              </a:solidFill>
            </a:ln>
          </c:spPr>
          <c:marker>
            <c:spPr>
              <a:ln cap="sq">
                <a:solidFill>
                  <a:schemeClr val="accent3">
                    <a:lumMod val="75000"/>
                  </a:schemeClr>
                </a:solidFill>
                <a:bevel/>
              </a:ln>
            </c:spPr>
          </c:marker>
          <c:dLbls>
            <c:dLbl>
              <c:idx val="0"/>
              <c:layout>
                <c:manualLayout>
                  <c:x val="-3.0721966205837187E-2"/>
                  <c:y val="6.000000000000099E-2"/>
                </c:manualLayout>
              </c:layout>
              <c:tx>
                <c:rich>
                  <a:bodyPr/>
                  <a:lstStyle/>
                  <a:p>
                    <a:r>
                      <a:rPr lang="ru-RU" sz="800" b="1">
                        <a:latin typeface="Times New Roman" pitchFamily="18" charset="0"/>
                        <a:cs typeface="Times New Roman" pitchFamily="18" charset="0"/>
                      </a:rPr>
                      <a:t>+1,0%*</a:t>
                    </a:r>
                    <a:endParaRPr lang="en-US" sz="800" b="1">
                      <a:latin typeface="Times New Roman" pitchFamily="18" charset="0"/>
                      <a:cs typeface="Times New Roman" pitchFamily="18" charset="0"/>
                    </a:endParaRPr>
                  </a:p>
                </c:rich>
              </c:tx>
              <c:dLblPos val="t"/>
              <c:showVal val="1"/>
            </c:dLbl>
            <c:dLbl>
              <c:idx val="1"/>
              <c:layout>
                <c:manualLayout>
                  <c:x val="4.4935927126756814E-2"/>
                  <c:y val="0.15611800022003244"/>
                </c:manualLayout>
              </c:layout>
              <c:tx>
                <c:rich>
                  <a:bodyPr/>
                  <a:lstStyle/>
                  <a:p>
                    <a:r>
                      <a:rPr lang="ru-RU" sz="800" b="1">
                        <a:latin typeface="Times New Roman" pitchFamily="18" charset="0"/>
                        <a:cs typeface="Times New Roman" pitchFamily="18" charset="0"/>
                      </a:rPr>
                      <a:t>-19,2%*</a:t>
                    </a:r>
                  </a:p>
                  <a:p>
                    <a:endParaRPr lang="en-US" sz="800" b="1">
                      <a:latin typeface="Times New Roman" pitchFamily="18" charset="0"/>
                      <a:cs typeface="Times New Roman" pitchFamily="18" charset="0"/>
                    </a:endParaRPr>
                  </a:p>
                </c:rich>
              </c:tx>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Лист1!$A$2:$A$3</c:f>
              <c:strCache>
                <c:ptCount val="2"/>
                <c:pt idx="0">
                  <c:v>январь-июнь 2014 года</c:v>
                </c:pt>
                <c:pt idx="1">
                  <c:v>январь - июнь 2015 года</c:v>
                </c:pt>
              </c:strCache>
            </c:strRef>
          </c:cat>
          <c:val>
            <c:numRef>
              <c:f>Лист1!$B$2:$B$3</c:f>
              <c:numCache>
                <c:formatCode>#,##0.0</c:formatCode>
                <c:ptCount val="2"/>
                <c:pt idx="0">
                  <c:v>415.9</c:v>
                </c:pt>
                <c:pt idx="1">
                  <c:v>338.1</c:v>
                </c:pt>
              </c:numCache>
            </c:numRef>
          </c:val>
        </c:ser>
        <c:dLbls>
          <c:showVal val="1"/>
        </c:dLbls>
        <c:marker val="1"/>
        <c:axId val="146669568"/>
        <c:axId val="146671872"/>
      </c:lineChart>
      <c:catAx>
        <c:axId val="146669568"/>
        <c:scaling>
          <c:orientation val="minMax"/>
        </c:scaling>
        <c:axPos val="b"/>
        <c:tickLblPos val="nextTo"/>
        <c:crossAx val="146671872"/>
        <c:crosses val="autoZero"/>
        <c:auto val="1"/>
        <c:lblAlgn val="ctr"/>
        <c:lblOffset val="100"/>
      </c:catAx>
      <c:valAx>
        <c:axId val="146671872"/>
        <c:scaling>
          <c:orientation val="minMax"/>
          <c:max val="600"/>
          <c:min val="300"/>
        </c:scaling>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реальный прирост ВВП</a:t>
                </a:r>
              </a:p>
            </c:rich>
          </c:tx>
          <c:layout>
            <c:manualLayout>
              <c:xMode val="edge"/>
              <c:yMode val="edge"/>
              <c:x val="4.623164996119377E-2"/>
              <c:y val="0.3209821069636295"/>
            </c:manualLayout>
          </c:layout>
        </c:title>
        <c:numFmt formatCode="#,##0.0" sourceLinked="1"/>
        <c:tickLblPos val="nextTo"/>
        <c:txPr>
          <a:bodyPr/>
          <a:lstStyle/>
          <a:p>
            <a:pPr>
              <a:defRPr lang="ru-RU" b="1">
                <a:latin typeface="Times New Roman" pitchFamily="18" charset="0"/>
                <a:cs typeface="Times New Roman" pitchFamily="18" charset="0"/>
              </a:defRPr>
            </a:pPr>
            <a:endParaRPr lang="ru-RU"/>
          </a:p>
        </c:txPr>
        <c:crossAx val="146669568"/>
        <c:crosses val="autoZero"/>
        <c:crossBetween val="between"/>
        <c:majorUnit val="1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62">
                <a:latin typeface="Times New Roman" pitchFamily="18" charset="0"/>
                <a:cs typeface="Times New Roman" pitchFamily="18" charset="0"/>
              </a:defRPr>
            </a:pPr>
            <a:r>
              <a:rPr lang="ru-RU" sz="1100">
                <a:latin typeface="Times New Roman" pitchFamily="18" charset="0"/>
                <a:cs typeface="Times New Roman" pitchFamily="18" charset="0"/>
              </a:rPr>
              <a:t>Динамика валовой продукции сельского хозяйства</a:t>
            </a:r>
          </a:p>
        </c:rich>
      </c:tx>
      <c:layout>
        <c:manualLayout>
          <c:xMode val="edge"/>
          <c:yMode val="edge"/>
          <c:x val="0.30687436428171488"/>
          <c:y val="5.2500285290425733E-2"/>
        </c:manualLayout>
      </c:layout>
    </c:title>
    <c:plotArea>
      <c:layout/>
      <c:barChart>
        <c:barDir val="col"/>
        <c:grouping val="clustered"/>
        <c:ser>
          <c:idx val="0"/>
          <c:order val="0"/>
          <c:tx>
            <c:strRef>
              <c:f>Лист1!$B$1</c:f>
              <c:strCache>
                <c:ptCount val="1"/>
                <c:pt idx="0">
                  <c:v>Валовая продукция сельского хозяйства (во всех категориях хозяйств), млн. руб.</c:v>
                </c:pt>
              </c:strCache>
            </c:strRef>
          </c:tx>
          <c:dLbls>
            <c:dLbl>
              <c:idx val="0"/>
              <c:tx>
                <c:rich>
                  <a:bodyPr/>
                  <a:lstStyle/>
                  <a:p>
                    <a:r>
                      <a:rPr lang="ru-RU" sz="872" b="1">
                        <a:latin typeface="Times New Roman" pitchFamily="18" charset="0"/>
                        <a:cs typeface="Times New Roman" pitchFamily="18" charset="0"/>
                      </a:rPr>
                      <a:t>+6,6%*</a:t>
                    </a:r>
                    <a:endParaRPr lang="en-US" sz="900" b="1">
                      <a:latin typeface="Times New Roman" pitchFamily="18" charset="0"/>
                      <a:cs typeface="Times New Roman" pitchFamily="18" charset="0"/>
                    </a:endParaRPr>
                  </a:p>
                </c:rich>
              </c:tx>
              <c:dLblPos val="outEnd"/>
            </c:dLbl>
            <c:dLbl>
              <c:idx val="1"/>
              <c:tx>
                <c:rich>
                  <a:bodyPr/>
                  <a:lstStyle/>
                  <a:p>
                    <a:r>
                      <a:rPr lang="ru-RU" sz="872" b="1">
                        <a:latin typeface="Times New Roman" pitchFamily="18" charset="0"/>
                        <a:cs typeface="Times New Roman" pitchFamily="18" charset="0"/>
                      </a:rPr>
                      <a:t>+12,1%*</a:t>
                    </a:r>
                    <a:endParaRPr lang="en-US" sz="900" b="1">
                      <a:latin typeface="Times New Roman" pitchFamily="18" charset="0"/>
                      <a:cs typeface="Times New Roman" pitchFamily="18" charset="0"/>
                    </a:endParaRPr>
                  </a:p>
                </c:rich>
              </c:tx>
              <c:dLblPos val="outEnd"/>
            </c:dLbl>
            <c:txPr>
              <a:bodyPr/>
              <a:lstStyle/>
              <a:p>
                <a:pPr>
                  <a:defRPr sz="872" b="1">
                    <a:latin typeface="Times New Roman" pitchFamily="18" charset="0"/>
                    <a:cs typeface="Times New Roman" pitchFamily="18" charset="0"/>
                  </a:defRPr>
                </a:pPr>
                <a:endParaRPr lang="ru-RU"/>
              </a:p>
            </c:txPr>
            <c:dLblPos val="outEnd"/>
            <c:showVal val="1"/>
          </c:dLbls>
          <c:cat>
            <c:strRef>
              <c:f>Лист1!$A$2:$A$3</c:f>
              <c:strCache>
                <c:ptCount val="2"/>
                <c:pt idx="0">
                  <c:v>январь-июнь 2014 года</c:v>
                </c:pt>
                <c:pt idx="1">
                  <c:v>январь-июнь 2015 года</c:v>
                </c:pt>
              </c:strCache>
            </c:strRef>
          </c:cat>
          <c:val>
            <c:numRef>
              <c:f>Лист1!$B$2:$B$3</c:f>
              <c:numCache>
                <c:formatCode>General</c:formatCode>
                <c:ptCount val="2"/>
                <c:pt idx="0">
                  <c:v>415.3</c:v>
                </c:pt>
                <c:pt idx="1">
                  <c:v>438.9</c:v>
                </c:pt>
              </c:numCache>
            </c:numRef>
          </c:val>
        </c:ser>
        <c:dLbls>
          <c:showVal val="1"/>
        </c:dLbls>
        <c:axId val="138959488"/>
        <c:axId val="146706816"/>
      </c:barChart>
      <c:catAx>
        <c:axId val="138959488"/>
        <c:scaling>
          <c:orientation val="minMax"/>
        </c:scaling>
        <c:axPos val="b"/>
        <c:numFmt formatCode="General" sourceLinked="1"/>
        <c:tickLblPos val="nextTo"/>
        <c:crossAx val="146706816"/>
        <c:crosses val="autoZero"/>
        <c:auto val="1"/>
        <c:lblAlgn val="ctr"/>
        <c:lblOffset val="100"/>
      </c:catAx>
      <c:valAx>
        <c:axId val="146706816"/>
        <c:scaling>
          <c:orientation val="minMax"/>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*-темп прироста</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(в текущих ценах)</a:t>
                </a:r>
              </a:p>
            </c:rich>
          </c:tx>
          <c:layout>
            <c:manualLayout>
              <c:xMode val="edge"/>
              <c:yMode val="edge"/>
              <c:x val="5.3447282504321104E-2"/>
              <c:y val="0.32934097911675858"/>
            </c:manualLayout>
          </c:layout>
        </c:title>
        <c:numFmt formatCode="General" sourceLinked="1"/>
        <c:tickLblPos val="nextTo"/>
        <c:txPr>
          <a:bodyPr/>
          <a:lstStyle/>
          <a:p>
            <a:pPr>
              <a:defRPr b="1">
                <a:latin typeface="Times New Roman" pitchFamily="18" charset="0"/>
                <a:cs typeface="Times New Roman" pitchFamily="18" charset="0"/>
              </a:defRPr>
            </a:pPr>
            <a:endParaRPr lang="ru-RU"/>
          </a:p>
        </c:txPr>
        <c:crossAx val="138959488"/>
        <c:crosses val="autoZero"/>
        <c:crossBetween val="between"/>
        <c:majorUnit val="5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Динамика основных составляющих инфляции,%</a:t>
            </a:r>
          </a:p>
        </c:rich>
      </c:tx>
      <c:layout>
        <c:manualLayout>
          <c:xMode val="edge"/>
          <c:yMode val="edge"/>
          <c:x val="0.2526935737654103"/>
          <c:y val="0"/>
        </c:manualLayout>
      </c:layout>
    </c:title>
    <c:plotArea>
      <c:layout>
        <c:manualLayout>
          <c:layoutTarget val="inner"/>
          <c:xMode val="edge"/>
          <c:yMode val="edge"/>
          <c:x val="0.22854928756498968"/>
          <c:y val="7.0223739515078099E-2"/>
          <c:w val="0.75647424688090004"/>
          <c:h val="0.4938797423049528"/>
        </c:manualLayout>
      </c:layout>
      <c:barChart>
        <c:barDir val="col"/>
        <c:grouping val="clustered"/>
        <c:ser>
          <c:idx val="0"/>
          <c:order val="0"/>
          <c:tx>
            <c:strRef>
              <c:f>Лист1!$B$1</c:f>
              <c:strCache>
                <c:ptCount val="1"/>
                <c:pt idx="0">
                  <c:v>январь-июнь 2014 года</c:v>
                </c:pt>
              </c:strCache>
            </c:strRef>
          </c:tx>
          <c:spPr>
            <a:solidFill>
              <a:schemeClr val="accent6">
                <a:lumMod val="75000"/>
              </a:schemeClr>
            </a:solidFill>
          </c:spPr>
          <c:dLbls>
            <c:dLbl>
              <c:idx val="0"/>
              <c:layout>
                <c:manualLayout>
                  <c:x val="4.7312835895516395E-3"/>
                  <c:y val="1.9058326389356575E-2"/>
                </c:manualLayout>
              </c:layout>
              <c:tx>
                <c:rich>
                  <a:bodyPr/>
                  <a:lstStyle/>
                  <a:p>
                    <a:r>
                      <a:rPr lang="ru-RU" b="1"/>
                      <a:t>+1,96*</a:t>
                    </a:r>
                    <a:endParaRPr lang="en-US" b="1"/>
                  </a:p>
                </c:rich>
              </c:tx>
              <c:dLblPos val="outEnd"/>
              <c:showVal val="1"/>
            </c:dLbl>
            <c:dLbl>
              <c:idx val="1"/>
              <c:layout>
                <c:manualLayout>
                  <c:x val="8.547058958454163E-3"/>
                  <c:y val="2.3376172805985491E-2"/>
                </c:manualLayout>
              </c:layout>
              <c:tx>
                <c:rich>
                  <a:bodyPr/>
                  <a:lstStyle/>
                  <a:p>
                    <a:r>
                      <a:rPr lang="ru-RU" b="1"/>
                      <a:t>+2,94*</a:t>
                    </a:r>
                    <a:endParaRPr lang="en-US" b="1"/>
                  </a:p>
                </c:rich>
              </c:tx>
              <c:dLblPos val="outEnd"/>
              <c:showVal val="1"/>
            </c:dLbl>
            <c:dLbl>
              <c:idx val="2"/>
              <c:layout>
                <c:manualLayout>
                  <c:x val="-1.0685462070050239E-3"/>
                  <c:y val="1.9061051276637212E-2"/>
                </c:manualLayout>
              </c:layout>
              <c:tx>
                <c:rich>
                  <a:bodyPr/>
                  <a:lstStyle/>
                  <a:p>
                    <a:r>
                      <a:rPr lang="ru-RU" b="1"/>
                      <a:t>-1,99*</a:t>
                    </a:r>
                    <a:endParaRPr lang="en-US" b="1"/>
                  </a:p>
                </c:rich>
              </c:tx>
              <c:dLblPos val="outEnd"/>
              <c:showVal val="1"/>
            </c:dLbl>
            <c:dLbl>
              <c:idx val="3"/>
              <c:layout>
                <c:manualLayout>
                  <c:x val="5.4944442806072503E-3"/>
                  <c:y val="2.1222131716294092E-2"/>
                </c:manualLayout>
              </c:layout>
              <c:tx>
                <c:rich>
                  <a:bodyPr/>
                  <a:lstStyle/>
                  <a:p>
                    <a:r>
                      <a:rPr lang="ru-RU" b="1"/>
                      <a:t>+7,18*</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непродовольственные товары</c:v>
                </c:pt>
                <c:pt idx="3">
                  <c:v>Индекс  тарифов на услуги</c:v>
                </c:pt>
              </c:strCache>
            </c:strRef>
          </c:cat>
          <c:val>
            <c:numRef>
              <c:f>Лист1!$B$2:$B$5</c:f>
              <c:numCache>
                <c:formatCode>0.00</c:formatCode>
                <c:ptCount val="4"/>
                <c:pt idx="0">
                  <c:v>101.96000000000002</c:v>
                </c:pt>
                <c:pt idx="1">
                  <c:v>102.94000000000032</c:v>
                </c:pt>
                <c:pt idx="2">
                  <c:v>98.01</c:v>
                </c:pt>
                <c:pt idx="3">
                  <c:v>107.17999999999998</c:v>
                </c:pt>
              </c:numCache>
            </c:numRef>
          </c:val>
        </c:ser>
        <c:ser>
          <c:idx val="1"/>
          <c:order val="1"/>
          <c:tx>
            <c:strRef>
              <c:f>Лист1!$C$1</c:f>
              <c:strCache>
                <c:ptCount val="1"/>
                <c:pt idx="0">
                  <c:v>январь-июнь 2015 года</c:v>
                </c:pt>
              </c:strCache>
            </c:strRef>
          </c:tx>
          <c:spPr>
            <a:solidFill>
              <a:schemeClr val="accent5">
                <a:lumMod val="60000"/>
                <a:lumOff val="40000"/>
              </a:schemeClr>
            </a:solidFill>
          </c:spPr>
          <c:dLbls>
            <c:dLbl>
              <c:idx val="0"/>
              <c:layout>
                <c:manualLayout>
                  <c:x val="9.8082777106045273E-3"/>
                  <c:y val="2.7515813396888609E-2"/>
                </c:manualLayout>
              </c:layout>
              <c:tx>
                <c:rich>
                  <a:bodyPr/>
                  <a:lstStyle/>
                  <a:p>
                    <a:r>
                      <a:rPr lang="ru-RU" b="1"/>
                      <a:t>+0,22*</a:t>
                    </a:r>
                    <a:endParaRPr lang="en-US" b="1"/>
                  </a:p>
                </c:rich>
              </c:tx>
              <c:dLblPos val="outEnd"/>
              <c:showVal val="1"/>
            </c:dLbl>
            <c:dLbl>
              <c:idx val="1"/>
              <c:layout>
                <c:manualLayout>
                  <c:x val="9.5998767944270747E-3"/>
                  <c:y val="2.5444736074657442E-2"/>
                </c:manualLayout>
              </c:layout>
              <c:tx>
                <c:rich>
                  <a:bodyPr/>
                  <a:lstStyle/>
                  <a:p>
                    <a:r>
                      <a:rPr lang="ru-RU" b="1"/>
                      <a:t>-1,41*</a:t>
                    </a:r>
                    <a:endParaRPr lang="en-US" b="1"/>
                  </a:p>
                </c:rich>
              </c:tx>
              <c:dLblPos val="outEnd"/>
              <c:showVal val="1"/>
            </c:dLbl>
            <c:dLbl>
              <c:idx val="2"/>
              <c:layout>
                <c:manualLayout>
                  <c:x val="1.1736641534040455E-2"/>
                  <c:y val="2.8067470587155842E-2"/>
                </c:manualLayout>
              </c:layout>
              <c:tx>
                <c:rich>
                  <a:bodyPr/>
                  <a:lstStyle/>
                  <a:p>
                    <a:r>
                      <a:rPr lang="ru-RU" b="1"/>
                      <a:t>-1,62*</a:t>
                    </a:r>
                    <a:endParaRPr lang="en-US" b="1"/>
                  </a:p>
                </c:rich>
              </c:tx>
              <c:dLblPos val="outEnd"/>
              <c:showVal val="1"/>
            </c:dLbl>
            <c:dLbl>
              <c:idx val="3"/>
              <c:layout>
                <c:manualLayout>
                  <c:x val="1.2097902556187956E-2"/>
                  <c:y val="2.7602296839331887E-2"/>
                </c:manualLayout>
              </c:layout>
              <c:tx>
                <c:rich>
                  <a:bodyPr/>
                  <a:lstStyle/>
                  <a:p>
                    <a:r>
                      <a:rPr lang="ru-RU" b="1"/>
                      <a:t>+6,54*</a:t>
                    </a:r>
                    <a:endParaRPr lang="en-US" b="1"/>
                  </a:p>
                </c:rich>
              </c:tx>
              <c:dLblPos val="outEnd"/>
              <c:showVal val="1"/>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непродовольственные товары</c:v>
                </c:pt>
                <c:pt idx="3">
                  <c:v>Индекс  тарифов на услуги</c:v>
                </c:pt>
              </c:strCache>
            </c:strRef>
          </c:cat>
          <c:val>
            <c:numRef>
              <c:f>Лист1!$C$2:$C$5</c:f>
              <c:numCache>
                <c:formatCode>General</c:formatCode>
                <c:ptCount val="4"/>
                <c:pt idx="0" formatCode="0.00">
                  <c:v>100.22</c:v>
                </c:pt>
                <c:pt idx="1">
                  <c:v>98.59</c:v>
                </c:pt>
                <c:pt idx="2" formatCode="0.00">
                  <c:v>98.38</c:v>
                </c:pt>
                <c:pt idx="3" formatCode="0.00">
                  <c:v>106.54</c:v>
                </c:pt>
              </c:numCache>
            </c:numRef>
          </c:val>
        </c:ser>
        <c:axId val="147201024"/>
        <c:axId val="147219200"/>
      </c:barChart>
      <c:catAx>
        <c:axId val="147201024"/>
        <c:scaling>
          <c:orientation val="minMax"/>
        </c:scaling>
        <c:axPos val="b"/>
        <c:tickLblPos val="nextTo"/>
        <c:crossAx val="147219200"/>
        <c:crosses val="autoZero"/>
        <c:auto val="1"/>
        <c:lblAlgn val="ctr"/>
        <c:lblOffset val="100"/>
      </c:catAx>
      <c:valAx>
        <c:axId val="147219200"/>
        <c:scaling>
          <c:orientation val="minMax"/>
          <c:max val="110"/>
        </c:scaling>
        <c:axPos val="l"/>
        <c:title>
          <c:tx>
            <c:rich>
              <a:bodyPr rot="0" vert="horz"/>
              <a:lstStyle/>
              <a:p>
                <a:pPr>
                  <a:defRPr sz="900"/>
                </a:pPr>
                <a:r>
                  <a:rPr lang="ru-RU" sz="900"/>
                  <a:t>* -прирост (снижение)  индекса цен,%</a:t>
                </a:r>
              </a:p>
            </c:rich>
          </c:tx>
          <c:layout>
            <c:manualLayout>
              <c:xMode val="edge"/>
              <c:yMode val="edge"/>
              <c:x val="0"/>
              <c:y val="0.60215447428045865"/>
            </c:manualLayout>
          </c:layout>
        </c:title>
        <c:numFmt formatCode="0.00" sourceLinked="1"/>
        <c:tickLblPos val="nextTo"/>
        <c:crossAx val="147201024"/>
        <c:crosses val="autoZero"/>
        <c:crossBetween val="between"/>
        <c:minorUnit val="4"/>
      </c:valAx>
      <c:dTable>
        <c:showHorzBorder val="1"/>
        <c:showVertBorder val="1"/>
        <c:showOutline val="1"/>
        <c:showKeys val="1"/>
        <c:txPr>
          <a:bodyPr/>
          <a:lstStyle/>
          <a:p>
            <a:pPr rtl="0">
              <a:defRPr b="1"/>
            </a:pPr>
            <a:endParaRPr lang="ru-RU"/>
          </a:p>
        </c:txPr>
      </c:dTable>
      <c:spPr>
        <a:noFill/>
        <a:ln w="25400">
          <a:noFill/>
        </a:ln>
      </c:spPr>
    </c:plotArea>
    <c:plotVisOnly val="1"/>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оплаты труда, руб. ПМР </a:t>
            </a:r>
          </a:p>
        </c:rich>
      </c:tx>
      <c:layout>
        <c:manualLayout>
          <c:xMode val="edge"/>
          <c:yMode val="edge"/>
          <c:x val="0.29997419814048965"/>
          <c:y val="0"/>
        </c:manualLayout>
      </c:layout>
    </c:title>
    <c:plotArea>
      <c:layout>
        <c:manualLayout>
          <c:layoutTarget val="inner"/>
          <c:xMode val="edge"/>
          <c:yMode val="edge"/>
          <c:x val="0.27269669873700308"/>
          <c:y val="8.2880232076253627E-2"/>
          <c:w val="0.68943548455156967"/>
          <c:h val="0.52155914721186158"/>
        </c:manualLayout>
      </c:layout>
      <c:barChart>
        <c:barDir val="col"/>
        <c:grouping val="clustered"/>
        <c:ser>
          <c:idx val="0"/>
          <c:order val="0"/>
          <c:tx>
            <c:strRef>
              <c:f>Лист1!$B$1</c:f>
              <c:strCache>
                <c:ptCount val="1"/>
                <c:pt idx="0">
                  <c:v>январь-июнь 2014 года</c:v>
                </c:pt>
              </c:strCache>
            </c:strRef>
          </c:tx>
          <c:dLbls>
            <c:dLbl>
              <c:idx val="0"/>
              <c:layout>
                <c:manualLayout>
                  <c:x val="0"/>
                  <c:y val="0"/>
                </c:manualLayout>
              </c:layout>
              <c:tx>
                <c:rich>
                  <a:bodyPr/>
                  <a:lstStyle/>
                  <a:p>
                    <a:r>
                      <a:rPr lang="ru-RU" sz="800" b="1">
                        <a:latin typeface="Times New Roman" pitchFamily="18" charset="0"/>
                        <a:cs typeface="Times New Roman" pitchFamily="18" charset="0"/>
                      </a:rPr>
                      <a:t>+7,5*</a:t>
                    </a:r>
                    <a:endParaRPr lang="en-US" sz="800" b="1">
                      <a:latin typeface="Times New Roman" pitchFamily="18" charset="0"/>
                      <a:cs typeface="Times New Roman" pitchFamily="18" charset="0"/>
                    </a:endParaRPr>
                  </a:p>
                </c:rich>
              </c:tx>
              <c:dLblPos val="outEnd"/>
              <c:showVal val="1"/>
            </c:dLbl>
            <c:dLbl>
              <c:idx val="1"/>
              <c:layout>
                <c:manualLayout>
                  <c:x val="-2.0544427324087587E-3"/>
                  <c:y val="1.7543859649123032E-2"/>
                </c:manualLayout>
              </c:layout>
              <c:tx>
                <c:rich>
                  <a:bodyPr/>
                  <a:lstStyle/>
                  <a:p>
                    <a:r>
                      <a:rPr lang="ru-RU" sz="800" b="1">
                        <a:latin typeface="Times New Roman" pitchFamily="18" charset="0"/>
                        <a:cs typeface="Times New Roman" pitchFamily="18" charset="0"/>
                      </a:rPr>
                      <a:t>+6,3*</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+10,1*</a:t>
                    </a:r>
                    <a:endParaRPr lang="en-US" sz="800" b="1">
                      <a:latin typeface="Times New Roman" pitchFamily="18" charset="0"/>
                      <a:cs typeface="Times New Roman" pitchFamily="18" charset="0"/>
                    </a:endParaRPr>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Лист1!$B$2:$B$4</c:f>
              <c:numCache>
                <c:formatCode>#,##0</c:formatCode>
                <c:ptCount val="3"/>
                <c:pt idx="0">
                  <c:v>4014</c:v>
                </c:pt>
                <c:pt idx="1">
                  <c:v>5074</c:v>
                </c:pt>
                <c:pt idx="2">
                  <c:v>2721</c:v>
                </c:pt>
              </c:numCache>
            </c:numRef>
          </c:val>
        </c:ser>
        <c:ser>
          <c:idx val="1"/>
          <c:order val="1"/>
          <c:tx>
            <c:strRef>
              <c:f>Лист1!$C$1</c:f>
              <c:strCache>
                <c:ptCount val="1"/>
                <c:pt idx="0">
                  <c:v>январь-июнь 2015 года</c:v>
                </c:pt>
              </c:strCache>
            </c:strRef>
          </c:tx>
          <c:dLbls>
            <c:dLbl>
              <c:idx val="0"/>
              <c:tx>
                <c:rich>
                  <a:bodyPr/>
                  <a:lstStyle/>
                  <a:p>
                    <a:r>
                      <a:rPr lang="ru-RU" sz="800" b="1">
                        <a:latin typeface="Times New Roman" pitchFamily="18" charset="0"/>
                        <a:cs typeface="Times New Roman" pitchFamily="18" charset="0"/>
                      </a:rPr>
                      <a:t>-4,1*</a:t>
                    </a:r>
                    <a:endParaRPr lang="en-US" sz="800" b="1">
                      <a:latin typeface="Times New Roman" pitchFamily="18" charset="0"/>
                      <a:cs typeface="Times New Roman" pitchFamily="18" charset="0"/>
                    </a:endParaRPr>
                  </a:p>
                </c:rich>
              </c:tx>
              <c:dLblPos val="outEnd"/>
              <c:showVal val="1"/>
            </c:dLbl>
            <c:dLbl>
              <c:idx val="1"/>
              <c:layout>
                <c:manualLayout>
                  <c:x val="2.6368044518318152E-4"/>
                  <c:y val="1.7543859649123045E-2"/>
                </c:manualLayout>
              </c:layout>
              <c:tx>
                <c:rich>
                  <a:bodyPr/>
                  <a:lstStyle/>
                  <a:p>
                    <a:r>
                      <a:rPr lang="ru-RU" sz="800" b="1">
                        <a:latin typeface="Times New Roman" pitchFamily="18" charset="0"/>
                        <a:cs typeface="Times New Roman" pitchFamily="18" charset="0"/>
                      </a:rPr>
                      <a:t>-4,6*</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-1,1*</a:t>
                    </a:r>
                    <a:endParaRPr lang="en-US" sz="800" b="1">
                      <a:latin typeface="Times New Roman" pitchFamily="18" charset="0"/>
                      <a:cs typeface="Times New Roman" pitchFamily="18" charset="0"/>
                    </a:endParaRPr>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в целом по республике</c:v>
                </c:pt>
                <c:pt idx="1">
                  <c:v>во внебюджетном секторе экономики</c:v>
                </c:pt>
                <c:pt idx="2">
                  <c:v>в бюджетном секторе экономики</c:v>
                </c:pt>
              </c:strCache>
            </c:strRef>
          </c:cat>
          <c:val>
            <c:numRef>
              <c:f>Лист1!$C$2:$C$4</c:f>
              <c:numCache>
                <c:formatCode>#,##0</c:formatCode>
                <c:ptCount val="3"/>
                <c:pt idx="0">
                  <c:v>3839</c:v>
                </c:pt>
                <c:pt idx="1">
                  <c:v>4827</c:v>
                </c:pt>
                <c:pt idx="2">
                  <c:v>2684</c:v>
                </c:pt>
              </c:numCache>
            </c:numRef>
          </c:val>
        </c:ser>
        <c:dLbls>
          <c:showVal val="1"/>
        </c:dLbls>
        <c:axId val="131214720"/>
        <c:axId val="146695296"/>
      </c:barChart>
      <c:catAx>
        <c:axId val="131214720"/>
        <c:scaling>
          <c:orientation val="minMax"/>
        </c:scaling>
        <c:axPos val="b"/>
        <c:tickLblPos val="nextTo"/>
        <c:crossAx val="146695296"/>
        <c:crosses val="autoZero"/>
        <c:auto val="1"/>
        <c:lblAlgn val="ctr"/>
        <c:lblOffset val="100"/>
      </c:catAx>
      <c:valAx>
        <c:axId val="146695296"/>
        <c:scaling>
          <c:orientation val="minMax"/>
        </c:scaling>
        <c:axPos val="l"/>
        <c:title>
          <c:tx>
            <c:rich>
              <a:bodyPr rot="0" vert="horz"/>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*-темп реального прироста заработной платы, %</a:t>
                </a:r>
              </a:p>
            </c:rich>
          </c:tx>
        </c:title>
        <c:numFmt formatCode="#,##0" sourceLinked="1"/>
        <c:tickLblPos val="nextTo"/>
        <c:txPr>
          <a:bodyPr/>
          <a:lstStyle/>
          <a:p>
            <a:pPr>
              <a:defRPr sz="900" b="1">
                <a:latin typeface="Times New Roman" pitchFamily="18" charset="0"/>
                <a:cs typeface="Times New Roman" pitchFamily="18" charset="0"/>
              </a:defRPr>
            </a:pPr>
            <a:endParaRPr lang="ru-RU"/>
          </a:p>
        </c:txPr>
        <c:crossAx val="131214720"/>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3114802392084737"/>
          <c:y val="2.3421062946955732E-2"/>
        </c:manualLayout>
      </c:layout>
      <c:spPr>
        <a:noFill/>
        <a:ln w="25176">
          <a:noFill/>
        </a:ln>
      </c:spPr>
    </c:title>
    <c:plotArea>
      <c:layout>
        <c:manualLayout>
          <c:layoutTarget val="inner"/>
          <c:xMode val="edge"/>
          <c:yMode val="edge"/>
          <c:x val="7.4762159273115983E-2"/>
          <c:y val="8.9484514197099546E-2"/>
          <c:w val="0.91585760517799353"/>
          <c:h val="0.36311048804690088"/>
        </c:manualLayout>
      </c:layout>
      <c:lineChart>
        <c:grouping val="standard"/>
        <c:ser>
          <c:idx val="0"/>
          <c:order val="0"/>
          <c:tx>
            <c:strRef>
              <c:f>Sheet1!$A$2</c:f>
              <c:strCache>
                <c:ptCount val="1"/>
                <c:pt idx="0">
                  <c:v>I полугодие 2014 года</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9.1935863786261826E-3"/>
                  <c:y val="4.5604362347788294E-3"/>
                </c:manualLayout>
              </c:layout>
              <c:dLblPos val="t"/>
              <c:showVal val="1"/>
            </c:dLbl>
            <c:dLbl>
              <c:idx val="1"/>
              <c:layout>
                <c:manualLayout>
                  <c:x val="1.9464802476613741E-2"/>
                  <c:y val="1.6716904097679623E-2"/>
                </c:manualLayout>
              </c:layout>
              <c:dLblPos val="t"/>
              <c:showVal val="1"/>
            </c:dLbl>
            <c:dLbl>
              <c:idx val="2"/>
              <c:layout>
                <c:manualLayout>
                  <c:x val="-4.2735042735042739E-3"/>
                  <c:y val="-1.3844841721828803E-2"/>
                </c:manualLayout>
              </c:layout>
              <c:dLblPos val="t"/>
              <c:showVal val="1"/>
            </c:dLbl>
            <c:dLbl>
              <c:idx val="3"/>
              <c:layout>
                <c:manualLayout>
                  <c:x val="-2.5659532942997509E-2"/>
                  <c:y val="2.3819255297490332E-2"/>
                </c:manualLayout>
              </c:layout>
              <c:dLblPos val="t"/>
              <c:showVal val="1"/>
            </c:dLbl>
            <c:dLbl>
              <c:idx val="4"/>
              <c:layout>
                <c:manualLayout>
                  <c:x val="-2.1394945824080011E-2"/>
                  <c:y val="1.0444103292120251E-2"/>
                </c:manualLayout>
              </c:layout>
              <c:dLblPos val="t"/>
              <c:showVal val="1"/>
            </c:dLbl>
            <c:dLbl>
              <c:idx val="5"/>
              <c:layout>
                <c:manualLayout>
                  <c:x val="1.8190154115351003E-2"/>
                  <c:y val="7.1107149342181314E-3"/>
                </c:manualLayout>
              </c:layout>
              <c:dLblPos val="t"/>
              <c:showVal val="1"/>
            </c:dLbl>
            <c:dLbl>
              <c:idx val="6"/>
              <c:layout>
                <c:manualLayout>
                  <c:x val="5.9792045225118794E-3"/>
                  <c:y val="4.1535723527516812E-2"/>
                </c:manualLayout>
              </c:layout>
              <c:dLblPos val="t"/>
              <c:showVal val="1"/>
            </c:dLbl>
            <c:dLbl>
              <c:idx val="7"/>
              <c:layout>
                <c:manualLayout>
                  <c:x val="-1.3270072010229493E-2"/>
                  <c:y val="9.608610244474158E-3"/>
                </c:manualLayout>
              </c:layout>
              <c:dLblPos val="t"/>
              <c:showVal val="1"/>
            </c:dLbl>
            <c:dLbl>
              <c:idx val="8"/>
              <c:layout>
                <c:manualLayout>
                  <c:x val="1.4957264957264856E-2"/>
                  <c:y val="6.003092380748154E-2"/>
                </c:manualLayout>
              </c:layout>
              <c:dLblPos val="t"/>
              <c:showVal val="1"/>
            </c:dLbl>
            <c:dLbl>
              <c:idx val="9"/>
              <c:layout>
                <c:manualLayout>
                  <c:x val="4.2735042735042739E-3"/>
                  <c:y val="8.3857442348013751E-3"/>
                </c:manualLayout>
              </c:layout>
              <c:dLblPos val="t"/>
              <c:showVal val="1"/>
            </c:dLbl>
            <c:dLbl>
              <c:idx val="10"/>
              <c:layout>
                <c:manualLayout>
                  <c:x val="-6.6442896561006801E-3"/>
                  <c:y val="6.366716739023974E-2"/>
                </c:manualLayout>
              </c:layout>
              <c:dLblPos val="t"/>
              <c:showVal val="1"/>
            </c:dLbl>
            <c:dLbl>
              <c:idx val="11"/>
              <c:layout>
                <c:manualLayout>
                  <c:x val="-7.8346673280134786E-17"/>
                  <c:y val="9.3896713615023528E-3"/>
                </c:manualLayout>
              </c:layout>
              <c:dLblPos val="t"/>
              <c:showVal val="1"/>
            </c:dLbl>
            <c:dLbl>
              <c:idx val="12"/>
              <c:layout>
                <c:manualLayout>
                  <c:x val="-3.6270946900868999E-3"/>
                  <c:y val="5.4484007109174323E-2"/>
                </c:manualLayout>
              </c:layout>
              <c:dLblPos val="t"/>
              <c:showVal val="1"/>
            </c:dLbl>
            <c:dLbl>
              <c:idx val="13"/>
              <c:layout>
                <c:manualLayout>
                  <c:x val="2.1365838885524751E-3"/>
                  <c:y val="-3.2398465915031059E-4"/>
                </c:manualLayout>
              </c:layout>
              <c:dLblPos val="t"/>
              <c:showVal val="1"/>
            </c:dLbl>
            <c:dLbl>
              <c:idx val="14"/>
              <c:layout>
                <c:manualLayout>
                  <c:x val="-4.2735042735042739E-3"/>
                  <c:y val="1.3438540308247643E-2"/>
                </c:manualLayout>
              </c:layout>
              <c:dLblPos val="t"/>
              <c:showVal val="1"/>
            </c:dLbl>
            <c:dLbl>
              <c:idx val="15"/>
              <c:layout>
                <c:manualLayout>
                  <c:x val="-3.214381856114233E-3"/>
                  <c:y val="-6.2408865558471914E-3"/>
                </c:manualLayout>
              </c:layout>
              <c:dLblPos val="t"/>
              <c:showVal val="1"/>
            </c:dLbl>
            <c:dLbl>
              <c:idx val="16"/>
              <c:layout>
                <c:manualLayout>
                  <c:x val="-1.7543576283734128E-2"/>
                  <c:y val="1.2827987696506501E-2"/>
                </c:manualLayout>
              </c:layout>
              <c:dLblPos val="t"/>
              <c:showVal val="1"/>
            </c:dLbl>
            <c:dLbl>
              <c:idx val="17"/>
              <c:layout>
                <c:manualLayout>
                  <c:x val="-1.1939901743051361E-2"/>
                  <c:y val="1.594634004082824E-2"/>
                </c:manualLayout>
              </c:layout>
              <c:dLblPos val="t"/>
              <c:showVal val="1"/>
            </c:dLbl>
            <c:dLbl>
              <c:idx val="18"/>
              <c:layout>
                <c:manualLayout>
                  <c:x val="-1.7094017094017103E-2"/>
                  <c:y val="4.7144169871847781E-2"/>
                </c:manualLayout>
              </c:layout>
              <c:dLblPos val="t"/>
              <c:showVal val="1"/>
            </c:dLbl>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Sheet1!$B$2:$T$2</c:f>
              <c:numCache>
                <c:formatCode>0</c:formatCode>
                <c:ptCount val="19"/>
                <c:pt idx="0" formatCode="General">
                  <c:v>5102</c:v>
                </c:pt>
                <c:pt idx="1">
                  <c:v>3175</c:v>
                </c:pt>
                <c:pt idx="2" formatCode="General">
                  <c:v>1927</c:v>
                </c:pt>
                <c:pt idx="3" formatCode="General">
                  <c:v>4300</c:v>
                </c:pt>
                <c:pt idx="4" formatCode="General">
                  <c:v>6781</c:v>
                </c:pt>
                <c:pt idx="5" formatCode="General">
                  <c:v>5006</c:v>
                </c:pt>
                <c:pt idx="6" formatCode="General">
                  <c:v>1982</c:v>
                </c:pt>
                <c:pt idx="7">
                  <c:v>4317</c:v>
                </c:pt>
                <c:pt idx="8">
                  <c:v>4261</c:v>
                </c:pt>
                <c:pt idx="9">
                  <c:v>5081</c:v>
                </c:pt>
                <c:pt idx="10">
                  <c:v>4235</c:v>
                </c:pt>
                <c:pt idx="11">
                  <c:v>4303</c:v>
                </c:pt>
                <c:pt idx="12">
                  <c:v>4051</c:v>
                </c:pt>
                <c:pt idx="13">
                  <c:v>2719</c:v>
                </c:pt>
                <c:pt idx="14">
                  <c:v>2714</c:v>
                </c:pt>
                <c:pt idx="15">
                  <c:v>2490</c:v>
                </c:pt>
                <c:pt idx="16">
                  <c:v>5061</c:v>
                </c:pt>
                <c:pt idx="17">
                  <c:v>8308</c:v>
                </c:pt>
                <c:pt idx="18">
                  <c:v>5439</c:v>
                </c:pt>
              </c:numCache>
            </c:numRef>
          </c:val>
        </c:ser>
        <c:ser>
          <c:idx val="1"/>
          <c:order val="1"/>
          <c:tx>
            <c:strRef>
              <c:f>Sheet1!$A$3</c:f>
              <c:strCache>
                <c:ptCount val="1"/>
                <c:pt idx="0">
                  <c:v>I полугодие 2015 года</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3.0111548556430445E-2"/>
                  <c:y val="2.07339176942513E-2"/>
                </c:manualLayout>
              </c:layout>
              <c:dLblPos val="t"/>
              <c:showVal val="1"/>
            </c:dLbl>
            <c:dLbl>
              <c:idx val="1"/>
              <c:layout>
                <c:manualLayout>
                  <c:x val="-2.587522713507049E-2"/>
                  <c:y val="4.2634796436609002E-2"/>
                </c:manualLayout>
              </c:layout>
              <c:dLblPos val="t"/>
              <c:showVal val="1"/>
            </c:dLbl>
            <c:dLbl>
              <c:idx val="2"/>
              <c:layout>
                <c:manualLayout>
                  <c:x val="-4.2735042735042739E-3"/>
                  <c:y val="4.807716645482208E-2"/>
                </c:manualLayout>
              </c:layout>
              <c:dLblPos val="t"/>
              <c:showVal val="1"/>
            </c:dLbl>
            <c:dLbl>
              <c:idx val="3"/>
              <c:layout>
                <c:manualLayout>
                  <c:x val="3.0364089104246577E-2"/>
                  <c:y val="2.3421097520042712E-2"/>
                </c:manualLayout>
              </c:layout>
              <c:dLblPos val="t"/>
              <c:showVal val="1"/>
            </c:dLbl>
            <c:dLbl>
              <c:idx val="4"/>
              <c:layout>
                <c:manualLayout>
                  <c:x val="3.2076351033043952E-2"/>
                  <c:y val="3.3392429719869922E-2"/>
                </c:manualLayout>
              </c:layout>
              <c:dLblPos val="t"/>
              <c:showVal val="1"/>
            </c:dLbl>
            <c:dLbl>
              <c:idx val="5"/>
              <c:layout>
                <c:manualLayout>
                  <c:x val="-2.3522780806245373E-2"/>
                  <c:y val="2.5157232704402552E-2"/>
                </c:manualLayout>
              </c:layout>
              <c:dLblPos val="t"/>
              <c:showVal val="1"/>
            </c:dLbl>
            <c:dLbl>
              <c:idx val="6"/>
              <c:layout>
                <c:manualLayout>
                  <c:x val="-3.2051282051282055E-2"/>
                  <c:y val="1.864210369930222E-2"/>
                </c:manualLayout>
              </c:layout>
              <c:dLblPos val="t"/>
              <c:showVal val="1"/>
            </c:dLbl>
            <c:dLbl>
              <c:idx val="7"/>
              <c:layout>
                <c:manualLayout>
                  <c:x val="5.9792045225117961E-3"/>
                  <c:y val="6.3800987140758533E-2"/>
                </c:manualLayout>
              </c:layout>
              <c:dLblPos val="t"/>
              <c:showVal val="1"/>
            </c:dLbl>
            <c:dLbl>
              <c:idx val="8"/>
              <c:layout>
                <c:manualLayout>
                  <c:x val="2.136752136752137E-3"/>
                  <c:y val="9.4882505883947706E-4"/>
                </c:manualLayout>
              </c:layout>
              <c:dLblPos val="t"/>
              <c:showVal val="1"/>
            </c:dLbl>
            <c:dLbl>
              <c:idx val="9"/>
              <c:layout>
                <c:manualLayout>
                  <c:x val="0"/>
                  <c:y val="5.3109713487071976E-2"/>
                </c:manualLayout>
              </c:layout>
              <c:dLblPos val="t"/>
              <c:showVal val="1"/>
            </c:dLbl>
            <c:dLbl>
              <c:idx val="10"/>
              <c:layout>
                <c:manualLayout>
                  <c:x val="1.9397334948516437E-3"/>
                  <c:y val="1.0446084176584844E-2"/>
                </c:manualLayout>
              </c:layout>
              <c:dLblPos val="t"/>
              <c:showVal val="1"/>
            </c:dLbl>
            <c:dLbl>
              <c:idx val="11"/>
              <c:layout>
                <c:manualLayout>
                  <c:x val="-6.1947304663840085E-3"/>
                  <c:y val="6.9755525842289084E-2"/>
                </c:manualLayout>
              </c:layout>
              <c:dLblPos val="t"/>
              <c:showVal val="1"/>
            </c:dLbl>
            <c:dLbl>
              <c:idx val="12"/>
              <c:layout>
                <c:manualLayout>
                  <c:x val="3.8239450837876192E-3"/>
                  <c:y val="1.3984384027468596E-2"/>
                </c:manualLayout>
              </c:layout>
              <c:dLblPos val="t"/>
              <c:showVal val="1"/>
            </c:dLbl>
            <c:dLbl>
              <c:idx val="13"/>
              <c:layout>
                <c:manualLayout>
                  <c:x val="-1.0683928931960429E-2"/>
                  <c:y val="4.8623890567138228E-2"/>
                </c:manualLayout>
              </c:layout>
              <c:dLblPos val="t"/>
              <c:showVal val="1"/>
            </c:dLbl>
            <c:dLbl>
              <c:idx val="14"/>
              <c:layout>
                <c:manualLayout>
                  <c:x val="-2.136752136752137E-3"/>
                  <c:y val="5.8700209643605922E-2"/>
                </c:manualLayout>
              </c:layout>
              <c:dLblPos val="t"/>
              <c:showVal val="1"/>
            </c:dLbl>
            <c:dLbl>
              <c:idx val="15"/>
              <c:layout>
                <c:manualLayout>
                  <c:x val="1.0683760683760949E-2"/>
                  <c:y val="5.0314465408805104E-2"/>
                </c:manualLayout>
              </c:layout>
              <c:dLblPos val="t"/>
              <c:showVal val="1"/>
            </c:dLbl>
            <c:dLbl>
              <c:idx val="16"/>
              <c:layout>
                <c:manualLayout>
                  <c:x val="1.9895854364358857E-2"/>
                  <c:y val="4.2987834067911533E-2"/>
                </c:manualLayout>
              </c:layout>
              <c:dLblPos val="t"/>
              <c:showVal val="1"/>
            </c:dLbl>
            <c:dLbl>
              <c:idx val="17"/>
              <c:layout>
                <c:manualLayout>
                  <c:x val="3.4188034188034191E-2"/>
                  <c:y val="2.7952260684396175E-2"/>
                </c:manualLayout>
              </c:layout>
              <c:dLblPos val="t"/>
              <c:showVal val="1"/>
            </c:dLbl>
            <c:dLbl>
              <c:idx val="18"/>
              <c:layout>
                <c:manualLayout>
                  <c:x val="5.7439935392691434E-3"/>
                  <c:y val="4.8113482670014723E-4"/>
                </c:manualLayout>
              </c:layout>
              <c:dLblPos val="t"/>
              <c:showVal val="1"/>
            </c:dLbl>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Sheet1!$B$3:$T$3</c:f>
              <c:numCache>
                <c:formatCode>0</c:formatCode>
                <c:ptCount val="19"/>
                <c:pt idx="0" formatCode="General">
                  <c:v>4918</c:v>
                </c:pt>
                <c:pt idx="1">
                  <c:v>2925</c:v>
                </c:pt>
                <c:pt idx="2" formatCode="General">
                  <c:v>1910</c:v>
                </c:pt>
                <c:pt idx="3" formatCode="General">
                  <c:v>3966</c:v>
                </c:pt>
                <c:pt idx="4" formatCode="General">
                  <c:v>6701</c:v>
                </c:pt>
                <c:pt idx="5" formatCode="General">
                  <c:v>4522</c:v>
                </c:pt>
                <c:pt idx="6" formatCode="General">
                  <c:v>1988</c:v>
                </c:pt>
                <c:pt idx="7">
                  <c:v>4078</c:v>
                </c:pt>
                <c:pt idx="8">
                  <c:v>4415</c:v>
                </c:pt>
                <c:pt idx="9">
                  <c:v>4807</c:v>
                </c:pt>
                <c:pt idx="10">
                  <c:v>4664</c:v>
                </c:pt>
                <c:pt idx="11">
                  <c:v>4209</c:v>
                </c:pt>
                <c:pt idx="12">
                  <c:v>4145</c:v>
                </c:pt>
                <c:pt idx="13">
                  <c:v>2663</c:v>
                </c:pt>
                <c:pt idx="14">
                  <c:v>2692</c:v>
                </c:pt>
                <c:pt idx="15">
                  <c:v>2391</c:v>
                </c:pt>
                <c:pt idx="16">
                  <c:v>3232</c:v>
                </c:pt>
                <c:pt idx="17">
                  <c:v>7687</c:v>
                </c:pt>
                <c:pt idx="18">
                  <c:v>5974</c:v>
                </c:pt>
              </c:numCache>
            </c:numRef>
          </c:val>
        </c:ser>
        <c:ser>
          <c:idx val="2"/>
          <c:order val="2"/>
          <c:tx>
            <c:strRef>
              <c:f>Sheet1!$A$4</c:f>
              <c:strCache>
                <c:ptCount val="1"/>
                <c:pt idx="0">
                  <c:v>средняя заработная плата в целом по республике за  I полуг. 2015 года</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Sheet1!$B$4:$T$4</c:f>
              <c:numCache>
                <c:formatCode>General</c:formatCode>
                <c:ptCount val="19"/>
                <c:pt idx="0">
                  <c:v>3839</c:v>
                </c:pt>
                <c:pt idx="1">
                  <c:v>3839</c:v>
                </c:pt>
                <c:pt idx="2">
                  <c:v>3839</c:v>
                </c:pt>
                <c:pt idx="3">
                  <c:v>3839</c:v>
                </c:pt>
                <c:pt idx="4">
                  <c:v>3839</c:v>
                </c:pt>
                <c:pt idx="5">
                  <c:v>3839</c:v>
                </c:pt>
                <c:pt idx="6">
                  <c:v>3839</c:v>
                </c:pt>
                <c:pt idx="7">
                  <c:v>3839</c:v>
                </c:pt>
                <c:pt idx="8">
                  <c:v>3839</c:v>
                </c:pt>
                <c:pt idx="9">
                  <c:v>3839</c:v>
                </c:pt>
                <c:pt idx="10">
                  <c:v>3839</c:v>
                </c:pt>
                <c:pt idx="11">
                  <c:v>3839</c:v>
                </c:pt>
                <c:pt idx="12">
                  <c:v>3839</c:v>
                </c:pt>
                <c:pt idx="13">
                  <c:v>3839</c:v>
                </c:pt>
                <c:pt idx="14">
                  <c:v>3839</c:v>
                </c:pt>
                <c:pt idx="15">
                  <c:v>3839</c:v>
                </c:pt>
                <c:pt idx="16">
                  <c:v>3839</c:v>
                </c:pt>
                <c:pt idx="17">
                  <c:v>3839</c:v>
                </c:pt>
                <c:pt idx="18">
                  <c:v>3839</c:v>
                </c:pt>
              </c:numCache>
            </c:numRef>
          </c:val>
        </c:ser>
        <c:marker val="1"/>
        <c:axId val="153850240"/>
        <c:axId val="153852160"/>
      </c:lineChart>
      <c:catAx>
        <c:axId val="153850240"/>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53852160"/>
        <c:crosses val="autoZero"/>
        <c:auto val="1"/>
        <c:lblAlgn val="ctr"/>
        <c:lblOffset val="200"/>
        <c:tickLblSkip val="1"/>
        <c:tickMarkSkip val="1"/>
      </c:catAx>
      <c:valAx>
        <c:axId val="153852160"/>
        <c:scaling>
          <c:orientation val="minMax"/>
          <c:max val="9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53850240"/>
        <c:crosses val="autoZero"/>
        <c:crossBetween val="between"/>
        <c:majorUnit val="500"/>
      </c:valAx>
    </c:plotArea>
    <c:legend>
      <c:legendPos val="r"/>
      <c:layout>
        <c:manualLayout>
          <c:xMode val="edge"/>
          <c:yMode val="edge"/>
          <c:x val="3.6503400333744232E-2"/>
          <c:y val="0.89848737461275108"/>
          <c:w val="0.90074428736753764"/>
          <c:h val="0.10141710273637178"/>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89347079037935"/>
          <c:y val="4.0780141843972113E-2"/>
          <c:w val="0.58734982332156382"/>
          <c:h val="0.49271517784416463"/>
        </c:manualLayout>
      </c:layout>
      <c:lineChart>
        <c:grouping val="standard"/>
        <c:ser>
          <c:idx val="0"/>
          <c:order val="0"/>
          <c:tx>
            <c:strRef>
              <c:f>Лист1!$B$1</c:f>
              <c:strCache>
                <c:ptCount val="1"/>
                <c:pt idx="0">
                  <c:v>Валовой внутренний продукт (в текущих ценах), млн. долл. США</c:v>
                </c:pt>
              </c:strCache>
            </c:strRef>
          </c:tx>
          <c:spPr>
            <a:ln>
              <a:solidFill>
                <a:schemeClr val="accent3">
                  <a:lumMod val="75000"/>
                </a:schemeClr>
              </a:solidFill>
            </a:ln>
          </c:spPr>
          <c:marker>
            <c:spPr>
              <a:ln cap="sq">
                <a:solidFill>
                  <a:schemeClr val="accent3">
                    <a:lumMod val="75000"/>
                  </a:schemeClr>
                </a:solidFill>
                <a:bevel/>
              </a:ln>
            </c:spPr>
          </c:marker>
          <c:dLbls>
            <c:dLbl>
              <c:idx val="0"/>
              <c:layout>
                <c:manualLayout>
                  <c:x val="-3.0721966205837187E-2"/>
                  <c:y val="6.000000000000083E-2"/>
                </c:manualLayout>
              </c:layout>
              <c:tx>
                <c:rich>
                  <a:bodyPr/>
                  <a:lstStyle/>
                  <a:p>
                    <a:r>
                      <a:rPr lang="ru-RU" sz="800" b="1">
                        <a:latin typeface="Times New Roman" pitchFamily="18" charset="0"/>
                        <a:cs typeface="Times New Roman" pitchFamily="18" charset="0"/>
                      </a:rPr>
                      <a:t>+1,0%*</a:t>
                    </a:r>
                    <a:endParaRPr lang="en-US" sz="800" b="1">
                      <a:latin typeface="Times New Roman" pitchFamily="18" charset="0"/>
                      <a:cs typeface="Times New Roman" pitchFamily="18" charset="0"/>
                    </a:endParaRPr>
                  </a:p>
                </c:rich>
              </c:tx>
              <c:dLblPos val="t"/>
              <c:showVal val="1"/>
            </c:dLbl>
            <c:dLbl>
              <c:idx val="1"/>
              <c:layout>
                <c:manualLayout>
                  <c:x val="2.0052493438320208E-2"/>
                  <c:y val="7.9927259092613501E-2"/>
                </c:manualLayout>
              </c:layout>
              <c:tx>
                <c:rich>
                  <a:bodyPr/>
                  <a:lstStyle/>
                  <a:p>
                    <a:r>
                      <a:rPr lang="ru-RU" sz="800" b="1">
                        <a:latin typeface="Times New Roman" pitchFamily="18" charset="0"/>
                        <a:cs typeface="Times New Roman" pitchFamily="18" charset="0"/>
                      </a:rPr>
                      <a:t>-19,2%*</a:t>
                    </a:r>
                  </a:p>
                  <a:p>
                    <a:endParaRPr lang="en-US" sz="800" b="1">
                      <a:latin typeface="Times New Roman" pitchFamily="18" charset="0"/>
                      <a:cs typeface="Times New Roman" pitchFamily="18" charset="0"/>
                    </a:endParaRPr>
                  </a:p>
                </c:rich>
              </c:tx>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Лист1!$A$2:$A$3</c:f>
              <c:strCache>
                <c:ptCount val="2"/>
                <c:pt idx="0">
                  <c:v>январь-июнь 2014 года</c:v>
                </c:pt>
                <c:pt idx="1">
                  <c:v>январь - июнь 2015 года</c:v>
                </c:pt>
              </c:strCache>
            </c:strRef>
          </c:cat>
          <c:val>
            <c:numRef>
              <c:f>Лист1!$B$2:$B$3</c:f>
              <c:numCache>
                <c:formatCode>#,##0.0</c:formatCode>
                <c:ptCount val="2"/>
                <c:pt idx="0">
                  <c:v>415.9</c:v>
                </c:pt>
                <c:pt idx="1">
                  <c:v>338.1</c:v>
                </c:pt>
              </c:numCache>
            </c:numRef>
          </c:val>
        </c:ser>
        <c:dLbls>
          <c:showVal val="1"/>
        </c:dLbls>
        <c:marker val="1"/>
        <c:axId val="130701568"/>
        <c:axId val="153817088"/>
      </c:lineChart>
      <c:catAx>
        <c:axId val="130701568"/>
        <c:scaling>
          <c:orientation val="minMax"/>
        </c:scaling>
        <c:axPos val="b"/>
        <c:tickLblPos val="nextTo"/>
        <c:crossAx val="153817088"/>
        <c:crosses val="autoZero"/>
        <c:auto val="1"/>
        <c:lblAlgn val="ctr"/>
        <c:lblOffset val="100"/>
      </c:catAx>
      <c:valAx>
        <c:axId val="153817088"/>
        <c:scaling>
          <c:orientation val="minMax"/>
          <c:max val="600"/>
          <c:min val="300"/>
        </c:scaling>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реальный прирост ВВП</a:t>
                </a:r>
              </a:p>
            </c:rich>
          </c:tx>
          <c:layout>
            <c:manualLayout>
              <c:xMode val="edge"/>
              <c:yMode val="edge"/>
              <c:x val="4.6231697692696083E-2"/>
              <c:y val="0.24493557023403364"/>
            </c:manualLayout>
          </c:layout>
        </c:title>
        <c:numFmt formatCode="#,##0.0" sourceLinked="1"/>
        <c:tickLblPos val="nextTo"/>
        <c:txPr>
          <a:bodyPr/>
          <a:lstStyle/>
          <a:p>
            <a:pPr>
              <a:defRPr lang="ru-RU" sz="900" b="1">
                <a:latin typeface="Times New Roman" pitchFamily="18" charset="0"/>
                <a:cs typeface="Times New Roman" pitchFamily="18" charset="0"/>
              </a:defRPr>
            </a:pPr>
            <a:endParaRPr lang="ru-RU"/>
          </a:p>
        </c:txPr>
        <c:crossAx val="130701568"/>
        <c:crosses val="autoZero"/>
        <c:crossBetween val="between"/>
        <c:majorUnit val="100"/>
      </c:valAx>
      <c:dTable>
        <c:showHorzBorder val="1"/>
        <c:showVertBorder val="1"/>
        <c:showOutline val="1"/>
        <c:showKeys val="1"/>
        <c:txPr>
          <a:bodyPr/>
          <a:lstStyle/>
          <a:p>
            <a:pPr rtl="0">
              <a:defRPr sz="950"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производста ВВП, млн. руб.</a:t>
            </a:r>
          </a:p>
        </c:rich>
      </c:tx>
    </c:title>
    <c:plotArea>
      <c:layout/>
      <c:barChart>
        <c:barDir val="col"/>
        <c:grouping val="clustered"/>
        <c:ser>
          <c:idx val="0"/>
          <c:order val="0"/>
          <c:tx>
            <c:strRef>
              <c:f>Лист1!$B$1</c:f>
              <c:strCache>
                <c:ptCount val="1"/>
                <c:pt idx="0">
                  <c:v>январь-июнь 2014 года</c:v>
                </c:pt>
              </c:strCache>
            </c:strRef>
          </c:tx>
          <c:dLbls>
            <c:dLbl>
              <c:idx val="0"/>
              <c:tx>
                <c:rich>
                  <a:bodyPr/>
                  <a:lstStyle/>
                  <a:p>
                    <a:r>
                      <a:rPr lang="ru-RU" sz="800" b="1">
                        <a:latin typeface="Times New Roman" pitchFamily="18" charset="0"/>
                        <a:cs typeface="Times New Roman" pitchFamily="18" charset="0"/>
                      </a:rPr>
                      <a:t>17,32*</a:t>
                    </a:r>
                    <a:endParaRPr lang="en-US" sz="800" b="1">
                      <a:latin typeface="Times New Roman" pitchFamily="18" charset="0"/>
                      <a:cs typeface="Times New Roman" pitchFamily="18" charset="0"/>
                    </a:endParaRPr>
                  </a:p>
                </c:rich>
              </c:tx>
              <c:dLblPos val="outEnd"/>
              <c:showVal val="1"/>
            </c:dLbl>
            <c:dLbl>
              <c:idx val="1"/>
              <c:layout>
                <c:manualLayout>
                  <c:x val="-4.6296296296297031E-3"/>
                  <c:y val="0"/>
                </c:manualLayout>
              </c:layout>
              <c:tx>
                <c:rich>
                  <a:bodyPr/>
                  <a:lstStyle/>
                  <a:p>
                    <a:r>
                      <a:rPr lang="ru-RU" sz="800" b="1">
                        <a:latin typeface="Times New Roman" pitchFamily="18" charset="0"/>
                        <a:cs typeface="Times New Roman" pitchFamily="18" charset="0"/>
                      </a:rPr>
                      <a:t>77,03*</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5,66*</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formatCode="0.0">
                  <c:v>799.5</c:v>
                </c:pt>
                <c:pt idx="1">
                  <c:v>3556.2</c:v>
                </c:pt>
                <c:pt idx="2" formatCode="0.0">
                  <c:v>261.10000000000002</c:v>
                </c:pt>
              </c:numCache>
            </c:numRef>
          </c:val>
        </c:ser>
        <c:ser>
          <c:idx val="1"/>
          <c:order val="1"/>
          <c:tx>
            <c:strRef>
              <c:f>Лист1!$C$1</c:f>
              <c:strCache>
                <c:ptCount val="1"/>
                <c:pt idx="0">
                  <c:v>январь-июнь 2015 года</c:v>
                </c:pt>
              </c:strCache>
            </c:strRef>
          </c:tx>
          <c:dLbls>
            <c:dLbl>
              <c:idx val="0"/>
              <c:tx>
                <c:rich>
                  <a:bodyPr/>
                  <a:lstStyle/>
                  <a:p>
                    <a:r>
                      <a:rPr lang="ru-RU" sz="800" b="1">
                        <a:latin typeface="Times New Roman" pitchFamily="18" charset="0"/>
                        <a:cs typeface="Times New Roman" pitchFamily="18" charset="0"/>
                      </a:rPr>
                      <a:t>17,67*</a:t>
                    </a:r>
                    <a:endParaRPr lang="en-US" sz="800" b="1">
                      <a:latin typeface="Times New Roman" pitchFamily="18" charset="0"/>
                      <a:cs typeface="Times New Roman" pitchFamily="18" charset="0"/>
                    </a:endParaRPr>
                  </a:p>
                </c:rich>
              </c:tx>
              <c:dLblPos val="outEnd"/>
              <c:showVal val="1"/>
            </c:dLbl>
            <c:dLbl>
              <c:idx val="1"/>
              <c:tx>
                <c:rich>
                  <a:bodyPr/>
                  <a:lstStyle/>
                  <a:p>
                    <a:r>
                      <a:rPr lang="ru-RU" sz="800" b="1">
                        <a:latin typeface="Times New Roman" pitchFamily="18" charset="0"/>
                        <a:cs typeface="Times New Roman" pitchFamily="18" charset="0"/>
                      </a:rPr>
                      <a:t>79,77*</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2,56*</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formatCode="0.0">
                  <c:v>663.3</c:v>
                </c:pt>
                <c:pt idx="1">
                  <c:v>2993.8</c:v>
                </c:pt>
                <c:pt idx="2" formatCode="0.0">
                  <c:v>95.9</c:v>
                </c:pt>
              </c:numCache>
            </c:numRef>
          </c:val>
        </c:ser>
        <c:dLbls>
          <c:showVal val="1"/>
        </c:dLbls>
        <c:axId val="147278080"/>
        <c:axId val="154173440"/>
      </c:barChart>
      <c:catAx>
        <c:axId val="147278080"/>
        <c:scaling>
          <c:orientation val="minMax"/>
        </c:scaling>
        <c:axPos val="b"/>
        <c:tickLblPos val="nextTo"/>
        <c:crossAx val="154173440"/>
        <c:crosses val="autoZero"/>
        <c:auto val="1"/>
        <c:lblAlgn val="ctr"/>
        <c:lblOffset val="100"/>
      </c:catAx>
      <c:valAx>
        <c:axId val="154173440"/>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81990521327014876"/>
              <c:y val="0.14170082398236841"/>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147278080"/>
        <c:crosses val="autoZero"/>
        <c:crossBetween val="between"/>
        <c:majorUnit val="5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валовой добавлененой стоимости отраслей товарного производства, млн. руб.</a:t>
            </a:r>
          </a:p>
        </c:rich>
      </c:tx>
      <c:layout>
        <c:manualLayout>
          <c:xMode val="edge"/>
          <c:yMode val="edge"/>
          <c:x val="0.11878714234794725"/>
          <c:y val="0"/>
        </c:manualLayout>
      </c:layout>
    </c:title>
    <c:plotArea>
      <c:layout>
        <c:manualLayout>
          <c:layoutTarget val="inner"/>
          <c:xMode val="edge"/>
          <c:yMode val="edge"/>
          <c:x val="0.27587958912543953"/>
          <c:y val="0.21850852286586891"/>
          <c:w val="0.7241204108745819"/>
          <c:h val="0.48716720818819576"/>
        </c:manualLayout>
      </c:layout>
      <c:barChart>
        <c:barDir val="col"/>
        <c:grouping val="clustered"/>
        <c:ser>
          <c:idx val="0"/>
          <c:order val="0"/>
          <c:tx>
            <c:strRef>
              <c:f>Лист1!$B$1</c:f>
              <c:strCache>
                <c:ptCount val="1"/>
                <c:pt idx="0">
                  <c:v>январь-июнь 2014 года</c:v>
                </c:pt>
              </c:strCache>
            </c:strRef>
          </c:tx>
          <c:dLbls>
            <c:dLbl>
              <c:idx val="0"/>
              <c:layout>
                <c:manualLayout>
                  <c:x val="0"/>
                  <c:y val="1.2615052077766319E-2"/>
                </c:manualLayout>
              </c:layout>
              <c:tx>
                <c:rich>
                  <a:bodyPr/>
                  <a:lstStyle/>
                  <a:p>
                    <a:r>
                      <a:rPr lang="ru-RU"/>
                      <a:t>34,92*</a:t>
                    </a:r>
                    <a:endParaRPr lang="en-US"/>
                  </a:p>
                </c:rich>
              </c:tx>
              <c:dLblPos val="outEnd"/>
              <c:showVal val="1"/>
            </c:dLbl>
            <c:dLbl>
              <c:idx val="1"/>
              <c:tx>
                <c:rich>
                  <a:bodyPr/>
                  <a:lstStyle/>
                  <a:p>
                    <a:r>
                      <a:rPr lang="ru-RU"/>
                      <a:t>-20,40*</a:t>
                    </a:r>
                    <a:endParaRPr lang="en-US"/>
                  </a:p>
                </c:rich>
              </c:tx>
              <c:dLblPos val="outEnd"/>
              <c:showVal val="1"/>
            </c:dLbl>
            <c:dLbl>
              <c:idx val="2"/>
              <c:layout>
                <c:manualLayout>
                  <c:x val="2.5396825396825401E-3"/>
                  <c:y val="1.8099547511312229E-2"/>
                </c:manualLayout>
              </c:layout>
              <c:tx>
                <c:rich>
                  <a:bodyPr/>
                  <a:lstStyle/>
                  <a:p>
                    <a:r>
                      <a:rPr lang="ru-RU"/>
                      <a:t>2,80*</a:t>
                    </a:r>
                    <a:endParaRPr lang="en-US"/>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Лист1!$B$2:$B$4</c:f>
              <c:numCache>
                <c:formatCode>#,##0.0</c:formatCode>
                <c:ptCount val="3"/>
                <c:pt idx="0">
                  <c:v>1612.4</c:v>
                </c:pt>
                <c:pt idx="1">
                  <c:v>-941.9</c:v>
                </c:pt>
                <c:pt idx="2">
                  <c:v>129.1</c:v>
                </c:pt>
              </c:numCache>
            </c:numRef>
          </c:val>
        </c:ser>
        <c:ser>
          <c:idx val="1"/>
          <c:order val="1"/>
          <c:tx>
            <c:strRef>
              <c:f>Лист1!$C$1</c:f>
              <c:strCache>
                <c:ptCount val="1"/>
                <c:pt idx="0">
                  <c:v>январь-июнь 2015 года</c:v>
                </c:pt>
              </c:strCache>
            </c:strRef>
          </c:tx>
          <c:dLbls>
            <c:dLbl>
              <c:idx val="0"/>
              <c:layout>
                <c:manualLayout>
                  <c:x val="-2.5396825396825401E-3"/>
                  <c:y val="1.0420778850607763E-2"/>
                </c:manualLayout>
              </c:layout>
              <c:tx>
                <c:rich>
                  <a:bodyPr/>
                  <a:lstStyle/>
                  <a:p>
                    <a:r>
                      <a:rPr lang="ru-RU"/>
                      <a:t>33,44*</a:t>
                    </a:r>
                    <a:endParaRPr lang="en-US"/>
                  </a:p>
                </c:rich>
              </c:tx>
              <c:dLblPos val="outEnd"/>
              <c:showVal val="1"/>
            </c:dLbl>
            <c:dLbl>
              <c:idx val="1"/>
              <c:tx>
                <c:rich>
                  <a:bodyPr/>
                  <a:lstStyle/>
                  <a:p>
                    <a:r>
                      <a:rPr lang="ru-RU"/>
                      <a:t>-18,95*</a:t>
                    </a:r>
                    <a:endParaRPr lang="en-US"/>
                  </a:p>
                </c:rich>
              </c:tx>
              <c:dLblPos val="outEnd"/>
              <c:showVal val="1"/>
            </c:dLbl>
            <c:dLbl>
              <c:idx val="2"/>
              <c:layout>
                <c:manualLayout>
                  <c:x val="-1.0158730158730254E-2"/>
                  <c:y val="1.2066365007541479E-2"/>
                </c:manualLayout>
              </c:layout>
              <c:tx>
                <c:rich>
                  <a:bodyPr/>
                  <a:lstStyle/>
                  <a:p>
                    <a:r>
                      <a:rPr lang="ru-RU"/>
                      <a:t>3,19*</a:t>
                    </a:r>
                    <a:endParaRPr lang="en-US"/>
                  </a:p>
                </c:rich>
              </c:tx>
              <c:dLblPos val="outEnd"/>
              <c:showVal val="1"/>
            </c:dLbl>
            <c:txPr>
              <a:bodyPr/>
              <a:lstStyle/>
              <a:p>
                <a:pPr>
                  <a:defRPr sz="800" b="1">
                    <a:latin typeface="Times New Roman" pitchFamily="18" charset="0"/>
                    <a:cs typeface="Times New Roman" pitchFamily="18" charset="0"/>
                  </a:defRPr>
                </a:pPr>
                <a:endParaRPr lang="ru-RU"/>
              </a:p>
            </c:txPr>
            <c:dLblPos val="outEnd"/>
            <c:showVal val="1"/>
          </c:dLbls>
          <c:cat>
            <c:strRef>
              <c:f>Лист1!$A$2:$A$4</c:f>
              <c:strCache>
                <c:ptCount val="3"/>
                <c:pt idx="0">
                  <c:v>Промышленность</c:v>
                </c:pt>
                <c:pt idx="1">
                  <c:v>Селькое хозяйство</c:v>
                </c:pt>
                <c:pt idx="2">
                  <c:v>Строительство</c:v>
                </c:pt>
              </c:strCache>
            </c:strRef>
          </c:cat>
          <c:val>
            <c:numRef>
              <c:f>Лист1!$C$2:$C$4</c:f>
              <c:numCache>
                <c:formatCode>#,##0.0</c:formatCode>
                <c:ptCount val="3"/>
                <c:pt idx="0">
                  <c:v>1255</c:v>
                </c:pt>
                <c:pt idx="1">
                  <c:v>-711.3</c:v>
                </c:pt>
                <c:pt idx="2">
                  <c:v>119.6</c:v>
                </c:pt>
              </c:numCache>
            </c:numRef>
          </c:val>
        </c:ser>
        <c:dLbls>
          <c:showVal val="1"/>
        </c:dLbls>
        <c:axId val="154237568"/>
        <c:axId val="154255744"/>
      </c:barChart>
      <c:catAx>
        <c:axId val="154237568"/>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54255744"/>
        <c:crosses val="autoZero"/>
        <c:auto val="1"/>
        <c:lblAlgn val="ctr"/>
        <c:lblOffset val="100"/>
      </c:catAx>
      <c:valAx>
        <c:axId val="154255744"/>
        <c:scaling>
          <c:orientation val="minMax"/>
          <c:min val="-1500"/>
        </c:scaling>
        <c:axPos val="l"/>
        <c:title>
          <c:tx>
            <c:rich>
              <a:bodyPr rot="0" vert="horz"/>
              <a:lstStyle/>
              <a:p>
                <a:pPr>
                  <a:defRPr sz="900"/>
                </a:pPr>
                <a:r>
                  <a:rPr lang="ru-RU" sz="900">
                    <a:latin typeface="Times New Roman" pitchFamily="18" charset="0"/>
                    <a:cs typeface="Times New Roman" pitchFamily="18" charset="0"/>
                  </a:rPr>
                  <a:t>*- долевое представление в структуре ВВП,%</a:t>
                </a:r>
              </a:p>
            </c:rich>
          </c:tx>
          <c:layout>
            <c:manualLayout>
              <c:xMode val="edge"/>
              <c:yMode val="edge"/>
              <c:x val="0.75505663143460133"/>
              <c:y val="0.17501390393115371"/>
            </c:manualLayout>
          </c:layout>
        </c:title>
        <c:numFmt formatCode="#,##0.0" sourceLinked="1"/>
        <c:tickLblPos val="nextTo"/>
        <c:txPr>
          <a:bodyPr/>
          <a:lstStyle/>
          <a:p>
            <a:pPr>
              <a:defRPr sz="800" b="1">
                <a:latin typeface="Times New Roman" pitchFamily="18" charset="0"/>
                <a:cs typeface="Times New Roman" pitchFamily="18" charset="0"/>
              </a:defRPr>
            </a:pPr>
            <a:endParaRPr lang="ru-RU"/>
          </a:p>
        </c:txPr>
        <c:crossAx val="154237568"/>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ВДС  отраслей рыночных услуг, %</a:t>
            </a:r>
          </a:p>
        </c:rich>
      </c:tx>
      <c:layout>
        <c:manualLayout>
          <c:xMode val="edge"/>
          <c:yMode val="edge"/>
          <c:x val="0.28814061139224573"/>
          <c:y val="0"/>
        </c:manualLayout>
      </c:layout>
    </c:title>
    <c:plotArea>
      <c:layout>
        <c:manualLayout>
          <c:layoutTarget val="inner"/>
          <c:xMode val="edge"/>
          <c:yMode val="edge"/>
          <c:x val="7.7754720896452023E-2"/>
          <c:y val="8.0534237170785825E-2"/>
          <c:w val="0.90976944058463283"/>
          <c:h val="0.36595837285046662"/>
        </c:manualLayout>
      </c:layout>
      <c:barChart>
        <c:barDir val="col"/>
        <c:grouping val="clustered"/>
        <c:ser>
          <c:idx val="0"/>
          <c:order val="0"/>
          <c:tx>
            <c:strRef>
              <c:f>Лист1!$B$1</c:f>
              <c:strCache>
                <c:ptCount val="1"/>
                <c:pt idx="0">
                  <c:v>январь-июнь 2014 года</c:v>
                </c:pt>
              </c:strCache>
            </c:strRef>
          </c:tx>
          <c:dLbls>
            <c:dLbl>
              <c:idx val="0"/>
              <c:layout>
                <c:manualLayout>
                  <c:x val="-6.2689154596416189E-3"/>
                  <c:y val="-1.3885959907185724E-2"/>
                </c:manualLayout>
              </c:layout>
              <c:showVal val="1"/>
            </c:dLbl>
            <c:dLbl>
              <c:idx val="1"/>
              <c:layout>
                <c:manualLayout>
                  <c:x val="-6.1730015229577804E-3"/>
                  <c:y val="7.7294685990339654E-3"/>
                </c:manualLayout>
              </c:layout>
              <c:showVal val="1"/>
            </c:dLbl>
            <c:dLbl>
              <c:idx val="2"/>
              <c:layout>
                <c:manualLayout>
                  <c:x val="-6.5145130181149613E-3"/>
                  <c:y val="1.1204541292803866E-2"/>
                </c:manualLayout>
              </c:layout>
              <c:showVal val="1"/>
            </c:dLbl>
            <c:dLbl>
              <c:idx val="3"/>
              <c:layout>
                <c:manualLayout>
                  <c:x val="-1.0893522568938161E-2"/>
                  <c:y val="-7.5544904712997836E-3"/>
                </c:manualLayout>
              </c:layout>
              <c:showVal val="1"/>
            </c:dLbl>
            <c:dLbl>
              <c:idx val="4"/>
              <c:layout>
                <c:manualLayout>
                  <c:x val="0"/>
                  <c:y val="9.3023255813953227E-3"/>
                </c:manualLayout>
              </c:layout>
              <c:showVal val="1"/>
            </c:dLbl>
            <c:dLbl>
              <c:idx val="5"/>
              <c:layout>
                <c:manualLayout>
                  <c:x val="4.0013285376364989E-3"/>
                  <c:y val="0"/>
                </c:manualLayout>
              </c:layout>
              <c:showVal val="1"/>
            </c:dLbl>
            <c:dLbl>
              <c:idx val="7"/>
              <c:layout>
                <c:manualLayout>
                  <c:x val="-8.7254232337161067E-3"/>
                  <c:y val="6.8356222913997936E-3"/>
                </c:manualLayout>
              </c:layout>
              <c:showVal val="1"/>
            </c:dLbl>
            <c:dLbl>
              <c:idx val="8"/>
              <c:layout>
                <c:manualLayout>
                  <c:x val="0"/>
                  <c:y val="1.2402856619667103E-2"/>
                </c:manualLayout>
              </c:layout>
              <c:showVal val="1"/>
            </c:dLbl>
            <c:dLbl>
              <c:idx val="9"/>
              <c:layout>
                <c:manualLayout>
                  <c:x val="-4.3644081526846333E-3"/>
                  <c:y val="3.8196964509871092E-3"/>
                </c:manualLayout>
              </c:layout>
              <c:showVal val="1"/>
            </c:dLbl>
            <c:dLbl>
              <c:idx val="10"/>
              <c:layout>
                <c:manualLayout>
                  <c:x val="1.0653332817849487E-5"/>
                  <c:y val="9.3023255813953504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0.00</c:formatCode>
                <c:ptCount val="11"/>
                <c:pt idx="0">
                  <c:v>4.0199999999999996</c:v>
                </c:pt>
                <c:pt idx="1">
                  <c:v>4.0599999999999996</c:v>
                </c:pt>
                <c:pt idx="2">
                  <c:v>18.38</c:v>
                </c:pt>
                <c:pt idx="3">
                  <c:v>2.09</c:v>
                </c:pt>
                <c:pt idx="4">
                  <c:v>0.61000000000000065</c:v>
                </c:pt>
                <c:pt idx="5">
                  <c:v>3.53</c:v>
                </c:pt>
                <c:pt idx="6">
                  <c:v>0.56000000000000005</c:v>
                </c:pt>
                <c:pt idx="7">
                  <c:v>6.9700000000000024</c:v>
                </c:pt>
                <c:pt idx="8">
                  <c:v>0.47000000000000008</c:v>
                </c:pt>
                <c:pt idx="9">
                  <c:v>0.4</c:v>
                </c:pt>
                <c:pt idx="10">
                  <c:v>2</c:v>
                </c:pt>
              </c:numCache>
            </c:numRef>
          </c:val>
        </c:ser>
        <c:ser>
          <c:idx val="1"/>
          <c:order val="1"/>
          <c:tx>
            <c:strRef>
              <c:f>Лист1!$C$1</c:f>
              <c:strCache>
                <c:ptCount val="1"/>
                <c:pt idx="0">
                  <c:v>январь-июнь 2015 года</c:v>
                </c:pt>
              </c:strCache>
            </c:strRef>
          </c:tx>
          <c:dLbls>
            <c:dLbl>
              <c:idx val="0"/>
              <c:layout>
                <c:manualLayout>
                  <c:x val="2.1715109685364106E-3"/>
                  <c:y val="1.8185552892844917E-2"/>
                </c:manualLayout>
              </c:layout>
              <c:showVal val="1"/>
            </c:dLbl>
            <c:dLbl>
              <c:idx val="1"/>
              <c:layout>
                <c:manualLayout>
                  <c:x val="1.3071838242441921E-2"/>
                  <c:y val="-4.3239377686484755E-3"/>
                </c:manualLayout>
              </c:layout>
              <c:showVal val="1"/>
            </c:dLbl>
            <c:dLbl>
              <c:idx val="2"/>
              <c:layout>
                <c:manualLayout>
                  <c:x val="1.087189796856408E-2"/>
                  <c:y val="7.4696941952025909E-3"/>
                </c:manualLayout>
              </c:layout>
              <c:showVal val="1"/>
            </c:dLbl>
            <c:dLbl>
              <c:idx val="3"/>
              <c:layout>
                <c:manualLayout>
                  <c:x val="6.5359191212209814E-3"/>
                  <c:y val="1.9193731218380767E-2"/>
                </c:manualLayout>
              </c:layout>
              <c:showVal val="1"/>
            </c:dLbl>
            <c:dLbl>
              <c:idx val="4"/>
              <c:layout>
                <c:manualLayout>
                  <c:x val="1.1135251612067363E-2"/>
                  <c:y val="-7.4695880406253573E-3"/>
                </c:manualLayout>
              </c:layout>
              <c:showVal val="1"/>
            </c:dLbl>
            <c:dLbl>
              <c:idx val="5"/>
              <c:layout>
                <c:manualLayout>
                  <c:x val="1.3071811195449997E-2"/>
                  <c:y val="9.8668131599831711E-3"/>
                </c:manualLayout>
              </c:layout>
              <c:showVal val="1"/>
            </c:dLbl>
            <c:dLbl>
              <c:idx val="6"/>
              <c:layout>
                <c:manualLayout>
                  <c:x val="1.1498493243900103E-2"/>
                  <c:y val="7.7294685990339654E-3"/>
                </c:manualLayout>
              </c:layout>
              <c:showVal val="1"/>
            </c:dLbl>
            <c:dLbl>
              <c:idx val="7"/>
              <c:layout>
                <c:manualLayout>
                  <c:x val="8.7039447401316989E-3"/>
                  <c:y val="5.5674784837943109E-3"/>
                </c:manualLayout>
              </c:layout>
              <c:showVal val="1"/>
            </c:dLbl>
            <c:dLbl>
              <c:idx val="8"/>
              <c:layout>
                <c:manualLayout>
                  <c:x val="2.7803700463368865E-3"/>
                  <c:y val="-1.3740499828825942E-2"/>
                </c:manualLayout>
              </c:layout>
              <c:showVal val="1"/>
            </c:dLbl>
            <c:dLbl>
              <c:idx val="9"/>
              <c:layout>
                <c:manualLayout>
                  <c:x val="1.3068374636476521E-2"/>
                  <c:y val="1.1985594823903086E-3"/>
                </c:manualLayout>
              </c:layout>
              <c:showVal val="1"/>
            </c:dLbl>
            <c:dLbl>
              <c:idx val="10"/>
              <c:layout>
                <c:manualLayout>
                  <c:x val="1.0170324454124084E-2"/>
                  <c:y val="-8.6684978331198568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0.00</c:formatCode>
                <c:ptCount val="11"/>
                <c:pt idx="0">
                  <c:v>4.45</c:v>
                </c:pt>
                <c:pt idx="1">
                  <c:v>5.37</c:v>
                </c:pt>
                <c:pt idx="2">
                  <c:v>17.149999999999999</c:v>
                </c:pt>
                <c:pt idx="3">
                  <c:v>2.34</c:v>
                </c:pt>
                <c:pt idx="4">
                  <c:v>0.93</c:v>
                </c:pt>
                <c:pt idx="5">
                  <c:v>4.9300000000000024</c:v>
                </c:pt>
                <c:pt idx="6">
                  <c:v>0.69000000000000061</c:v>
                </c:pt>
                <c:pt idx="7">
                  <c:v>6.67</c:v>
                </c:pt>
                <c:pt idx="8">
                  <c:v>0.59</c:v>
                </c:pt>
                <c:pt idx="9">
                  <c:v>0.43000000000000038</c:v>
                </c:pt>
                <c:pt idx="10">
                  <c:v>1.9700000000000086</c:v>
                </c:pt>
              </c:numCache>
            </c:numRef>
          </c:val>
        </c:ser>
        <c:dLbls>
          <c:showVal val="1"/>
        </c:dLbls>
        <c:axId val="154385408"/>
        <c:axId val="154559232"/>
      </c:barChart>
      <c:catAx>
        <c:axId val="154385408"/>
        <c:scaling>
          <c:orientation val="minMax"/>
        </c:scaling>
        <c:axPos val="b"/>
        <c:tickLblPos val="nextTo"/>
        <c:txPr>
          <a:bodyPr rot="5400000" vert="horz"/>
          <a:lstStyle/>
          <a:p>
            <a:pPr>
              <a:defRPr b="1">
                <a:latin typeface="Times New Roman" pitchFamily="18" charset="0"/>
                <a:cs typeface="Times New Roman" pitchFamily="18" charset="0"/>
              </a:defRPr>
            </a:pPr>
            <a:endParaRPr lang="ru-RU"/>
          </a:p>
        </c:txPr>
        <c:crossAx val="154559232"/>
        <c:crosses val="autoZero"/>
        <c:auto val="1"/>
        <c:lblAlgn val="ctr"/>
        <c:lblOffset val="100"/>
      </c:catAx>
      <c:valAx>
        <c:axId val="154559232"/>
        <c:scaling>
          <c:orientation val="minMax"/>
        </c:scaling>
        <c:axPos val="l"/>
        <c:numFmt formatCode="0.00" sourceLinked="1"/>
        <c:tickLblPos val="nextTo"/>
        <c:txPr>
          <a:bodyPr/>
          <a:lstStyle/>
          <a:p>
            <a:pPr>
              <a:defRPr b="1">
                <a:latin typeface="Times New Roman" pitchFamily="18" charset="0"/>
                <a:cs typeface="Times New Roman" pitchFamily="18" charset="0"/>
              </a:defRPr>
            </a:pPr>
            <a:endParaRPr lang="ru-RU"/>
          </a:p>
        </c:txPr>
        <c:crossAx val="154385408"/>
        <c:crosses val="autoZero"/>
        <c:crossBetween val="between"/>
      </c:valAx>
    </c:plotArea>
    <c:legend>
      <c:legendPos val="b"/>
      <c:layout>
        <c:manualLayout>
          <c:xMode val="edge"/>
          <c:yMode val="edge"/>
          <c:x val="0.19781965415767341"/>
          <c:y val="0.94450103317484546"/>
          <c:w val="0.61058588624751464"/>
          <c:h val="5.482655153460203E-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Структура нерыночных услуг в общем объеме ВВП, %</a:t>
            </a:r>
          </a:p>
        </c:rich>
      </c:tx>
    </c:title>
    <c:plotArea>
      <c:layout>
        <c:manualLayout>
          <c:layoutTarget val="inner"/>
          <c:xMode val="edge"/>
          <c:yMode val="edge"/>
          <c:x val="9.200222368037328E-2"/>
          <c:y val="0.16786401699787526"/>
          <c:w val="0.88253481335666351"/>
          <c:h val="0.30293504978544522"/>
        </c:manualLayout>
      </c:layout>
      <c:barChart>
        <c:barDir val="col"/>
        <c:grouping val="clustered"/>
        <c:ser>
          <c:idx val="0"/>
          <c:order val="0"/>
          <c:tx>
            <c:strRef>
              <c:f>Лист1!$B$1</c:f>
              <c:strCache>
                <c:ptCount val="1"/>
                <c:pt idx="0">
                  <c:v>январь-июнь 2014 года</c:v>
                </c:pt>
              </c:strCache>
            </c:strRef>
          </c:tx>
          <c:dLbls>
            <c:dLbl>
              <c:idx val="0"/>
              <c:layout>
                <c:manualLayout>
                  <c:x val="0"/>
                  <c:y val="1.2236662840434558E-2"/>
                </c:manualLayout>
              </c:layout>
              <c:dLblPos val="outEnd"/>
              <c:showVal val="1"/>
            </c:dLbl>
            <c:dLbl>
              <c:idx val="1"/>
              <c:layout>
                <c:manualLayout>
                  <c:x val="0"/>
                  <c:y val="1.1904761904761921E-2"/>
                </c:manualLayout>
              </c:layout>
              <c:dLblPos val="outEnd"/>
              <c:showVal val="1"/>
            </c:dLbl>
            <c:dLbl>
              <c:idx val="2"/>
              <c:layout>
                <c:manualLayout>
                  <c:x val="-6.9444603300910799E-3"/>
                  <c:y val="8.1577752269563746E-3"/>
                </c:manualLayout>
              </c:layout>
              <c:dLblPos val="outEnd"/>
              <c:showVal val="1"/>
            </c:dLbl>
            <c:dLbl>
              <c:idx val="3"/>
              <c:layout>
                <c:manualLayout>
                  <c:x val="0"/>
                  <c:y val="1.1904761904761921E-2"/>
                </c:manualLayout>
              </c:layout>
              <c:dLblPos val="outEnd"/>
              <c:showVal val="1"/>
            </c:dLbl>
            <c:dLbl>
              <c:idx val="4"/>
              <c:layout>
                <c:manualLayout>
                  <c:x val="-6.9444444444445733E-3"/>
                  <c:y val="0"/>
                </c:manualLayout>
              </c:layout>
              <c:dLblPos val="outEnd"/>
              <c:showVal val="1"/>
            </c:dLbl>
            <c:dLbl>
              <c:idx val="5"/>
              <c:layout>
                <c:manualLayout>
                  <c:x val="-7.1910237200844629E-4"/>
                  <c:y val="7.6047166072390942E-3"/>
                </c:manualLayout>
              </c:layout>
              <c:dLblPos val="outEnd"/>
              <c:showVal val="1"/>
            </c:dLbl>
            <c:dLbl>
              <c:idx val="6"/>
              <c:layout>
                <c:manualLayout>
                  <c:x val="-1.4382047440168761E-3"/>
                  <c:y val="7.9364875446188594E-3"/>
                </c:manualLayout>
              </c:layout>
              <c:dLblPos val="outEnd"/>
              <c:showVal val="1"/>
            </c:dLbl>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0.00</c:formatCode>
                <c:ptCount val="7"/>
                <c:pt idx="0">
                  <c:v>8.84</c:v>
                </c:pt>
                <c:pt idx="1">
                  <c:v>9.41</c:v>
                </c:pt>
                <c:pt idx="2">
                  <c:v>0.76000000000000456</c:v>
                </c:pt>
                <c:pt idx="3">
                  <c:v>0.21000000000000021</c:v>
                </c:pt>
                <c:pt idx="4">
                  <c:v>5.23</c:v>
                </c:pt>
                <c:pt idx="5">
                  <c:v>1.1299999999999908</c:v>
                </c:pt>
                <c:pt idx="6">
                  <c:v>8.3500000000000068</c:v>
                </c:pt>
              </c:numCache>
            </c:numRef>
          </c:val>
        </c:ser>
        <c:ser>
          <c:idx val="1"/>
          <c:order val="1"/>
          <c:tx>
            <c:strRef>
              <c:f>Лист1!$C$1</c:f>
              <c:strCache>
                <c:ptCount val="1"/>
                <c:pt idx="0">
                  <c:v>январь-июнь 2015 года</c:v>
                </c:pt>
              </c:strCache>
            </c:strRef>
          </c:tx>
          <c:dLbls>
            <c:dLbl>
              <c:idx val="0"/>
              <c:layout>
                <c:manualLayout>
                  <c:x val="6.944296934869091E-3"/>
                  <c:y val="7.7151998622813434E-3"/>
                </c:manualLayout>
              </c:layout>
              <c:dLblPos val="outEnd"/>
              <c:showVal val="1"/>
            </c:dLbl>
            <c:dLbl>
              <c:idx val="2"/>
              <c:layout>
                <c:manualLayout>
                  <c:x val="6.9444444444445733E-3"/>
                  <c:y val="0"/>
                </c:manualLayout>
              </c:layout>
              <c:dLblPos val="outEnd"/>
              <c:showVal val="1"/>
            </c:dLbl>
            <c:dLbl>
              <c:idx val="3"/>
              <c:layout>
                <c:manualLayout>
                  <c:x val="0"/>
                  <c:y val="7.9365079365079413E-3"/>
                </c:manualLayout>
              </c:layout>
              <c:dLblPos val="outEnd"/>
              <c:showVal val="1"/>
            </c:dLbl>
            <c:dLbl>
              <c:idx val="4"/>
              <c:layout>
                <c:manualLayout>
                  <c:x val="2.0751193193608631E-3"/>
                  <c:y val="7.4939121799438794E-3"/>
                </c:manualLayout>
              </c:layout>
              <c:dLblPos val="outEnd"/>
              <c:showVal val="1"/>
            </c:dLbl>
            <c:dLbl>
              <c:idx val="5"/>
              <c:layout>
                <c:manualLayout>
                  <c:x val="0"/>
                  <c:y val="-4.4106585508579474E-3"/>
                </c:manualLayout>
              </c:layout>
              <c:dLblPos val="outEnd"/>
              <c:showVal val="1"/>
            </c:dLbl>
            <c:dLbl>
              <c:idx val="6"/>
              <c:layout>
                <c:manualLayout>
                  <c:x val="1.0375596596804317E-2"/>
                  <c:y val="1.19048919030548E-2"/>
                </c:manualLayout>
              </c:layout>
              <c:dLblPos val="outEnd"/>
              <c:showVal val="1"/>
            </c:dLbl>
            <c:dLblPos val="outEnd"/>
            <c:showVal val="1"/>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#,##0.00</c:formatCode>
                <c:ptCount val="7"/>
                <c:pt idx="0">
                  <c:v>9.27</c:v>
                </c:pt>
                <c:pt idx="1">
                  <c:v>9.5500000000000007</c:v>
                </c:pt>
                <c:pt idx="2">
                  <c:v>0.78</c:v>
                </c:pt>
                <c:pt idx="3">
                  <c:v>0.2</c:v>
                </c:pt>
                <c:pt idx="4">
                  <c:v>5.64</c:v>
                </c:pt>
                <c:pt idx="5">
                  <c:v>1.41</c:v>
                </c:pt>
                <c:pt idx="6">
                  <c:v>7.4</c:v>
                </c:pt>
              </c:numCache>
            </c:numRef>
          </c:val>
        </c:ser>
        <c:dLbls>
          <c:showVal val="1"/>
        </c:dLbls>
        <c:axId val="154666880"/>
        <c:axId val="154668416"/>
      </c:barChart>
      <c:catAx>
        <c:axId val="154666880"/>
        <c:scaling>
          <c:orientation val="minMax"/>
        </c:scaling>
        <c:axPos val="b"/>
        <c:tickLblPos val="nextTo"/>
        <c:txPr>
          <a:bodyPr rot="5400000" vert="horz"/>
          <a:lstStyle/>
          <a:p>
            <a:pPr>
              <a:defRPr sz="900"/>
            </a:pPr>
            <a:endParaRPr lang="ru-RU"/>
          </a:p>
        </c:txPr>
        <c:crossAx val="154668416"/>
        <c:crosses val="autoZero"/>
        <c:auto val="1"/>
        <c:lblAlgn val="ctr"/>
        <c:lblOffset val="100"/>
      </c:catAx>
      <c:valAx>
        <c:axId val="154668416"/>
        <c:scaling>
          <c:orientation val="minMax"/>
        </c:scaling>
        <c:axPos val="l"/>
        <c:numFmt formatCode="0.00" sourceLinked="1"/>
        <c:tickLblPos val="nextTo"/>
        <c:crossAx val="154666880"/>
        <c:crosses val="autoZero"/>
        <c:crossBetween val="between"/>
      </c:valAx>
    </c:plotArea>
    <c:legend>
      <c:legendPos val="b"/>
      <c:layout>
        <c:manualLayout>
          <c:xMode val="edge"/>
          <c:yMode val="edge"/>
          <c:x val="0.46252606445027838"/>
          <c:y val="0.9328562296475118"/>
          <c:w val="0.49855879994168473"/>
          <c:h val="6.6256947107972516E-2"/>
        </c:manualLayout>
      </c:layout>
      <c:txPr>
        <a:bodyPr/>
        <a:lstStyle/>
        <a:p>
          <a:pPr>
            <a:defRPr sz="900"/>
          </a:pPr>
          <a:endParaRPr lang="ru-RU"/>
        </a:p>
      </c:txPr>
    </c:legend>
    <c:plotVisOnly val="1"/>
  </c:chart>
  <c:spPr>
    <a:ln>
      <a:noFill/>
    </a:ln>
  </c:spPr>
  <c:txPr>
    <a:bodyPr/>
    <a:lstStyle/>
    <a:p>
      <a:pPr>
        <a:defRPr sz="800" b="1">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050"/>
              <a:t>Динамика доходов консолидированного бюджета за </a:t>
            </a:r>
            <a:r>
              <a:rPr lang="en-US" sz="1200" b="1" i="0" u="none" strike="noStrike" baseline="0"/>
              <a:t>I</a:t>
            </a:r>
            <a:r>
              <a:rPr lang="ru-RU" sz="1200" b="1" i="0" u="none" strike="noStrike" baseline="0"/>
              <a:t> полугодие </a:t>
            </a:r>
            <a:r>
              <a:rPr lang="ru-RU" sz="1050"/>
              <a:t>2014- 2015 годов, млн. руб. </a:t>
            </a:r>
          </a:p>
        </c:rich>
      </c:tx>
      <c:layout>
        <c:manualLayout>
          <c:xMode val="edge"/>
          <c:yMode val="edge"/>
          <c:x val="0.17309628151685202"/>
          <c:y val="0"/>
        </c:manualLayout>
      </c:layout>
      <c:spPr>
        <a:noFill/>
      </c:spPr>
    </c:title>
    <c:plotArea>
      <c:layout>
        <c:manualLayout>
          <c:layoutTarget val="inner"/>
          <c:xMode val="edge"/>
          <c:yMode val="edge"/>
          <c:x val="0.23784800655574553"/>
          <c:y val="0.25072687342653599"/>
          <c:w val="0.76215199344426265"/>
          <c:h val="0.45194868498581553"/>
        </c:manualLayout>
      </c:layout>
      <c:barChart>
        <c:barDir val="col"/>
        <c:grouping val="stacked"/>
        <c:ser>
          <c:idx val="0"/>
          <c:order val="0"/>
          <c:tx>
            <c:strRef>
              <c:f>Лист1!$B$1</c:f>
              <c:strCache>
                <c:ptCount val="1"/>
                <c:pt idx="0">
                  <c:v>Республиканский бюджет</c:v>
                </c:pt>
              </c:strCache>
            </c:strRef>
          </c:tx>
          <c:spPr>
            <a:solidFill>
              <a:srgbClr val="7030A0"/>
            </a:solidFill>
          </c:spPr>
          <c:dLbls>
            <c:dLbl>
              <c:idx val="0"/>
              <c:tx>
                <c:rich>
                  <a:bodyPr/>
                  <a:lstStyle/>
                  <a:p>
                    <a:r>
                      <a:rPr lang="ru-RU" b="1"/>
                      <a:t>64,1%</a:t>
                    </a:r>
                    <a:endParaRPr lang="en-US" b="1"/>
                  </a:p>
                </c:rich>
              </c:tx>
              <c:showVal val="1"/>
            </c:dLbl>
            <c:dLbl>
              <c:idx val="1"/>
              <c:tx>
                <c:rich>
                  <a:bodyPr/>
                  <a:lstStyle/>
                  <a:p>
                    <a:r>
                      <a:rPr lang="ru-RU" b="1"/>
                      <a:t>63,7%</a:t>
                    </a:r>
                    <a:endParaRPr lang="en-US" b="1"/>
                  </a:p>
                </c:rich>
              </c:tx>
              <c:showVal val="1"/>
            </c:dLbl>
            <c:txPr>
              <a:bodyPr/>
              <a:lstStyle/>
              <a:p>
                <a:pPr>
                  <a:defRPr sz="900" b="1"/>
                </a:pPr>
                <a:endParaRPr lang="ru-RU"/>
              </a:p>
            </c:txPr>
            <c:showVal val="1"/>
          </c:dLbls>
          <c:cat>
            <c:strRef>
              <c:f>Лист1!$A$2:$A$3</c:f>
              <c:strCache>
                <c:ptCount val="2"/>
                <c:pt idx="0">
                  <c:v>I полугодие 2014 года</c:v>
                </c:pt>
                <c:pt idx="1">
                  <c:v>I полугодие 2015 года</c:v>
                </c:pt>
              </c:strCache>
            </c:strRef>
          </c:cat>
          <c:val>
            <c:numRef>
              <c:f>Лист1!$B$2:$B$3</c:f>
              <c:numCache>
                <c:formatCode>#,##0.00</c:formatCode>
                <c:ptCount val="2"/>
                <c:pt idx="0">
                  <c:v>64.099999999999994</c:v>
                </c:pt>
                <c:pt idx="1">
                  <c:v>63.7</c:v>
                </c:pt>
              </c:numCache>
            </c:numRef>
          </c:val>
        </c:ser>
        <c:ser>
          <c:idx val="1"/>
          <c:order val="1"/>
          <c:tx>
            <c:strRef>
              <c:f>Лист1!$C$1</c:f>
              <c:strCache>
                <c:ptCount val="1"/>
                <c:pt idx="0">
                  <c:v>Местный бюджет</c:v>
                </c:pt>
              </c:strCache>
            </c:strRef>
          </c:tx>
          <c:spPr>
            <a:solidFill>
              <a:srgbClr val="FFFF00"/>
            </a:solidFill>
          </c:spPr>
          <c:dLbls>
            <c:dLbl>
              <c:idx val="0"/>
              <c:tx>
                <c:rich>
                  <a:bodyPr/>
                  <a:lstStyle/>
                  <a:p>
                    <a:r>
                      <a:rPr lang="ru-RU" b="1"/>
                      <a:t>35,9%</a:t>
                    </a:r>
                    <a:endParaRPr lang="en-US" b="1"/>
                  </a:p>
                </c:rich>
              </c:tx>
              <c:showVal val="1"/>
            </c:dLbl>
            <c:dLbl>
              <c:idx val="1"/>
              <c:tx>
                <c:rich>
                  <a:bodyPr/>
                  <a:lstStyle/>
                  <a:p>
                    <a:r>
                      <a:rPr lang="ru-RU" b="1"/>
                      <a:t>36,3%</a:t>
                    </a:r>
                    <a:endParaRPr lang="en-US" b="1"/>
                  </a:p>
                </c:rich>
              </c:tx>
              <c:showVal val="1"/>
            </c:dLbl>
            <c:txPr>
              <a:bodyPr/>
              <a:lstStyle/>
              <a:p>
                <a:pPr>
                  <a:defRPr sz="900" b="1"/>
                </a:pPr>
                <a:endParaRPr lang="ru-RU"/>
              </a:p>
            </c:txPr>
            <c:showVal val="1"/>
          </c:dLbls>
          <c:cat>
            <c:strRef>
              <c:f>Лист1!$A$2:$A$3</c:f>
              <c:strCache>
                <c:ptCount val="2"/>
                <c:pt idx="0">
                  <c:v>I полугодие 2014 года</c:v>
                </c:pt>
                <c:pt idx="1">
                  <c:v>I полугодие 2015 года</c:v>
                </c:pt>
              </c:strCache>
            </c:strRef>
          </c:cat>
          <c:val>
            <c:numRef>
              <c:f>Лист1!$C$2:$C$3</c:f>
              <c:numCache>
                <c:formatCode>#,##0.00</c:formatCode>
                <c:ptCount val="2"/>
                <c:pt idx="0">
                  <c:v>35.9</c:v>
                </c:pt>
                <c:pt idx="1">
                  <c:v>36.300000000000004</c:v>
                </c:pt>
              </c:numCache>
            </c:numRef>
          </c:val>
        </c:ser>
        <c:overlap val="100"/>
        <c:axId val="154800896"/>
        <c:axId val="154802432"/>
      </c:barChart>
      <c:catAx>
        <c:axId val="154800896"/>
        <c:scaling>
          <c:orientation val="minMax"/>
        </c:scaling>
        <c:axPos val="b"/>
        <c:tickLblPos val="nextTo"/>
        <c:txPr>
          <a:bodyPr/>
          <a:lstStyle/>
          <a:p>
            <a:pPr>
              <a:defRPr sz="1000" b="1"/>
            </a:pPr>
            <a:endParaRPr lang="ru-RU"/>
          </a:p>
        </c:txPr>
        <c:crossAx val="154802432"/>
        <c:crosses val="autoZero"/>
        <c:auto val="1"/>
        <c:lblAlgn val="ctr"/>
        <c:lblOffset val="100"/>
      </c:catAx>
      <c:valAx>
        <c:axId val="154802432"/>
        <c:scaling>
          <c:orientation val="minMax"/>
          <c:max val="100"/>
          <c:min val="0"/>
        </c:scaling>
        <c:axPos val="l"/>
        <c:numFmt formatCode="#,##0.00" sourceLinked="1"/>
        <c:tickLblPos val="nextTo"/>
        <c:txPr>
          <a:bodyPr/>
          <a:lstStyle/>
          <a:p>
            <a:pPr>
              <a:defRPr sz="1000" b="1"/>
            </a:pPr>
            <a:endParaRPr lang="ru-RU"/>
          </a:p>
        </c:txPr>
        <c:crossAx val="154800896"/>
        <c:crosses val="autoZero"/>
        <c:crossBetween val="between"/>
        <c:majorUnit val="20"/>
      </c:valAx>
    </c:plotArea>
    <c:legend>
      <c:legendPos val="b"/>
      <c:layout>
        <c:manualLayout>
          <c:xMode val="edge"/>
          <c:yMode val="edge"/>
          <c:x val="2.9390051343183527E-2"/>
          <c:y val="0.87423101928772662"/>
          <c:w val="0.93303050266127163"/>
          <c:h val="0.12412430319321872"/>
        </c:manualLayout>
      </c:layout>
      <c:txPr>
        <a:bodyPr/>
        <a:lstStyle/>
        <a:p>
          <a:pPr>
            <a:defRPr sz="1100"/>
          </a:pPr>
          <a:endParaRPr lang="ru-RU"/>
        </a:p>
      </c:txP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производста ВВП, млн. руб.</a:t>
            </a:r>
          </a:p>
        </c:rich>
      </c:tx>
    </c:title>
    <c:plotArea>
      <c:layout/>
      <c:barChart>
        <c:barDir val="col"/>
        <c:grouping val="clustered"/>
        <c:ser>
          <c:idx val="0"/>
          <c:order val="0"/>
          <c:tx>
            <c:strRef>
              <c:f>Лист1!$B$1</c:f>
              <c:strCache>
                <c:ptCount val="1"/>
                <c:pt idx="0">
                  <c:v>январь-июнь 2014 года</c:v>
                </c:pt>
              </c:strCache>
            </c:strRef>
          </c:tx>
          <c:dLbls>
            <c:dLbl>
              <c:idx val="0"/>
              <c:tx>
                <c:rich>
                  <a:bodyPr/>
                  <a:lstStyle/>
                  <a:p>
                    <a:r>
                      <a:rPr lang="ru-RU" sz="800" b="1">
                        <a:latin typeface="Times New Roman" pitchFamily="18" charset="0"/>
                        <a:cs typeface="Times New Roman" pitchFamily="18" charset="0"/>
                      </a:rPr>
                      <a:t>17,32*</a:t>
                    </a:r>
                    <a:endParaRPr lang="en-US" sz="800" b="1">
                      <a:latin typeface="Times New Roman" pitchFamily="18" charset="0"/>
                      <a:cs typeface="Times New Roman" pitchFamily="18" charset="0"/>
                    </a:endParaRPr>
                  </a:p>
                </c:rich>
              </c:tx>
              <c:dLblPos val="outEnd"/>
              <c:showVal val="1"/>
            </c:dLbl>
            <c:dLbl>
              <c:idx val="1"/>
              <c:layout>
                <c:manualLayout>
                  <c:x val="-4.6296296296297031E-3"/>
                  <c:y val="0"/>
                </c:manualLayout>
              </c:layout>
              <c:tx>
                <c:rich>
                  <a:bodyPr/>
                  <a:lstStyle/>
                  <a:p>
                    <a:r>
                      <a:rPr lang="ru-RU" sz="800" b="1">
                        <a:latin typeface="Times New Roman" pitchFamily="18" charset="0"/>
                        <a:cs typeface="Times New Roman" pitchFamily="18" charset="0"/>
                      </a:rPr>
                      <a:t>77,03*</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5,66*</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formatCode="0.0">
                  <c:v>799.5</c:v>
                </c:pt>
                <c:pt idx="1">
                  <c:v>3556.2</c:v>
                </c:pt>
                <c:pt idx="2" formatCode="0.0">
                  <c:v>261.10000000000002</c:v>
                </c:pt>
              </c:numCache>
            </c:numRef>
          </c:val>
        </c:ser>
        <c:ser>
          <c:idx val="1"/>
          <c:order val="1"/>
          <c:tx>
            <c:strRef>
              <c:f>Лист1!$C$1</c:f>
              <c:strCache>
                <c:ptCount val="1"/>
                <c:pt idx="0">
                  <c:v>январь-июнь 2015 года</c:v>
                </c:pt>
              </c:strCache>
            </c:strRef>
          </c:tx>
          <c:dLbls>
            <c:dLbl>
              <c:idx val="0"/>
              <c:tx>
                <c:rich>
                  <a:bodyPr/>
                  <a:lstStyle/>
                  <a:p>
                    <a:r>
                      <a:rPr lang="ru-RU" sz="800" b="1">
                        <a:latin typeface="Times New Roman" pitchFamily="18" charset="0"/>
                        <a:cs typeface="Times New Roman" pitchFamily="18" charset="0"/>
                      </a:rPr>
                      <a:t>17,67*</a:t>
                    </a:r>
                    <a:endParaRPr lang="en-US" sz="800" b="1">
                      <a:latin typeface="Times New Roman" pitchFamily="18" charset="0"/>
                      <a:cs typeface="Times New Roman" pitchFamily="18" charset="0"/>
                    </a:endParaRPr>
                  </a:p>
                </c:rich>
              </c:tx>
              <c:dLblPos val="outEnd"/>
              <c:showVal val="1"/>
            </c:dLbl>
            <c:dLbl>
              <c:idx val="1"/>
              <c:tx>
                <c:rich>
                  <a:bodyPr/>
                  <a:lstStyle/>
                  <a:p>
                    <a:r>
                      <a:rPr lang="ru-RU" sz="800" b="1">
                        <a:latin typeface="Times New Roman" pitchFamily="18" charset="0"/>
                        <a:cs typeface="Times New Roman" pitchFamily="18" charset="0"/>
                      </a:rPr>
                      <a:t>79,77*</a:t>
                    </a:r>
                    <a:endParaRPr lang="en-US" sz="800" b="1">
                      <a:latin typeface="Times New Roman" pitchFamily="18" charset="0"/>
                      <a:cs typeface="Times New Roman" pitchFamily="18" charset="0"/>
                    </a:endParaRPr>
                  </a:p>
                </c:rich>
              </c:tx>
              <c:dLblPos val="outEnd"/>
              <c:showVal val="1"/>
            </c:dLbl>
            <c:dLbl>
              <c:idx val="2"/>
              <c:tx>
                <c:rich>
                  <a:bodyPr/>
                  <a:lstStyle/>
                  <a:p>
                    <a:r>
                      <a:rPr lang="ru-RU" sz="800" b="1">
                        <a:latin typeface="Times New Roman" pitchFamily="18" charset="0"/>
                        <a:cs typeface="Times New Roman" pitchFamily="18" charset="0"/>
                      </a:rPr>
                      <a:t>2,56*</a:t>
                    </a:r>
                    <a:endParaRPr lang="en-US" sz="800" b="1">
                      <a:latin typeface="Times New Roman" pitchFamily="18" charset="0"/>
                      <a:cs typeface="Times New Roman" pitchFamily="18" charset="0"/>
                    </a:endParaRPr>
                  </a:p>
                </c:rich>
              </c:tx>
              <c:dLblPos val="outEnd"/>
              <c:showVal val="1"/>
            </c:dLbl>
            <c:dLblPos val="outEnd"/>
            <c:showVal val="1"/>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formatCode="0.0">
                  <c:v>663.3</c:v>
                </c:pt>
                <c:pt idx="1">
                  <c:v>2993.8</c:v>
                </c:pt>
                <c:pt idx="2" formatCode="0.0">
                  <c:v>95.9</c:v>
                </c:pt>
              </c:numCache>
            </c:numRef>
          </c:val>
        </c:ser>
        <c:dLbls>
          <c:showVal val="1"/>
        </c:dLbls>
        <c:axId val="172955904"/>
        <c:axId val="70483968"/>
      </c:barChart>
      <c:catAx>
        <c:axId val="172955904"/>
        <c:scaling>
          <c:orientation val="minMax"/>
        </c:scaling>
        <c:axPos val="b"/>
        <c:tickLblPos val="nextTo"/>
        <c:crossAx val="70483968"/>
        <c:crosses val="autoZero"/>
        <c:auto val="1"/>
        <c:lblAlgn val="ctr"/>
        <c:lblOffset val="100"/>
      </c:catAx>
      <c:valAx>
        <c:axId val="70483968"/>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82368601379917805"/>
              <c:y val="0.19294814010317801"/>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172955904"/>
        <c:crosses val="autoZero"/>
        <c:crossBetween val="between"/>
        <c:majorUnit val="5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поступлений в доходную часть Консолидированного бюджета (%) </a:t>
            </a:r>
            <a:endParaRPr lang="ru-RU" sz="1100">
              <a:solidFill>
                <a:srgbClr val="FF0000"/>
              </a:solidFill>
              <a:latin typeface="Times New Roman" pitchFamily="18" charset="0"/>
              <a:cs typeface="Times New Roman" pitchFamily="18" charset="0"/>
            </a:endParaRPr>
          </a:p>
        </c:rich>
      </c:tx>
      <c:layout>
        <c:manualLayout>
          <c:xMode val="edge"/>
          <c:yMode val="edge"/>
          <c:x val="0.10881695343637612"/>
          <c:y val="0"/>
        </c:manualLayout>
      </c:layout>
      <c:spPr>
        <a:noFill/>
      </c:spPr>
    </c:title>
    <c:plotArea>
      <c:layout>
        <c:manualLayout>
          <c:layoutTarget val="inner"/>
          <c:xMode val="edge"/>
          <c:yMode val="edge"/>
          <c:x val="0.12843187660668368"/>
          <c:y val="0.16294399401855184"/>
          <c:w val="0.57293281784507877"/>
          <c:h val="0.64309290715515799"/>
        </c:manualLayout>
      </c:layout>
      <c:barChart>
        <c:barDir val="col"/>
        <c:grouping val="stacked"/>
        <c:ser>
          <c:idx val="0"/>
          <c:order val="0"/>
          <c:tx>
            <c:strRef>
              <c:f>Лист1!$B$1</c:f>
              <c:strCache>
                <c:ptCount val="1"/>
                <c:pt idx="0">
                  <c:v>Налоговые доходы</c:v>
                </c:pt>
              </c:strCache>
            </c:strRef>
          </c:tx>
          <c:spPr>
            <a:solidFill>
              <a:schemeClr val="accent5">
                <a:lumMod val="75000"/>
              </a:schemeClr>
            </a:solidFill>
          </c:spPr>
          <c:dLbls>
            <c:dLbl>
              <c:idx val="0"/>
              <c:layout>
                <c:manualLayout>
                  <c:x val="-9.6118299445471372E-2"/>
                  <c:y val="-5.4200542005420054E-3"/>
                </c:manualLayout>
              </c:layout>
              <c:showVal val="1"/>
            </c:dLbl>
            <c:dLbl>
              <c:idx val="1"/>
              <c:layout>
                <c:manualLayout>
                  <c:x val="-0.10351201478743063"/>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Лист1!$B$2:$B$3</c:f>
              <c:numCache>
                <c:formatCode>General</c:formatCode>
                <c:ptCount val="2"/>
                <c:pt idx="0" formatCode="0.0">
                  <c:v>83.9</c:v>
                </c:pt>
                <c:pt idx="1">
                  <c:v>77.400000000000006</c:v>
                </c:pt>
              </c:numCache>
            </c:numRef>
          </c:val>
        </c:ser>
        <c:ser>
          <c:idx val="1"/>
          <c:order val="1"/>
          <c:tx>
            <c:strRef>
              <c:f>Лист1!$C$1</c:f>
              <c:strCache>
                <c:ptCount val="1"/>
                <c:pt idx="0">
                  <c:v>Неналоговые доходы</c:v>
                </c:pt>
              </c:strCache>
            </c:strRef>
          </c:tx>
          <c:spPr>
            <a:solidFill>
              <a:srgbClr val="FFFF00"/>
            </a:solidFill>
          </c:spPr>
          <c:dLbls>
            <c:dLbl>
              <c:idx val="0"/>
              <c:layout>
                <c:manualLayout>
                  <c:x val="8.8724584103513568E-2"/>
                  <c:y val="5.4200542005420054E-3"/>
                </c:manualLayout>
              </c:layout>
              <c:showVal val="1"/>
            </c:dLbl>
            <c:dLbl>
              <c:idx val="1"/>
              <c:layout>
                <c:manualLayout>
                  <c:x val="9.11891558841651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Лист1!$C$2:$C$3</c:f>
              <c:numCache>
                <c:formatCode>0.0</c:formatCode>
                <c:ptCount val="2"/>
                <c:pt idx="0" formatCode="General">
                  <c:v>1.6</c:v>
                </c:pt>
                <c:pt idx="1">
                  <c:v>2.4</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dLbls>
            <c:dLbl>
              <c:idx val="0"/>
              <c:layout>
                <c:manualLayout>
                  <c:x val="-9.118915588416511E-2"/>
                  <c:y val="0"/>
                </c:manualLayout>
              </c:layout>
              <c:showVal val="1"/>
            </c:dLbl>
            <c:dLbl>
              <c:idx val="1"/>
              <c:layout>
                <c:manualLayout>
                  <c:x val="-9.6118299445471331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Лист1!$D$2:$D$3</c:f>
              <c:numCache>
                <c:formatCode>General</c:formatCode>
                <c:ptCount val="2"/>
                <c:pt idx="0">
                  <c:v>6.4</c:v>
                </c:pt>
                <c:pt idx="1">
                  <c:v>9.5</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dLbls>
            <c:dLbl>
              <c:idx val="0"/>
              <c:layout>
                <c:manualLayout>
                  <c:x val="8.1330868761553765E-2"/>
                  <c:y val="5.4200542005420054E-3"/>
                </c:manualLayout>
              </c:layout>
              <c:showVal val="1"/>
            </c:dLbl>
            <c:dLbl>
              <c:idx val="1"/>
              <c:layout>
                <c:manualLayout>
                  <c:x val="8.8724584103513568E-2"/>
                  <c:y val="-1.626016260162606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Лист1!$E$2:$E$3</c:f>
              <c:numCache>
                <c:formatCode>General</c:formatCode>
                <c:ptCount val="2"/>
                <c:pt idx="0">
                  <c:v>6.6</c:v>
                </c:pt>
                <c:pt idx="1">
                  <c:v>10.5</c:v>
                </c:pt>
              </c:numCache>
            </c:numRef>
          </c:val>
        </c:ser>
        <c:ser>
          <c:idx val="4"/>
          <c:order val="4"/>
          <c:tx>
            <c:strRef>
              <c:f>Лист1!$F$1</c:f>
              <c:strCache>
                <c:ptCount val="1"/>
                <c:pt idx="0">
                  <c:v>Безвозмездные перечисления</c:v>
                </c:pt>
              </c:strCache>
            </c:strRef>
          </c:tx>
          <c:dLbls>
            <c:dLbl>
              <c:idx val="0"/>
              <c:layout>
                <c:manualLayout>
                  <c:x val="-9.3653727664818262E-2"/>
                  <c:y val="-2.1680216802168056E-2"/>
                </c:manualLayout>
              </c:layout>
              <c:showVal val="1"/>
            </c:dLbl>
            <c:dLbl>
              <c:idx val="1"/>
              <c:layout>
                <c:manualLayout>
                  <c:x val="-8.3795440542211302E-2"/>
                  <c:y val="-3.2520325203252036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Лист1!$F$2:$F$3</c:f>
              <c:numCache>
                <c:formatCode>General</c:formatCode>
                <c:ptCount val="2"/>
                <c:pt idx="0">
                  <c:v>1.5</c:v>
                </c:pt>
                <c:pt idx="1">
                  <c:v>0.2</c:v>
                </c:pt>
              </c:numCache>
            </c:numRef>
          </c:val>
        </c:ser>
        <c:overlap val="100"/>
        <c:axId val="154856448"/>
        <c:axId val="155136768"/>
      </c:barChart>
      <c:catAx>
        <c:axId val="154856448"/>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55136768"/>
        <c:crosses val="autoZero"/>
        <c:auto val="1"/>
        <c:lblAlgn val="ctr"/>
        <c:lblOffset val="100"/>
      </c:catAx>
      <c:valAx>
        <c:axId val="155136768"/>
        <c:scaling>
          <c:orientation val="minMax"/>
          <c:max val="110"/>
          <c:min val="0"/>
        </c:scaling>
        <c:axPos val="l"/>
        <c:majorGridlines>
          <c:spPr>
            <a:ln>
              <a:noFill/>
            </a:ln>
          </c:spPr>
        </c:majorGridlines>
        <c:numFmt formatCode="0.0" sourceLinked="1"/>
        <c:tickLblPos val="nextTo"/>
        <c:txPr>
          <a:bodyPr/>
          <a:lstStyle/>
          <a:p>
            <a:pPr>
              <a:defRPr b="1">
                <a:latin typeface="Times New Roman" pitchFamily="18" charset="0"/>
                <a:cs typeface="Times New Roman" pitchFamily="18" charset="0"/>
              </a:defRPr>
            </a:pPr>
            <a:endParaRPr lang="ru-RU"/>
          </a:p>
        </c:txPr>
        <c:crossAx val="154856448"/>
        <c:crosses val="autoZero"/>
        <c:crossBetween val="between"/>
      </c:valAx>
    </c:plotArea>
    <c:legend>
      <c:legendPos val="r"/>
      <c:layout>
        <c:manualLayout>
          <c:xMode val="edge"/>
          <c:yMode val="edge"/>
          <c:x val="0.68856281853657264"/>
          <c:y val="0.13841628887298418"/>
          <c:w val="0.30655057006763314"/>
          <c:h val="0.85761647975821209"/>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8.2006079027355613E-2"/>
          <c:y val="4.8108356082996788E-2"/>
          <c:w val="0.55726443768996969"/>
          <c:h val="0.8026945412311266"/>
        </c:manualLayout>
      </c:layout>
      <c:lineChart>
        <c:grouping val="standard"/>
        <c:ser>
          <c:idx val="0"/>
          <c:order val="0"/>
          <c:tx>
            <c:strRef>
              <c:f>Лист1!$B$1</c:f>
              <c:strCache>
                <c:ptCount val="1"/>
                <c:pt idx="0">
                  <c:v>Налог на доходы организаций по отрасли( подотрасли, виду деятельности)</c:v>
                </c:pt>
              </c:strCache>
            </c:strRef>
          </c:tx>
          <c:dLbls>
            <c:dLbl>
              <c:idx val="0"/>
              <c:layout>
                <c:manualLayout>
                  <c:x val="-0.11752786220871327"/>
                  <c:y val="8.1795755922667246E-2"/>
                </c:manualLayout>
              </c:layout>
              <c:tx>
                <c:rich>
                  <a:bodyPr/>
                  <a:lstStyle/>
                  <a:p>
                    <a:r>
                      <a:rPr lang="ru-RU"/>
                      <a:t>95,7%*</a:t>
                    </a:r>
                    <a:endParaRPr lang="en-US"/>
                  </a:p>
                </c:rich>
              </c:tx>
              <c:showVal val="1"/>
            </c:dLbl>
            <c:dLbl>
              <c:idx val="1"/>
              <c:layout>
                <c:manualLayout>
                  <c:x val="-1.4184397163120564E-2"/>
                  <c:y val="-2.5228309875899659E-2"/>
                </c:manualLayout>
              </c:layout>
              <c:tx>
                <c:rich>
                  <a:bodyPr/>
                  <a:lstStyle/>
                  <a:p>
                    <a:r>
                      <a:rPr lang="ru-RU"/>
                      <a:t>100,1%*</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Лист1!$B$2:$B$3</c:f>
              <c:numCache>
                <c:formatCode>0.0</c:formatCode>
                <c:ptCount val="2"/>
                <c:pt idx="0">
                  <c:v>368</c:v>
                </c:pt>
                <c:pt idx="1">
                  <c:v>368.5</c:v>
                </c:pt>
              </c:numCache>
            </c:numRef>
          </c:val>
        </c:ser>
        <c:ser>
          <c:idx val="1"/>
          <c:order val="1"/>
          <c:tx>
            <c:strRef>
              <c:f>Лист1!$C$1</c:f>
              <c:strCache>
                <c:ptCount val="1"/>
                <c:pt idx="0">
                  <c:v>Подоходный налог с физических лиц</c:v>
                </c:pt>
              </c:strCache>
            </c:strRef>
          </c:tx>
          <c:dLbls>
            <c:dLbl>
              <c:idx val="0"/>
              <c:layout>
                <c:manualLayout>
                  <c:x val="-0.12360688956433639"/>
                  <c:y val="-1.7315286569570959E-2"/>
                </c:manualLayout>
              </c:layout>
              <c:tx>
                <c:rich>
                  <a:bodyPr/>
                  <a:lstStyle/>
                  <a:p>
                    <a:r>
                      <a:rPr lang="ru-RU"/>
                      <a:t>104,0%*</a:t>
                    </a:r>
                    <a:endParaRPr lang="en-US"/>
                  </a:p>
                </c:rich>
              </c:tx>
              <c:showVal val="1"/>
            </c:dLbl>
            <c:dLbl>
              <c:idx val="1"/>
              <c:layout>
                <c:manualLayout>
                  <c:x val="-2.0263424518743682E-3"/>
                  <c:y val="-2.7874564459930411E-2"/>
                </c:manualLayout>
              </c:layout>
              <c:tx>
                <c:rich>
                  <a:bodyPr/>
                  <a:lstStyle/>
                  <a:p>
                    <a:r>
                      <a:rPr lang="ru-RU"/>
                      <a:t>74,7%*</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Лист1!$C$2:$C$3</c:f>
              <c:numCache>
                <c:formatCode>General</c:formatCode>
                <c:ptCount val="2"/>
                <c:pt idx="0">
                  <c:v>224.7</c:v>
                </c:pt>
                <c:pt idx="1">
                  <c:v>167.8</c:v>
                </c:pt>
              </c:numCache>
            </c:numRef>
          </c:val>
        </c:ser>
        <c:ser>
          <c:idx val="2"/>
          <c:order val="2"/>
          <c:tx>
            <c:strRef>
              <c:f>Лист1!$D$1</c:f>
              <c:strCache>
                <c:ptCount val="1"/>
                <c:pt idx="0">
                  <c:v>Налоги на товары и услуги, лицензионные и регистрационные сборы</c:v>
                </c:pt>
              </c:strCache>
            </c:strRef>
          </c:tx>
          <c:dLbls>
            <c:dLbl>
              <c:idx val="0"/>
              <c:layout>
                <c:manualLayout>
                  <c:x val="-0.13576494427558258"/>
                  <c:y val="4.0890672979603838E-2"/>
                </c:manualLayout>
              </c:layout>
              <c:tx>
                <c:rich>
                  <a:bodyPr/>
                  <a:lstStyle/>
                  <a:p>
                    <a:r>
                      <a:rPr lang="ru-RU"/>
                      <a:t>в 3,1 раз*</a:t>
                    </a:r>
                    <a:endParaRPr lang="en-US"/>
                  </a:p>
                </c:rich>
              </c:tx>
              <c:showVal val="1"/>
            </c:dLbl>
            <c:dLbl>
              <c:idx val="1"/>
              <c:layout>
                <c:manualLayout>
                  <c:x val="-6.0790273556232356E-3"/>
                  <c:y val="9.3743674197588247E-3"/>
                </c:manualLayout>
              </c:layout>
              <c:tx>
                <c:rich>
                  <a:bodyPr/>
                  <a:lstStyle/>
                  <a:p>
                    <a:r>
                      <a:rPr lang="ru-RU"/>
                      <a:t>100,2%*</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Лист1!$D$2:$D$3</c:f>
              <c:numCache>
                <c:formatCode>0.0</c:formatCode>
                <c:ptCount val="2"/>
                <c:pt idx="0">
                  <c:v>308</c:v>
                </c:pt>
                <c:pt idx="1">
                  <c:v>63.7</c:v>
                </c:pt>
              </c:numCache>
            </c:numRef>
          </c:val>
        </c:ser>
        <c:ser>
          <c:idx val="3"/>
          <c:order val="3"/>
          <c:tx>
            <c:strRef>
              <c:f>Лист1!$E$1</c:f>
              <c:strCache>
                <c:ptCount val="1"/>
                <c:pt idx="0">
                  <c:v>Налог на игорную деятельность</c:v>
                </c:pt>
              </c:strCache>
            </c:strRef>
          </c:tx>
          <c:dLbls>
            <c:dLbl>
              <c:idx val="0"/>
              <c:layout>
                <c:manualLayout>
                  <c:x val="-0.11752786220871327"/>
                  <c:y val="3.6414663853292846E-2"/>
                </c:manualLayout>
              </c:layout>
              <c:tx>
                <c:rich>
                  <a:bodyPr/>
                  <a:lstStyle/>
                  <a:p>
                    <a:r>
                      <a:rPr lang="ru-RU"/>
                      <a:t>117,0%*</a:t>
                    </a:r>
                    <a:endParaRPr lang="en-US"/>
                  </a:p>
                </c:rich>
              </c:tx>
              <c:showVal val="1"/>
            </c:dLbl>
            <c:dLbl>
              <c:idx val="1"/>
              <c:layout>
                <c:manualLayout>
                  <c:x val="-1.2158054711246199E-2"/>
                  <c:y val="2.6532859863105392E-2"/>
                </c:manualLayout>
              </c:layout>
              <c:tx>
                <c:rich>
                  <a:bodyPr/>
                  <a:lstStyle/>
                  <a:p>
                    <a:r>
                      <a:rPr lang="ru-RU"/>
                      <a:t>75,5%*</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Лист1!$E$2:$E$3</c:f>
              <c:numCache>
                <c:formatCode>General</c:formatCode>
                <c:ptCount val="2"/>
                <c:pt idx="0">
                  <c:v>6.7</c:v>
                </c:pt>
                <c:pt idx="1">
                  <c:v>5.0999999999999996</c:v>
                </c:pt>
              </c:numCache>
            </c:numRef>
          </c:val>
        </c:ser>
        <c:ser>
          <c:idx val="4"/>
          <c:order val="4"/>
          <c:tx>
            <c:strRef>
              <c:f>Лист1!$F$1</c:f>
              <c:strCache>
                <c:ptCount val="1"/>
                <c:pt idx="0">
                  <c:v>Платежи за пользование природными ресурсами</c:v>
                </c:pt>
              </c:strCache>
            </c:strRef>
          </c:tx>
          <c:dLbls>
            <c:dLbl>
              <c:idx val="0"/>
              <c:layout>
                <c:manualLayout>
                  <c:x val="-0.10536980749746597"/>
                  <c:y val="-7.1158458133909669E-2"/>
                </c:manualLayout>
              </c:layout>
              <c:tx>
                <c:rich>
                  <a:bodyPr/>
                  <a:lstStyle/>
                  <a:p>
                    <a:r>
                      <a:rPr lang="ru-RU"/>
                      <a:t>121,5%*</a:t>
                    </a:r>
                    <a:endParaRPr lang="en-US"/>
                  </a:p>
                </c:rich>
              </c:tx>
              <c:showVal val="1"/>
            </c:dLbl>
            <c:dLbl>
              <c:idx val="1"/>
              <c:layout>
                <c:manualLayout>
                  <c:x val="-2.0263424518743672E-2"/>
                  <c:y val="-0.11543993275350389"/>
                </c:manualLayout>
              </c:layout>
              <c:tx>
                <c:rich>
                  <a:bodyPr/>
                  <a:lstStyle/>
                  <a:p>
                    <a:r>
                      <a:rPr lang="ru-RU"/>
                      <a:t>20,7%*</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Лист1!$F$2:$F$3</c:f>
              <c:numCache>
                <c:formatCode>General</c:formatCode>
                <c:ptCount val="2"/>
                <c:pt idx="0">
                  <c:v>34.6</c:v>
                </c:pt>
                <c:pt idx="1">
                  <c:v>30.9</c:v>
                </c:pt>
              </c:numCache>
            </c:numRef>
          </c:val>
        </c:ser>
        <c:ser>
          <c:idx val="5"/>
          <c:order val="5"/>
          <c:tx>
            <c:strRef>
              <c:f>Лист1!$G$1</c:f>
              <c:strCache>
                <c:ptCount val="1"/>
                <c:pt idx="0">
                  <c:v>Налоги на внешнюю торговлю и внешнеэкономические операции</c:v>
                </c:pt>
              </c:strCache>
            </c:strRef>
          </c:tx>
          <c:dLbls>
            <c:dLbl>
              <c:idx val="0"/>
              <c:layout>
                <c:manualLayout>
                  <c:x val="-0.11752786220871327"/>
                  <c:y val="-8.663818983411388E-2"/>
                </c:manualLayout>
              </c:layout>
              <c:tx>
                <c:rich>
                  <a:bodyPr/>
                  <a:lstStyle/>
                  <a:p>
                    <a:r>
                      <a:rPr lang="ru-RU"/>
                      <a:t>108,2%*</a:t>
                    </a:r>
                    <a:endParaRPr lang="en-US"/>
                  </a:p>
                </c:rich>
              </c:tx>
              <c:showVal val="1"/>
            </c:dLbl>
            <c:dLbl>
              <c:idx val="1"/>
              <c:layout>
                <c:manualLayout>
                  <c:x val="-1.0131712259371834E-2"/>
                  <c:y val="2.3090528318106578E-2"/>
                </c:manualLayout>
              </c:layout>
              <c:tx>
                <c:rich>
                  <a:bodyPr/>
                  <a:lstStyle/>
                  <a:p>
                    <a:r>
                      <a:rPr lang="ru-RU"/>
                      <a:t>40,2%*</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Лист1!$G$2:$G$3</c:f>
              <c:numCache>
                <c:formatCode>General</c:formatCode>
                <c:ptCount val="2"/>
                <c:pt idx="0">
                  <c:v>340.1</c:v>
                </c:pt>
                <c:pt idx="1">
                  <c:v>136.6</c:v>
                </c:pt>
              </c:numCache>
            </c:numRef>
          </c:val>
        </c:ser>
        <c:ser>
          <c:idx val="6"/>
          <c:order val="6"/>
          <c:tx>
            <c:strRef>
              <c:f>Лист1!$H$1</c:f>
              <c:strCache>
                <c:ptCount val="1"/>
                <c:pt idx="0">
                  <c:v>Прочие налоги, пошлины и сборы</c:v>
                </c:pt>
              </c:strCache>
            </c:strRef>
          </c:tx>
          <c:dLbls>
            <c:dLbl>
              <c:idx val="0"/>
              <c:layout>
                <c:manualLayout>
                  <c:x val="-0.12158054711246201"/>
                  <c:y val="4.1864031701919713E-2"/>
                </c:manualLayout>
              </c:layout>
              <c:tx>
                <c:rich>
                  <a:bodyPr/>
                  <a:lstStyle/>
                  <a:p>
                    <a:r>
                      <a:rPr lang="ru-RU"/>
                      <a:t>103,2%*</a:t>
                    </a:r>
                    <a:endParaRPr lang="en-US"/>
                  </a:p>
                </c:rich>
              </c:tx>
              <c:showVal val="1"/>
            </c:dLbl>
            <c:dLbl>
              <c:idx val="1"/>
              <c:layout>
                <c:manualLayout>
                  <c:x val="-1.0131712259371834E-2"/>
                  <c:y val="3.9156330948827478E-2"/>
                </c:manualLayout>
              </c:layout>
              <c:tx>
                <c:rich>
                  <a:bodyPr/>
                  <a:lstStyle/>
                  <a:p>
                    <a:r>
                      <a:rPr lang="ru-RU"/>
                      <a:t>89,4%*</a:t>
                    </a:r>
                    <a:endParaRPr lang="en-US"/>
                  </a:p>
                </c:rich>
              </c:tx>
              <c:showVal val="1"/>
            </c:dLbl>
            <c:showVal val="1"/>
          </c:dLbls>
          <c:cat>
            <c:strRef>
              <c:f>Лист1!$A$2:$A$3</c:f>
              <c:strCache>
                <c:ptCount val="2"/>
                <c:pt idx="0">
                  <c:v>I полугодие 2014 года</c:v>
                </c:pt>
                <c:pt idx="1">
                  <c:v>I полугодие 2015 года</c:v>
                </c:pt>
              </c:strCache>
            </c:strRef>
          </c:cat>
          <c:val>
            <c:numRef>
              <c:f>Лист1!$H$2:$H$3</c:f>
              <c:numCache>
                <c:formatCode>General</c:formatCode>
                <c:ptCount val="2"/>
                <c:pt idx="0">
                  <c:v>48.1</c:v>
                </c:pt>
                <c:pt idx="1">
                  <c:v>48.2</c:v>
                </c:pt>
              </c:numCache>
            </c:numRef>
          </c:val>
        </c:ser>
        <c:marker val="1"/>
        <c:axId val="155299840"/>
        <c:axId val="155301376"/>
      </c:lineChart>
      <c:catAx>
        <c:axId val="155299840"/>
        <c:scaling>
          <c:orientation val="minMax"/>
        </c:scaling>
        <c:axPos val="b"/>
        <c:tickLblPos val="nextTo"/>
        <c:txPr>
          <a:bodyPr/>
          <a:lstStyle/>
          <a:p>
            <a:pPr>
              <a:defRPr b="1"/>
            </a:pPr>
            <a:endParaRPr lang="ru-RU"/>
          </a:p>
        </c:txPr>
        <c:crossAx val="155301376"/>
        <c:crosses val="autoZero"/>
        <c:auto val="1"/>
        <c:lblAlgn val="ctr"/>
        <c:lblOffset val="100"/>
      </c:catAx>
      <c:valAx>
        <c:axId val="155301376"/>
        <c:scaling>
          <c:orientation val="minMax"/>
          <c:max val="400"/>
        </c:scaling>
        <c:axPos val="l"/>
        <c:majorGridlines/>
        <c:numFmt formatCode="0.0" sourceLinked="1"/>
        <c:tickLblPos val="nextTo"/>
        <c:txPr>
          <a:bodyPr/>
          <a:lstStyle/>
          <a:p>
            <a:pPr>
              <a:defRPr b="1"/>
            </a:pPr>
            <a:endParaRPr lang="ru-RU"/>
          </a:p>
        </c:txPr>
        <c:crossAx val="155299840"/>
        <c:crosses val="autoZero"/>
        <c:crossBetween val="between"/>
        <c:majorUnit val="50"/>
      </c:valAx>
    </c:plotArea>
    <c:legend>
      <c:legendPos val="r"/>
      <c:layout>
        <c:manualLayout>
          <c:xMode val="edge"/>
          <c:yMode val="edge"/>
          <c:x val="0.64893617021276551"/>
          <c:y val="0"/>
          <c:w val="0.33890577507600267"/>
          <c:h val="1"/>
        </c:manualLayout>
      </c:layout>
      <c:spPr>
        <a:noFill/>
      </c:sp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1" i="0" u="none" strike="noStrike" baseline="0"/>
              <a:t>1 полугодие </a:t>
            </a:r>
            <a:r>
              <a:rPr lang="ru-RU" sz="1100"/>
              <a:t>2014 года</a:t>
            </a:r>
          </a:p>
        </c:rich>
      </c:tx>
      <c:layout>
        <c:manualLayout>
          <c:xMode val="edge"/>
          <c:yMode val="edge"/>
          <c:x val="0.44587570621469358"/>
          <c:y val="0"/>
        </c:manualLayout>
      </c:layout>
      <c:spPr>
        <a:noFill/>
      </c:spPr>
    </c:title>
    <c:view3D>
      <c:rotX val="30"/>
      <c:perspective val="30"/>
    </c:view3D>
    <c:plotArea>
      <c:layout>
        <c:manualLayout>
          <c:layoutTarget val="inner"/>
          <c:xMode val="edge"/>
          <c:yMode val="edge"/>
          <c:x val="0.24286169313581571"/>
          <c:y val="4.8696040654492813E-4"/>
          <c:w val="0.51226157747230749"/>
          <c:h val="0.70674286681906695"/>
        </c:manualLayout>
      </c:layout>
      <c:pie3DChart>
        <c:varyColors val="1"/>
        <c:ser>
          <c:idx val="0"/>
          <c:order val="0"/>
          <c:tx>
            <c:strRef>
              <c:f>Лист1!$B$1</c:f>
              <c:strCache>
                <c:ptCount val="1"/>
                <c:pt idx="0">
                  <c:v>2013 год</c:v>
                </c:pt>
              </c:strCache>
            </c:strRef>
          </c:tx>
          <c:explosion val="25"/>
          <c:dPt>
            <c:idx val="0"/>
            <c:explosion val="13"/>
            <c:spPr>
              <a:blipFill>
                <a:blip xmlns:r="http://schemas.openxmlformats.org/officeDocument/2006/relationships" r:embed="rId1"/>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2"/>
                <a:tile tx="0" ty="0" sx="100000" sy="100000" flip="none" algn="tl"/>
              </a:blipFill>
            </c:spPr>
          </c:dPt>
          <c:dPt>
            <c:idx val="3"/>
            <c:explosion val="18"/>
            <c:spPr>
              <a:blipFill>
                <a:blip xmlns:r="http://schemas.openxmlformats.org/officeDocument/2006/relationships" r:embed="rId3"/>
                <a:tile tx="0" ty="0" sx="100000" sy="100000" flip="none" algn="tl"/>
              </a:blipFill>
            </c:spPr>
          </c:dPt>
          <c:dLbls>
            <c:dLbl>
              <c:idx val="0"/>
              <c:layout>
                <c:manualLayout>
                  <c:x val="-2.8699115313288552E-3"/>
                  <c:y val="-0.11635313027732"/>
                </c:manualLayout>
              </c:layout>
              <c:showVal val="1"/>
            </c:dLbl>
            <c:dLbl>
              <c:idx val="1"/>
              <c:layout>
                <c:manualLayout>
                  <c:x val="4.0995093004678823E-2"/>
                  <c:y val="3.8118781663919916E-2"/>
                </c:manualLayout>
              </c:layout>
              <c:showVal val="1"/>
            </c:dLbl>
            <c:dLbl>
              <c:idx val="2"/>
              <c:layout>
                <c:manualLayout>
                  <c:x val="-7.4547800169046732E-2"/>
                  <c:y val="2.038904711379165E-2"/>
                </c:manualLayout>
              </c:layout>
              <c:showVal val="1"/>
            </c:dLbl>
            <c:dLbl>
              <c:idx val="3"/>
              <c:layout>
                <c:manualLayout>
                  <c:x val="3.0623994581323297E-2"/>
                  <c:y val="-7.613216952532096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33.15</c:v>
                </c:pt>
                <c:pt idx="1">
                  <c:v>7.22</c:v>
                </c:pt>
                <c:pt idx="2">
                  <c:v>15.77</c:v>
                </c:pt>
                <c:pt idx="3">
                  <c:v>43.87</c:v>
                </c:pt>
              </c:numCache>
            </c:numRef>
          </c:val>
        </c:ser>
      </c:pie3DChart>
    </c:plotArea>
    <c:legend>
      <c:legendPos val="b"/>
      <c:layout>
        <c:manualLayout>
          <c:xMode val="edge"/>
          <c:yMode val="edge"/>
          <c:x val="0"/>
          <c:y val="0.68638980611294553"/>
          <c:w val="0.93336500734018801"/>
          <c:h val="0.31361019388705835"/>
        </c:manualLayout>
      </c:layout>
      <c:txPr>
        <a:bodyPr/>
        <a:lstStyle/>
        <a:p>
          <a:pPr>
            <a:defRPr sz="900"/>
          </a:pPr>
          <a:endParaRPr lang="ru-RU"/>
        </a:p>
      </c:txPr>
    </c:legend>
    <c:plotVisOnly val="1"/>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en-US" sz="1100"/>
              <a:t>I</a:t>
            </a:r>
            <a:r>
              <a:rPr lang="ru-RU" sz="1100"/>
              <a:t> полугодие 2015 года </a:t>
            </a:r>
          </a:p>
        </c:rich>
      </c:tx>
      <c:layout>
        <c:manualLayout>
          <c:xMode val="edge"/>
          <c:yMode val="edge"/>
          <c:x val="0.42232768361582895"/>
          <c:y val="0"/>
        </c:manualLayout>
      </c:layout>
      <c:spPr>
        <a:noFill/>
      </c:spPr>
    </c:title>
    <c:view3D>
      <c:rotX val="30"/>
      <c:perspective val="30"/>
    </c:view3D>
    <c:plotArea>
      <c:layout>
        <c:manualLayout>
          <c:layoutTarget val="inner"/>
          <c:xMode val="edge"/>
          <c:yMode val="edge"/>
          <c:x val="0.24286169313581571"/>
          <c:y val="4.8696040654492813E-4"/>
          <c:w val="0.52582089950620581"/>
          <c:h val="0.72348377184559254"/>
        </c:manualLayout>
      </c:layout>
      <c:pie3DChart>
        <c:varyColors val="1"/>
        <c:ser>
          <c:idx val="0"/>
          <c:order val="0"/>
          <c:tx>
            <c:strRef>
              <c:f>Лист1!$B$1</c:f>
              <c:strCache>
                <c:ptCount val="1"/>
                <c:pt idx="0">
                  <c:v>2014 год</c:v>
                </c:pt>
              </c:strCache>
            </c:strRef>
          </c:tx>
          <c:explosion val="25"/>
          <c:dPt>
            <c:idx val="0"/>
            <c:explosion val="13"/>
            <c:spPr>
              <a:blipFill>
                <a:blip xmlns:r="http://schemas.openxmlformats.org/officeDocument/2006/relationships" r:embed="rId1"/>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2"/>
                <a:tile tx="0" ty="0" sx="100000" sy="100000" flip="none" algn="tl"/>
              </a:blipFill>
            </c:spPr>
          </c:dPt>
          <c:dPt>
            <c:idx val="3"/>
            <c:explosion val="18"/>
            <c:spPr>
              <a:blipFill>
                <a:blip xmlns:r="http://schemas.openxmlformats.org/officeDocument/2006/relationships" r:embed="rId3"/>
                <a:tile tx="0" ty="0" sx="100000" sy="100000" flip="none" algn="tl"/>
              </a:blipFill>
            </c:spPr>
          </c:dPt>
          <c:dLbls>
            <c:dLbl>
              <c:idx val="0"/>
              <c:layout>
                <c:manualLayout>
                  <c:x val="-2.8699115313288552E-3"/>
                  <c:y val="-0.11635313027732"/>
                </c:manualLayout>
              </c:layout>
              <c:showVal val="1"/>
            </c:dLbl>
            <c:dLbl>
              <c:idx val="1"/>
              <c:layout>
                <c:manualLayout>
                  <c:x val="4.0995093004678823E-2"/>
                  <c:y val="3.8118781663919916E-2"/>
                </c:manualLayout>
              </c:layout>
              <c:showVal val="1"/>
            </c:dLbl>
            <c:dLbl>
              <c:idx val="2"/>
              <c:layout>
                <c:manualLayout>
                  <c:x val="-7.4547800169046732E-2"/>
                  <c:y val="2.038904711379165E-2"/>
                </c:manualLayout>
              </c:layout>
              <c:showVal val="1"/>
            </c:dLbl>
            <c:dLbl>
              <c:idx val="3"/>
              <c:layout>
                <c:manualLayout>
                  <c:x val="3.0623994581323519E-2"/>
                  <c:y val="-7.613216952532096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41.45</c:v>
                </c:pt>
                <c:pt idx="1">
                  <c:v>4.25</c:v>
                </c:pt>
                <c:pt idx="2" formatCode="0.00">
                  <c:v>15</c:v>
                </c:pt>
                <c:pt idx="3">
                  <c:v>39.230000000000011</c:v>
                </c:pt>
              </c:numCache>
            </c:numRef>
          </c:val>
        </c:ser>
      </c:pie3DChart>
    </c:plotArea>
    <c:legend>
      <c:legendPos val="b"/>
      <c:layout>
        <c:manualLayout>
          <c:xMode val="edge"/>
          <c:yMode val="edge"/>
          <c:x val="0"/>
          <c:y val="0.67651110684335192"/>
          <c:w val="0.91980568530628581"/>
          <c:h val="0.32348889315665408"/>
        </c:manualLayout>
      </c:layout>
      <c:txPr>
        <a:bodyPr/>
        <a:lstStyle/>
        <a:p>
          <a:pPr>
            <a:defRPr sz="900"/>
          </a:pPr>
          <a:endParaRPr lang="ru-RU"/>
        </a:p>
      </c:txPr>
    </c:legend>
    <c:plotVisOnly val="1"/>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pPr>
            <a:r>
              <a:rPr lang="ru-RU" sz="1100"/>
              <a:t>Динамика расходов консолидированного бюджета за </a:t>
            </a:r>
            <a:r>
              <a:rPr lang="en-US" sz="1100"/>
              <a:t>I</a:t>
            </a:r>
            <a:r>
              <a:rPr lang="ru-RU" sz="1100"/>
              <a:t> полугодие 2014 - 2015 года, млн. руб.</a:t>
            </a:r>
            <a:endParaRPr lang="ru-RU" sz="1100">
              <a:solidFill>
                <a:srgbClr val="FF0000"/>
              </a:solidFill>
            </a:endParaRPr>
          </a:p>
        </c:rich>
      </c:tx>
      <c:layout>
        <c:manualLayout>
          <c:xMode val="edge"/>
          <c:yMode val="edge"/>
          <c:x val="0.18516242846693709"/>
          <c:y val="3.0666393973480591E-2"/>
        </c:manualLayout>
      </c:layout>
      <c:spPr>
        <a:noFill/>
      </c:spPr>
    </c:title>
    <c:plotArea>
      <c:layout>
        <c:manualLayout>
          <c:layoutTarget val="inner"/>
          <c:xMode val="edge"/>
          <c:yMode val="edge"/>
          <c:x val="0.17724193566713581"/>
          <c:y val="0.26330560095082772"/>
          <c:w val="0.76215199344426265"/>
          <c:h val="0.48339523597286604"/>
        </c:manualLayout>
      </c:layout>
      <c:barChart>
        <c:barDir val="col"/>
        <c:grouping val="stacked"/>
        <c:ser>
          <c:idx val="0"/>
          <c:order val="0"/>
          <c:tx>
            <c:strRef>
              <c:f>Лист1!$B$1</c:f>
              <c:strCache>
                <c:ptCount val="1"/>
                <c:pt idx="0">
                  <c:v>Республиканский бюджет</c:v>
                </c:pt>
              </c:strCache>
            </c:strRef>
          </c:tx>
          <c:spPr>
            <a:solidFill>
              <a:srgbClr val="7030A0"/>
            </a:solidFill>
          </c:spPr>
          <c:dLbls>
            <c:dLbl>
              <c:idx val="0"/>
              <c:tx>
                <c:rich>
                  <a:bodyPr/>
                  <a:lstStyle/>
                  <a:p>
                    <a:r>
                      <a:rPr lang="ru-RU" b="1"/>
                      <a:t>72,1%</a:t>
                    </a:r>
                    <a:endParaRPr lang="en-US" b="1"/>
                  </a:p>
                </c:rich>
              </c:tx>
              <c:showVal val="1"/>
            </c:dLbl>
            <c:dLbl>
              <c:idx val="1"/>
              <c:tx>
                <c:rich>
                  <a:bodyPr/>
                  <a:lstStyle/>
                  <a:p>
                    <a:r>
                      <a:rPr lang="ru-RU" b="1"/>
                      <a:t>68,5%</a:t>
                    </a:r>
                    <a:endParaRPr lang="en-US" b="1"/>
                  </a:p>
                </c:rich>
              </c:tx>
              <c:showVal val="1"/>
            </c:dLbl>
            <c:txPr>
              <a:bodyPr/>
              <a:lstStyle/>
              <a:p>
                <a:pPr>
                  <a:defRPr sz="900" b="1"/>
                </a:pPr>
                <a:endParaRPr lang="ru-RU"/>
              </a:p>
            </c:txPr>
            <c:showVal val="1"/>
          </c:dLbls>
          <c:cat>
            <c:strRef>
              <c:f>Лист1!$A$2:$A$3</c:f>
              <c:strCache>
                <c:ptCount val="2"/>
                <c:pt idx="0">
                  <c:v>I полугодие 2014 года</c:v>
                </c:pt>
                <c:pt idx="1">
                  <c:v>I полугодие 2015 года</c:v>
                </c:pt>
              </c:strCache>
            </c:strRef>
          </c:cat>
          <c:val>
            <c:numRef>
              <c:f>Лист1!$B$2:$B$3</c:f>
              <c:numCache>
                <c:formatCode>#,##0.0</c:formatCode>
                <c:ptCount val="2"/>
                <c:pt idx="0">
                  <c:v>72.14</c:v>
                </c:pt>
                <c:pt idx="1">
                  <c:v>68.5</c:v>
                </c:pt>
              </c:numCache>
            </c:numRef>
          </c:val>
        </c:ser>
        <c:ser>
          <c:idx val="1"/>
          <c:order val="1"/>
          <c:tx>
            <c:strRef>
              <c:f>Лист1!$C$1</c:f>
              <c:strCache>
                <c:ptCount val="1"/>
                <c:pt idx="0">
                  <c:v>Местный бюджет</c:v>
                </c:pt>
              </c:strCache>
            </c:strRef>
          </c:tx>
          <c:spPr>
            <a:solidFill>
              <a:srgbClr val="FFFF00"/>
            </a:solidFill>
          </c:spPr>
          <c:dLbls>
            <c:dLbl>
              <c:idx val="0"/>
              <c:tx>
                <c:rich>
                  <a:bodyPr/>
                  <a:lstStyle/>
                  <a:p>
                    <a:r>
                      <a:rPr lang="ru-RU" b="1"/>
                      <a:t>27,9%</a:t>
                    </a:r>
                    <a:endParaRPr lang="en-US" b="1"/>
                  </a:p>
                </c:rich>
              </c:tx>
              <c:showVal val="1"/>
            </c:dLbl>
            <c:dLbl>
              <c:idx val="1"/>
              <c:layout>
                <c:manualLayout>
                  <c:x val="0"/>
                  <c:y val="-5.1480051480051478E-3"/>
                </c:manualLayout>
              </c:layout>
              <c:tx>
                <c:rich>
                  <a:bodyPr/>
                  <a:lstStyle/>
                  <a:p>
                    <a:r>
                      <a:rPr lang="ru-RU" b="1"/>
                      <a:t>31,5%</a:t>
                    </a:r>
                    <a:endParaRPr lang="en-US" b="1"/>
                  </a:p>
                </c:rich>
              </c:tx>
              <c:showVal val="1"/>
            </c:dLbl>
            <c:txPr>
              <a:bodyPr/>
              <a:lstStyle/>
              <a:p>
                <a:pPr>
                  <a:defRPr sz="900" b="1"/>
                </a:pPr>
                <a:endParaRPr lang="ru-RU"/>
              </a:p>
            </c:txPr>
            <c:showVal val="1"/>
          </c:dLbls>
          <c:cat>
            <c:strRef>
              <c:f>Лист1!$A$2:$A$3</c:f>
              <c:strCache>
                <c:ptCount val="2"/>
                <c:pt idx="0">
                  <c:v>I полугодие 2014 года</c:v>
                </c:pt>
                <c:pt idx="1">
                  <c:v>I полугодие 2015 года</c:v>
                </c:pt>
              </c:strCache>
            </c:strRef>
          </c:cat>
          <c:val>
            <c:numRef>
              <c:f>Лист1!$C$2:$C$3</c:f>
              <c:numCache>
                <c:formatCode>#,##0.0</c:formatCode>
                <c:ptCount val="2"/>
                <c:pt idx="0">
                  <c:v>27.86</c:v>
                </c:pt>
                <c:pt idx="1">
                  <c:v>31.5</c:v>
                </c:pt>
              </c:numCache>
            </c:numRef>
          </c:val>
        </c:ser>
        <c:overlap val="100"/>
        <c:axId val="155490560"/>
        <c:axId val="155766784"/>
      </c:barChart>
      <c:catAx>
        <c:axId val="155490560"/>
        <c:scaling>
          <c:orientation val="minMax"/>
        </c:scaling>
        <c:axPos val="b"/>
        <c:tickLblPos val="nextTo"/>
        <c:txPr>
          <a:bodyPr/>
          <a:lstStyle/>
          <a:p>
            <a:pPr>
              <a:defRPr sz="1000" b="1"/>
            </a:pPr>
            <a:endParaRPr lang="ru-RU"/>
          </a:p>
        </c:txPr>
        <c:crossAx val="155766784"/>
        <c:crosses val="autoZero"/>
        <c:auto val="1"/>
        <c:lblAlgn val="ctr"/>
        <c:lblOffset val="100"/>
      </c:catAx>
      <c:valAx>
        <c:axId val="155766784"/>
        <c:scaling>
          <c:orientation val="minMax"/>
          <c:max val="100"/>
          <c:min val="0"/>
        </c:scaling>
        <c:axPos val="l"/>
        <c:numFmt formatCode="#,##0.0" sourceLinked="1"/>
        <c:tickLblPos val="nextTo"/>
        <c:txPr>
          <a:bodyPr/>
          <a:lstStyle/>
          <a:p>
            <a:pPr>
              <a:defRPr sz="1000" b="1"/>
            </a:pPr>
            <a:endParaRPr lang="ru-RU"/>
          </a:p>
        </c:txPr>
        <c:crossAx val="155490560"/>
        <c:crosses val="autoZero"/>
        <c:crossBetween val="between"/>
        <c:majorUnit val="20"/>
      </c:valAx>
    </c:plotArea>
    <c:legend>
      <c:legendPos val="b"/>
      <c:layout>
        <c:manualLayout>
          <c:xMode val="edge"/>
          <c:yMode val="edge"/>
          <c:x val="6.4021997250344534E-2"/>
          <c:y val="0.87423116921705546"/>
          <c:w val="0.93303050266127163"/>
          <c:h val="0.12412430319321872"/>
        </c:manualLayout>
      </c:layout>
      <c:txPr>
        <a:bodyPr/>
        <a:lstStyle/>
        <a:p>
          <a:pPr>
            <a:defRPr sz="1100"/>
          </a:pPr>
          <a:endParaRPr lang="ru-RU"/>
        </a:p>
      </c:txP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en-US" sz="1100"/>
              <a:t>I</a:t>
            </a:r>
            <a:r>
              <a:rPr lang="ru-RU" sz="1100"/>
              <a:t> полугодие 2014 года</a:t>
            </a:r>
          </a:p>
        </c:rich>
      </c:tx>
      <c:layout>
        <c:manualLayout>
          <c:xMode val="edge"/>
          <c:yMode val="edge"/>
          <c:x val="0.44215749730312826"/>
          <c:y val="0"/>
        </c:manualLayout>
      </c:layout>
      <c:spPr>
        <a:noFill/>
      </c:spPr>
    </c:title>
    <c:view3D>
      <c:rotX val="30"/>
      <c:perspective val="30"/>
    </c:view3D>
    <c:plotArea>
      <c:layout>
        <c:manualLayout>
          <c:layoutTarget val="inner"/>
          <c:xMode val="edge"/>
          <c:yMode val="edge"/>
          <c:x val="0.19543561909130291"/>
          <c:y val="0.20183698032221395"/>
          <c:w val="0.5529919609105467"/>
          <c:h val="0.71199729066124795"/>
        </c:manualLayout>
      </c:layout>
      <c:pie3DChart>
        <c:varyColors val="1"/>
        <c:ser>
          <c:idx val="0"/>
          <c:order val="0"/>
          <c:tx>
            <c:strRef>
              <c:f>Лист1!$B$1</c:f>
              <c:strCache>
                <c:ptCount val="1"/>
                <c:pt idx="0">
                  <c:v>I полугодие 2014</c:v>
                </c:pt>
              </c:strCache>
            </c:strRef>
          </c:tx>
          <c:explosion val="25"/>
          <c:dPt>
            <c:idx val="0"/>
            <c:explosion val="1"/>
            <c:spPr>
              <a:blipFill>
                <a:blip xmlns:r="http://schemas.openxmlformats.org/officeDocument/2006/relationships" r:embed="rId1"/>
                <a:tile tx="0" ty="0" sx="100000" sy="100000" flip="none" algn="tl"/>
              </a:blipFill>
            </c:spPr>
          </c:dPt>
          <c:dPt>
            <c:idx val="1"/>
            <c:explosion val="17"/>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0296369203849521E-2"/>
                  <c:y val="-0.13394231971004086"/>
                </c:manualLayout>
              </c:layout>
              <c:showVal val="1"/>
            </c:dLbl>
            <c:dLbl>
              <c:idx val="1"/>
              <c:layout>
                <c:manualLayout>
                  <c:x val="-1.339585156022164E-2"/>
                  <c:y val="3.3523622047244094E-2"/>
                </c:manualLayout>
              </c:layout>
              <c:showVal val="1"/>
            </c:dLbl>
            <c:dLbl>
              <c:idx val="2"/>
              <c:layout>
                <c:manualLayout>
                  <c:x val="-3.321968249114491E-2"/>
                  <c:y val="-5.1576978292078085E-3"/>
                </c:manualLayout>
              </c:layout>
              <c:showVal val="1"/>
            </c:dLbl>
            <c:dLbl>
              <c:idx val="3"/>
              <c:layout>
                <c:manualLayout>
                  <c:x val="1.0908245844269467E-2"/>
                  <c:y val="-7.2922134733158422E-2"/>
                </c:manualLayout>
              </c:layout>
              <c:showVal val="1"/>
            </c:dLbl>
            <c:dLbl>
              <c:idx val="4"/>
              <c:layout>
                <c:manualLayout>
                  <c:x val="1.8419914491820597E-2"/>
                  <c:y val="-7.5004172865488591E-2"/>
                </c:manualLayout>
              </c:layout>
              <c:showVal val="1"/>
            </c:dLbl>
            <c:dLbl>
              <c:idx val="5"/>
              <c:layout>
                <c:manualLayout>
                  <c:x val="2.3961340769904412E-2"/>
                  <c:y val="-3.0889263842020804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43.9</c:v>
                </c:pt>
                <c:pt idx="1">
                  <c:v>16.899999999999999</c:v>
                </c:pt>
                <c:pt idx="2" formatCode="0.0">
                  <c:v>17</c:v>
                </c:pt>
                <c:pt idx="3" formatCode="0.0">
                  <c:v>10</c:v>
                </c:pt>
                <c:pt idx="4">
                  <c:v>6.6</c:v>
                </c:pt>
                <c:pt idx="5">
                  <c:v>5.6</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100"/>
            </a:pPr>
            <a:r>
              <a:rPr lang="en-US" sz="1100"/>
              <a:t>I</a:t>
            </a:r>
            <a:r>
              <a:rPr lang="ru-RU" sz="1100"/>
              <a:t> полугодие 2015 года</a:t>
            </a:r>
          </a:p>
        </c:rich>
      </c:tx>
      <c:layout>
        <c:manualLayout>
          <c:xMode val="edge"/>
          <c:yMode val="edge"/>
          <c:x val="8.5427728613569343E-2"/>
          <c:y val="5.6901727063122633E-3"/>
        </c:manualLayout>
      </c:layout>
      <c:spPr>
        <a:noFill/>
      </c:spPr>
    </c:title>
    <c:view3D>
      <c:rotX val="30"/>
      <c:perspective val="30"/>
    </c:view3D>
    <c:plotArea>
      <c:layout>
        <c:manualLayout>
          <c:layoutTarget val="inner"/>
          <c:xMode val="edge"/>
          <c:yMode val="edge"/>
          <c:x val="9.5706532258690621E-2"/>
          <c:y val="0.21702295500355268"/>
          <c:w val="0.51092219667231853"/>
          <c:h val="0.65926968806320063"/>
        </c:manualLayout>
      </c:layout>
      <c:pie3DChart>
        <c:varyColors val="1"/>
        <c:ser>
          <c:idx val="0"/>
          <c:order val="0"/>
          <c:tx>
            <c:strRef>
              <c:f>Лист1!$B$1</c:f>
              <c:strCache>
                <c:ptCount val="1"/>
                <c:pt idx="0">
                  <c:v>2014</c:v>
                </c:pt>
              </c:strCache>
            </c:strRef>
          </c:tx>
          <c:explosion val="28"/>
          <c:dPt>
            <c:idx val="0"/>
            <c:explosion val="6"/>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2"/>
                <a:tile tx="0" ty="0" sx="100000" sy="100000" flip="none" algn="tl"/>
              </a:blipFill>
            </c:spPr>
          </c:dPt>
          <c:dPt>
            <c:idx val="2"/>
            <c:spPr>
              <a:blipFill>
                <a:blip xmlns:r="http://schemas.openxmlformats.org/officeDocument/2006/relationships" r:embed="rId3"/>
                <a:tile tx="0" ty="0" sx="100000" sy="100000" flip="none" algn="tl"/>
              </a:blipFill>
            </c:spPr>
          </c:dPt>
          <c:dPt>
            <c:idx val="3"/>
            <c:spPr>
              <a:blipFill>
                <a:blip xmlns:r="http://schemas.openxmlformats.org/officeDocument/2006/relationships" r:embed="rId4"/>
                <a:tile tx="0" ty="0" sx="100000" sy="100000" flip="none" algn="tl"/>
              </a:blipFill>
            </c:spPr>
          </c:dPt>
          <c:dPt>
            <c:idx val="4"/>
            <c:spPr>
              <a:blipFill>
                <a:blip xmlns:r="http://schemas.openxmlformats.org/officeDocument/2006/relationships" r:embed="rId5"/>
                <a:tile tx="0" ty="0" sx="100000" sy="100000" flip="none" algn="tl"/>
              </a:blipFill>
            </c:spPr>
          </c:dPt>
          <c:dPt>
            <c:idx val="5"/>
            <c:spPr>
              <a:solidFill>
                <a:schemeClr val="tx2">
                  <a:lumMod val="50000"/>
                </a:schemeClr>
              </a:solidFill>
            </c:spPr>
          </c:dPt>
          <c:dLbls>
            <c:dLbl>
              <c:idx val="0"/>
              <c:layout>
                <c:manualLayout>
                  <c:x val="-5.8007572062341813E-2"/>
                  <c:y val="-0.16191296529922741"/>
                </c:manualLayout>
              </c:layout>
              <c:showVal val="1"/>
            </c:dLbl>
            <c:dLbl>
              <c:idx val="1"/>
              <c:layout>
                <c:manualLayout>
                  <c:x val="-5.2764112450545533E-2"/>
                  <c:y val="3.1687475529647915E-2"/>
                </c:manualLayout>
              </c:layout>
              <c:showVal val="1"/>
            </c:dLbl>
            <c:dLbl>
              <c:idx val="2"/>
              <c:layout>
                <c:manualLayout>
                  <c:x val="-2.2685836836767212E-2"/>
                  <c:y val="5.4410463885384924E-2"/>
                </c:manualLayout>
              </c:layout>
              <c:showVal val="1"/>
            </c:dLbl>
            <c:dLbl>
              <c:idx val="3"/>
              <c:layout>
                <c:manualLayout>
                  <c:x val="0"/>
                  <c:y val="-7.7346299454504594E-2"/>
                </c:manualLayout>
              </c:layout>
              <c:showVal val="1"/>
            </c:dLbl>
            <c:dLbl>
              <c:idx val="4"/>
              <c:layout>
                <c:manualLayout>
                  <c:x val="1.4745855883058961E-2"/>
                  <c:y val="-7.3986746131871714E-2"/>
                </c:manualLayout>
              </c:layout>
              <c:showVal val="1"/>
            </c:dLbl>
            <c:dLbl>
              <c:idx val="5"/>
              <c:layout>
                <c:manualLayout>
                  <c:x val="1.5451652614219685E-2"/>
                  <c:y val="-4.6648395469901745E-2"/>
                </c:manualLayout>
              </c:layout>
              <c:showVal val="1"/>
            </c:dLbl>
            <c:showVal val="1"/>
            <c:showLeaderLines val="1"/>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47</c:v>
                </c:pt>
                <c:pt idx="1">
                  <c:v>23.3</c:v>
                </c:pt>
                <c:pt idx="2" formatCode="0.0">
                  <c:v>4.7</c:v>
                </c:pt>
                <c:pt idx="3" formatCode="0.0">
                  <c:v>12.9</c:v>
                </c:pt>
                <c:pt idx="4">
                  <c:v>5.3</c:v>
                </c:pt>
                <c:pt idx="5" formatCode="0.0">
                  <c:v>6.8</c:v>
                </c:pt>
              </c:numCache>
            </c:numRef>
          </c:val>
        </c:ser>
      </c:pie3DChart>
    </c:plotArea>
    <c:legend>
      <c:legendPos val="r"/>
      <c:layout>
        <c:manualLayout>
          <c:xMode val="edge"/>
          <c:yMode val="edge"/>
          <c:x val="0.5486725663716816"/>
          <c:y val="0"/>
          <c:w val="0.44739429695181931"/>
          <c:h val="0.99789968242921334"/>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34087775172682455"/>
          <c:y val="7.6301919659147011E-2"/>
          <c:w val="0.63252442842235079"/>
          <c:h val="0.54020374571822039"/>
        </c:manualLayout>
      </c:layout>
      <c:barChart>
        <c:barDir val="col"/>
        <c:grouping val="clustered"/>
        <c:ser>
          <c:idx val="0"/>
          <c:order val="0"/>
          <c:tx>
            <c:strRef>
              <c:f>Sheet1!$B$1</c:f>
              <c:strCache>
                <c:ptCount val="1"/>
                <c:pt idx="0">
                  <c:v>январь - июнь 2014 года</c:v>
                </c:pt>
              </c:strCache>
            </c:strRef>
          </c:tx>
          <c:dLbls>
            <c:dLbl>
              <c:idx val="0"/>
              <c:layout>
                <c:manualLayout>
                  <c:x val="-6.8845991025316775E-3"/>
                  <c:y val="5.0545855681083255E-3"/>
                </c:manualLayout>
              </c:layout>
              <c:tx>
                <c:rich>
                  <a:bodyPr/>
                  <a:lstStyle/>
                  <a:p>
                    <a:r>
                      <a:rPr lang="ru-RU" sz="880"/>
                      <a:t>+23,6*</a:t>
                    </a:r>
                    <a:endParaRPr lang="en-US" sz="900"/>
                  </a:p>
                </c:rich>
              </c:tx>
              <c:dLblPos val="outEnd"/>
            </c:dLbl>
            <c:dLbl>
              <c:idx val="1"/>
              <c:tx>
                <c:rich>
                  <a:bodyPr/>
                  <a:lstStyle/>
                  <a:p>
                    <a:r>
                      <a:rPr lang="ru-RU" sz="880"/>
                      <a:t>+71,4*</a:t>
                    </a:r>
                    <a:endParaRPr lang="en-US" sz="900"/>
                  </a:p>
                </c:rich>
              </c:tx>
            </c:dLbl>
            <c:dLbl>
              <c:idx val="2"/>
              <c:tx>
                <c:rich>
                  <a:bodyPr/>
                  <a:lstStyle/>
                  <a:p>
                    <a:r>
                      <a:rPr lang="ru-RU" sz="880"/>
                      <a:t>+10,1*</a:t>
                    </a:r>
                    <a:endParaRPr lang="en-US" sz="900"/>
                  </a:p>
                </c:rich>
              </c:tx>
            </c:dLbl>
            <c:dLbl>
              <c:idx val="3"/>
              <c:delete val="1"/>
            </c:dLbl>
            <c:spPr>
              <a:noFill/>
              <a:ln w="24830">
                <a:noFill/>
              </a:ln>
            </c:spPr>
            <c:txPr>
              <a:bodyPr/>
              <a:lstStyle/>
              <a:p>
                <a:pPr>
                  <a:defRPr sz="880"/>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1187.3</c:v>
                </c:pt>
                <c:pt idx="1">
                  <c:v>363</c:v>
                </c:pt>
                <c:pt idx="2">
                  <c:v>824.3</c:v>
                </c:pt>
                <c:pt idx="3">
                  <c:v>-461.29999999999899</c:v>
                </c:pt>
              </c:numCache>
            </c:numRef>
          </c:val>
        </c:ser>
        <c:ser>
          <c:idx val="1"/>
          <c:order val="1"/>
          <c:tx>
            <c:strRef>
              <c:f>Sheet1!$C$1</c:f>
              <c:strCache>
                <c:ptCount val="1"/>
                <c:pt idx="0">
                  <c:v>январь - июнь 2015 года</c:v>
                </c:pt>
              </c:strCache>
            </c:strRef>
          </c:tx>
          <c:dLbls>
            <c:dLbl>
              <c:idx val="0"/>
              <c:layout>
                <c:manualLayout>
                  <c:x val="4.8192771084339114E-2"/>
                  <c:y val="5.97907324364745E-3"/>
                </c:manualLayout>
              </c:layout>
              <c:tx>
                <c:rich>
                  <a:bodyPr/>
                  <a:lstStyle/>
                  <a:p>
                    <a:r>
                      <a:rPr lang="ru-RU" sz="880">
                        <a:solidFill>
                          <a:sysClr val="windowText" lastClr="000000"/>
                        </a:solidFill>
                      </a:rPr>
                      <a:t>-23,8*</a:t>
                    </a:r>
                    <a:endParaRPr lang="en-US" sz="900">
                      <a:solidFill>
                        <a:sysClr val="windowText" lastClr="000000"/>
                      </a:solidFill>
                    </a:endParaRPr>
                  </a:p>
                </c:rich>
              </c:tx>
              <c:dLblPos val="outEnd"/>
            </c:dLbl>
            <c:dLbl>
              <c:idx val="1"/>
              <c:layout>
                <c:manualLayout>
                  <c:x val="3.4423407917383991E-2"/>
                  <c:y val="-5.97907324364745E-3"/>
                </c:manualLayout>
              </c:layout>
              <c:tx>
                <c:rich>
                  <a:bodyPr/>
                  <a:lstStyle/>
                  <a:p>
                    <a:r>
                      <a:rPr lang="ru-RU" sz="880">
                        <a:solidFill>
                          <a:sysClr val="windowText" lastClr="000000"/>
                        </a:solidFill>
                      </a:rPr>
                      <a:t>-20,5*</a:t>
                    </a:r>
                    <a:endParaRPr lang="en-US" sz="900">
                      <a:solidFill>
                        <a:sysClr val="windowText" lastClr="000000"/>
                      </a:solidFill>
                    </a:endParaRPr>
                  </a:p>
                </c:rich>
              </c:tx>
              <c:dLblPos val="outEnd"/>
            </c:dLbl>
            <c:dLbl>
              <c:idx val="2"/>
              <c:layout>
                <c:manualLayout>
                  <c:x val="4.8192771084339114E-2"/>
                  <c:y val="1.195814648729447E-2"/>
                </c:manualLayout>
              </c:layout>
              <c:tx>
                <c:rich>
                  <a:bodyPr/>
                  <a:lstStyle/>
                  <a:p>
                    <a:r>
                      <a:rPr lang="ru-RU" sz="880">
                        <a:solidFill>
                          <a:sysClr val="windowText" lastClr="000000"/>
                        </a:solidFill>
                      </a:rPr>
                      <a:t>-25,2*</a:t>
                    </a:r>
                    <a:endParaRPr lang="en-US" sz="900">
                      <a:solidFill>
                        <a:sysClr val="windowText" lastClr="000000"/>
                      </a:solidFill>
                    </a:endParaRPr>
                  </a:p>
                </c:rich>
              </c:tx>
              <c:dLblPos val="outEnd"/>
            </c:dLbl>
            <c:dLbl>
              <c:idx val="3"/>
              <c:delete val="1"/>
            </c:dLbl>
            <c:spPr>
              <a:noFill/>
              <a:ln w="24830">
                <a:noFill/>
              </a:ln>
            </c:spPr>
            <c:txPr>
              <a:bodyPr/>
              <a:lstStyle/>
              <a:p>
                <a:pPr>
                  <a:defRPr sz="880">
                    <a:solidFill>
                      <a:sysClr val="windowText" lastClr="000000"/>
                    </a:solidFill>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905.2</c:v>
                </c:pt>
                <c:pt idx="1">
                  <c:v>288.60000000000002</c:v>
                </c:pt>
                <c:pt idx="2">
                  <c:v>616.6</c:v>
                </c:pt>
                <c:pt idx="3">
                  <c:v>-328</c:v>
                </c:pt>
              </c:numCache>
            </c:numRef>
          </c:val>
        </c:ser>
        <c:gapWidth val="50"/>
        <c:overlap val="60"/>
        <c:axId val="155863296"/>
        <c:axId val="156307456"/>
      </c:barChart>
      <c:catAx>
        <c:axId val="155863296"/>
        <c:scaling>
          <c:orientation val="minMax"/>
        </c:scaling>
        <c:axPos val="b"/>
        <c:numFmt formatCode="General" sourceLinked="1"/>
        <c:majorTickMark val="cross"/>
        <c:tickLblPos val="nextTo"/>
        <c:txPr>
          <a:bodyPr rot="0" vert="horz"/>
          <a:lstStyle/>
          <a:p>
            <a:pPr>
              <a:defRPr/>
            </a:pPr>
            <a:endParaRPr lang="ru-RU"/>
          </a:p>
        </c:txPr>
        <c:crossAx val="156307456"/>
        <c:crosses val="autoZero"/>
        <c:lblAlgn val="ctr"/>
        <c:lblOffset val="20"/>
        <c:tickMarkSkip val="1"/>
      </c:catAx>
      <c:valAx>
        <c:axId val="156307456"/>
        <c:scaling>
          <c:orientation val="minMax"/>
          <c:max val="1200"/>
          <c:min val="-600"/>
        </c:scaling>
        <c:axPos val="l"/>
        <c:title>
          <c:tx>
            <c:rich>
              <a:bodyPr rot="0" vert="horz"/>
              <a:lstStyle/>
              <a:p>
                <a:pPr algn="ctr">
                  <a:defRPr sz="900" b="1" i="0" u="none" strike="noStrike" baseline="0">
                    <a:solidFill>
                      <a:srgbClr val="000000"/>
                    </a:solidFill>
                    <a:latin typeface="Arial Cyr"/>
                    <a:ea typeface="Arial Cyr"/>
                    <a:cs typeface="Arial Cyr"/>
                  </a:defRPr>
                </a:pPr>
                <a:endParaRPr lang="ru-RU" sz="900" b="1" i="0" strike="noStrike">
                  <a:solidFill>
                    <a:srgbClr val="000000"/>
                  </a:solidFill>
                  <a:latin typeface="Times New Roman"/>
                  <a:cs typeface="Times New Roman"/>
                </a:endParaRPr>
              </a:p>
              <a:p>
                <a:pPr algn="ctr">
                  <a:defRPr sz="900" b="1" i="0" u="none" strike="noStrike" baseline="0">
                    <a:solidFill>
                      <a:srgbClr val="000000"/>
                    </a:solidFill>
                    <a:latin typeface="Arial Cyr"/>
                    <a:ea typeface="Arial Cyr"/>
                    <a:cs typeface="Arial Cyr"/>
                  </a:defRPr>
                </a:pPr>
                <a:endParaRPr lang="ru-RU" sz="900" b="1" i="0" strike="noStrike">
                  <a:solidFill>
                    <a:srgbClr val="000000"/>
                  </a:solidFill>
                  <a:latin typeface="Times New Roman"/>
                  <a:cs typeface="Times New Roman"/>
                </a:endParaRPr>
              </a:p>
              <a:p>
                <a:pPr algn="ctr">
                  <a:defRPr sz="900" b="1" i="0" u="none" strike="noStrike" baseline="0">
                    <a:solidFill>
                      <a:srgbClr val="000000"/>
                    </a:solidFill>
                    <a:latin typeface="Arial Cyr"/>
                    <a:ea typeface="Arial Cyr"/>
                    <a:cs typeface="Arial Cyr"/>
                  </a:defRPr>
                </a:pPr>
                <a:endParaRPr lang="ru-RU" sz="900" b="1" i="0" strike="noStrike">
                  <a:solidFill>
                    <a:srgbClr val="000000"/>
                  </a:solidFill>
                  <a:latin typeface="Times New Roman"/>
                  <a:cs typeface="Times New Roman"/>
                </a:endParaRPr>
              </a:p>
              <a:p>
                <a:pPr algn="ctr">
                  <a:defRPr sz="900" b="1" i="0" u="none" strike="noStrike" baseline="0">
                    <a:solidFill>
                      <a:srgbClr val="000000"/>
                    </a:solidFill>
                    <a:latin typeface="Arial Cyr"/>
                    <a:ea typeface="Arial Cyr"/>
                    <a:cs typeface="Arial Cyr"/>
                  </a:defRPr>
                </a:pPr>
                <a:r>
                  <a:rPr lang="ru-RU" sz="900" b="1" i="0" strike="noStrike">
                    <a:solidFill>
                      <a:srgbClr val="000000"/>
                    </a:solidFill>
                    <a:latin typeface="Times New Roman"/>
                    <a:cs typeface="Times New Roman"/>
                  </a:rPr>
                  <a:t>* - темп прироста (спада) в % к </a:t>
                </a:r>
              </a:p>
              <a:p>
                <a:pPr algn="ctr">
                  <a:defRPr sz="900" b="1" i="0" u="none" strike="noStrike" baseline="0">
                    <a:solidFill>
                      <a:srgbClr val="000000"/>
                    </a:solidFill>
                    <a:latin typeface="Arial Cyr"/>
                    <a:ea typeface="Arial Cyr"/>
                    <a:cs typeface="Arial Cyr"/>
                  </a:defRPr>
                </a:pPr>
                <a:r>
                  <a:rPr lang="ru-RU" sz="900" b="1" i="0" strike="noStrike">
                    <a:solidFill>
                      <a:srgbClr val="000000"/>
                    </a:solidFill>
                    <a:latin typeface="Times New Roman"/>
                    <a:cs typeface="Times New Roman"/>
                  </a:rPr>
                  <a:t>предыдущему </a:t>
                </a:r>
              </a:p>
              <a:p>
                <a:pPr algn="ctr">
                  <a:defRPr sz="900" b="1" i="0" u="none" strike="noStrike" baseline="0">
                    <a:solidFill>
                      <a:srgbClr val="000000"/>
                    </a:solidFill>
                    <a:latin typeface="Arial Cyr"/>
                    <a:ea typeface="Arial Cyr"/>
                    <a:cs typeface="Arial Cyr"/>
                  </a:defRPr>
                </a:pPr>
                <a:r>
                  <a:rPr lang="ru-RU" sz="900" b="1" i="0" strike="noStrike">
                    <a:solidFill>
                      <a:srgbClr val="000000"/>
                    </a:solidFill>
                    <a:latin typeface="Times New Roman"/>
                    <a:cs typeface="Times New Roman"/>
                  </a:rPr>
                  <a:t>году</a:t>
                </a:r>
              </a:p>
            </c:rich>
          </c:tx>
          <c:layout>
            <c:manualLayout>
              <c:xMode val="edge"/>
              <c:yMode val="edge"/>
              <c:x val="2.5315214630429492E-2"/>
              <c:y val="2.5052373040526446E-3"/>
            </c:manualLayout>
          </c:layout>
          <c:spPr>
            <a:noFill/>
            <a:ln w="24830">
              <a:noFill/>
            </a:ln>
          </c:spPr>
        </c:title>
        <c:numFmt formatCode="#,##0.0" sourceLinked="1"/>
        <c:majorTickMark val="cross"/>
        <c:tickLblPos val="nextTo"/>
        <c:txPr>
          <a:bodyPr rot="0" vert="horz"/>
          <a:lstStyle/>
          <a:p>
            <a:pPr>
              <a:defRPr/>
            </a:pPr>
            <a:endParaRPr lang="ru-RU"/>
          </a:p>
        </c:txPr>
        <c:crossAx val="155863296"/>
        <c:crosses val="autoZero"/>
        <c:crossBetween val="between"/>
        <c:majorUnit val="200"/>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30"/>
  <c:chart>
    <c:plotArea>
      <c:layout>
        <c:manualLayout>
          <c:layoutTarget val="inner"/>
          <c:xMode val="edge"/>
          <c:yMode val="edge"/>
          <c:x val="7.8801261829653024E-2"/>
          <c:y val="7.8333333333334004E-2"/>
          <c:w val="0.92836811128945951"/>
          <c:h val="0.36145699344833832"/>
        </c:manualLayout>
      </c:layout>
      <c:barChart>
        <c:barDir val="col"/>
        <c:grouping val="clustered"/>
        <c:ser>
          <c:idx val="0"/>
          <c:order val="0"/>
          <c:tx>
            <c:strRef>
              <c:f>Sheet1!$A$2</c:f>
              <c:strCache>
                <c:ptCount val="1"/>
                <c:pt idx="0">
                  <c:v>январь - июнь 2014 год</c:v>
                </c:pt>
              </c:strCache>
            </c:strRef>
          </c:tx>
          <c:dLbls>
            <c:dLbl>
              <c:idx val="0"/>
              <c:layout>
                <c:manualLayout>
                  <c:x val="4.2632411333199255E-3"/>
                  <c:y val="2.6031496062992212E-3"/>
                </c:manualLayout>
              </c:layout>
              <c:tx>
                <c:rich>
                  <a:bodyPr/>
                  <a:lstStyle/>
                  <a:p>
                    <a:r>
                      <a:rPr lang="ru-RU"/>
                      <a:t>34,4*</a:t>
                    </a:r>
                    <a:endParaRPr lang="en-US"/>
                  </a:p>
                </c:rich>
              </c:tx>
              <c:dLblPos val="outEnd"/>
            </c:dLbl>
            <c:dLbl>
              <c:idx val="1"/>
              <c:layout>
                <c:manualLayout>
                  <c:x val="-4.2803638309256934E-3"/>
                  <c:y val="2.0202020202020211E-2"/>
                </c:manualLayout>
              </c:layout>
              <c:tx>
                <c:rich>
                  <a:bodyPr/>
                  <a:lstStyle/>
                  <a:p>
                    <a:r>
                      <a:rPr lang="ru-RU"/>
                      <a:t>22,3*</a:t>
                    </a:r>
                    <a:endParaRPr lang="en-US"/>
                  </a:p>
                </c:rich>
              </c:tx>
              <c:dLblPos val="outEnd"/>
            </c:dLbl>
            <c:dLbl>
              <c:idx val="2"/>
              <c:layout>
                <c:manualLayout>
                  <c:x val="-8.5608146876613566E-3"/>
                  <c:y val="1.5245580341754394E-2"/>
                </c:manualLayout>
              </c:layout>
              <c:tx>
                <c:rich>
                  <a:bodyPr/>
                  <a:lstStyle/>
                  <a:p>
                    <a:r>
                      <a:rPr lang="ru-RU"/>
                      <a:t>18,9*</a:t>
                    </a:r>
                    <a:endParaRPr lang="en-US"/>
                  </a:p>
                </c:rich>
              </c:tx>
              <c:dLblPos val="outEnd"/>
            </c:dLbl>
            <c:dLbl>
              <c:idx val="3"/>
              <c:tx>
                <c:rich>
                  <a:bodyPr/>
                  <a:lstStyle/>
                  <a:p>
                    <a:r>
                      <a:rPr lang="ru-RU"/>
                      <a:t>12,8*</a:t>
                    </a:r>
                    <a:endParaRPr lang="en-US"/>
                  </a:p>
                </c:rich>
              </c:tx>
              <c:dLblPos val="outEnd"/>
            </c:dLbl>
            <c:dLbl>
              <c:idx val="4"/>
              <c:layout>
                <c:manualLayout>
                  <c:x val="2.1401819154629798E-3"/>
                  <c:y val="5.0505050505050475E-3"/>
                </c:manualLayout>
              </c:layout>
              <c:tx>
                <c:rich>
                  <a:bodyPr/>
                  <a:lstStyle/>
                  <a:p>
                    <a:r>
                      <a:rPr lang="ru-RU"/>
                      <a:t>3,8*</a:t>
                    </a:r>
                    <a:endParaRPr lang="en-US"/>
                  </a:p>
                </c:rich>
              </c:tx>
              <c:dLblPos val="outEnd"/>
            </c:dLbl>
            <c:dLbl>
              <c:idx val="5"/>
              <c:tx>
                <c:rich>
                  <a:bodyPr/>
                  <a:lstStyle/>
                  <a:p>
                    <a:r>
                      <a:rPr lang="ru-RU"/>
                      <a:t>5,6*</a:t>
                    </a:r>
                    <a:endParaRPr lang="en-US"/>
                  </a:p>
                </c:rich>
              </c:tx>
              <c:dLblPos val="outEnd"/>
            </c:dLbl>
            <c:dLbl>
              <c:idx val="6"/>
              <c:layout>
                <c:manualLayout>
                  <c:x val="-4.2803638309256934E-3"/>
                  <c:y val="0"/>
                </c:manualLayout>
              </c:layout>
              <c:tx>
                <c:rich>
                  <a:bodyPr/>
                  <a:lstStyle/>
                  <a:p>
                    <a:r>
                      <a:rPr lang="ru-RU"/>
                      <a:t>2,3*</a:t>
                    </a:r>
                    <a:endParaRPr lang="en-US"/>
                  </a:p>
                </c:rich>
              </c:tx>
              <c:dLblPos val="outEnd"/>
            </c:dLbl>
            <c:txPr>
              <a:bodyPr rot="0" vert="horz"/>
              <a:lstStyle/>
              <a:p>
                <a:pPr>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124.8</c:v>
                </c:pt>
                <c:pt idx="1">
                  <c:v>81.099999999999994</c:v>
                </c:pt>
                <c:pt idx="2">
                  <c:v>68.599999999999994</c:v>
                </c:pt>
                <c:pt idx="3">
                  <c:v>46.3</c:v>
                </c:pt>
                <c:pt idx="4">
                  <c:v>13.6</c:v>
                </c:pt>
                <c:pt idx="5">
                  <c:v>20.399999999999999</c:v>
                </c:pt>
                <c:pt idx="6">
                  <c:v>8.2000000000000011</c:v>
                </c:pt>
              </c:numCache>
            </c:numRef>
          </c:val>
        </c:ser>
        <c:ser>
          <c:idx val="1"/>
          <c:order val="1"/>
          <c:tx>
            <c:strRef>
              <c:f>Sheet1!$A$3</c:f>
              <c:strCache>
                <c:ptCount val="1"/>
                <c:pt idx="0">
                  <c:v>январь - июнь 2015 год</c:v>
                </c:pt>
              </c:strCache>
            </c:strRef>
          </c:tx>
          <c:dLbls>
            <c:dLbl>
              <c:idx val="0"/>
              <c:layout>
                <c:manualLayout>
                  <c:x val="8.5607276618512567E-3"/>
                  <c:y val="4.0041409166483672E-3"/>
                </c:manualLayout>
              </c:layout>
              <c:tx>
                <c:rich>
                  <a:bodyPr/>
                  <a:lstStyle/>
                  <a:p>
                    <a:r>
                      <a:rPr lang="ru-RU"/>
                      <a:t>22,2*</a:t>
                    </a:r>
                    <a:endParaRPr lang="en-US"/>
                  </a:p>
                </c:rich>
              </c:tx>
              <c:dLblPos val="outEnd"/>
            </c:dLbl>
            <c:dLbl>
              <c:idx val="1"/>
              <c:layout>
                <c:manualLayout>
                  <c:x val="6.4205457463884395E-3"/>
                  <c:y val="5.0505050505050475E-3"/>
                </c:manualLayout>
              </c:layout>
              <c:tx>
                <c:rich>
                  <a:bodyPr/>
                  <a:lstStyle/>
                  <a:p>
                    <a:r>
                      <a:rPr lang="ru-RU"/>
                      <a:t>37,2*</a:t>
                    </a:r>
                    <a:endParaRPr lang="en-US"/>
                  </a:p>
                </c:rich>
              </c:tx>
              <c:dLblPos val="outEnd"/>
            </c:dLbl>
            <c:dLbl>
              <c:idx val="2"/>
              <c:layout>
                <c:manualLayout>
                  <c:x val="8.5607276618512567E-3"/>
                  <c:y val="6.0606060606060629E-2"/>
                </c:manualLayout>
              </c:layout>
              <c:tx>
                <c:rich>
                  <a:bodyPr/>
                  <a:lstStyle/>
                  <a:p>
                    <a:r>
                      <a:rPr lang="ru-RU"/>
                      <a:t>17,7*</a:t>
                    </a:r>
                  </a:p>
                  <a:p>
                    <a:endParaRPr lang="en-US"/>
                  </a:p>
                </c:rich>
              </c:tx>
              <c:dLblPos val="outEnd"/>
            </c:dLbl>
            <c:dLbl>
              <c:idx val="3"/>
              <c:layout>
                <c:manualLayout>
                  <c:x val="8.5607276618512567E-3"/>
                  <c:y val="1.0101010101010105E-2"/>
                </c:manualLayout>
              </c:layout>
              <c:tx>
                <c:rich>
                  <a:bodyPr/>
                  <a:lstStyle/>
                  <a:p>
                    <a:r>
                      <a:rPr lang="ru-RU"/>
                      <a:t>11,9*</a:t>
                    </a:r>
                    <a:endParaRPr lang="en-US"/>
                  </a:p>
                </c:rich>
              </c:tx>
              <c:dLblPos val="outEnd"/>
            </c:dLbl>
            <c:dLbl>
              <c:idx val="4"/>
              <c:layout>
                <c:manualLayout>
                  <c:x val="4.2803638309255824E-3"/>
                  <c:y val="0"/>
                </c:manualLayout>
              </c:layout>
              <c:tx>
                <c:rich>
                  <a:bodyPr/>
                  <a:lstStyle/>
                  <a:p>
                    <a:r>
                      <a:rPr lang="ru-RU"/>
                      <a:t>4,5*</a:t>
                    </a:r>
                    <a:endParaRPr lang="en-US"/>
                  </a:p>
                </c:rich>
              </c:tx>
              <c:dLblPos val="outEnd"/>
            </c:dLbl>
            <c:dLbl>
              <c:idx val="5"/>
              <c:layout>
                <c:manualLayout>
                  <c:x val="1.0700909577314071E-2"/>
                  <c:y val="0"/>
                </c:manualLayout>
              </c:layout>
              <c:tx>
                <c:rich>
                  <a:bodyPr/>
                  <a:lstStyle/>
                  <a:p>
                    <a:r>
                      <a:rPr lang="ru-RU"/>
                      <a:t>3,9*</a:t>
                    </a:r>
                    <a:endParaRPr lang="en-US"/>
                  </a:p>
                </c:rich>
              </c:tx>
              <c:dLblPos val="outEnd"/>
            </c:dLbl>
            <c:dLbl>
              <c:idx val="6"/>
              <c:layout>
                <c:manualLayout>
                  <c:x val="4.2803638309256934E-3"/>
                  <c:y val="1.5936254980079678E-2"/>
                </c:manualLayout>
              </c:layout>
              <c:tx>
                <c:rich>
                  <a:bodyPr/>
                  <a:lstStyle/>
                  <a:p>
                    <a:r>
                      <a:rPr lang="ru-RU"/>
                      <a:t>2,7*</a:t>
                    </a:r>
                    <a:endParaRPr lang="en-US"/>
                  </a:p>
                </c:rich>
              </c:tx>
              <c:dLblPos val="outEnd"/>
            </c:dLbl>
            <c:txPr>
              <a:bodyPr rot="0" vert="horz"/>
              <a:lstStyle/>
              <a:p>
                <a:pPr>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64.099999999999994</c:v>
                </c:pt>
                <c:pt idx="1">
                  <c:v>107.4</c:v>
                </c:pt>
                <c:pt idx="2">
                  <c:v>51</c:v>
                </c:pt>
                <c:pt idx="3">
                  <c:v>34.200000000000003</c:v>
                </c:pt>
                <c:pt idx="4">
                  <c:v>13</c:v>
                </c:pt>
                <c:pt idx="5">
                  <c:v>11.2</c:v>
                </c:pt>
                <c:pt idx="6">
                  <c:v>7.7000000000000464</c:v>
                </c:pt>
              </c:numCache>
            </c:numRef>
          </c:val>
        </c:ser>
        <c:dLbls>
          <c:showVal val="1"/>
        </c:dLbls>
        <c:gapWidth val="160"/>
        <c:axId val="156231936"/>
        <c:axId val="156372992"/>
      </c:barChart>
      <c:catAx>
        <c:axId val="156231936"/>
        <c:scaling>
          <c:orientation val="minMax"/>
        </c:scaling>
        <c:axPos val="b"/>
        <c:numFmt formatCode="General" sourceLinked="1"/>
        <c:tickLblPos val="low"/>
        <c:txPr>
          <a:bodyPr rot="-5400000" vert="horz"/>
          <a:lstStyle/>
          <a:p>
            <a:pPr>
              <a:defRPr/>
            </a:pPr>
            <a:endParaRPr lang="ru-RU"/>
          </a:p>
        </c:txPr>
        <c:crossAx val="156372992"/>
        <c:crosses val="autoZero"/>
        <c:lblAlgn val="ctr"/>
        <c:lblOffset val="160"/>
        <c:tickLblSkip val="1"/>
        <c:tickMarkSkip val="1"/>
      </c:catAx>
      <c:valAx>
        <c:axId val="156372992"/>
        <c:scaling>
          <c:orientation val="minMax"/>
        </c:scaling>
        <c:axPos val="l"/>
        <c:title>
          <c:tx>
            <c:rich>
              <a:bodyPr rot="0" vert="horz"/>
              <a:lstStyle/>
              <a:p>
                <a:pPr>
                  <a:defRPr sz="900"/>
                </a:pPr>
                <a:r>
                  <a:rPr lang="ru-RU" sz="900"/>
                  <a:t>*- удельный вес в общем объеме экспорта,%</a:t>
                </a:r>
              </a:p>
            </c:rich>
          </c:tx>
          <c:layout>
            <c:manualLayout>
              <c:xMode val="edge"/>
              <c:yMode val="edge"/>
              <c:x val="0.78116633330801499"/>
              <c:y val="4.7138206436642023E-2"/>
            </c:manualLayout>
          </c:layout>
        </c:title>
        <c:numFmt formatCode="0.0" sourceLinked="1"/>
        <c:tickLblPos val="nextTo"/>
        <c:txPr>
          <a:bodyPr rot="0" vert="horz"/>
          <a:lstStyle/>
          <a:p>
            <a:pPr>
              <a:defRPr/>
            </a:pPr>
            <a:endParaRPr lang="ru-RU"/>
          </a:p>
        </c:txPr>
        <c:crossAx val="156231936"/>
        <c:crosses val="autoZero"/>
        <c:crossBetween val="between"/>
      </c:valAx>
    </c:plotArea>
    <c:legend>
      <c:legendPos val="r"/>
      <c:layout>
        <c:manualLayout>
          <c:xMode val="edge"/>
          <c:yMode val="edge"/>
          <c:x val="0.13022508038585209"/>
          <c:y val="0.93087557603688675"/>
          <c:w val="0.73472668810289465"/>
          <c:h val="7.3732718894009494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Экспорт товаров в разрезе основных стран, тыс. долл. США</a:t>
            </a:r>
          </a:p>
        </c:rich>
      </c:tx>
      <c:layout>
        <c:manualLayout>
          <c:xMode val="edge"/>
          <c:yMode val="edge"/>
          <c:x val="0.23531748971439476"/>
          <c:y val="3.1838728492272037E-3"/>
        </c:manualLayout>
      </c:layout>
      <c:spPr>
        <a:noFill/>
        <a:ln w="24880">
          <a:noFill/>
        </a:ln>
      </c:spPr>
    </c:title>
    <c:plotArea>
      <c:layout>
        <c:manualLayout>
          <c:layoutTarget val="inner"/>
          <c:xMode val="edge"/>
          <c:yMode val="edge"/>
          <c:x val="0.23011855212379589"/>
          <c:y val="0.12179387576553052"/>
          <c:w val="0.7680567470796047"/>
          <c:h val="0.51602099737532814"/>
        </c:manualLayout>
      </c:layout>
      <c:barChart>
        <c:barDir val="col"/>
        <c:grouping val="clustered"/>
        <c:ser>
          <c:idx val="0"/>
          <c:order val="0"/>
          <c:tx>
            <c:strRef>
              <c:f>Лист1!$B$1</c:f>
              <c:strCache>
                <c:ptCount val="1"/>
                <c:pt idx="0">
                  <c:v>январь - июнь 2014 г.</c:v>
                </c:pt>
              </c:strCache>
            </c:strRef>
          </c:tx>
          <c:dLbls>
            <c:dLbl>
              <c:idx val="0"/>
              <c:layout>
                <c:manualLayout>
                  <c:x val="-8.3339660302960208E-3"/>
                  <c:y val="1.8116033041882043E-2"/>
                </c:manualLayout>
              </c:layout>
              <c:tx>
                <c:rich>
                  <a:bodyPr/>
                  <a:lstStyle/>
                  <a:p>
                    <a:r>
                      <a:rPr lang="ru-RU" sz="882" b="1">
                        <a:latin typeface="Times New Roman" pitchFamily="18" charset="0"/>
                        <a:cs typeface="Times New Roman" pitchFamily="18" charset="0"/>
                      </a:rPr>
                      <a:t>37,1*</a:t>
                    </a:r>
                    <a:endParaRPr lang="en-US" sz="900" b="1">
                      <a:latin typeface="Times New Roman" pitchFamily="18" charset="0"/>
                      <a:cs typeface="Times New Roman" pitchFamily="18" charset="0"/>
                    </a:endParaRPr>
                  </a:p>
                </c:rich>
              </c:tx>
              <c:dLblPos val="outEnd"/>
            </c:dLbl>
            <c:dLbl>
              <c:idx val="1"/>
              <c:layout>
                <c:manualLayout>
                  <c:x val="-4.290602103385153E-3"/>
                  <c:y val="1.3442448764611961E-2"/>
                </c:manualLayout>
              </c:layout>
              <c:tx>
                <c:rich>
                  <a:bodyPr/>
                  <a:lstStyle/>
                  <a:p>
                    <a:r>
                      <a:rPr lang="ru-RU" sz="882" b="1">
                        <a:latin typeface="Times New Roman" pitchFamily="18" charset="0"/>
                        <a:cs typeface="Times New Roman" pitchFamily="18" charset="0"/>
                      </a:rPr>
                      <a:t>13,8*</a:t>
                    </a:r>
                    <a:endParaRPr lang="en-US" sz="900" b="1">
                      <a:latin typeface="Times New Roman" pitchFamily="18" charset="0"/>
                      <a:cs typeface="Times New Roman" pitchFamily="18" charset="0"/>
                    </a:endParaRPr>
                  </a:p>
                </c:rich>
              </c:tx>
              <c:dLblPos val="outEnd"/>
            </c:dLbl>
            <c:dLbl>
              <c:idx val="2"/>
              <c:layout>
                <c:manualLayout>
                  <c:x val="-6.3840218170926914E-3"/>
                  <c:y val="1.1839780896953101E-2"/>
                </c:manualLayout>
              </c:layout>
              <c:tx>
                <c:rich>
                  <a:bodyPr/>
                  <a:lstStyle/>
                  <a:p>
                    <a:r>
                      <a:rPr lang="ru-RU" sz="882" b="1">
                        <a:latin typeface="Times New Roman" pitchFamily="18" charset="0"/>
                        <a:cs typeface="Times New Roman" pitchFamily="18" charset="0"/>
                      </a:rPr>
                      <a:t>5,0*</a:t>
                    </a:r>
                    <a:endParaRPr lang="en-US" sz="900" b="1">
                      <a:latin typeface="Times New Roman" pitchFamily="18" charset="0"/>
                      <a:cs typeface="Times New Roman" pitchFamily="18" charset="0"/>
                    </a:endParaRPr>
                  </a:p>
                </c:rich>
              </c:tx>
              <c:dLblPos val="outEnd"/>
            </c:dLbl>
            <c:dLbl>
              <c:idx val="3"/>
              <c:layout>
                <c:manualLayout>
                  <c:x val="-7.5040863794464665E-3"/>
                  <c:y val="1.0085620365416126E-2"/>
                </c:manualLayout>
              </c:layout>
              <c:tx>
                <c:rich>
                  <a:bodyPr/>
                  <a:lstStyle/>
                  <a:p>
                    <a:r>
                      <a:rPr lang="ru-RU" sz="882" b="1">
                        <a:latin typeface="Times New Roman" pitchFamily="18" charset="0"/>
                        <a:cs typeface="Times New Roman" pitchFamily="18" charset="0"/>
                      </a:rPr>
                      <a:t>7,3*</a:t>
                    </a:r>
                    <a:endParaRPr lang="en-US" sz="900" b="1">
                      <a:latin typeface="Times New Roman" pitchFamily="18" charset="0"/>
                      <a:cs typeface="Times New Roman" pitchFamily="18" charset="0"/>
                    </a:endParaRPr>
                  </a:p>
                </c:rich>
              </c:tx>
              <c:dLblPos val="outEnd"/>
            </c:dLbl>
            <c:dLbl>
              <c:idx val="4"/>
              <c:layout>
                <c:manualLayout>
                  <c:x val="-1.0091052406087941E-3"/>
                  <c:y val="9.9600593404085766E-3"/>
                </c:manualLayout>
              </c:layout>
              <c:tx>
                <c:rich>
                  <a:bodyPr/>
                  <a:lstStyle/>
                  <a:p>
                    <a:r>
                      <a:rPr lang="ru-RU" sz="882" b="1">
                        <a:latin typeface="Times New Roman" pitchFamily="18" charset="0"/>
                        <a:cs typeface="Times New Roman" pitchFamily="18" charset="0"/>
                      </a:rPr>
                      <a:t>4,5*</a:t>
                    </a:r>
                    <a:endParaRPr lang="en-US" sz="900" b="1">
                      <a:latin typeface="Times New Roman" pitchFamily="18" charset="0"/>
                      <a:cs typeface="Times New Roman" pitchFamily="18" charset="0"/>
                    </a:endParaRPr>
                  </a:p>
                </c:rich>
              </c:tx>
              <c:dLblPos val="outEnd"/>
            </c:dLbl>
            <c:dLbl>
              <c:idx val="5"/>
              <c:layout>
                <c:manualLayout>
                  <c:x val="-6.4136825227152014E-3"/>
                  <c:y val="1.6076563472817804E-2"/>
                </c:manualLayout>
              </c:layout>
              <c:tx>
                <c:rich>
                  <a:bodyPr/>
                  <a:lstStyle/>
                  <a:p>
                    <a:r>
                      <a:rPr lang="ru-RU" sz="882" b="1">
                        <a:latin typeface="Times New Roman" pitchFamily="18" charset="0"/>
                        <a:cs typeface="Times New Roman" pitchFamily="18" charset="0"/>
                      </a:rPr>
                      <a:t>12,6*</a:t>
                    </a:r>
                    <a:endParaRPr lang="en-US" sz="900" b="1">
                      <a:latin typeface="Times New Roman" pitchFamily="18" charset="0"/>
                      <a:cs typeface="Times New Roman" pitchFamily="18" charset="0"/>
                    </a:endParaRPr>
                  </a:p>
                </c:rich>
              </c:tx>
              <c:dLblPos val="outEnd"/>
            </c:dLbl>
            <c:dLbl>
              <c:idx val="6"/>
              <c:layout>
                <c:manualLayout>
                  <c:x val="-3.3236415970983252E-3"/>
                  <c:y val="1.5872988702499143E-2"/>
                </c:manualLayout>
              </c:layout>
              <c:tx>
                <c:rich>
                  <a:bodyPr/>
                  <a:lstStyle/>
                  <a:p>
                    <a:r>
                      <a:rPr lang="ru-RU" sz="882" b="1">
                        <a:latin typeface="Times New Roman" pitchFamily="18" charset="0"/>
                        <a:cs typeface="Times New Roman" pitchFamily="18" charset="0"/>
                      </a:rPr>
                      <a:t>13,1*</a:t>
                    </a:r>
                    <a:endParaRPr lang="en-US" sz="900" b="1">
                      <a:latin typeface="Times New Roman" pitchFamily="18" charset="0"/>
                      <a:cs typeface="Times New Roman" pitchFamily="18" charset="0"/>
                    </a:endParaRPr>
                  </a:p>
                </c:rich>
              </c:tx>
              <c:dLblPos val="outEnd"/>
            </c:dLbl>
            <c:dLbl>
              <c:idx val="7"/>
              <c:layout>
                <c:manualLayout>
                  <c:x val="1.6173653968929561E-4"/>
                  <c:y val="3.1051770702576822E-3"/>
                </c:manualLayout>
              </c:layout>
              <c:tx>
                <c:rich>
                  <a:bodyPr/>
                  <a:lstStyle/>
                  <a:p>
                    <a:r>
                      <a:rPr lang="ru-RU" sz="882" b="1">
                        <a:latin typeface="Times New Roman" pitchFamily="18" charset="0"/>
                        <a:cs typeface="Times New Roman" pitchFamily="18" charset="0"/>
                      </a:rPr>
                      <a:t>6,6*</a:t>
                    </a:r>
                    <a:endParaRPr lang="en-US" sz="900" b="1">
                      <a:latin typeface="Times New Roman" pitchFamily="18" charset="0"/>
                      <a:cs typeface="Times New Roman" pitchFamily="18" charset="0"/>
                    </a:endParaRPr>
                  </a:p>
                </c:rich>
              </c:tx>
              <c:dLblPos val="outEnd"/>
            </c:dLbl>
            <c:spPr>
              <a:noFill/>
              <a:ln w="24880">
                <a:noFill/>
              </a:ln>
            </c:spPr>
            <c:txPr>
              <a:bodyPr/>
              <a:lstStyle/>
              <a:p>
                <a:pPr>
                  <a:defRPr sz="882"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Лист1!$B$2:$B$9</c:f>
              <c:numCache>
                <c:formatCode>#,##0.0</c:formatCode>
                <c:ptCount val="8"/>
                <c:pt idx="0">
                  <c:v>134666.20000000001</c:v>
                </c:pt>
                <c:pt idx="1">
                  <c:v>50013.1</c:v>
                </c:pt>
                <c:pt idx="2">
                  <c:v>18052.900000000001</c:v>
                </c:pt>
                <c:pt idx="3">
                  <c:v>26504.1</c:v>
                </c:pt>
                <c:pt idx="4">
                  <c:v>16405.900000000001</c:v>
                </c:pt>
                <c:pt idx="5">
                  <c:v>45803</c:v>
                </c:pt>
                <c:pt idx="6">
                  <c:v>47694.6</c:v>
                </c:pt>
                <c:pt idx="7">
                  <c:v>23848.799999999956</c:v>
                </c:pt>
              </c:numCache>
            </c:numRef>
          </c:val>
        </c:ser>
        <c:ser>
          <c:idx val="1"/>
          <c:order val="1"/>
          <c:tx>
            <c:strRef>
              <c:f>Лист1!$C$1</c:f>
              <c:strCache>
                <c:ptCount val="1"/>
                <c:pt idx="0">
                  <c:v>январь - июнь 2015 г.</c:v>
                </c:pt>
              </c:strCache>
            </c:strRef>
          </c:tx>
          <c:dLbls>
            <c:dLbl>
              <c:idx val="0"/>
              <c:layout>
                <c:manualLayout>
                  <c:x val="1.0286665386338907E-2"/>
                  <c:y val="1.6604999617767305E-2"/>
                </c:manualLayout>
              </c:layout>
              <c:tx>
                <c:rich>
                  <a:bodyPr/>
                  <a:lstStyle/>
                  <a:p>
                    <a:r>
                      <a:rPr lang="ru-RU" sz="882" b="1">
                        <a:latin typeface="Times New Roman" pitchFamily="18" charset="0"/>
                        <a:cs typeface="Times New Roman" pitchFamily="18" charset="0"/>
                      </a:rPr>
                      <a:t>49,7*</a:t>
                    </a:r>
                    <a:endParaRPr lang="en-US" sz="900" b="1">
                      <a:latin typeface="Times New Roman" pitchFamily="18" charset="0"/>
                      <a:cs typeface="Times New Roman" pitchFamily="18" charset="0"/>
                    </a:endParaRPr>
                  </a:p>
                </c:rich>
              </c:tx>
              <c:dLblPos val="outEnd"/>
            </c:dLbl>
            <c:dLbl>
              <c:idx val="1"/>
              <c:layout>
                <c:manualLayout>
                  <c:x val="1.388888888888974E-2"/>
                  <c:y val="1.1904761904761921E-2"/>
                </c:manualLayout>
              </c:layout>
              <c:tx>
                <c:rich>
                  <a:bodyPr/>
                  <a:lstStyle/>
                  <a:p>
                    <a:r>
                      <a:rPr lang="ru-RU" sz="882" b="1">
                        <a:latin typeface="Times New Roman" pitchFamily="18" charset="0"/>
                        <a:cs typeface="Times New Roman" pitchFamily="18" charset="0"/>
                      </a:rPr>
                      <a:t>8,2*</a:t>
                    </a:r>
                    <a:endParaRPr lang="en-US" sz="900" b="1">
                      <a:latin typeface="Times New Roman" pitchFamily="18" charset="0"/>
                      <a:cs typeface="Times New Roman" pitchFamily="18" charset="0"/>
                    </a:endParaRPr>
                  </a:p>
                </c:rich>
              </c:tx>
              <c:dLblPos val="outEnd"/>
            </c:dLbl>
            <c:dLbl>
              <c:idx val="2"/>
              <c:layout>
                <c:manualLayout>
                  <c:x val="4.9796100447359534E-3"/>
                  <c:y val="4.3839803689648175E-2"/>
                </c:manualLayout>
              </c:layout>
              <c:tx>
                <c:rich>
                  <a:bodyPr/>
                  <a:lstStyle/>
                  <a:p>
                    <a:r>
                      <a:rPr lang="ru-RU" sz="882" b="1">
                        <a:latin typeface="Times New Roman" pitchFamily="18" charset="0"/>
                        <a:cs typeface="Times New Roman" pitchFamily="18" charset="0"/>
                      </a:rPr>
                      <a:t>6,2*</a:t>
                    </a:r>
                  </a:p>
                  <a:p>
                    <a:endParaRPr lang="en-US" sz="900" b="1">
                      <a:latin typeface="Times New Roman" pitchFamily="18" charset="0"/>
                      <a:cs typeface="Times New Roman" pitchFamily="18" charset="0"/>
                    </a:endParaRPr>
                  </a:p>
                </c:rich>
              </c:tx>
              <c:dLblPos val="outEnd"/>
            </c:dLbl>
            <c:dLbl>
              <c:idx val="3"/>
              <c:layout>
                <c:manualLayout>
                  <c:x val="7.6435608563360374E-3"/>
                  <c:y val="1.0963299889331866E-2"/>
                </c:manualLayout>
              </c:layout>
              <c:tx>
                <c:rich>
                  <a:bodyPr/>
                  <a:lstStyle/>
                  <a:p>
                    <a:r>
                      <a:rPr lang="ru-RU" sz="882" b="1">
                        <a:latin typeface="Times New Roman" pitchFamily="18" charset="0"/>
                        <a:cs typeface="Times New Roman" pitchFamily="18" charset="0"/>
                      </a:rPr>
                      <a:t>7,5*</a:t>
                    </a:r>
                    <a:endParaRPr lang="en-US" sz="900" b="1">
                      <a:latin typeface="Times New Roman" pitchFamily="18" charset="0"/>
                      <a:cs typeface="Times New Roman" pitchFamily="18" charset="0"/>
                    </a:endParaRPr>
                  </a:p>
                </c:rich>
              </c:tx>
              <c:dLblPos val="outEnd"/>
            </c:dLbl>
            <c:dLbl>
              <c:idx val="4"/>
              <c:layout>
                <c:manualLayout>
                  <c:x val="1.388888888888974E-2"/>
                  <c:y val="7.9365079365078823E-3"/>
                </c:manualLayout>
              </c:layout>
              <c:tx>
                <c:rich>
                  <a:bodyPr/>
                  <a:lstStyle/>
                  <a:p>
                    <a:r>
                      <a:rPr lang="ru-RU" sz="882" b="1">
                        <a:latin typeface="Times New Roman" pitchFamily="18" charset="0"/>
                        <a:cs typeface="Times New Roman" pitchFamily="18" charset="0"/>
                      </a:rPr>
                      <a:t>5,2*</a:t>
                    </a:r>
                    <a:endParaRPr lang="en-US" sz="900" b="1">
                      <a:latin typeface="Times New Roman" pitchFamily="18" charset="0"/>
                      <a:cs typeface="Times New Roman" pitchFamily="18" charset="0"/>
                    </a:endParaRPr>
                  </a:p>
                </c:rich>
              </c:tx>
              <c:dLblPos val="outEnd"/>
            </c:dLbl>
            <c:dLbl>
              <c:idx val="5"/>
              <c:layout>
                <c:manualLayout>
                  <c:x val="1.1984310202113239E-2"/>
                  <c:y val="3.9444254250827352E-3"/>
                </c:manualLayout>
              </c:layout>
              <c:tx>
                <c:rich>
                  <a:bodyPr/>
                  <a:lstStyle/>
                  <a:p>
                    <a:r>
                      <a:rPr lang="ru-RU" sz="882" b="1">
                        <a:latin typeface="Times New Roman" pitchFamily="18" charset="0"/>
                        <a:cs typeface="Times New Roman" pitchFamily="18" charset="0"/>
                      </a:rPr>
                      <a:t>15,3*</a:t>
                    </a:r>
                    <a:endParaRPr lang="en-US" sz="900" b="1">
                      <a:latin typeface="Times New Roman" pitchFamily="18" charset="0"/>
                      <a:cs typeface="Times New Roman" pitchFamily="18" charset="0"/>
                    </a:endParaRPr>
                  </a:p>
                </c:rich>
              </c:tx>
              <c:dLblPos val="outEnd"/>
            </c:dLbl>
            <c:dLbl>
              <c:idx val="6"/>
              <c:layout>
                <c:manualLayout>
                  <c:x val="6.4095876040379104E-3"/>
                  <c:y val="9.9196496143505748E-3"/>
                </c:manualLayout>
              </c:layout>
              <c:tx>
                <c:rich>
                  <a:bodyPr/>
                  <a:lstStyle/>
                  <a:p>
                    <a:r>
                      <a:rPr lang="ru-RU" sz="882" b="1">
                        <a:latin typeface="Times New Roman" pitchFamily="18" charset="0"/>
                        <a:cs typeface="Times New Roman" pitchFamily="18" charset="0"/>
                      </a:rPr>
                      <a:t>2,1*</a:t>
                    </a:r>
                    <a:endParaRPr lang="en-US" sz="900" b="1">
                      <a:latin typeface="Times New Roman" pitchFamily="18" charset="0"/>
                      <a:cs typeface="Times New Roman" pitchFamily="18" charset="0"/>
                    </a:endParaRPr>
                  </a:p>
                </c:rich>
              </c:tx>
              <c:dLblPos val="outEnd"/>
            </c:dLbl>
            <c:dLbl>
              <c:idx val="7"/>
              <c:layout>
                <c:manualLayout>
                  <c:x val="1.415226249871919E-2"/>
                  <c:y val="7.8058503556620914E-3"/>
                </c:manualLayout>
              </c:layout>
              <c:tx>
                <c:rich>
                  <a:bodyPr/>
                  <a:lstStyle/>
                  <a:p>
                    <a:r>
                      <a:rPr lang="ru-RU" sz="882" b="1">
                        <a:latin typeface="Times New Roman" pitchFamily="18" charset="0"/>
                        <a:cs typeface="Times New Roman" pitchFamily="18" charset="0"/>
                      </a:rPr>
                      <a:t>5,9*</a:t>
                    </a:r>
                    <a:endParaRPr lang="en-US" sz="900" b="1">
                      <a:latin typeface="Times New Roman" pitchFamily="18" charset="0"/>
                      <a:cs typeface="Times New Roman" pitchFamily="18" charset="0"/>
                    </a:endParaRPr>
                  </a:p>
                </c:rich>
              </c:tx>
              <c:dLblPos val="outEnd"/>
            </c:dLbl>
            <c:spPr>
              <a:noFill/>
              <a:ln w="24880">
                <a:noFill/>
              </a:ln>
            </c:spPr>
            <c:txPr>
              <a:bodyPr/>
              <a:lstStyle/>
              <a:p>
                <a:pPr>
                  <a:defRPr sz="882" b="1">
                    <a:latin typeface="Times New Roman" pitchFamily="18" charset="0"/>
                    <a:cs typeface="Times New Roman" pitchFamily="18" charset="0"/>
                  </a:defRPr>
                </a:pPr>
                <a:endParaRPr lang="ru-RU"/>
              </a:p>
            </c:txPr>
            <c:dLblPos val="outEnd"/>
            <c:showVal val="1"/>
          </c:dLbls>
          <c:cat>
            <c:strRef>
              <c:f>Лист1!$A$2:$A$9</c:f>
              <c:strCache>
                <c:ptCount val="8"/>
                <c:pt idx="0">
                  <c:v>Молдова</c:v>
                </c:pt>
                <c:pt idx="1">
                  <c:v>Россия</c:v>
                </c:pt>
                <c:pt idx="2">
                  <c:v>Украина</c:v>
                </c:pt>
                <c:pt idx="3">
                  <c:v>Италия</c:v>
                </c:pt>
                <c:pt idx="4">
                  <c:v>Германия</c:v>
                </c:pt>
                <c:pt idx="5">
                  <c:v>Румыния</c:v>
                </c:pt>
                <c:pt idx="6">
                  <c:v>Польша</c:v>
                </c:pt>
                <c:pt idx="7">
                  <c:v>Прочие страны</c:v>
                </c:pt>
              </c:strCache>
            </c:strRef>
          </c:cat>
          <c:val>
            <c:numRef>
              <c:f>Лист1!$C$2:$C$9</c:f>
              <c:numCache>
                <c:formatCode>#,##0.0</c:formatCode>
                <c:ptCount val="8"/>
                <c:pt idx="0">
                  <c:v>143366.6</c:v>
                </c:pt>
                <c:pt idx="1">
                  <c:v>23668.400000000001</c:v>
                </c:pt>
                <c:pt idx="2">
                  <c:v>17848.2</c:v>
                </c:pt>
                <c:pt idx="3">
                  <c:v>21684.3</c:v>
                </c:pt>
                <c:pt idx="4">
                  <c:v>15071.9</c:v>
                </c:pt>
                <c:pt idx="5">
                  <c:v>44023.5</c:v>
                </c:pt>
                <c:pt idx="6">
                  <c:v>5925.7</c:v>
                </c:pt>
                <c:pt idx="7">
                  <c:v>16979.899999999896</c:v>
                </c:pt>
              </c:numCache>
            </c:numRef>
          </c:val>
        </c:ser>
        <c:dLbls>
          <c:showVal val="1"/>
        </c:dLbls>
        <c:axId val="156591232"/>
        <c:axId val="156592768"/>
      </c:barChart>
      <c:catAx>
        <c:axId val="156591232"/>
        <c:scaling>
          <c:orientation val="minMax"/>
        </c:scaling>
        <c:axPos val="b"/>
        <c:numFmt formatCode="General" sourceLinked="1"/>
        <c:tickLblPos val="nextTo"/>
        <c:crossAx val="156592768"/>
        <c:crosses val="autoZero"/>
        <c:auto val="1"/>
        <c:lblAlgn val="ctr"/>
        <c:lblOffset val="100"/>
      </c:catAx>
      <c:valAx>
        <c:axId val="156592768"/>
        <c:scaling>
          <c:orientation val="minMax"/>
          <c:max val="144000"/>
          <c:min val="200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a:t>
                </a:r>
                <a:r>
                  <a:rPr lang="ru-RU" sz="900" b="0" i="0" strike="noStrike">
                    <a:solidFill>
                      <a:srgbClr val="000000"/>
                    </a:solidFill>
                    <a:latin typeface="Times New Roman"/>
                    <a:cs typeface="Times New Roman"/>
                  </a:rPr>
                  <a:t>удельный вес в общем объеме экспорта, %</a:t>
                </a:r>
              </a:p>
            </c:rich>
          </c:tx>
          <c:layout>
            <c:manualLayout>
              <c:xMode val="edge"/>
              <c:yMode val="edge"/>
              <c:x val="0.80935311995953119"/>
              <c:y val="0.11114144787629122"/>
            </c:manualLayout>
          </c:layout>
          <c:spPr>
            <a:noFill/>
            <a:ln w="24880">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56591232"/>
        <c:crosses val="autoZero"/>
        <c:crossBetween val="between"/>
        <c:majorUnit val="10000"/>
      </c:valAx>
      <c:dTable>
        <c:showHorzBorder val="1"/>
        <c:showVertBorder val="1"/>
        <c:showOutline val="1"/>
        <c:showKeys val="1"/>
        <c:txPr>
          <a:bodyPr/>
          <a:lstStyle/>
          <a:p>
            <a:pPr rtl="0">
              <a:defRPr sz="864" b="1">
                <a:latin typeface="Times New Roman" pitchFamily="18" charset="0"/>
                <a:cs typeface="Times New Roman" pitchFamily="18" charset="0"/>
              </a:defRPr>
            </a:pPr>
            <a:endParaRPr lang="ru-RU"/>
          </a:p>
        </c:txPr>
      </c:dTable>
    </c:plotArea>
    <c:legend>
      <c:legendPos val="r"/>
      <c:layout>
        <c:manualLayout>
          <c:xMode val="edge"/>
          <c:yMode val="edge"/>
          <c:x val="0.183254344391789"/>
          <c:y val="0.95114006514659355"/>
          <c:w val="0.71406003159559595"/>
          <c:h val="5.2117263843650501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endParaRPr lang="ru-RU"/>
          </a:p>
        </c:rich>
      </c:tx>
    </c:title>
    <c:view3D>
      <c:rotX val="0"/>
      <c:rotY val="0"/>
      <c:depthPercent val="100"/>
      <c:perspective val="30"/>
    </c:view3D>
    <c:plotArea>
      <c:layout>
        <c:manualLayout>
          <c:layoutTarget val="inner"/>
          <c:xMode val="edge"/>
          <c:yMode val="edge"/>
          <c:x val="9.0752022109191768E-2"/>
          <c:y val="2.440609817389848E-2"/>
          <c:w val="0.89082184788160013"/>
          <c:h val="0.49241089429040397"/>
        </c:manualLayout>
      </c:layout>
      <c:bar3DChart>
        <c:barDir val="col"/>
        <c:grouping val="clustered"/>
        <c:ser>
          <c:idx val="0"/>
          <c:order val="0"/>
          <c:tx>
            <c:strRef>
              <c:f>Лист1!$B$1</c:f>
              <c:strCache>
                <c:ptCount val="1"/>
                <c:pt idx="0">
                  <c:v>январь-июнь 2014 года</c:v>
                </c:pt>
              </c:strCache>
            </c:strRef>
          </c:tx>
          <c:spPr>
            <a:solidFill>
              <a:srgbClr val="FFFF00"/>
            </a:solidFill>
          </c:spPr>
          <c:dLbls>
            <c:dLbl>
              <c:idx val="1"/>
              <c:layout>
                <c:manualLayout>
                  <c:x val="-4.1928721174004195E-3"/>
                  <c:y val="0"/>
                </c:manualLayout>
              </c:layout>
              <c:tx>
                <c:rich>
                  <a:bodyPr/>
                  <a:lstStyle/>
                  <a:p>
                    <a:r>
                      <a:rPr lang="ru-RU"/>
                      <a:t>в 122 р.</a:t>
                    </a:r>
                    <a:endParaRPr lang="en-US"/>
                  </a:p>
                </c:rich>
              </c:tx>
              <c:showVal val="1"/>
            </c:dLbl>
            <c:dLbl>
              <c:idx val="2"/>
              <c:layout>
                <c:manualLayout>
                  <c:x val="2.5467874773271435E-3"/>
                  <c:y val="1.2850681336066519E-2"/>
                </c:manualLayout>
              </c:layout>
              <c:spPr/>
              <c:txPr>
                <a:bodyPr/>
                <a:lstStyle/>
                <a:p>
                  <a:pPr>
                    <a:defRPr sz="800"/>
                  </a:pPr>
                  <a:endParaRPr lang="ru-RU"/>
                </a:p>
              </c:txPr>
              <c:showVal val="1"/>
            </c:dLbl>
            <c:dLbl>
              <c:idx val="3"/>
              <c:layout>
                <c:manualLayout>
                  <c:x val="-1.0441076940854103E-2"/>
                  <c:y val="3.1388384144289648E-2"/>
                </c:manualLayout>
              </c:layout>
              <c:tx>
                <c:rich>
                  <a:bodyPr/>
                  <a:lstStyle/>
                  <a:p>
                    <a:pPr>
                      <a:defRPr sz="800"/>
                    </a:pPr>
                    <a:r>
                      <a:rPr lang="en-US" sz="800"/>
                      <a:t>1</a:t>
                    </a:r>
                    <a:r>
                      <a:rPr lang="en-US" sz="800" b="1"/>
                      <a:t>0</a:t>
                    </a:r>
                    <a:r>
                      <a:rPr lang="en-US" sz="800"/>
                      <a:t>1,6</a:t>
                    </a:r>
                  </a:p>
                </c:rich>
              </c:tx>
              <c:spPr/>
            </c:dLbl>
            <c:dLbl>
              <c:idx val="4"/>
              <c:layout>
                <c:manualLayout>
                  <c:x val="-1.0268244771290238E-2"/>
                  <c:y val="1.8041835679631413E-2"/>
                </c:manualLayout>
              </c:layout>
              <c:spPr/>
              <c:txPr>
                <a:bodyPr/>
                <a:lstStyle/>
                <a:p>
                  <a:pPr>
                    <a:defRPr sz="800"/>
                  </a:pPr>
                  <a:endParaRPr lang="ru-RU"/>
                </a:p>
              </c:txPr>
              <c:showVal val="1"/>
            </c:dLbl>
            <c:dLbl>
              <c:idx val="5"/>
              <c:layout>
                <c:manualLayout>
                  <c:x val="3.068803999713825E-4"/>
                  <c:y val="2.8534731030961553E-3"/>
                </c:manualLayout>
              </c:layout>
              <c:tx>
                <c:rich>
                  <a:bodyPr/>
                  <a:lstStyle/>
                  <a:p>
                    <a:pPr>
                      <a:defRPr sz="800"/>
                    </a:pPr>
                    <a:r>
                      <a:rPr lang="ru-RU" sz="800"/>
                      <a:t>в 1,9 р.</a:t>
                    </a:r>
                  </a:p>
                </c:rich>
              </c:tx>
              <c:spPr/>
            </c:dLbl>
            <c:dLbl>
              <c:idx val="6"/>
              <c:layout>
                <c:manualLayout>
                  <c:x val="-8.2446962969824067E-3"/>
                  <c:y val="1.0603048376408221E-2"/>
                </c:manualLayout>
              </c:layout>
              <c:spPr/>
              <c:txPr>
                <a:bodyPr/>
                <a:lstStyle/>
                <a:p>
                  <a:pPr>
                    <a:defRPr sz="800"/>
                  </a:pPr>
                  <a:endParaRPr lang="ru-RU"/>
                </a:p>
              </c:txPr>
              <c:showVal val="1"/>
            </c:dLbl>
            <c:dLbl>
              <c:idx val="7"/>
              <c:layout>
                <c:manualLayout>
                  <c:x val="-1.2456957031314482E-2"/>
                  <c:y val="1.1904875526923198E-2"/>
                </c:manualLayout>
              </c:layout>
              <c:spPr/>
              <c:txPr>
                <a:bodyPr/>
                <a:lstStyle/>
                <a:p>
                  <a:pPr>
                    <a:defRPr sz="800"/>
                  </a:pPr>
                  <a:endParaRPr lang="ru-RU"/>
                </a:p>
              </c:txPr>
              <c:showVal val="1"/>
            </c:dLbl>
            <c:dLbl>
              <c:idx val="8"/>
              <c:layout>
                <c:manualLayout>
                  <c:x val="-3.5598463072928402E-3"/>
                  <c:y val="1.4539743168286856E-2"/>
                </c:manualLayout>
              </c:layout>
              <c:spPr/>
              <c:txPr>
                <a:bodyPr/>
                <a:lstStyle/>
                <a:p>
                  <a:pPr>
                    <a:defRPr sz="800"/>
                  </a:pPr>
                  <a:endParaRPr lang="ru-RU"/>
                </a:p>
              </c:txPr>
              <c:showVal val="1"/>
            </c:dLbl>
            <c:dLbl>
              <c:idx val="9"/>
              <c:layout>
                <c:manualLayout>
                  <c:x val="-1.4219521330544561E-3"/>
                  <c:y val="7.9522862823062524E-3"/>
                </c:manualLayout>
              </c:layout>
              <c:spPr/>
              <c:txPr>
                <a:bodyPr/>
                <a:lstStyle/>
                <a:p>
                  <a:pPr>
                    <a:defRPr sz="800"/>
                  </a:pPr>
                  <a:endParaRPr lang="ru-RU"/>
                </a:p>
              </c:txPr>
              <c:showVal val="1"/>
            </c:dLbl>
            <c:dLbl>
              <c:idx val="10"/>
              <c:layout>
                <c:manualLayout>
                  <c:x val="-9.8713475887674748E-3"/>
                  <c:y val="7.9522862823062524E-3"/>
                </c:manualLayout>
              </c:layout>
              <c:spPr/>
              <c:txPr>
                <a:bodyPr/>
                <a:lstStyle/>
                <a:p>
                  <a:pPr>
                    <a:defRPr sz="800"/>
                  </a:pPr>
                  <a:endParaRPr lang="ru-RU"/>
                </a:p>
              </c:txPr>
              <c:showVal val="1"/>
            </c:dLbl>
            <c:spPr>
              <a:noFill/>
              <a:ln w="25286">
                <a:noFill/>
              </a:ln>
            </c:spPr>
            <c:txPr>
              <a:bodyPr/>
              <a:lstStyle/>
              <a:p>
                <a:pPr>
                  <a:defRPr sz="800"/>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Лист1!$B$2:$B$12</c:f>
              <c:numCache>
                <c:formatCode>#,##0.0</c:formatCode>
                <c:ptCount val="11"/>
                <c:pt idx="0">
                  <c:v>130.80000000000001</c:v>
                </c:pt>
                <c:pt idx="1">
                  <c:v>300</c:v>
                </c:pt>
                <c:pt idx="2">
                  <c:v>98.5</c:v>
                </c:pt>
                <c:pt idx="3">
                  <c:v>84.8</c:v>
                </c:pt>
                <c:pt idx="4">
                  <c:v>83.2</c:v>
                </c:pt>
                <c:pt idx="5">
                  <c:v>145.1</c:v>
                </c:pt>
                <c:pt idx="6">
                  <c:v>178.9</c:v>
                </c:pt>
                <c:pt idx="7">
                  <c:v>91.4</c:v>
                </c:pt>
                <c:pt idx="8">
                  <c:v>90.4</c:v>
                </c:pt>
                <c:pt idx="9">
                  <c:v>117.6</c:v>
                </c:pt>
                <c:pt idx="10">
                  <c:v>70.400000000000006</c:v>
                </c:pt>
              </c:numCache>
            </c:numRef>
          </c:val>
        </c:ser>
        <c:ser>
          <c:idx val="1"/>
          <c:order val="1"/>
          <c:tx>
            <c:strRef>
              <c:f>Лист1!$C$1</c:f>
              <c:strCache>
                <c:ptCount val="1"/>
                <c:pt idx="0">
                  <c:v>январь-июнь 2015 года</c:v>
                </c:pt>
              </c:strCache>
            </c:strRef>
          </c:tx>
          <c:spPr>
            <a:solidFill>
              <a:srgbClr val="00B0F0"/>
            </a:solidFill>
          </c:spPr>
          <c:dLbls>
            <c:dLbl>
              <c:idx val="0"/>
              <c:layout>
                <c:manualLayout>
                  <c:x val="2.0538635500751086E-2"/>
                  <c:y val="2.0263527665102476E-2"/>
                </c:manualLayout>
              </c:layout>
              <c:spPr/>
              <c:txPr>
                <a:bodyPr/>
                <a:lstStyle/>
                <a:p>
                  <a:pPr>
                    <a:defRPr sz="800"/>
                  </a:pPr>
                  <a:endParaRPr lang="ru-RU"/>
                </a:p>
              </c:txPr>
              <c:showVal val="1"/>
            </c:dLbl>
            <c:dLbl>
              <c:idx val="1"/>
              <c:layout>
                <c:manualLayout>
                  <c:x val="1.4063630040388441E-2"/>
                  <c:y val="0"/>
                </c:manualLayout>
              </c:layout>
              <c:tx>
                <c:rich>
                  <a:bodyPr/>
                  <a:lstStyle/>
                  <a:p>
                    <a:pPr>
                      <a:defRPr sz="800"/>
                    </a:pPr>
                    <a:r>
                      <a:rPr lang="ru-RU" sz="800"/>
                      <a:t>69,5 </a:t>
                    </a:r>
                  </a:p>
                </c:rich>
              </c:tx>
              <c:spPr/>
            </c:dLbl>
            <c:dLbl>
              <c:idx val="2"/>
              <c:layout>
                <c:manualLayout>
                  <c:x val="8.5515766969535226E-3"/>
                  <c:y val="1.0958904109589039E-2"/>
                </c:manualLayout>
              </c:layout>
              <c:spPr/>
              <c:txPr>
                <a:bodyPr/>
                <a:lstStyle/>
                <a:p>
                  <a:pPr>
                    <a:defRPr sz="800"/>
                  </a:pPr>
                  <a:endParaRPr lang="ru-RU"/>
                </a:p>
              </c:txPr>
              <c:showVal val="1"/>
            </c:dLbl>
            <c:dLbl>
              <c:idx val="3"/>
              <c:layout>
                <c:manualLayout>
                  <c:x val="1.0178114528136798E-2"/>
                  <c:y val="1.883754429686255E-3"/>
                </c:manualLayout>
              </c:layout>
              <c:spPr/>
              <c:txPr>
                <a:bodyPr/>
                <a:lstStyle/>
                <a:p>
                  <a:pPr>
                    <a:defRPr sz="800"/>
                  </a:pPr>
                  <a:endParaRPr lang="ru-RU"/>
                </a:p>
              </c:txPr>
              <c:showVal val="1"/>
            </c:dLbl>
            <c:dLbl>
              <c:idx val="4"/>
              <c:layout>
                <c:manualLayout>
                  <c:x val="3.8888063520362615E-3"/>
                  <c:y val="7.4155377042517921E-3"/>
                </c:manualLayout>
              </c:layout>
              <c:spPr/>
              <c:txPr>
                <a:bodyPr/>
                <a:lstStyle/>
                <a:p>
                  <a:pPr>
                    <a:defRPr sz="800"/>
                  </a:pPr>
                  <a:endParaRPr lang="ru-RU"/>
                </a:p>
              </c:txPr>
              <c:showVal val="1"/>
            </c:dLbl>
            <c:dLbl>
              <c:idx val="5"/>
              <c:layout>
                <c:manualLayout>
                  <c:x val="1.2827365045430921E-2"/>
                  <c:y val="-6.0446553769819868E-3"/>
                </c:manualLayout>
              </c:layout>
              <c:spPr/>
              <c:txPr>
                <a:bodyPr/>
                <a:lstStyle/>
                <a:p>
                  <a:pPr>
                    <a:defRPr sz="800"/>
                  </a:pPr>
                  <a:endParaRPr lang="ru-RU"/>
                </a:p>
              </c:txPr>
              <c:showVal val="1"/>
            </c:dLbl>
            <c:dLbl>
              <c:idx val="6"/>
              <c:layout>
                <c:manualLayout>
                  <c:x val="6.1067099436999134E-3"/>
                  <c:y val="1.1904761904762612E-2"/>
                </c:manualLayout>
              </c:layout>
              <c:spPr/>
              <c:txPr>
                <a:bodyPr/>
                <a:lstStyle/>
                <a:p>
                  <a:pPr>
                    <a:defRPr sz="800"/>
                  </a:pPr>
                  <a:endParaRPr lang="ru-RU"/>
                </a:p>
              </c:txPr>
              <c:showVal val="1"/>
            </c:dLbl>
            <c:dLbl>
              <c:idx val="7"/>
              <c:layout>
                <c:manualLayout>
                  <c:x val="1.0667392990970458E-2"/>
                  <c:y val="1.5108212483540598E-2"/>
                </c:manualLayout>
              </c:layout>
              <c:spPr/>
              <c:txPr>
                <a:bodyPr/>
                <a:lstStyle/>
                <a:p>
                  <a:pPr>
                    <a:defRPr sz="800"/>
                  </a:pPr>
                  <a:endParaRPr lang="ru-RU"/>
                </a:p>
              </c:txPr>
              <c:showVal val="1"/>
            </c:dLbl>
            <c:dLbl>
              <c:idx val="8"/>
              <c:layout>
                <c:manualLayout>
                  <c:x val="4.3171726175737475E-3"/>
                  <c:y val="9.7906448562620312E-3"/>
                </c:manualLayout>
              </c:layout>
              <c:spPr/>
              <c:txPr>
                <a:bodyPr/>
                <a:lstStyle/>
                <a:p>
                  <a:pPr>
                    <a:defRPr sz="800"/>
                  </a:pPr>
                  <a:endParaRPr lang="ru-RU"/>
                </a:p>
              </c:txPr>
              <c:showVal val="1"/>
            </c:dLbl>
            <c:dLbl>
              <c:idx val="9"/>
              <c:layout>
                <c:manualLayout>
                  <c:x val="6.4136825227152534E-3"/>
                  <c:y val="7.9522862823062524E-3"/>
                </c:manualLayout>
              </c:layout>
              <c:spPr/>
              <c:txPr>
                <a:bodyPr/>
                <a:lstStyle/>
                <a:p>
                  <a:pPr>
                    <a:defRPr sz="800"/>
                  </a:pPr>
                  <a:endParaRPr lang="ru-RU"/>
                </a:p>
              </c:txPr>
              <c:showVal val="1"/>
            </c:dLbl>
            <c:dLbl>
              <c:idx val="10"/>
              <c:layout>
                <c:manualLayout>
                  <c:x val="-4.0685716172270845E-3"/>
                  <c:y val="5.9728110909215335E-4"/>
                </c:manualLayout>
              </c:layout>
              <c:tx>
                <c:rich>
                  <a:bodyPr/>
                  <a:lstStyle/>
                  <a:p>
                    <a:pPr>
                      <a:defRPr sz="800"/>
                    </a:pPr>
                    <a:r>
                      <a:rPr lang="ru-RU" sz="800"/>
                      <a:t>в 2,8р.</a:t>
                    </a:r>
                    <a:endParaRPr lang="en-US" sz="800"/>
                  </a:p>
                </c:rich>
              </c:tx>
              <c:spPr/>
              <c:showVal val="1"/>
            </c:dLbl>
            <c:spPr>
              <a:noFill/>
              <a:ln w="25286">
                <a:noFill/>
              </a:ln>
            </c:spPr>
            <c:txPr>
              <a:bodyPr/>
              <a:lstStyle/>
              <a:p>
                <a:pPr>
                  <a:defRPr sz="800"/>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Лист1!$C$2:$C$12</c:f>
              <c:numCache>
                <c:formatCode>#,##0.0</c:formatCode>
                <c:ptCount val="11"/>
                <c:pt idx="0">
                  <c:v>116.1</c:v>
                </c:pt>
                <c:pt idx="1">
                  <c:v>69.5</c:v>
                </c:pt>
                <c:pt idx="2">
                  <c:v>72.099999999999994</c:v>
                </c:pt>
                <c:pt idx="3">
                  <c:v>100.9</c:v>
                </c:pt>
                <c:pt idx="4">
                  <c:v>87.8</c:v>
                </c:pt>
                <c:pt idx="5">
                  <c:v>84</c:v>
                </c:pt>
                <c:pt idx="6">
                  <c:v>64.599999999999994</c:v>
                </c:pt>
                <c:pt idx="7">
                  <c:v>82.6</c:v>
                </c:pt>
                <c:pt idx="8">
                  <c:v>73.5</c:v>
                </c:pt>
                <c:pt idx="9">
                  <c:v>81.900000000000006</c:v>
                </c:pt>
                <c:pt idx="10">
                  <c:v>280</c:v>
                </c:pt>
              </c:numCache>
            </c:numRef>
          </c:val>
        </c:ser>
        <c:shape val="cylinder"/>
        <c:axId val="70446080"/>
        <c:axId val="110875392"/>
        <c:axId val="0"/>
      </c:bar3DChart>
      <c:catAx>
        <c:axId val="70446080"/>
        <c:scaling>
          <c:orientation val="minMax"/>
        </c:scaling>
        <c:axPos val="b"/>
        <c:numFmt formatCode="General" sourceLinked="1"/>
        <c:tickLblPos val="nextTo"/>
        <c:txPr>
          <a:bodyPr rot="5400000" vert="horz"/>
          <a:lstStyle/>
          <a:p>
            <a:pPr>
              <a:defRPr/>
            </a:pPr>
            <a:endParaRPr lang="ru-RU"/>
          </a:p>
        </c:txPr>
        <c:crossAx val="110875392"/>
        <c:crosses val="autoZero"/>
        <c:auto val="1"/>
        <c:lblAlgn val="ctr"/>
        <c:lblOffset val="100"/>
      </c:catAx>
      <c:valAx>
        <c:axId val="110875392"/>
        <c:scaling>
          <c:orientation val="minMax"/>
          <c:max val="220"/>
          <c:min val="0"/>
        </c:scaling>
        <c:axPos val="l"/>
        <c:numFmt formatCode="#,##0.0" sourceLinked="1"/>
        <c:tickLblPos val="nextTo"/>
        <c:crossAx val="70446080"/>
        <c:crosses val="autoZero"/>
        <c:crossBetween val="between"/>
        <c:majorUnit val="50"/>
      </c:valAx>
      <c:spPr>
        <a:noFill/>
        <a:ln w="25286">
          <a:noFill/>
        </a:ln>
      </c:spPr>
    </c:plotArea>
    <c:legend>
      <c:legendPos val="b"/>
      <c:layout>
        <c:manualLayout>
          <c:xMode val="edge"/>
          <c:yMode val="edge"/>
          <c:x val="0.24237556204988137"/>
          <c:y val="0.95784995625549973"/>
          <c:w val="0.55198696597283337"/>
          <c:h val="4.2150043744531823E-2"/>
        </c:manualLayout>
      </c:layout>
    </c:legend>
    <c:plotVisOnly val="1"/>
    <c:dispBlanksAs val="gap"/>
  </c:chart>
  <c:spPr>
    <a:ln>
      <a:noFill/>
    </a:ln>
  </c:spPr>
  <c:txPr>
    <a:bodyPr/>
    <a:lstStyle/>
    <a:p>
      <a:pPr>
        <a:defRPr sz="896">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импорта ПМР, млн. долл. США</a:t>
            </a:r>
          </a:p>
        </c:rich>
      </c:tx>
      <c:layout>
        <c:manualLayout>
          <c:xMode val="edge"/>
          <c:yMode val="edge"/>
          <c:x val="0.20873792195533941"/>
          <c:y val="5.6755808749712738E-3"/>
        </c:manualLayout>
      </c:layout>
      <c:spPr>
        <a:noFill/>
        <a:ln w="28727">
          <a:noFill/>
        </a:ln>
      </c:spPr>
    </c:title>
    <c:plotArea>
      <c:layout>
        <c:manualLayout>
          <c:layoutTarget val="inner"/>
          <c:xMode val="edge"/>
          <c:yMode val="edge"/>
          <c:x val="8.0106894708711948E-2"/>
          <c:y val="0.10243612806826186"/>
          <c:w val="0.96291208791208749"/>
          <c:h val="0.36050999243072146"/>
        </c:manualLayout>
      </c:layout>
      <c:barChart>
        <c:barDir val="col"/>
        <c:grouping val="clustered"/>
        <c:ser>
          <c:idx val="0"/>
          <c:order val="0"/>
          <c:tx>
            <c:strRef>
              <c:f>Sheet1!$A$2</c:f>
              <c:strCache>
                <c:ptCount val="1"/>
                <c:pt idx="0">
                  <c:v>январь - июнь 2014 г.</c:v>
                </c:pt>
              </c:strCache>
            </c:strRef>
          </c:tx>
          <c:dLbls>
            <c:dLbl>
              <c:idx val="0"/>
              <c:layout>
                <c:manualLayout>
                  <c:x val="-5.146938139947899E-3"/>
                  <c:y val="2.3060336786534442E-2"/>
                </c:manualLayout>
              </c:layout>
              <c:tx>
                <c:rich>
                  <a:bodyPr/>
                  <a:lstStyle/>
                  <a:p>
                    <a:r>
                      <a:rPr lang="ru-RU" sz="1000"/>
                      <a:t>46,6*</a:t>
                    </a:r>
                    <a:endParaRPr lang="en-US" sz="1000"/>
                  </a:p>
                </c:rich>
              </c:tx>
              <c:dLblPos val="outEnd"/>
            </c:dLbl>
            <c:dLbl>
              <c:idx val="1"/>
              <c:layout>
                <c:manualLayout>
                  <c:x val="-1.5731287177619545E-3"/>
                  <c:y val="2.0290865281184192E-2"/>
                </c:manualLayout>
              </c:layout>
              <c:tx>
                <c:rich>
                  <a:bodyPr/>
                  <a:lstStyle/>
                  <a:p>
                    <a:r>
                      <a:rPr lang="ru-RU" sz="1000"/>
                      <a:t>11,3*</a:t>
                    </a:r>
                    <a:endParaRPr lang="en-US" sz="1000"/>
                  </a:p>
                </c:rich>
              </c:tx>
              <c:dLblPos val="outEnd"/>
            </c:dLbl>
            <c:dLbl>
              <c:idx val="2"/>
              <c:layout>
                <c:manualLayout>
                  <c:x val="-1.3042927798846641E-3"/>
                  <c:y val="1.8925405541558204E-2"/>
                </c:manualLayout>
              </c:layout>
              <c:tx>
                <c:rich>
                  <a:bodyPr/>
                  <a:lstStyle/>
                  <a:p>
                    <a:r>
                      <a:rPr lang="ru-RU" sz="1000"/>
                      <a:t>10,2*</a:t>
                    </a:r>
                    <a:endParaRPr lang="en-US" sz="1000"/>
                  </a:p>
                </c:rich>
              </c:tx>
              <c:dLblPos val="outEnd"/>
            </c:dLbl>
            <c:dLbl>
              <c:idx val="3"/>
              <c:layout>
                <c:manualLayout>
                  <c:x val="2.1643193654421692E-3"/>
                  <c:y val="2.9443866686476457E-3"/>
                </c:manualLayout>
              </c:layout>
              <c:tx>
                <c:rich>
                  <a:bodyPr/>
                  <a:lstStyle/>
                  <a:p>
                    <a:r>
                      <a:rPr lang="ru-RU" sz="1000"/>
                      <a:t>11,0*</a:t>
                    </a:r>
                    <a:endParaRPr lang="en-US" sz="1000"/>
                  </a:p>
                </c:rich>
              </c:tx>
              <c:dLblPos val="outEnd"/>
            </c:dLbl>
            <c:dLbl>
              <c:idx val="4"/>
              <c:layout>
                <c:manualLayout>
                  <c:x val="1.2039404165388417E-3"/>
                  <c:y val="3.9873514104252416E-3"/>
                </c:manualLayout>
              </c:layout>
              <c:tx>
                <c:rich>
                  <a:bodyPr/>
                  <a:lstStyle/>
                  <a:p>
                    <a:r>
                      <a:rPr lang="ru-RU" sz="1000"/>
                      <a:t>3,7*</a:t>
                    </a:r>
                    <a:endParaRPr lang="en-US" sz="1000"/>
                  </a:p>
                </c:rich>
              </c:tx>
              <c:dLblPos val="outEnd"/>
            </c:dLbl>
            <c:dLbl>
              <c:idx val="5"/>
              <c:layout>
                <c:manualLayout>
                  <c:x val="2.6432184935873612E-3"/>
                  <c:y val="1.4806319021443075E-2"/>
                </c:manualLayout>
              </c:layout>
              <c:tx>
                <c:rich>
                  <a:bodyPr/>
                  <a:lstStyle/>
                  <a:p>
                    <a:r>
                      <a:rPr lang="ru-RU" sz="1000" b="1"/>
                      <a:t>17,3*</a:t>
                    </a:r>
                    <a:endParaRPr lang="en-US" sz="1000" b="1"/>
                  </a:p>
                </c:rich>
              </c:tx>
              <c:dLblPos val="outEnd"/>
            </c:dLbl>
            <c:dLbl>
              <c:idx val="6"/>
              <c:layout>
                <c:manualLayout>
                  <c:x val="-7.5617342090612003E-4"/>
                  <c:y val="1.6455402091132061E-2"/>
                </c:manualLayout>
              </c:layout>
              <c:tx>
                <c:rich>
                  <a:bodyPr/>
                  <a:lstStyle/>
                  <a:p>
                    <a:r>
                      <a:rPr lang="ru-RU" sz="1000" b="1"/>
                      <a:t>8</a:t>
                    </a:r>
                    <a:r>
                      <a:rPr lang="en-US" sz="1000" b="1"/>
                      <a:t>,2</a:t>
                    </a:r>
                  </a:p>
                </c:rich>
              </c:tx>
              <c:dLblPos val="outEnd"/>
            </c:dLbl>
            <c:dLbl>
              <c:idx val="7"/>
              <c:layout>
                <c:manualLayout>
                  <c:xMode val="edge"/>
                  <c:yMode val="edge"/>
                  <c:x val="0.72802197802197965"/>
                  <c:y val="0.43750000000000488"/>
                </c:manualLayout>
              </c:layout>
              <c:dLblPos val="outEnd"/>
              <c:showVal val="1"/>
            </c:dLbl>
            <c:spPr>
              <a:noFill/>
              <a:ln w="28727">
                <a:noFill/>
              </a:ln>
            </c:spPr>
            <c:txPr>
              <a:bodyPr rot="0" vert="horz" anchor="ctr" anchorCtr="0"/>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c:v>384</c:v>
                </c:pt>
                <c:pt idx="1">
                  <c:v>92.8</c:v>
                </c:pt>
                <c:pt idx="2">
                  <c:v>83.9</c:v>
                </c:pt>
                <c:pt idx="3" formatCode="General">
                  <c:v>90.3</c:v>
                </c:pt>
                <c:pt idx="4">
                  <c:v>30.6</c:v>
                </c:pt>
                <c:pt idx="5">
                  <c:v>142.70000000000005</c:v>
                </c:pt>
              </c:numCache>
            </c:numRef>
          </c:val>
        </c:ser>
        <c:ser>
          <c:idx val="1"/>
          <c:order val="1"/>
          <c:tx>
            <c:strRef>
              <c:f>Sheet1!$A$3</c:f>
              <c:strCache>
                <c:ptCount val="1"/>
                <c:pt idx="0">
                  <c:v>январь - июнь 2015 г.</c:v>
                </c:pt>
              </c:strCache>
            </c:strRef>
          </c:tx>
          <c:dLbls>
            <c:dLbl>
              <c:idx val="0"/>
              <c:layout>
                <c:manualLayout>
                  <c:x val="1.3667999701930045E-2"/>
                  <c:y val="1.1050165899073941E-2"/>
                </c:manualLayout>
              </c:layout>
              <c:tx>
                <c:rich>
                  <a:bodyPr/>
                  <a:lstStyle/>
                  <a:p>
                    <a:r>
                      <a:rPr lang="ru-RU" sz="1000"/>
                      <a:t>57,0*</a:t>
                    </a:r>
                    <a:endParaRPr lang="en-US" sz="1000"/>
                  </a:p>
                </c:rich>
              </c:tx>
              <c:dLblPos val="outEnd"/>
            </c:dLbl>
            <c:dLbl>
              <c:idx val="1"/>
              <c:layout>
                <c:manualLayout>
                  <c:x val="7.2278662328092713E-3"/>
                  <c:y val="1.6703610161937481E-2"/>
                </c:manualLayout>
              </c:layout>
              <c:tx>
                <c:rich>
                  <a:bodyPr/>
                  <a:lstStyle/>
                  <a:p>
                    <a:r>
                      <a:rPr lang="ru-RU" sz="1000"/>
                      <a:t>10,2*</a:t>
                    </a:r>
                    <a:endParaRPr lang="en-US" sz="1000"/>
                  </a:p>
                </c:rich>
              </c:tx>
              <c:dLblPos val="outEnd"/>
            </c:dLbl>
            <c:dLbl>
              <c:idx val="2"/>
              <c:layout>
                <c:manualLayout>
                  <c:x val="7.8853360982597022E-3"/>
                  <c:y val="1.2483689461698441E-2"/>
                </c:manualLayout>
              </c:layout>
              <c:tx>
                <c:rich>
                  <a:bodyPr/>
                  <a:lstStyle/>
                  <a:p>
                    <a:r>
                      <a:rPr lang="ru-RU" sz="1000" b="1"/>
                      <a:t>7,6*</a:t>
                    </a:r>
                    <a:endParaRPr lang="en-US" sz="1000" b="1"/>
                  </a:p>
                </c:rich>
              </c:tx>
              <c:dLblPos val="outEnd"/>
            </c:dLbl>
            <c:dLbl>
              <c:idx val="3"/>
              <c:layout>
                <c:manualLayout>
                  <c:x val="7.6797816540875134E-3"/>
                  <c:y val="1.7186868034938303E-2"/>
                </c:manualLayout>
              </c:layout>
              <c:tx>
                <c:rich>
                  <a:bodyPr/>
                  <a:lstStyle/>
                  <a:p>
                    <a:r>
                      <a:rPr lang="ru-RU" sz="1000"/>
                      <a:t>9,6*</a:t>
                    </a:r>
                    <a:endParaRPr lang="en-US" sz="1000"/>
                  </a:p>
                </c:rich>
              </c:tx>
              <c:dLblPos val="outEnd"/>
            </c:dLbl>
            <c:dLbl>
              <c:idx val="4"/>
              <c:layout>
                <c:manualLayout>
                  <c:x val="1.0924639230358612E-2"/>
                  <c:y val="4.8544624769320784E-3"/>
                </c:manualLayout>
              </c:layout>
              <c:tx>
                <c:rich>
                  <a:bodyPr/>
                  <a:lstStyle/>
                  <a:p>
                    <a:r>
                      <a:rPr lang="ru-RU" sz="1000"/>
                      <a:t>3,3*</a:t>
                    </a:r>
                    <a:endParaRPr lang="en-US" sz="1000"/>
                  </a:p>
                </c:rich>
              </c:tx>
              <c:dLblPos val="outEnd"/>
            </c:dLbl>
            <c:dLbl>
              <c:idx val="5"/>
              <c:layout>
                <c:manualLayout>
                  <c:x val="1.2116379774294774E-2"/>
                  <c:y val="9.2570692814341604E-3"/>
                </c:manualLayout>
              </c:layout>
              <c:tx>
                <c:rich>
                  <a:bodyPr/>
                  <a:lstStyle/>
                  <a:p>
                    <a:r>
                      <a:rPr lang="ru-RU" sz="1000"/>
                      <a:t>12,3*</a:t>
                    </a:r>
                    <a:endParaRPr lang="en-US" sz="1000"/>
                  </a:p>
                </c:rich>
              </c:tx>
              <c:dLblPos val="outEnd"/>
            </c:dLbl>
            <c:dLbl>
              <c:idx val="6"/>
              <c:layout>
                <c:manualLayout>
                  <c:x val="4.0251667106205027E-3"/>
                  <c:y val="1.0088636461425918E-2"/>
                </c:manualLayout>
              </c:layout>
              <c:tx>
                <c:rich>
                  <a:bodyPr/>
                  <a:lstStyle/>
                  <a:p>
                    <a:r>
                      <a:rPr lang="en-US" sz="1000" b="1"/>
                      <a:t>9,</a:t>
                    </a:r>
                    <a:r>
                      <a:rPr lang="ru-RU" sz="1000" b="1"/>
                      <a:t>6</a:t>
                    </a:r>
                    <a:endParaRPr lang="en-US" sz="1000" b="1"/>
                  </a:p>
                </c:rich>
              </c:tx>
              <c:dLblPos val="outEnd"/>
            </c:dLbl>
            <c:dLbl>
              <c:idx val="7"/>
              <c:layout>
                <c:manualLayout>
                  <c:xMode val="edge"/>
                  <c:yMode val="edge"/>
                  <c:x val="0.75274725274725274"/>
                  <c:y val="0.48214285714289357"/>
                </c:manualLayout>
              </c:layout>
              <c:dLblPos val="outEnd"/>
              <c:showVal val="1"/>
            </c:dLbl>
            <c:spPr>
              <a:noFill/>
              <a:ln w="28727">
                <a:noFill/>
              </a:ln>
            </c:spPr>
            <c:txPr>
              <a:bodyPr rot="0" vert="horz"/>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351.6</c:v>
                </c:pt>
                <c:pt idx="1">
                  <c:v>63.2</c:v>
                </c:pt>
                <c:pt idx="2">
                  <c:v>46.6</c:v>
                </c:pt>
                <c:pt idx="3">
                  <c:v>58.9</c:v>
                </c:pt>
                <c:pt idx="4">
                  <c:v>20.399999999999999</c:v>
                </c:pt>
                <c:pt idx="5">
                  <c:v>75.900000000000034</c:v>
                </c:pt>
              </c:numCache>
            </c:numRef>
          </c:val>
        </c:ser>
        <c:gapWidth val="160"/>
        <c:axId val="156718592"/>
        <c:axId val="156720128"/>
      </c:barChart>
      <c:catAx>
        <c:axId val="156718592"/>
        <c:scaling>
          <c:orientation val="minMax"/>
        </c:scaling>
        <c:axPos val="b"/>
        <c:numFmt formatCode="General" sourceLinked="1"/>
        <c:tickLblPos val="low"/>
        <c:txPr>
          <a:bodyPr rot="-5400000" vert="horz"/>
          <a:lstStyle/>
          <a:p>
            <a:pPr>
              <a:defRPr sz="900" b="1"/>
            </a:pPr>
            <a:endParaRPr lang="ru-RU"/>
          </a:p>
        </c:txPr>
        <c:crossAx val="156720128"/>
        <c:crosses val="autoZero"/>
        <c:lblAlgn val="ctr"/>
        <c:lblOffset val="160"/>
        <c:tickLblSkip val="1"/>
        <c:tickMarkSkip val="1"/>
      </c:catAx>
      <c:valAx>
        <c:axId val="156720128"/>
        <c:scaling>
          <c:orientation val="minMax"/>
        </c:scaling>
        <c:axPos val="l"/>
        <c:title>
          <c:tx>
            <c:rich>
              <a:bodyPr rot="0" vert="horz"/>
              <a:lstStyle/>
              <a:p>
                <a:pPr algn="ctr">
                  <a:defRPr sz="900" b="0" i="0" u="none" strike="noStrike" baseline="0">
                    <a:solidFill>
                      <a:srgbClr val="000000"/>
                    </a:solidFill>
                    <a:latin typeface="Times New Roman"/>
                    <a:ea typeface="Times New Roman"/>
                    <a:cs typeface="Times New Roman"/>
                  </a:defRPr>
                </a:pPr>
                <a:r>
                  <a:rPr lang="ru-RU" sz="900" b="1" i="0" strike="noStrike">
                    <a:solidFill>
                      <a:srgbClr val="000000"/>
                    </a:solidFill>
                    <a:latin typeface="Times New Roman"/>
                    <a:cs typeface="Times New Roman"/>
                  </a:rPr>
                  <a:t>*-удельный</a:t>
                </a:r>
              </a:p>
              <a:p>
                <a:pPr algn="ctr">
                  <a:defRPr sz="900" b="0" i="0" u="none" strike="noStrike" baseline="0">
                    <a:solidFill>
                      <a:srgbClr val="000000"/>
                    </a:solidFill>
                    <a:latin typeface="Times New Roman"/>
                    <a:ea typeface="Times New Roman"/>
                    <a:cs typeface="Times New Roman"/>
                  </a:defRPr>
                </a:pPr>
                <a:r>
                  <a:rPr lang="ru-RU" sz="900" b="1" i="0" strike="noStrike">
                    <a:solidFill>
                      <a:srgbClr val="000000"/>
                    </a:solidFill>
                    <a:latin typeface="Times New Roman"/>
                    <a:cs typeface="Times New Roman"/>
                  </a:rPr>
                  <a:t> вес в общем </a:t>
                </a:r>
              </a:p>
              <a:p>
                <a:pPr algn="ctr">
                  <a:defRPr sz="900" b="0" i="0" u="none" strike="noStrike" baseline="0">
                    <a:solidFill>
                      <a:srgbClr val="000000"/>
                    </a:solidFill>
                    <a:latin typeface="Times New Roman"/>
                    <a:ea typeface="Times New Roman"/>
                    <a:cs typeface="Times New Roman"/>
                  </a:defRPr>
                </a:pPr>
                <a:r>
                  <a:rPr lang="ru-RU" sz="900" b="1" i="0" strike="noStrike">
                    <a:solidFill>
                      <a:srgbClr val="000000"/>
                    </a:solidFill>
                    <a:latin typeface="Times New Roman"/>
                    <a:cs typeface="Times New Roman"/>
                  </a:rPr>
                  <a:t>объеме импорта,%</a:t>
                </a:r>
              </a:p>
            </c:rich>
          </c:tx>
          <c:layout>
            <c:manualLayout>
              <c:xMode val="edge"/>
              <c:yMode val="edge"/>
              <c:x val="0.83865758540200652"/>
              <c:y val="6.6576571950317034E-2"/>
            </c:manualLayout>
          </c:layout>
          <c:spPr>
            <a:noFill/>
            <a:ln w="28727">
              <a:noFill/>
            </a:ln>
          </c:spPr>
        </c:title>
        <c:numFmt formatCode="0.0" sourceLinked="1"/>
        <c:tickLblPos val="nextTo"/>
        <c:txPr>
          <a:bodyPr rot="0" vert="horz"/>
          <a:lstStyle/>
          <a:p>
            <a:pPr>
              <a:defRPr b="1"/>
            </a:pPr>
            <a:endParaRPr lang="ru-RU"/>
          </a:p>
        </c:txPr>
        <c:crossAx val="156718592"/>
        <c:crosses val="autoZero"/>
        <c:crossBetween val="between"/>
      </c:valAx>
    </c:plotArea>
    <c:legend>
      <c:legendPos val="r"/>
      <c:layout>
        <c:manualLayout>
          <c:xMode val="edge"/>
          <c:yMode val="edge"/>
          <c:x val="8.1971350574403565E-2"/>
          <c:y val="0.93962291071669124"/>
          <c:w val="0.87296413539101581"/>
          <c:h val="6.0377089283308823E-2"/>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21269937411671"/>
          <c:y val="4.1152347424148784E-2"/>
          <c:w val="0.79102290492376959"/>
          <c:h val="0.50246900693609253"/>
        </c:manualLayout>
      </c:layout>
      <c:barChart>
        <c:barDir val="col"/>
        <c:grouping val="clustered"/>
        <c:ser>
          <c:idx val="0"/>
          <c:order val="0"/>
          <c:tx>
            <c:strRef>
              <c:f>Лист1!$B$1</c:f>
              <c:strCache>
                <c:ptCount val="1"/>
                <c:pt idx="0">
                  <c:v>январь - июнь 2014 г.</c:v>
                </c:pt>
              </c:strCache>
            </c:strRef>
          </c:tx>
          <c:dLbls>
            <c:dLbl>
              <c:idx val="0"/>
              <c:layout>
                <c:manualLayout>
                  <c:x val="1.2505888686991141E-3"/>
                  <c:y val="4.2417564698610834E-3"/>
                </c:manualLayout>
              </c:layout>
              <c:tx>
                <c:rich>
                  <a:bodyPr/>
                  <a:lstStyle/>
                  <a:p>
                    <a:r>
                      <a:rPr lang="ru-RU" sz="898" b="1">
                        <a:latin typeface="Times New Roman" pitchFamily="18" charset="0"/>
                        <a:cs typeface="Times New Roman" pitchFamily="18" charset="0"/>
                      </a:rPr>
                      <a:t>46,7*</a:t>
                    </a:r>
                    <a:endParaRPr lang="en-US" sz="900" b="1">
                      <a:latin typeface="Times New Roman" pitchFamily="18" charset="0"/>
                      <a:cs typeface="Times New Roman" pitchFamily="18" charset="0"/>
                    </a:endParaRPr>
                  </a:p>
                </c:rich>
              </c:tx>
              <c:dLblPos val="outEnd"/>
            </c:dLbl>
            <c:dLbl>
              <c:idx val="1"/>
              <c:layout>
                <c:manualLayout>
                  <c:x val="-5.053219411403507E-3"/>
                  <c:y val="9.7335560327689273E-3"/>
                </c:manualLayout>
              </c:layout>
              <c:tx>
                <c:rich>
                  <a:bodyPr/>
                  <a:lstStyle/>
                  <a:p>
                    <a:r>
                      <a:rPr lang="ru-RU" sz="898" b="1">
                        <a:latin typeface="Times New Roman" pitchFamily="18" charset="0"/>
                        <a:cs typeface="Times New Roman" pitchFamily="18" charset="0"/>
                      </a:rPr>
                      <a:t>13,4*</a:t>
                    </a:r>
                    <a:endParaRPr lang="en-US" sz="900" b="1">
                      <a:latin typeface="Times New Roman" pitchFamily="18" charset="0"/>
                      <a:cs typeface="Times New Roman" pitchFamily="18" charset="0"/>
                    </a:endParaRPr>
                  </a:p>
                </c:rich>
              </c:tx>
              <c:dLblPos val="outEnd"/>
            </c:dLbl>
            <c:dLbl>
              <c:idx val="2"/>
              <c:layout>
                <c:manualLayout>
                  <c:x val="-2.1241315423809345E-3"/>
                  <c:y val="1.3422676470077001E-2"/>
                </c:manualLayout>
              </c:layout>
              <c:tx>
                <c:rich>
                  <a:bodyPr/>
                  <a:lstStyle/>
                  <a:p>
                    <a:r>
                      <a:rPr lang="ru-RU" sz="898" b="1">
                        <a:latin typeface="Times New Roman" pitchFamily="18" charset="0"/>
                        <a:cs typeface="Times New Roman" pitchFamily="18" charset="0"/>
                      </a:rPr>
                      <a:t>6,8*</a:t>
                    </a:r>
                    <a:endParaRPr lang="en-US" sz="900" b="1">
                      <a:latin typeface="Times New Roman" pitchFamily="18" charset="0"/>
                      <a:cs typeface="Times New Roman" pitchFamily="18" charset="0"/>
                    </a:endParaRPr>
                  </a:p>
                </c:rich>
              </c:tx>
              <c:dLblPos val="outEnd"/>
            </c:dLbl>
            <c:dLbl>
              <c:idx val="3"/>
              <c:layout>
                <c:manualLayout>
                  <c:x val="-1.2527404662652983E-3"/>
                  <c:y val="1.8752672472232362E-2"/>
                </c:manualLayout>
              </c:layout>
              <c:tx>
                <c:rich>
                  <a:bodyPr/>
                  <a:lstStyle/>
                  <a:p>
                    <a:r>
                      <a:rPr lang="ru-RU" sz="898" b="1">
                        <a:latin typeface="Times New Roman" pitchFamily="18" charset="0"/>
                        <a:cs typeface="Times New Roman" pitchFamily="18" charset="0"/>
                      </a:rPr>
                      <a:t>7,8*</a:t>
                    </a:r>
                    <a:endParaRPr lang="en-US" sz="900" b="1">
                      <a:latin typeface="Times New Roman" pitchFamily="18" charset="0"/>
                      <a:cs typeface="Times New Roman" pitchFamily="18" charset="0"/>
                    </a:endParaRPr>
                  </a:p>
                </c:rich>
              </c:tx>
              <c:dLblPos val="outEnd"/>
            </c:dLbl>
            <c:dLbl>
              <c:idx val="4"/>
              <c:layout>
                <c:manualLayout>
                  <c:x val="-3.5208973683888986E-3"/>
                  <c:y val="1.3422708778503161E-2"/>
                </c:manualLayout>
              </c:layout>
              <c:tx>
                <c:rich>
                  <a:bodyPr/>
                  <a:lstStyle/>
                  <a:p>
                    <a:r>
                      <a:rPr lang="ru-RU" sz="898" b="1">
                        <a:latin typeface="Times New Roman" pitchFamily="18" charset="0"/>
                        <a:cs typeface="Times New Roman" pitchFamily="18" charset="0"/>
                      </a:rPr>
                      <a:t>5,3*</a:t>
                    </a:r>
                    <a:endParaRPr lang="en-US" sz="900" b="1">
                      <a:latin typeface="Times New Roman" pitchFamily="18" charset="0"/>
                      <a:cs typeface="Times New Roman" pitchFamily="18" charset="0"/>
                    </a:endParaRPr>
                  </a:p>
                </c:rich>
              </c:tx>
              <c:dLblPos val="outEnd"/>
            </c:dLbl>
            <c:dLbl>
              <c:idx val="5"/>
              <c:layout>
                <c:manualLayout>
                  <c:x val="-3.3014930510735412E-3"/>
                  <c:y val="0"/>
                </c:manualLayout>
              </c:layout>
              <c:tx>
                <c:rich>
                  <a:bodyPr/>
                  <a:lstStyle/>
                  <a:p>
                    <a:r>
                      <a:rPr lang="ru-RU" sz="898" b="1">
                        <a:latin typeface="Times New Roman" pitchFamily="18" charset="0"/>
                        <a:cs typeface="Times New Roman" pitchFamily="18" charset="0"/>
                      </a:rPr>
                      <a:t>2,9*</a:t>
                    </a:r>
                    <a:endParaRPr lang="en-US" sz="900" b="1">
                      <a:latin typeface="Times New Roman" pitchFamily="18" charset="0"/>
                      <a:cs typeface="Times New Roman" pitchFamily="18" charset="0"/>
                    </a:endParaRPr>
                  </a:p>
                </c:rich>
              </c:tx>
              <c:dLblPos val="outEnd"/>
            </c:dLbl>
            <c:dLbl>
              <c:idx val="6"/>
              <c:layout>
                <c:manualLayout>
                  <c:x val="-7.4268010433377434E-3"/>
                  <c:y val="1.4869888475836441E-2"/>
                </c:manualLayout>
              </c:layout>
              <c:tx>
                <c:rich>
                  <a:bodyPr/>
                  <a:lstStyle/>
                  <a:p>
                    <a:r>
                      <a:rPr lang="ru-RU" sz="898" b="1">
                        <a:latin typeface="Times New Roman" pitchFamily="18" charset="0"/>
                        <a:cs typeface="Times New Roman" pitchFamily="18" charset="0"/>
                      </a:rPr>
                      <a:t>1,9*</a:t>
                    </a:r>
                    <a:endParaRPr lang="en-US" sz="900" b="1">
                      <a:latin typeface="Times New Roman" pitchFamily="18" charset="0"/>
                      <a:cs typeface="Times New Roman" pitchFamily="18" charset="0"/>
                    </a:endParaRPr>
                  </a:p>
                </c:rich>
              </c:tx>
              <c:dLblPos val="outEnd"/>
            </c:dLbl>
            <c:dLbl>
              <c:idx val="7"/>
              <c:layout>
                <c:manualLayout>
                  <c:x val="-1.2636096958468426E-2"/>
                  <c:y val="8.9485668596065611E-3"/>
                </c:manualLayout>
              </c:layout>
              <c:tx>
                <c:rich>
                  <a:bodyPr/>
                  <a:lstStyle/>
                  <a:p>
                    <a:r>
                      <a:rPr lang="ru-RU" sz="898" b="1">
                        <a:latin typeface="Times New Roman" pitchFamily="18" charset="0"/>
                        <a:cs typeface="Times New Roman" pitchFamily="18" charset="0"/>
                      </a:rPr>
                      <a:t>15,2*</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Лист1!$B$2:$B$9</c:f>
              <c:numCache>
                <c:formatCode>#,##0.0</c:formatCode>
                <c:ptCount val="8"/>
                <c:pt idx="0">
                  <c:v>384617.5</c:v>
                </c:pt>
                <c:pt idx="1">
                  <c:v>110610.6</c:v>
                </c:pt>
                <c:pt idx="2">
                  <c:v>55876.6</c:v>
                </c:pt>
                <c:pt idx="3">
                  <c:v>64142.3</c:v>
                </c:pt>
                <c:pt idx="4">
                  <c:v>44013.8</c:v>
                </c:pt>
                <c:pt idx="5">
                  <c:v>24112.5</c:v>
                </c:pt>
                <c:pt idx="6">
                  <c:v>15633.7</c:v>
                </c:pt>
                <c:pt idx="7">
                  <c:v>125326.30000000005</c:v>
                </c:pt>
              </c:numCache>
            </c:numRef>
          </c:val>
        </c:ser>
        <c:ser>
          <c:idx val="1"/>
          <c:order val="1"/>
          <c:tx>
            <c:strRef>
              <c:f>Лист1!$C$1</c:f>
              <c:strCache>
                <c:ptCount val="1"/>
                <c:pt idx="0">
                  <c:v>январь - июнь 2015 г.</c:v>
                </c:pt>
              </c:strCache>
            </c:strRef>
          </c:tx>
          <c:dLbls>
            <c:dLbl>
              <c:idx val="0"/>
              <c:layout>
                <c:manualLayout>
                  <c:x val="1.8424049452834823E-2"/>
                  <c:y val="1.2121212121212118E-2"/>
                </c:manualLayout>
              </c:layout>
              <c:tx>
                <c:rich>
                  <a:bodyPr/>
                  <a:lstStyle/>
                  <a:p>
                    <a:r>
                      <a:rPr lang="ru-RU" sz="898" b="1">
                        <a:latin typeface="Times New Roman" pitchFamily="18" charset="0"/>
                        <a:cs typeface="Times New Roman" pitchFamily="18" charset="0"/>
                      </a:rPr>
                      <a:t>58,5*</a:t>
                    </a:r>
                    <a:endParaRPr lang="en-US" sz="900" b="1">
                      <a:latin typeface="Times New Roman" pitchFamily="18" charset="0"/>
                      <a:cs typeface="Times New Roman" pitchFamily="18" charset="0"/>
                    </a:endParaRPr>
                  </a:p>
                </c:rich>
              </c:tx>
              <c:dLblPos val="outEnd"/>
            </c:dLbl>
            <c:dLbl>
              <c:idx val="1"/>
              <c:layout>
                <c:manualLayout>
                  <c:x val="1.1864597807626987E-2"/>
                  <c:y val="6.5359545288627002E-3"/>
                </c:manualLayout>
              </c:layout>
              <c:tx>
                <c:rich>
                  <a:bodyPr/>
                  <a:lstStyle/>
                  <a:p>
                    <a:r>
                      <a:rPr lang="ru-RU" sz="898" b="1">
                        <a:latin typeface="Times New Roman" pitchFamily="18" charset="0"/>
                        <a:cs typeface="Times New Roman" pitchFamily="18" charset="0"/>
                      </a:rPr>
                      <a:t>11,0 *</a:t>
                    </a:r>
                    <a:endParaRPr lang="en-US" sz="900" b="1">
                      <a:latin typeface="Times New Roman" pitchFamily="18" charset="0"/>
                      <a:cs typeface="Times New Roman" pitchFamily="18" charset="0"/>
                    </a:endParaRPr>
                  </a:p>
                </c:rich>
              </c:tx>
              <c:dLblPos val="outEnd"/>
            </c:dLbl>
            <c:dLbl>
              <c:idx val="2"/>
              <c:layout>
                <c:manualLayout>
                  <c:x val="1.1029488960938721E-2"/>
                  <c:y val="1.3131007630668701E-2"/>
                </c:manualLayout>
              </c:layout>
              <c:tx>
                <c:rich>
                  <a:bodyPr/>
                  <a:lstStyle/>
                  <a:p>
                    <a:r>
                      <a:rPr lang="ru-RU" sz="898" b="1">
                        <a:latin typeface="Times New Roman" pitchFamily="18" charset="0"/>
                        <a:cs typeface="Times New Roman" pitchFamily="18" charset="0"/>
                      </a:rPr>
                      <a:t>6,7*</a:t>
                    </a:r>
                    <a:endParaRPr lang="en-US" sz="900" b="1">
                      <a:latin typeface="Times New Roman" pitchFamily="18" charset="0"/>
                      <a:cs typeface="Times New Roman" pitchFamily="18" charset="0"/>
                    </a:endParaRPr>
                  </a:p>
                </c:rich>
              </c:tx>
              <c:dLblPos val="outEnd"/>
            </c:dLbl>
            <c:dLbl>
              <c:idx val="3"/>
              <c:layout>
                <c:manualLayout>
                  <c:x val="7.8794194843294987E-3"/>
                  <c:y val="1.7600945577167109E-2"/>
                </c:manualLayout>
              </c:layout>
              <c:tx>
                <c:rich>
                  <a:bodyPr/>
                  <a:lstStyle/>
                  <a:p>
                    <a:r>
                      <a:rPr lang="ru-RU" sz="898" b="1">
                        <a:latin typeface="Times New Roman" pitchFamily="18" charset="0"/>
                        <a:cs typeface="Times New Roman" pitchFamily="18" charset="0"/>
                      </a:rPr>
                      <a:t>3,7*</a:t>
                    </a:r>
                    <a:endParaRPr lang="en-US" sz="900" b="1">
                      <a:latin typeface="Times New Roman" pitchFamily="18" charset="0"/>
                      <a:cs typeface="Times New Roman" pitchFamily="18" charset="0"/>
                    </a:endParaRPr>
                  </a:p>
                </c:rich>
              </c:tx>
              <c:dLblPos val="outEnd"/>
            </c:dLbl>
            <c:dLbl>
              <c:idx val="4"/>
              <c:layout>
                <c:manualLayout>
                  <c:x val="1.0321290721012817E-2"/>
                  <c:y val="8.8296744363908167E-3"/>
                </c:manualLayout>
              </c:layout>
              <c:tx>
                <c:rich>
                  <a:bodyPr/>
                  <a:lstStyle/>
                  <a:p>
                    <a:r>
                      <a:rPr lang="ru-RU" sz="898" b="1">
                        <a:latin typeface="Times New Roman" pitchFamily="18" charset="0"/>
                        <a:cs typeface="Times New Roman" pitchFamily="18" charset="0"/>
                      </a:rPr>
                      <a:t>3,9*</a:t>
                    </a:r>
                    <a:endParaRPr lang="en-US" sz="900" b="1">
                      <a:latin typeface="Times New Roman" pitchFamily="18" charset="0"/>
                      <a:cs typeface="Times New Roman" pitchFamily="18" charset="0"/>
                    </a:endParaRPr>
                  </a:p>
                </c:rich>
              </c:tx>
              <c:dLblPos val="outEnd"/>
            </c:dLbl>
            <c:dLbl>
              <c:idx val="5"/>
              <c:layout>
                <c:manualLayout>
                  <c:x val="9.9672687972827047E-3"/>
                  <c:y val="-1.7764335749422946E-4"/>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1.1574002944753857E-2"/>
                  <c:y val="9.4562647754137547E-3"/>
                </c:manualLayout>
              </c:layout>
              <c:tx>
                <c:rich>
                  <a:bodyPr/>
                  <a:lstStyle/>
                  <a:p>
                    <a:r>
                      <a:rPr lang="ru-RU" sz="898" b="1">
                        <a:latin typeface="Times New Roman" pitchFamily="18" charset="0"/>
                        <a:cs typeface="Times New Roman" pitchFamily="18" charset="0"/>
                      </a:rPr>
                      <a:t>1,4*</a:t>
                    </a:r>
                    <a:endParaRPr lang="en-US" sz="900" b="1">
                      <a:latin typeface="Times New Roman" pitchFamily="18" charset="0"/>
                      <a:cs typeface="Times New Roman" pitchFamily="18" charset="0"/>
                    </a:endParaRPr>
                  </a:p>
                </c:rich>
              </c:tx>
              <c:dLblPos val="outEnd"/>
            </c:dLbl>
            <c:dLbl>
              <c:idx val="7"/>
              <c:layout>
                <c:manualLayout>
                  <c:x val="1.0951763651494778E-2"/>
                  <c:y val="7.5461489299654023E-3"/>
                </c:manualLayout>
              </c:layout>
              <c:tx>
                <c:rich>
                  <a:bodyPr/>
                  <a:lstStyle/>
                  <a:p>
                    <a:r>
                      <a:rPr lang="ru-RU" sz="898" b="1">
                        <a:latin typeface="Times New Roman" pitchFamily="18" charset="0"/>
                        <a:cs typeface="Times New Roman" pitchFamily="18" charset="0"/>
                      </a:rPr>
                      <a:t>12,7*</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Лист1!$C$2:$C$9</c:f>
              <c:numCache>
                <c:formatCode>#,##0.0</c:formatCode>
                <c:ptCount val="8"/>
                <c:pt idx="0">
                  <c:v>360551.5</c:v>
                </c:pt>
                <c:pt idx="1">
                  <c:v>67850.899999999994</c:v>
                </c:pt>
                <c:pt idx="2">
                  <c:v>41328.5</c:v>
                </c:pt>
                <c:pt idx="3">
                  <c:v>22580.1</c:v>
                </c:pt>
                <c:pt idx="4">
                  <c:v>24025.7</c:v>
                </c:pt>
                <c:pt idx="5">
                  <c:v>13492.6</c:v>
                </c:pt>
                <c:pt idx="6">
                  <c:v>8520.6</c:v>
                </c:pt>
                <c:pt idx="7">
                  <c:v>78272.500000000116</c:v>
                </c:pt>
              </c:numCache>
            </c:numRef>
          </c:val>
        </c:ser>
        <c:dLbls>
          <c:showVal val="1"/>
        </c:dLbls>
        <c:axId val="156587136"/>
        <c:axId val="156588672"/>
      </c:barChart>
      <c:catAx>
        <c:axId val="156587136"/>
        <c:scaling>
          <c:orientation val="minMax"/>
        </c:scaling>
        <c:axPos val="b"/>
        <c:numFmt formatCode="General" sourceLinked="1"/>
        <c:tickLblPos val="nextTo"/>
        <c:crossAx val="156588672"/>
        <c:crosses val="autoZero"/>
        <c:auto val="1"/>
        <c:lblAlgn val="ctr"/>
        <c:lblOffset val="100"/>
      </c:catAx>
      <c:valAx>
        <c:axId val="156588672"/>
        <c:scaling>
          <c:orientation val="minMax"/>
          <c:max val="385000"/>
          <c:min val="3000"/>
        </c:scaling>
        <c:delete val="1"/>
        <c:axPos val="l"/>
        <c:title>
          <c:tx>
            <c:rich>
              <a:bodyPr rot="0" vert="horz"/>
              <a:lstStyle/>
              <a:p>
                <a:pPr algn="ctr">
                  <a:defRPr sz="895" b="0" i="0" u="none" strike="noStrike" baseline="0">
                    <a:solidFill>
                      <a:srgbClr val="000000"/>
                    </a:solidFill>
                    <a:latin typeface="Times New Roman"/>
                    <a:ea typeface="Times New Roman"/>
                    <a:cs typeface="Times New Roman"/>
                  </a:defRPr>
                </a:pPr>
                <a:r>
                  <a:rPr lang="ru-RU"/>
                  <a:t>*- удельный вес страны в общем импорте,%</a:t>
                </a:r>
              </a:p>
            </c:rich>
          </c:tx>
          <c:layout>
            <c:manualLayout>
              <c:xMode val="edge"/>
              <c:yMode val="edge"/>
              <c:x val="3.5737847039564424E-2"/>
              <c:y val="0.33557703661026494"/>
            </c:manualLayout>
          </c:layout>
          <c:spPr>
            <a:noFill/>
            <a:ln w="25398">
              <a:noFill/>
            </a:ln>
          </c:spPr>
        </c:title>
        <c:numFmt formatCode="#,##0.0" sourceLinked="1"/>
        <c:tickLblPos val="nextTo"/>
        <c:crossAx val="156587136"/>
        <c:crosses val="autoZero"/>
        <c:crossBetween val="between"/>
        <c:majorUnit val="15000"/>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legend>
      <c:legendPos val="r"/>
      <c:layout>
        <c:manualLayout>
          <c:xMode val="edge"/>
          <c:yMode val="edge"/>
          <c:x val="0.21021990039706942"/>
          <c:y val="0.94964074285666977"/>
          <c:w val="0.69195046439628483"/>
          <c:h val="4.9038544978625934E-2"/>
        </c:manualLayout>
      </c:layout>
      <c:txPr>
        <a:bodyPr/>
        <a:lstStyle/>
        <a:p>
          <a:pPr>
            <a:defRPr sz="898">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000" b="1" i="0" u="none" strike="noStrike" baseline="0">
                <a:solidFill>
                  <a:srgbClr val="000000"/>
                </a:solidFill>
                <a:latin typeface="Times New Roman"/>
                <a:ea typeface="Times New Roman"/>
                <a:cs typeface="Times New Roman"/>
              </a:defRPr>
            </a:pPr>
            <a:r>
              <a:rPr lang="ru-RU" sz="1100"/>
              <a:t>Обьем производства в отрасли электроэнергетика,</a:t>
            </a:r>
            <a:r>
              <a:rPr lang="ru-RU" sz="1100" baseline="0"/>
              <a:t> </a:t>
            </a:r>
            <a:r>
              <a:rPr lang="ru-RU" sz="1100"/>
              <a:t>млн. руб</a:t>
            </a:r>
            <a:r>
              <a:rPr lang="ru-RU" sz="1000"/>
              <a:t>.</a:t>
            </a:r>
          </a:p>
        </c:rich>
      </c:tx>
      <c:layout>
        <c:manualLayout>
          <c:xMode val="edge"/>
          <c:yMode val="edge"/>
          <c:x val="0.20371005094951369"/>
          <c:y val="0"/>
        </c:manualLayout>
      </c:layout>
      <c:spPr>
        <a:noFill/>
        <a:ln w="21571">
          <a:noFill/>
        </a:ln>
      </c:spPr>
    </c:title>
    <c:plotArea>
      <c:layout>
        <c:manualLayout>
          <c:layoutTarget val="inner"/>
          <c:xMode val="edge"/>
          <c:yMode val="edge"/>
          <c:x val="0.41592156862746194"/>
          <c:y val="0.13696626631348521"/>
          <c:w val="0.490450980392164"/>
          <c:h val="0.70039164459281966"/>
        </c:manualLayout>
      </c:layout>
      <c:barChart>
        <c:barDir val="bar"/>
        <c:grouping val="clustered"/>
        <c:ser>
          <c:idx val="2"/>
          <c:order val="2"/>
          <c:tx>
            <c:strRef>
              <c:f>Лист1!$B$1</c:f>
            </c:strRef>
          </c:tx>
          <c:spPr>
            <a:gradFill>
              <a:gsLst>
                <a:gs pos="0">
                  <a:srgbClr val="DDEBCF"/>
                </a:gs>
                <a:gs pos="50000">
                  <a:srgbClr val="9CB86E"/>
                </a:gs>
                <a:gs pos="100000">
                  <a:srgbClr val="156B13"/>
                </a:gs>
              </a:gsLst>
              <a:lin ang="5400000" scaled="0"/>
            </a:gradFill>
            <a:ln w="21571">
              <a:noFill/>
            </a:ln>
          </c:spPr>
          <c:dLbls>
            <c:showVal val="1"/>
          </c:dLbls>
          <c:cat>
            <c:multiLvlStrRef>
              <c:f>Лист1!$A$2:$A$3</c:f>
            </c:multiLvlStrRef>
          </c:cat>
          <c:val>
            <c:numRef>
              <c:f>Лист1!$B$2:$B$3</c:f>
            </c:numRef>
          </c:val>
        </c:ser>
        <c:ser>
          <c:idx val="3"/>
          <c:order val="3"/>
          <c:tx>
            <c:strRef>
              <c:f>Лист1!$C$1</c:f>
            </c:strRef>
          </c:tx>
          <c:spPr>
            <a:gradFill>
              <a:gsLst>
                <a:gs pos="0">
                  <a:srgbClr val="FFF200"/>
                </a:gs>
                <a:gs pos="45000">
                  <a:srgbClr val="FF7A00"/>
                </a:gs>
                <a:gs pos="70000">
                  <a:srgbClr val="FF0300"/>
                </a:gs>
                <a:gs pos="100000">
                  <a:srgbClr val="4D0808"/>
                </a:gs>
              </a:gsLst>
              <a:lin ang="5400000" scaled="0"/>
            </a:gradFill>
            <a:ln w="21571">
              <a:noFill/>
            </a:ln>
          </c:spPr>
          <c:dLbls>
            <c:showVal val="1"/>
          </c:dLbls>
          <c:cat>
            <c:multiLvlStrRef>
              <c:f>Лист1!$A$2:$A$3</c:f>
            </c:multiLvlStrRef>
          </c:cat>
          <c:val>
            <c:numRef>
              <c:f>Лист1!$C$2:$C$3</c:f>
            </c:numRef>
          </c:val>
        </c:ser>
        <c:ser>
          <c:idx val="0"/>
          <c:order val="0"/>
          <c:tx>
            <c:strRef>
              <c:f>Лист1!$B$1</c:f>
              <c:strCache>
                <c:ptCount val="1"/>
                <c:pt idx="0">
                  <c:v>2014 год</c:v>
                </c:pt>
              </c:strCache>
            </c:strRef>
          </c:tx>
          <c:spPr>
            <a:gradFill>
              <a:gsLst>
                <a:gs pos="0">
                  <a:srgbClr val="DDEBCF"/>
                </a:gs>
                <a:gs pos="50000">
                  <a:srgbClr val="9CB86E"/>
                </a:gs>
                <a:gs pos="100000">
                  <a:srgbClr val="156B13"/>
                </a:gs>
              </a:gsLst>
              <a:lin ang="5400000" scaled="0"/>
            </a:gradFill>
            <a:ln w="21571">
              <a:noFill/>
            </a:ln>
          </c:spPr>
          <c:dLbls>
            <c:dLbl>
              <c:idx val="0"/>
              <c:layout>
                <c:manualLayout>
                  <c:x val="-6.34815501003551E-3"/>
                  <c:y val="1.1699505303772737E-2"/>
                </c:manualLayout>
              </c:layout>
              <c:tx>
                <c:rich>
                  <a:bodyPr/>
                  <a:lstStyle/>
                  <a:p>
                    <a:r>
                      <a:rPr lang="ru-RU" sz="850"/>
                      <a:t>130,8%*</a:t>
                    </a:r>
                  </a:p>
                </c:rich>
              </c:tx>
              <c:dLblPos val="outEnd"/>
            </c:dLbl>
            <c:dLbl>
              <c:idx val="1"/>
              <c:layout>
                <c:manualLayout>
                  <c:x val="-4.1369461170294893E-3"/>
                  <c:y val="7.5126093109330033E-3"/>
                </c:manualLayout>
              </c:layout>
              <c:tx>
                <c:rich>
                  <a:bodyPr/>
                  <a:lstStyle/>
                  <a:p>
                    <a:r>
                      <a:rPr lang="ru-RU" sz="850"/>
                      <a:t>146,3%*</a:t>
                    </a:r>
                  </a:p>
                </c:rich>
              </c:tx>
              <c:dLblPos val="outEnd"/>
            </c:dLbl>
            <c:dLbl>
              <c:idx val="2"/>
              <c:layout>
                <c:manualLayout>
                  <c:x val="1.8264628686121265E-3"/>
                  <c:y val="0"/>
                </c:manualLayout>
              </c:layout>
              <c:tx>
                <c:rich>
                  <a:bodyPr/>
                  <a:lstStyle/>
                  <a:p>
                    <a:r>
                      <a:rPr lang="ru-RU" sz="850"/>
                      <a:t>98,2%*</a:t>
                    </a:r>
                    <a:endParaRPr lang="en-US" sz="850"/>
                  </a:p>
                </c:rich>
              </c:tx>
              <c:dLblPos val="outEnd"/>
            </c:dLbl>
            <c:spPr>
              <a:noFill/>
              <a:ln w="21571">
                <a:noFill/>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"Молдавская ГРЭС"</c:v>
                </c:pt>
              </c:strCache>
            </c:strRef>
          </c:cat>
          <c:val>
            <c:numRef>
              <c:f>Лист1!$B$2:$B$3</c:f>
              <c:numCache>
                <c:formatCode>0.0</c:formatCode>
                <c:ptCount val="2"/>
                <c:pt idx="0">
                  <c:v>1492.8</c:v>
                </c:pt>
                <c:pt idx="1">
                  <c:v>1203.4000000000001</c:v>
                </c:pt>
              </c:numCache>
            </c:numRef>
          </c:val>
        </c:ser>
        <c:ser>
          <c:idx val="1"/>
          <c:order val="1"/>
          <c:tx>
            <c:strRef>
              <c:f>Лист1!$C$1</c:f>
              <c:strCache>
                <c:ptCount val="1"/>
                <c:pt idx="0">
                  <c:v>2015 год</c:v>
                </c:pt>
              </c:strCache>
            </c:strRef>
          </c:tx>
          <c:spPr>
            <a:gradFill>
              <a:gsLst>
                <a:gs pos="0">
                  <a:srgbClr val="FFF200"/>
                </a:gs>
                <a:gs pos="45000">
                  <a:srgbClr val="FF7A00"/>
                </a:gs>
                <a:gs pos="70000">
                  <a:srgbClr val="FF0300"/>
                </a:gs>
                <a:gs pos="100000">
                  <a:srgbClr val="4D0808"/>
                </a:gs>
              </a:gsLst>
              <a:lin ang="5400000" scaled="0"/>
            </a:gradFill>
            <a:ln w="21571">
              <a:noFill/>
            </a:ln>
          </c:spPr>
          <c:dLbls>
            <c:dLbl>
              <c:idx val="0"/>
              <c:layout>
                <c:manualLayout>
                  <c:x val="-1.6047552879419683E-3"/>
                  <c:y val="3.3687724518306292E-3"/>
                </c:manualLayout>
              </c:layout>
              <c:tx>
                <c:rich>
                  <a:bodyPr/>
                  <a:lstStyle/>
                  <a:p>
                    <a:r>
                      <a:rPr lang="ru-RU" sz="850"/>
                      <a:t>116,1</a:t>
                    </a:r>
                    <a:r>
                      <a:rPr lang="ru-RU" sz="850" baseline="0"/>
                      <a:t> %*</a:t>
                    </a:r>
                    <a:endParaRPr lang="en-US" sz="850"/>
                  </a:p>
                </c:rich>
              </c:tx>
              <c:dLblPos val="outEnd"/>
            </c:dLbl>
            <c:dLbl>
              <c:idx val="1"/>
              <c:layout>
                <c:manualLayout>
                  <c:x val="4.6997066543152718E-3"/>
                  <c:y val="3.5027879579569324E-3"/>
                </c:manualLayout>
              </c:layout>
              <c:tx>
                <c:rich>
                  <a:bodyPr/>
                  <a:lstStyle/>
                  <a:p>
                    <a:pPr>
                      <a:defRPr sz="850" b="0" i="0" u="none" strike="noStrike" baseline="0">
                        <a:solidFill>
                          <a:srgbClr val="000000"/>
                        </a:solidFill>
                        <a:latin typeface="Times New Roman"/>
                        <a:ea typeface="Times New Roman"/>
                        <a:cs typeface="Times New Roman"/>
                      </a:defRPr>
                    </a:pPr>
                    <a:r>
                      <a:rPr lang="ru-RU" sz="850"/>
                      <a:t>119,5% *</a:t>
                    </a:r>
                  </a:p>
                </c:rich>
              </c:tx>
              <c:spPr>
                <a:noFill/>
                <a:ln w="21571">
                  <a:noFill/>
                </a:ln>
              </c:spPr>
              <c:dLblPos val="outEnd"/>
            </c:dLbl>
            <c:dLbl>
              <c:idx val="2"/>
              <c:layout>
                <c:manualLayout>
                  <c:x val="6.471725490669252E-3"/>
                  <c:y val="0"/>
                </c:manualLayout>
              </c:layout>
              <c:tx>
                <c:rich>
                  <a:bodyPr/>
                  <a:lstStyle/>
                  <a:p>
                    <a:r>
                      <a:rPr lang="ru-RU" sz="850"/>
                      <a:t>95,2%*</a:t>
                    </a:r>
                    <a:endParaRPr lang="en-US" sz="850"/>
                  </a:p>
                </c:rich>
              </c:tx>
              <c:dLblPos val="outEnd"/>
            </c:dLbl>
            <c:spPr>
              <a:noFill/>
              <a:ln w="21571">
                <a:noFill/>
              </a:ln>
            </c:spPr>
            <c:txPr>
              <a:bodyPr/>
              <a:lstStyle/>
              <a:p>
                <a:pPr>
                  <a:defRPr sz="850"/>
                </a:pPr>
                <a:endParaRPr lang="ru-RU"/>
              </a:p>
            </c:txPr>
            <c:showVal val="1"/>
          </c:dLbls>
          <c:cat>
            <c:strRef>
              <c:f>Лист1!$A$2:$A$3</c:f>
              <c:strCache>
                <c:ptCount val="2"/>
                <c:pt idx="0">
                  <c:v>обьем производства подотрасли</c:v>
                </c:pt>
                <c:pt idx="1">
                  <c:v>объем производства ЗАО "Молдавская ГРЭС"</c:v>
                </c:pt>
              </c:strCache>
            </c:strRef>
          </c:cat>
          <c:val>
            <c:numRef>
              <c:f>Лист1!$C$2:$C$3</c:f>
              <c:numCache>
                <c:formatCode>General</c:formatCode>
                <c:ptCount val="2"/>
                <c:pt idx="0">
                  <c:v>1732.4</c:v>
                </c:pt>
                <c:pt idx="1">
                  <c:v>1437.7</c:v>
                </c:pt>
              </c:numCache>
            </c:numRef>
          </c:val>
        </c:ser>
        <c:dLbls>
          <c:showVal val="1"/>
        </c:dLbls>
        <c:axId val="162087296"/>
        <c:axId val="162088832"/>
      </c:barChart>
      <c:catAx>
        <c:axId val="162087296"/>
        <c:scaling>
          <c:orientation val="minMax"/>
        </c:scaling>
        <c:axPos val="l"/>
        <c:numFmt formatCode="General" sourceLinked="1"/>
        <c:tickLblPos val="nextTo"/>
        <c:crossAx val="162088832"/>
        <c:crosses val="autoZero"/>
        <c:auto val="1"/>
        <c:lblAlgn val="ctr"/>
        <c:lblOffset val="100"/>
      </c:catAx>
      <c:valAx>
        <c:axId val="162088832"/>
        <c:scaling>
          <c:orientation val="minMax"/>
        </c:scaling>
        <c:axPos val="b"/>
        <c:majorGridlines/>
        <c:title>
          <c:tx>
            <c:rich>
              <a:bodyPr/>
              <a:lstStyle/>
              <a:p>
                <a:pPr>
                  <a:defRPr sz="900" b="1" i="0" u="none" strike="noStrike" baseline="0">
                    <a:solidFill>
                      <a:srgbClr val="000000"/>
                    </a:solidFill>
                    <a:latin typeface="Times New Roman"/>
                    <a:ea typeface="Times New Roman"/>
                    <a:cs typeface="Times New Roman"/>
                  </a:defRPr>
                </a:pPr>
                <a:r>
                  <a:rPr lang="ru-RU" sz="900"/>
                  <a:t>* - темп роста 
к предыдущему году</a:t>
                </a:r>
              </a:p>
            </c:rich>
          </c:tx>
          <c:layout>
            <c:manualLayout>
              <c:xMode val="edge"/>
              <c:yMode val="edge"/>
              <c:x val="0"/>
              <c:y val="0.7896679219445395"/>
            </c:manualLayout>
          </c:layout>
          <c:spPr>
            <a:noFill/>
            <a:ln w="21571">
              <a:noFill/>
            </a:ln>
          </c:spPr>
        </c:title>
        <c:numFmt formatCode="0.0" sourceLinked="1"/>
        <c:tickLblPos val="nextTo"/>
        <c:crossAx val="162087296"/>
        <c:crosses val="autoZero"/>
        <c:crossBetween val="between"/>
      </c:valAx>
    </c:plotArea>
    <c:legend>
      <c:legendPos val="r"/>
      <c:layout>
        <c:manualLayout>
          <c:xMode val="edge"/>
          <c:yMode val="edge"/>
          <c:x val="0.91442195460861564"/>
          <c:y val="6.0715797622072194E-2"/>
          <c:w val="7.0720256982802474E-2"/>
          <c:h val="0.31815987675453788"/>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Times New Roman"/>
                <a:ea typeface="Times New Roman"/>
                <a:cs typeface="Times New Roman"/>
              </a:defRPr>
            </a:pPr>
            <a:r>
              <a:rPr lang="ru-RU" sz="1050"/>
              <a:t>Обьем производства по отрасли промышленность строительных</a:t>
            </a:r>
            <a:r>
              <a:rPr lang="ru-RU" sz="1050" baseline="0"/>
              <a:t> </a:t>
            </a:r>
            <a:r>
              <a:rPr lang="ru-RU" sz="1050"/>
              <a:t>материалов, </a:t>
            </a:r>
          </a:p>
          <a:p>
            <a:pPr>
              <a:defRPr sz="1050" b="1" i="0" u="none" strike="noStrike" baseline="0">
                <a:solidFill>
                  <a:srgbClr val="000000"/>
                </a:solidFill>
                <a:latin typeface="Times New Roman"/>
                <a:ea typeface="Times New Roman"/>
                <a:cs typeface="Times New Roman"/>
              </a:defRPr>
            </a:pPr>
            <a:r>
              <a:rPr lang="ru-RU" sz="1050"/>
              <a:t>млн. руб.</a:t>
            </a:r>
          </a:p>
        </c:rich>
      </c:tx>
      <c:layout>
        <c:manualLayout>
          <c:xMode val="edge"/>
          <c:yMode val="edge"/>
          <c:x val="0.16322485510907381"/>
          <c:y val="0"/>
        </c:manualLayout>
      </c:layout>
      <c:spPr>
        <a:noFill/>
        <a:ln w="20926">
          <a:noFill/>
        </a:ln>
      </c:spPr>
    </c:title>
    <c:plotArea>
      <c:layout>
        <c:manualLayout>
          <c:layoutTarget val="inner"/>
          <c:xMode val="edge"/>
          <c:yMode val="edge"/>
          <c:x val="0.22358935180050851"/>
          <c:y val="0.18959555636941081"/>
          <c:w val="0.70006103697131761"/>
          <c:h val="0.61332289264949713"/>
        </c:manualLayout>
      </c:layout>
      <c:barChart>
        <c:barDir val="bar"/>
        <c:grouping val="clustered"/>
        <c:ser>
          <c:idx val="0"/>
          <c:order val="0"/>
          <c:tx>
            <c:strRef>
              <c:f>Лист1!$B$1</c:f>
              <c:strCache>
                <c:ptCount val="1"/>
                <c:pt idx="0">
                  <c:v>2014 год</c:v>
                </c:pt>
              </c:strCache>
            </c:strRef>
          </c:tx>
          <c:spPr>
            <a:gradFill>
              <a:gsLst>
                <a:gs pos="0">
                  <a:srgbClr val="D6B19C"/>
                </a:gs>
                <a:gs pos="30000">
                  <a:srgbClr val="D49E6C"/>
                </a:gs>
                <a:gs pos="70000">
                  <a:srgbClr val="A65528"/>
                </a:gs>
                <a:gs pos="100000">
                  <a:srgbClr val="663012"/>
                </a:gs>
              </a:gsLst>
              <a:lin ang="5400000" scaled="0"/>
            </a:gradFill>
            <a:ln w="20926">
              <a:noFill/>
            </a:ln>
          </c:spPr>
          <c:dLbls>
            <c:dLbl>
              <c:idx val="0"/>
              <c:layout>
                <c:manualLayout>
                  <c:x val="-6.4906205973079834E-3"/>
                  <c:y val="6.201766215687265E-3"/>
                </c:manualLayout>
              </c:layout>
              <c:tx>
                <c:rich>
                  <a:bodyPr/>
                  <a:lstStyle/>
                  <a:p>
                    <a:r>
                      <a:rPr lang="ru-RU" sz="1000"/>
                      <a:t>171,2%*</a:t>
                    </a:r>
                  </a:p>
                </c:rich>
              </c:tx>
              <c:dLblPos val="outEnd"/>
            </c:dLbl>
            <c:dLbl>
              <c:idx val="1"/>
              <c:layout>
                <c:manualLayout>
                  <c:x val="-8.3463745435576504E-3"/>
                  <c:y val="0"/>
                </c:manualLayout>
              </c:layout>
              <c:tx>
                <c:rich>
                  <a:bodyPr/>
                  <a:lstStyle/>
                  <a:p>
                    <a:r>
                      <a:rPr lang="ru-RU" sz="1000"/>
                      <a:t>199,9%*</a:t>
                    </a:r>
                  </a:p>
                </c:rich>
              </c:tx>
            </c:dLbl>
            <c:dLbl>
              <c:idx val="2"/>
              <c:layout>
                <c:manualLayout>
                  <c:x val="1.0432803880735565E-2"/>
                  <c:y val="2.8423444259768299E-17"/>
                </c:manualLayout>
              </c:layout>
              <c:tx>
                <c:rich>
                  <a:bodyPr/>
                  <a:lstStyle/>
                  <a:p>
                    <a:r>
                      <a:rPr lang="ru-RU" sz="1000"/>
                      <a:t>111,7%*</a:t>
                    </a:r>
                    <a:endParaRPr lang="en-US" sz="1000"/>
                  </a:p>
                </c:rich>
              </c:tx>
              <c:dLblPos val="outEnd"/>
            </c:dLbl>
            <c:spPr>
              <a:noFill/>
              <a:ln w="20926">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"РЦК"</c:v>
                </c:pt>
              </c:strCache>
            </c:strRef>
          </c:cat>
          <c:val>
            <c:numRef>
              <c:f>Лист1!$B$2:$B$3</c:f>
              <c:numCache>
                <c:formatCode>General</c:formatCode>
                <c:ptCount val="2"/>
                <c:pt idx="0">
                  <c:v>274</c:v>
                </c:pt>
                <c:pt idx="1">
                  <c:v>202.5</c:v>
                </c:pt>
              </c:numCache>
            </c:numRef>
          </c:val>
        </c:ser>
        <c:ser>
          <c:idx val="1"/>
          <c:order val="1"/>
          <c:tx>
            <c:strRef>
              <c:f>Лист1!$C$1</c:f>
              <c:strCache>
                <c:ptCount val="1"/>
                <c:pt idx="0">
                  <c:v>2015 год</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0926">
              <a:noFill/>
            </a:ln>
          </c:spPr>
          <c:dLbls>
            <c:dLbl>
              <c:idx val="0"/>
              <c:layout>
                <c:manualLayout>
                  <c:x val="-1.1582730562435993E-2"/>
                  <c:y val="-6.5791776027999023E-3"/>
                </c:manualLayout>
              </c:layout>
              <c:tx>
                <c:rich>
                  <a:bodyPr/>
                  <a:lstStyle/>
                  <a:p>
                    <a:pPr>
                      <a:defRPr sz="1000" b="0" i="0" u="none" strike="noStrike" baseline="0">
                        <a:solidFill>
                          <a:srgbClr val="000000"/>
                        </a:solidFill>
                        <a:latin typeface="Times New Roman"/>
                        <a:ea typeface="Times New Roman"/>
                        <a:cs typeface="Times New Roman"/>
                      </a:defRPr>
                    </a:pPr>
                    <a:r>
                      <a:rPr lang="ru-RU" sz="1000"/>
                      <a:t>55,5% *</a:t>
                    </a:r>
                  </a:p>
                </c:rich>
              </c:tx>
              <c:spPr>
                <a:noFill/>
                <a:ln w="20926">
                  <a:noFill/>
                </a:ln>
              </c:spPr>
              <c:dLblPos val="outEnd"/>
            </c:dLbl>
            <c:dLbl>
              <c:idx val="1"/>
              <c:layout>
                <c:manualLayout>
                  <c:x val="-7.5347389088102114E-4"/>
                  <c:y val="-7.0196197850961152E-3"/>
                </c:manualLayout>
              </c:layout>
              <c:tx>
                <c:rich>
                  <a:bodyPr/>
                  <a:lstStyle/>
                  <a:p>
                    <a:pPr>
                      <a:defRPr sz="1000" b="0" i="0" u="none" strike="noStrike" baseline="0">
                        <a:solidFill>
                          <a:srgbClr val="000000"/>
                        </a:solidFill>
                        <a:latin typeface="Times New Roman"/>
                        <a:ea typeface="Times New Roman"/>
                        <a:cs typeface="Times New Roman"/>
                      </a:defRPr>
                    </a:pPr>
                    <a:r>
                      <a:rPr lang="ru-RU" sz="1000"/>
                      <a:t>51,2% *</a:t>
                    </a:r>
                  </a:p>
                </c:rich>
              </c:tx>
              <c:spPr>
                <a:noFill/>
                <a:ln w="20926">
                  <a:noFill/>
                </a:ln>
              </c:spPr>
              <c:dLblPos val="outEnd"/>
            </c:dLbl>
            <c:dLbl>
              <c:idx val="2"/>
              <c:layout>
                <c:manualLayout>
                  <c:x val="0"/>
                  <c:y val="-1.24031007751938E-2"/>
                </c:manualLayout>
              </c:layout>
              <c:tx>
                <c:rich>
                  <a:bodyPr/>
                  <a:lstStyle/>
                  <a:p>
                    <a:r>
                      <a:rPr lang="ru-RU" sz="1000"/>
                      <a:t>81,5%*</a:t>
                    </a:r>
                    <a:endParaRPr lang="en-US" sz="1000"/>
                  </a:p>
                </c:rich>
              </c:tx>
              <c:dLblPos val="outEnd"/>
            </c:dLbl>
            <c:spPr>
              <a:noFill/>
              <a:ln w="20926">
                <a:noFill/>
              </a:ln>
            </c:spPr>
            <c:txPr>
              <a:bodyPr/>
              <a:lstStyle/>
              <a:p>
                <a:pPr>
                  <a:defRPr sz="1000"/>
                </a:pPr>
                <a:endParaRPr lang="ru-RU"/>
              </a:p>
            </c:txPr>
            <c:showVal val="1"/>
          </c:dLbls>
          <c:cat>
            <c:strRef>
              <c:f>Лист1!$A$2:$A$3</c:f>
              <c:strCache>
                <c:ptCount val="2"/>
                <c:pt idx="0">
                  <c:v>обьем производства подотрасли</c:v>
                </c:pt>
                <c:pt idx="1">
                  <c:v>объем производства ЗАО "РЦК"</c:v>
                </c:pt>
              </c:strCache>
            </c:strRef>
          </c:cat>
          <c:val>
            <c:numRef>
              <c:f>Лист1!$C$2:$C$3</c:f>
              <c:numCache>
                <c:formatCode>General</c:formatCode>
                <c:ptCount val="2"/>
                <c:pt idx="0">
                  <c:v>152</c:v>
                </c:pt>
                <c:pt idx="1">
                  <c:v>103.6</c:v>
                </c:pt>
              </c:numCache>
            </c:numRef>
          </c:val>
        </c:ser>
        <c:dLbls>
          <c:showVal val="1"/>
        </c:dLbls>
        <c:axId val="162300288"/>
        <c:axId val="162301824"/>
      </c:barChart>
      <c:catAx>
        <c:axId val="162300288"/>
        <c:scaling>
          <c:orientation val="minMax"/>
        </c:scaling>
        <c:axPos val="l"/>
        <c:numFmt formatCode="General" sourceLinked="1"/>
        <c:tickLblPos val="nextTo"/>
        <c:txPr>
          <a:bodyPr/>
          <a:lstStyle/>
          <a:p>
            <a:pPr>
              <a:defRPr sz="900" kern="0" baseline="0"/>
            </a:pPr>
            <a:endParaRPr lang="ru-RU"/>
          </a:p>
        </c:txPr>
        <c:crossAx val="162301824"/>
        <c:crosses val="autoZero"/>
        <c:auto val="1"/>
        <c:lblAlgn val="ctr"/>
        <c:lblOffset val="100"/>
      </c:catAx>
      <c:valAx>
        <c:axId val="162301824"/>
        <c:scaling>
          <c:orientation val="minMax"/>
        </c:scaling>
        <c:axPos val="b"/>
        <c:majorGridlines/>
        <c:title>
          <c:tx>
            <c:rich>
              <a:bodyPr/>
              <a:lstStyle/>
              <a:p>
                <a:pPr>
                  <a:defRPr sz="900" b="1" i="0" u="none" strike="noStrike" baseline="0">
                    <a:solidFill>
                      <a:srgbClr val="000000"/>
                    </a:solidFill>
                    <a:latin typeface="Times New Roman"/>
                    <a:ea typeface="Times New Roman"/>
                    <a:cs typeface="Times New Roman"/>
                  </a:defRPr>
                </a:pPr>
                <a:r>
                  <a:rPr lang="ru-RU" sz="900"/>
                  <a:t>* - темп роста 
к предыдущему году</a:t>
                </a:r>
              </a:p>
            </c:rich>
          </c:tx>
          <c:layout>
            <c:manualLayout>
              <c:xMode val="edge"/>
              <c:yMode val="edge"/>
              <c:x val="0"/>
              <c:y val="0.78966769504689105"/>
            </c:manualLayout>
          </c:layout>
          <c:spPr>
            <a:noFill/>
            <a:ln w="20926">
              <a:noFill/>
            </a:ln>
          </c:spPr>
        </c:title>
        <c:numFmt formatCode="General" sourceLinked="1"/>
        <c:tickLblPos val="nextTo"/>
        <c:crossAx val="162300288"/>
        <c:crosses val="autoZero"/>
        <c:crossBetween val="between"/>
      </c:valAx>
    </c:plotArea>
    <c:legend>
      <c:legendPos val="r"/>
      <c:layout>
        <c:manualLayout>
          <c:xMode val="edge"/>
          <c:yMode val="edge"/>
          <c:x val="0.90340911611400765"/>
          <c:y val="0.13129798001769658"/>
          <c:w val="9.6590930903112368E-2"/>
          <c:h val="0.20006264410318875"/>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32" b="1" i="0" u="none" strike="noStrike" baseline="0">
                <a:solidFill>
                  <a:srgbClr val="000000"/>
                </a:solidFill>
                <a:latin typeface="Times New Roman"/>
                <a:ea typeface="Times New Roman"/>
                <a:cs typeface="Times New Roman"/>
              </a:defRPr>
            </a:pPr>
            <a:r>
              <a:rPr lang="ru-RU" sz="1100"/>
              <a:t>Обьем производства по отрасли легкая промышленность,</a:t>
            </a:r>
            <a:r>
              <a:rPr lang="ru-RU" sz="1100" baseline="0"/>
              <a:t> </a:t>
            </a:r>
            <a:r>
              <a:rPr lang="ru-RU" sz="1100"/>
              <a:t>млн. руб.</a:t>
            </a:r>
          </a:p>
        </c:rich>
      </c:tx>
      <c:layout>
        <c:manualLayout>
          <c:xMode val="edge"/>
          <c:yMode val="edge"/>
          <c:x val="0.23817983860886777"/>
          <c:y val="4.6192253431798024E-2"/>
        </c:manualLayout>
      </c:layout>
      <c:spPr>
        <a:noFill/>
        <a:ln w="19217">
          <a:noFill/>
        </a:ln>
      </c:spPr>
    </c:title>
    <c:plotArea>
      <c:layout>
        <c:manualLayout>
          <c:layoutTarget val="inner"/>
          <c:xMode val="edge"/>
          <c:yMode val="edge"/>
          <c:x val="0.35836071416999915"/>
          <c:y val="0.18870710605619875"/>
          <c:w val="0.56869139042806505"/>
          <c:h val="0.64172485756357711"/>
        </c:manualLayout>
      </c:layout>
      <c:barChart>
        <c:barDir val="bar"/>
        <c:grouping val="clustered"/>
        <c:ser>
          <c:idx val="0"/>
          <c:order val="0"/>
          <c:tx>
            <c:strRef>
              <c:f>Лист1!$B$1</c:f>
              <c:strCache>
                <c:ptCount val="1"/>
                <c:pt idx="0">
                  <c:v>2014год</c:v>
                </c:pt>
              </c:strCache>
            </c:strRef>
          </c:tx>
          <c:spPr>
            <a:gradFill>
              <a:gsLst>
                <a:gs pos="0">
                  <a:srgbClr val="8488C4"/>
                </a:gs>
                <a:gs pos="53000">
                  <a:srgbClr val="D4DEFF"/>
                </a:gs>
                <a:gs pos="83000">
                  <a:srgbClr val="D4DEFF"/>
                </a:gs>
                <a:gs pos="100000">
                  <a:srgbClr val="96AB94"/>
                </a:gs>
              </a:gsLst>
              <a:lin ang="5400000" scaled="0"/>
            </a:gradFill>
            <a:ln w="19217">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dLbls>
            <c:dLbl>
              <c:idx val="0"/>
              <c:layout>
                <c:manualLayout>
                  <c:x val="-8.224458053854378E-3"/>
                  <c:y val="-7.017879671118458E-3"/>
                </c:manualLayout>
              </c:layout>
              <c:tx>
                <c:rich>
                  <a:bodyPr/>
                  <a:lstStyle/>
                  <a:p>
                    <a:r>
                      <a:rPr lang="ru-RU" sz="800"/>
                      <a:t>171,2%*</a:t>
                    </a:r>
                  </a:p>
                </c:rich>
              </c:tx>
              <c:dLblPos val="outEnd"/>
            </c:dLbl>
            <c:dLbl>
              <c:idx val="1"/>
              <c:layout>
                <c:manualLayout>
                  <c:x val="-4.1176824912188834E-3"/>
                  <c:y val="0"/>
                </c:manualLayout>
              </c:layout>
              <c:tx>
                <c:rich>
                  <a:bodyPr/>
                  <a:lstStyle/>
                  <a:p>
                    <a:r>
                      <a:rPr lang="ru-RU" sz="800"/>
                      <a:t>87,0%*</a:t>
                    </a:r>
                  </a:p>
                </c:rich>
              </c:tx>
              <c:dLblPos val="outEnd"/>
            </c:dLbl>
            <c:dLbl>
              <c:idx val="2"/>
              <c:layout>
                <c:manualLayout>
                  <c:x val="-6.4136825227152023E-3"/>
                  <c:y val="0"/>
                </c:manualLayout>
              </c:layout>
              <c:tx>
                <c:rich>
                  <a:bodyPr/>
                  <a:lstStyle/>
                  <a:p>
                    <a:r>
                      <a:rPr lang="ru-RU" sz="800"/>
                      <a:t>100,3%*</a:t>
                    </a:r>
                    <a:endParaRPr lang="en-US" sz="800"/>
                  </a:p>
                </c:rich>
              </c:tx>
              <c:dLblPos val="outEnd"/>
            </c:dLbl>
            <c:spPr>
              <a:noFill/>
              <a:ln w="19217">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Лист1!$B$2:$B$3</c:f>
              <c:numCache>
                <c:formatCode>General</c:formatCode>
                <c:ptCount val="2"/>
                <c:pt idx="0">
                  <c:v>632.70000000000005</c:v>
                </c:pt>
                <c:pt idx="1">
                  <c:v>441.7</c:v>
                </c:pt>
              </c:numCache>
            </c:numRef>
          </c:val>
        </c:ser>
        <c:ser>
          <c:idx val="1"/>
          <c:order val="1"/>
          <c:tx>
            <c:strRef>
              <c:f>Лист1!$C$1</c:f>
              <c:strCache>
                <c:ptCount val="1"/>
                <c:pt idx="0">
                  <c:v>2015 год</c:v>
                </c:pt>
              </c:strCache>
            </c:strRef>
          </c:tx>
          <c:spPr>
            <a:gradFill>
              <a:gsLst>
                <a:gs pos="0">
                  <a:srgbClr val="FFEFD1"/>
                </a:gs>
                <a:gs pos="64999">
                  <a:srgbClr val="F0EBD5"/>
                </a:gs>
                <a:gs pos="100000">
                  <a:srgbClr val="D1C39F"/>
                </a:gs>
              </a:gsLst>
              <a:lin ang="5400000" scaled="0"/>
            </a:gradFill>
            <a:ln w="19217">
              <a:noFill/>
            </a:ln>
          </c:spPr>
          <c:dLbls>
            <c:dLbl>
              <c:idx val="0"/>
              <c:layout>
                <c:manualLayout>
                  <c:x val="1.384822267586922E-2"/>
                  <c:y val="-9.5810675599253825E-3"/>
                </c:manualLayout>
              </c:layout>
              <c:tx>
                <c:rich>
                  <a:bodyPr/>
                  <a:lstStyle/>
                  <a:p>
                    <a:pPr>
                      <a:defRPr sz="800" b="0" i="0" u="none" strike="noStrike" baseline="0">
                        <a:solidFill>
                          <a:srgbClr val="000000"/>
                        </a:solidFill>
                        <a:latin typeface="Times New Roman"/>
                        <a:ea typeface="Times New Roman"/>
                        <a:cs typeface="Times New Roman"/>
                      </a:defRPr>
                    </a:pPr>
                    <a:r>
                      <a:rPr lang="ru-RU" sz="800"/>
                      <a:t>74,9% *</a:t>
                    </a:r>
                  </a:p>
                </c:rich>
              </c:tx>
              <c:spPr>
                <a:noFill/>
                <a:ln w="19217">
                  <a:noFill/>
                </a:ln>
              </c:spPr>
              <c:dLblPos val="outEnd"/>
            </c:dLbl>
            <c:dLbl>
              <c:idx val="1"/>
              <c:layout>
                <c:manualLayout>
                  <c:x val="-6.1151615307345839E-3"/>
                  <c:y val="-3.9668798306289072E-3"/>
                </c:manualLayout>
              </c:layout>
              <c:tx>
                <c:rich>
                  <a:bodyPr/>
                  <a:lstStyle/>
                  <a:p>
                    <a:pPr>
                      <a:defRPr sz="800" b="0" i="0" u="none" strike="noStrike" baseline="0">
                        <a:solidFill>
                          <a:srgbClr val="000000"/>
                        </a:solidFill>
                        <a:latin typeface="Times New Roman"/>
                        <a:ea typeface="Times New Roman"/>
                        <a:cs typeface="Times New Roman"/>
                      </a:defRPr>
                    </a:pPr>
                    <a:r>
                      <a:rPr lang="ru-RU" sz="800"/>
                      <a:t>76,0% *</a:t>
                    </a:r>
                  </a:p>
                </c:rich>
              </c:tx>
              <c:spPr>
                <a:noFill/>
                <a:ln w="19217">
                  <a:noFill/>
                </a:ln>
              </c:spPr>
              <c:dLblPos val="outEnd"/>
            </c:dLbl>
            <c:dLbl>
              <c:idx val="2"/>
              <c:layout>
                <c:manualLayout>
                  <c:x val="-1.6055863387446961E-4"/>
                  <c:y val="-6.3642532488316734E-3"/>
                </c:manualLayout>
              </c:layout>
              <c:tx>
                <c:rich>
                  <a:bodyPr/>
                  <a:lstStyle/>
                  <a:p>
                    <a:r>
                      <a:rPr lang="ru-RU" sz="800"/>
                      <a:t>89,3%*</a:t>
                    </a:r>
                    <a:endParaRPr lang="en-US" sz="800"/>
                  </a:p>
                </c:rich>
              </c:tx>
              <c:dLblPos val="outEnd"/>
            </c:dLbl>
            <c:spPr>
              <a:noFill/>
              <a:ln w="19217">
                <a:noFill/>
              </a:ln>
            </c:spPr>
            <c:txPr>
              <a:bodyPr/>
              <a:lstStyle/>
              <a:p>
                <a:pPr>
                  <a:defRPr sz="800"/>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Лист1!$C$2:$C$3</c:f>
              <c:numCache>
                <c:formatCode>General</c:formatCode>
                <c:ptCount val="2"/>
                <c:pt idx="0">
                  <c:v>474.2</c:v>
                </c:pt>
                <c:pt idx="1">
                  <c:v>335.7</c:v>
                </c:pt>
              </c:numCache>
            </c:numRef>
          </c:val>
        </c:ser>
        <c:dLbls>
          <c:showVal val="1"/>
        </c:dLbls>
        <c:axId val="162689408"/>
        <c:axId val="162690944"/>
      </c:barChart>
      <c:catAx>
        <c:axId val="162689408"/>
        <c:scaling>
          <c:orientation val="minMax"/>
        </c:scaling>
        <c:axPos val="l"/>
        <c:numFmt formatCode="General" sourceLinked="1"/>
        <c:tickLblPos val="nextTo"/>
        <c:txPr>
          <a:bodyPr/>
          <a:lstStyle/>
          <a:p>
            <a:pPr>
              <a:defRPr sz="900" kern="0" baseline="0"/>
            </a:pPr>
            <a:endParaRPr lang="ru-RU"/>
          </a:p>
        </c:txPr>
        <c:crossAx val="162690944"/>
        <c:crosses val="autoZero"/>
        <c:auto val="1"/>
        <c:lblAlgn val="ctr"/>
        <c:lblOffset val="100"/>
      </c:catAx>
      <c:valAx>
        <c:axId val="162690944"/>
        <c:scaling>
          <c:orientation val="minMax"/>
        </c:scaling>
        <c:axPos val="b"/>
        <c:majorGridlines/>
        <c:title>
          <c:tx>
            <c:rich>
              <a:bodyPr/>
              <a:lstStyle/>
              <a:p>
                <a:pPr>
                  <a:defRPr sz="900" b="1" i="0" u="none" strike="noStrike" baseline="0">
                    <a:solidFill>
                      <a:srgbClr val="000000"/>
                    </a:solidFill>
                    <a:latin typeface="Times New Roman"/>
                    <a:ea typeface="Times New Roman"/>
                    <a:cs typeface="Times New Roman"/>
                  </a:defRPr>
                </a:pPr>
                <a:r>
                  <a:rPr lang="ru-RU" sz="900"/>
                  <a:t>* - темп роста 
к предыдущему году</a:t>
                </a:r>
              </a:p>
            </c:rich>
          </c:tx>
          <c:layout>
            <c:manualLayout>
              <c:xMode val="edge"/>
              <c:yMode val="edge"/>
              <c:x val="0"/>
              <c:y val="0.78966767615586564"/>
            </c:manualLayout>
          </c:layout>
          <c:spPr>
            <a:noFill/>
            <a:ln w="19217">
              <a:noFill/>
            </a:ln>
          </c:spPr>
        </c:title>
        <c:numFmt formatCode="General" sourceLinked="1"/>
        <c:tickLblPos val="nextTo"/>
        <c:crossAx val="162689408"/>
        <c:crosses val="autoZero"/>
        <c:crossBetween val="between"/>
      </c:valAx>
    </c:plotArea>
    <c:legend>
      <c:legendPos val="r"/>
      <c:layout>
        <c:manualLayout>
          <c:xMode val="edge"/>
          <c:yMode val="edge"/>
          <c:x val="0.91781244936975459"/>
          <c:y val="0.20889827795915755"/>
          <c:w val="7.9922069926446709E-2"/>
          <c:h val="0.20045835733948217"/>
        </c:manualLayout>
      </c:layout>
      <c:txPr>
        <a:bodyPr/>
        <a:lstStyle/>
        <a:p>
          <a:pPr>
            <a:defRPr sz="8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98"/>
            </a:pPr>
            <a:r>
              <a:rPr lang="ru-RU" sz="1199"/>
              <a:t>Валовая продукция сельского хозяйства в хозяйствах </a:t>
            </a:r>
          </a:p>
          <a:p>
            <a:pPr>
              <a:defRPr sz="1198"/>
            </a:pPr>
            <a:r>
              <a:rPr lang="ru-RU" sz="1199"/>
              <a:t>всех категорий за январь-июнь 2015 года, млн.руб.</a:t>
            </a:r>
          </a:p>
        </c:rich>
      </c:tx>
      <c:layout>
        <c:manualLayout>
          <c:xMode val="edge"/>
          <c:yMode val="edge"/>
          <c:x val="0.27692876418616913"/>
          <c:y val="1.9173350994677141E-2"/>
        </c:manualLayout>
      </c:layout>
    </c:title>
    <c:plotArea>
      <c:layout>
        <c:manualLayout>
          <c:layoutTarget val="inner"/>
          <c:xMode val="edge"/>
          <c:yMode val="edge"/>
          <c:x val="0.33729260368275865"/>
          <c:y val="0.24095086559775891"/>
          <c:w val="0.64321877605674882"/>
          <c:h val="0.36872152638951389"/>
        </c:manualLayout>
      </c:layout>
      <c:barChart>
        <c:barDir val="col"/>
        <c:grouping val="clustered"/>
        <c:ser>
          <c:idx val="0"/>
          <c:order val="0"/>
          <c:tx>
            <c:strRef>
              <c:f>Лист1!$B$1</c:f>
              <c:strCache>
                <c:ptCount val="1"/>
                <c:pt idx="0">
                  <c:v>Валовая продукция сельского хозяйства, млн. руб.</c:v>
                </c:pt>
              </c:strCache>
            </c:strRef>
          </c:tx>
          <c:spPr>
            <a:solidFill>
              <a:srgbClr val="00B0F0"/>
            </a:solidFill>
          </c:spPr>
          <c:dLbls>
            <c:dLbl>
              <c:idx val="0"/>
              <c:layout>
                <c:manualLayout>
                  <c:x val="6.3770630366120134E-3"/>
                  <c:y val="8.4604990413935568E-3"/>
                </c:manualLayout>
              </c:layout>
              <c:tx>
                <c:rich>
                  <a:bodyPr/>
                  <a:lstStyle/>
                  <a:p>
                    <a:r>
                      <a:rPr lang="ru-RU" sz="900" b="1">
                        <a:latin typeface="Times New Roman" pitchFamily="18" charset="0"/>
                        <a:cs typeface="Times New Roman" pitchFamily="18" charset="0"/>
                      </a:rPr>
                      <a:t>+6,6%*</a:t>
                    </a:r>
                    <a:endParaRPr lang="en-US" sz="900" b="1">
                      <a:latin typeface="Times New Roman" pitchFamily="18" charset="0"/>
                      <a:cs typeface="Times New Roman" pitchFamily="18" charset="0"/>
                    </a:endParaRPr>
                  </a:p>
                </c:rich>
              </c:tx>
              <c:dLblPos val="outEnd"/>
            </c:dLbl>
            <c:dLbl>
              <c:idx val="1"/>
              <c:layout>
                <c:manualLayout>
                  <c:x val="1.8135941770165381E-3"/>
                  <c:y val="1.6034521108590365E-2"/>
                </c:manualLayout>
              </c:layout>
              <c:tx>
                <c:rich>
                  <a:bodyPr/>
                  <a:lstStyle/>
                  <a:p>
                    <a:r>
                      <a:rPr lang="ru-RU" sz="900" b="1">
                        <a:latin typeface="Times New Roman" pitchFamily="18" charset="0"/>
                        <a:cs typeface="Times New Roman" pitchFamily="18" charset="0"/>
                      </a:rPr>
                      <a:t>+12,1%*</a:t>
                    </a:r>
                    <a:endParaRPr lang="en-US" sz="900" b="1">
                      <a:latin typeface="Times New Roman" pitchFamily="18" charset="0"/>
                      <a:cs typeface="Times New Roman" pitchFamily="18" charset="0"/>
                    </a:endParaRPr>
                  </a:p>
                </c:rich>
              </c:tx>
              <c:dLblPos val="outEnd"/>
            </c:dLbl>
            <c:dLbl>
              <c:idx val="2"/>
              <c:layout>
                <c:manualLayout>
                  <c:x val="8.4875562720154829E-17"/>
                  <c:y val="1.1904761904762603E-2"/>
                </c:manualLayout>
              </c:layout>
              <c:tx>
                <c:rich>
                  <a:bodyPr/>
                  <a:lstStyle/>
                  <a:p>
                    <a:r>
                      <a:rPr lang="ru-RU" sz="900" b="1">
                        <a:latin typeface="Times New Roman" pitchFamily="18" charset="0"/>
                        <a:cs typeface="Times New Roman" pitchFamily="18" charset="0"/>
                      </a:rPr>
                      <a:t>35,6*</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2"/>
                <c:pt idx="0">
                  <c:v>январь-июнь 2014 г.</c:v>
                </c:pt>
                <c:pt idx="1">
                  <c:v>январь-июнь 2015 г.</c:v>
                </c:pt>
              </c:strCache>
            </c:strRef>
          </c:cat>
          <c:val>
            <c:numRef>
              <c:f>Лист1!$B$2:$B$4</c:f>
              <c:numCache>
                <c:formatCode>#,##0.0</c:formatCode>
                <c:ptCount val="2"/>
                <c:pt idx="0">
                  <c:v>415.3</c:v>
                </c:pt>
                <c:pt idx="1">
                  <c:v>438.9</c:v>
                </c:pt>
              </c:numCache>
            </c:numRef>
          </c:val>
        </c:ser>
        <c:ser>
          <c:idx val="1"/>
          <c:order val="1"/>
          <c:tx>
            <c:strRef>
              <c:f>Лист1!$C$1</c:f>
              <c:strCache>
                <c:ptCount val="1"/>
                <c:pt idx="0">
                  <c:v>Столбец2</c:v>
                </c:pt>
              </c:strCache>
            </c:strRef>
          </c:tx>
          <c:spPr>
            <a:solidFill>
              <a:schemeClr val="accent6">
                <a:lumMod val="75000"/>
              </a:schemeClr>
            </a:solidFill>
          </c:spPr>
          <c:dLbls>
            <c:dLbl>
              <c:idx val="0"/>
              <c:layout>
                <c:manualLayout>
                  <c:x val="2.3148148148148147E-3"/>
                  <c:y val="1.4240489442366718E-2"/>
                </c:manualLayout>
              </c:layout>
              <c:tx>
                <c:rich>
                  <a:bodyPr/>
                  <a:lstStyle/>
                  <a:p>
                    <a:r>
                      <a:rPr lang="ru-RU" sz="900" b="1">
                        <a:latin typeface="Times New Roman" pitchFamily="18" charset="0"/>
                        <a:cs typeface="Times New Roman" pitchFamily="18" charset="0"/>
                      </a:rPr>
                      <a:t>+53,0%*</a:t>
                    </a:r>
                    <a:endParaRPr lang="en-US" sz="900" b="1">
                      <a:latin typeface="Times New Roman" pitchFamily="18" charset="0"/>
                      <a:cs typeface="Times New Roman" pitchFamily="18" charset="0"/>
                    </a:endParaRPr>
                  </a:p>
                </c:rich>
              </c:tx>
              <c:dLblPos val="outEnd"/>
            </c:dLbl>
            <c:dLbl>
              <c:idx val="1"/>
              <c:layout>
                <c:manualLayout>
                  <c:x val="2.0330366312906602E-3"/>
                  <c:y val="1.8114719721514405E-2"/>
                </c:manualLayout>
              </c:layout>
              <c:tx>
                <c:rich>
                  <a:bodyPr/>
                  <a:lstStyle/>
                  <a:p>
                    <a:r>
                      <a:rPr lang="ru-RU" sz="900" b="1">
                        <a:latin typeface="Times New Roman" pitchFamily="18" charset="0"/>
                        <a:cs typeface="Times New Roman" pitchFamily="18" charset="0"/>
                      </a:rPr>
                      <a:t>+8,1%*</a:t>
                    </a:r>
                    <a:endParaRPr lang="en-US" sz="900" b="1">
                      <a:latin typeface="Times New Roman" pitchFamily="18" charset="0"/>
                      <a:cs typeface="Times New Roman" pitchFamily="18" charset="0"/>
                    </a:endParaRPr>
                  </a:p>
                </c:rich>
              </c:tx>
              <c:dLblPos val="outEnd"/>
            </c:dLbl>
            <c:dLbl>
              <c:idx val="2"/>
              <c:layout>
                <c:manualLayout>
                  <c:x val="2.3148148148148147E-3"/>
                  <c:y val="1.1904761904762603E-2"/>
                </c:manualLayout>
              </c:layout>
              <c:tx>
                <c:rich>
                  <a:bodyPr/>
                  <a:lstStyle/>
                  <a:p>
                    <a:r>
                      <a:rPr lang="ru-RU" sz="900" b="1">
                        <a:latin typeface="Times New Roman" pitchFamily="18" charset="0"/>
                        <a:cs typeface="Times New Roman" pitchFamily="18" charset="0"/>
                      </a:rPr>
                      <a:t>29,7*</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2"/>
                <c:pt idx="0">
                  <c:v>январь-июнь 2014 г.</c:v>
                </c:pt>
                <c:pt idx="1">
                  <c:v>январь-июнь 2015 г.</c:v>
                </c:pt>
              </c:strCache>
            </c:strRef>
          </c:cat>
          <c:val>
            <c:numRef>
              <c:f>Лист1!$C$2:$C$4</c:f>
            </c:numRef>
          </c:val>
        </c:ser>
        <c:dLbls>
          <c:showVal val="1"/>
        </c:dLbls>
        <c:axId val="161807744"/>
        <c:axId val="162829440"/>
      </c:barChart>
      <c:catAx>
        <c:axId val="161807744"/>
        <c:scaling>
          <c:orientation val="minMax"/>
        </c:scaling>
        <c:axPos val="b"/>
        <c:numFmt formatCode="General" sourceLinked="1"/>
        <c:tickLblPos val="nextTo"/>
        <c:crossAx val="162829440"/>
        <c:crosses val="autoZero"/>
        <c:auto val="1"/>
        <c:lblAlgn val="ctr"/>
        <c:lblOffset val="100"/>
      </c:catAx>
      <c:valAx>
        <c:axId val="162829440"/>
        <c:scaling>
          <c:orientation val="minMax"/>
        </c:scaling>
        <c:axPos val="l"/>
        <c:numFmt formatCode="#,##0.0" sourceLinked="1"/>
        <c:tickLblPos val="nextTo"/>
        <c:crossAx val="161807744"/>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00"/>
            </a:pPr>
            <a:r>
              <a:rPr lang="ru-RU" sz="1100">
                <a:latin typeface="Times New Roman" pitchFamily="18" charset="0"/>
                <a:cs typeface="Times New Roman" pitchFamily="18" charset="0"/>
              </a:rPr>
              <a:t>Валовой сбор зерновых и зернобобовых культур первой группы </a:t>
            </a:r>
          </a:p>
          <a:p>
            <a:pPr>
              <a:defRPr sz="1000"/>
            </a:pPr>
            <a:r>
              <a:rPr lang="ru-RU" sz="1100">
                <a:latin typeface="Times New Roman" pitchFamily="18" charset="0"/>
                <a:cs typeface="Times New Roman" pitchFamily="18" charset="0"/>
              </a:rPr>
              <a:t>по состоянию на 14 августа 2015 года, тыс. тонн</a:t>
            </a:r>
          </a:p>
        </c:rich>
      </c:tx>
      <c:layout>
        <c:manualLayout>
          <c:xMode val="edge"/>
          <c:yMode val="edge"/>
          <c:x val="0.24544598591842895"/>
          <c:y val="1.3754609787700641E-3"/>
        </c:manualLayout>
      </c:layout>
    </c:title>
    <c:plotArea>
      <c:layout>
        <c:manualLayout>
          <c:layoutTarget val="inner"/>
          <c:xMode val="edge"/>
          <c:yMode val="edge"/>
          <c:x val="0.12211173603299592"/>
          <c:y val="0.11084739407573985"/>
          <c:w val="0.86652385118526853"/>
          <c:h val="0.44564980010410077"/>
        </c:manualLayout>
      </c:layout>
      <c:barChart>
        <c:barDir val="col"/>
        <c:grouping val="clustered"/>
        <c:ser>
          <c:idx val="0"/>
          <c:order val="0"/>
          <c:tx>
            <c:strRef>
              <c:f>Лист1!$B$1</c:f>
              <c:strCache>
                <c:ptCount val="1"/>
                <c:pt idx="0">
                  <c:v>2014 год</c:v>
                </c:pt>
              </c:strCache>
            </c:strRef>
          </c:tx>
          <c:spPr>
            <a:solidFill>
              <a:srgbClr val="0070C0"/>
            </a:solidFill>
          </c:spPr>
          <c:dLbls>
            <c:delete val="1"/>
          </c:dLbls>
          <c:cat>
            <c:strRef>
              <c:f>Лист1!$A$2:$A$5</c:f>
              <c:strCache>
                <c:ptCount val="4"/>
                <c:pt idx="0">
                  <c:v>Зерновые и зернобобовые культуры первой группы</c:v>
                </c:pt>
                <c:pt idx="1">
                  <c:v>озимая пшеница</c:v>
                </c:pt>
                <c:pt idx="2">
                  <c:v>озимый ячмень</c:v>
                </c:pt>
                <c:pt idx="3">
                  <c:v>яровой ячмень</c:v>
                </c:pt>
              </c:strCache>
            </c:strRef>
          </c:cat>
          <c:val>
            <c:numRef>
              <c:f>Лист1!$B$2:$B$5</c:f>
              <c:numCache>
                <c:formatCode>0.0</c:formatCode>
                <c:ptCount val="4"/>
                <c:pt idx="0" formatCode="General">
                  <c:v>339.2</c:v>
                </c:pt>
                <c:pt idx="1">
                  <c:v>264.5</c:v>
                </c:pt>
                <c:pt idx="2" formatCode="General">
                  <c:v>48.6</c:v>
                </c:pt>
                <c:pt idx="3">
                  <c:v>21.9</c:v>
                </c:pt>
              </c:numCache>
            </c:numRef>
          </c:val>
        </c:ser>
        <c:ser>
          <c:idx val="1"/>
          <c:order val="1"/>
          <c:tx>
            <c:strRef>
              <c:f>Лист1!$C$1</c:f>
              <c:strCache>
                <c:ptCount val="1"/>
                <c:pt idx="0">
                  <c:v>2015 год</c:v>
                </c:pt>
              </c:strCache>
            </c:strRef>
          </c:tx>
          <c:spPr>
            <a:solidFill>
              <a:schemeClr val="accent5">
                <a:lumMod val="40000"/>
                <a:lumOff val="60000"/>
              </a:schemeClr>
            </a:solidFill>
          </c:spPr>
          <c:dLbls>
            <c:dLbl>
              <c:idx val="0"/>
              <c:layout>
                <c:manualLayout>
                  <c:x val="8.4656084656084766E-3"/>
                  <c:y val="1.4257941895194018E-2"/>
                </c:manualLayout>
              </c:layout>
              <c:tx>
                <c:rich>
                  <a:bodyPr/>
                  <a:lstStyle/>
                  <a:p>
                    <a:r>
                      <a:rPr lang="ru-RU" b="1">
                        <a:latin typeface="Times New Roman" pitchFamily="18" charset="0"/>
                        <a:cs typeface="Times New Roman" pitchFamily="18" charset="0"/>
                      </a:rPr>
                      <a:t>-3,2%*</a:t>
                    </a:r>
                    <a:endParaRPr lang="en-US" b="1">
                      <a:latin typeface="Times New Roman" pitchFamily="18" charset="0"/>
                      <a:cs typeface="Times New Roman" pitchFamily="18" charset="0"/>
                    </a:endParaRPr>
                  </a:p>
                </c:rich>
              </c:tx>
              <c:dLblPos val="outEnd"/>
              <c:showVal val="1"/>
            </c:dLbl>
            <c:dLbl>
              <c:idx val="1"/>
              <c:layout>
                <c:manualLayout>
                  <c:x val="1.2455943007123937E-2"/>
                  <c:y val="2.6445470178296692E-2"/>
                </c:manualLayout>
              </c:layout>
              <c:tx>
                <c:rich>
                  <a:bodyPr/>
                  <a:lstStyle/>
                  <a:p>
                    <a:r>
                      <a:rPr lang="ru-RU" b="1">
                        <a:latin typeface="Times New Roman" pitchFamily="18" charset="0"/>
                        <a:cs typeface="Times New Roman" pitchFamily="18" charset="0"/>
                      </a:rPr>
                      <a:t>-0,5%*</a:t>
                    </a:r>
                    <a:endParaRPr lang="en-US" b="1">
                      <a:latin typeface="Times New Roman" pitchFamily="18" charset="0"/>
                      <a:cs typeface="Times New Roman" pitchFamily="18" charset="0"/>
                    </a:endParaRPr>
                  </a:p>
                </c:rich>
              </c:tx>
              <c:dLblPos val="outEnd"/>
              <c:showVal val="1"/>
            </c:dLbl>
            <c:dLbl>
              <c:idx val="2"/>
              <c:layout>
                <c:manualLayout>
                  <c:x val="1.3159521726450863E-2"/>
                  <c:y val="2.236582496153498E-2"/>
                </c:manualLayout>
              </c:layout>
              <c:tx>
                <c:rich>
                  <a:bodyPr/>
                  <a:lstStyle/>
                  <a:p>
                    <a:r>
                      <a:rPr lang="ru-RU" b="1">
                        <a:latin typeface="Times New Roman" pitchFamily="18" charset="0"/>
                        <a:cs typeface="Times New Roman" pitchFamily="18" charset="0"/>
                      </a:rPr>
                      <a:t>-19,3%*</a:t>
                    </a:r>
                    <a:endParaRPr lang="en-US" b="1">
                      <a:latin typeface="Times New Roman" pitchFamily="18" charset="0"/>
                      <a:cs typeface="Times New Roman" pitchFamily="18" charset="0"/>
                    </a:endParaRPr>
                  </a:p>
                </c:rich>
              </c:tx>
              <c:dLblPos val="outEnd"/>
              <c:showVal val="1"/>
            </c:dLbl>
            <c:dLbl>
              <c:idx val="3"/>
              <c:layout>
                <c:manualLayout>
                  <c:x val="2.3148773070032908E-3"/>
                  <c:y val="1.8399493166802425E-2"/>
                </c:manualLayout>
              </c:layout>
              <c:tx>
                <c:rich>
                  <a:bodyPr/>
                  <a:lstStyle/>
                  <a:p>
                    <a:r>
                      <a:rPr lang="ru-RU" b="1">
                        <a:latin typeface="Times New Roman" pitchFamily="18" charset="0"/>
                        <a:cs typeface="Times New Roman" pitchFamily="18" charset="0"/>
                      </a:rPr>
                      <a:t>  -16,4%*</a:t>
                    </a:r>
                    <a:endParaRPr lang="en-US" b="1">
                      <a:latin typeface="Times New Roman" pitchFamily="18" charset="0"/>
                      <a:cs typeface="Times New Roman" pitchFamily="18" charset="0"/>
                    </a:endParaRPr>
                  </a:p>
                </c:rich>
              </c:tx>
              <c:dLblPos val="outEnd"/>
              <c:showVal val="1"/>
            </c:dLbl>
            <c:dLbl>
              <c:idx val="4"/>
              <c:layout>
                <c:manualLayout>
                  <c:x val="2.3148148148148147E-3"/>
                  <c:y val="-7.9365079365080124E-3"/>
                </c:manualLayout>
              </c:layout>
              <c:tx>
                <c:rich>
                  <a:bodyPr/>
                  <a:lstStyle/>
                  <a:p>
                    <a:r>
                      <a:rPr lang="ru-RU" b="1">
                        <a:latin typeface="Times New Roman" pitchFamily="18" charset="0"/>
                        <a:cs typeface="Times New Roman" pitchFamily="18" charset="0"/>
                      </a:rPr>
                      <a:t>-52,6%*</a:t>
                    </a:r>
                    <a:endParaRPr lang="en-US" b="1">
                      <a:latin typeface="Times New Roman" pitchFamily="18" charset="0"/>
                      <a:cs typeface="Times New Roman" pitchFamily="18" charset="0"/>
                    </a:endParaRPr>
                  </a:p>
                </c:rich>
              </c:tx>
              <c:dLblPos val="inEnd"/>
              <c:showVal val="1"/>
            </c:dLbl>
            <c:dLbl>
              <c:idx val="5"/>
              <c:layout>
                <c:manualLayout>
                  <c:x val="1.3330448197792081E-2"/>
                  <c:y val="-1.9781303772073811E-2"/>
                </c:manualLayout>
              </c:layout>
              <c:tx>
                <c:rich>
                  <a:bodyPr/>
                  <a:lstStyle/>
                  <a:p>
                    <a:r>
                      <a:rPr lang="ru-RU" b="1">
                        <a:latin typeface="Times New Roman" pitchFamily="18" charset="0"/>
                        <a:cs typeface="Times New Roman" pitchFamily="18" charset="0"/>
                      </a:rPr>
                      <a:t>30,7%*</a:t>
                    </a:r>
                    <a:endParaRPr lang="en-US" b="1">
                      <a:latin typeface="Times New Roman" pitchFamily="18" charset="0"/>
                      <a:cs typeface="Times New Roman" pitchFamily="18" charset="0"/>
                    </a:endParaRPr>
                  </a:p>
                </c:rich>
              </c:tx>
              <c:dLblPos val="inEnd"/>
              <c:showVal val="1"/>
            </c:dLbl>
            <c:dLbl>
              <c:idx val="6"/>
              <c:layout>
                <c:manualLayout>
                  <c:x val="1.157404179439402E-2"/>
                  <c:y val="-3.788725805044912E-3"/>
                </c:manualLayout>
              </c:layout>
              <c:tx>
                <c:rich>
                  <a:bodyPr/>
                  <a:lstStyle/>
                  <a:p>
                    <a:r>
                      <a:rPr lang="en-US" b="1">
                        <a:latin typeface="Times New Roman" pitchFamily="18" charset="0"/>
                        <a:cs typeface="Times New Roman" pitchFamily="18" charset="0"/>
                      </a:rPr>
                      <a:t>1</a:t>
                    </a:r>
                    <a:r>
                      <a:rPr lang="ru-RU" b="1">
                        <a:latin typeface="Times New Roman" pitchFamily="18" charset="0"/>
                        <a:cs typeface="Times New Roman" pitchFamily="18" charset="0"/>
                      </a:rPr>
                      <a:t>1,8%*</a:t>
                    </a:r>
                    <a:endParaRPr lang="en-US" b="1">
                      <a:latin typeface="Times New Roman" pitchFamily="18" charset="0"/>
                      <a:cs typeface="Times New Roman" pitchFamily="18" charset="0"/>
                    </a:endParaRPr>
                  </a:p>
                </c:rich>
              </c:tx>
              <c:dLblPos val="inEnd"/>
              <c:showVal val="1"/>
            </c:dLbl>
            <c:dLbl>
              <c:idx val="7"/>
              <c:layout>
                <c:manualLayout>
                  <c:x val="0"/>
                  <c:y val="-4.9438986289855914E-3"/>
                </c:manualLayout>
              </c:layout>
              <c:tx>
                <c:rich>
                  <a:bodyPr/>
                  <a:lstStyle/>
                  <a:p>
                    <a:r>
                      <a:rPr lang="ru-RU" b="1">
                        <a:latin typeface="Times New Roman" pitchFamily="18" charset="0"/>
                        <a:cs typeface="Times New Roman" pitchFamily="18" charset="0"/>
                      </a:rPr>
                      <a:t>84,1%*</a:t>
                    </a:r>
                    <a:endParaRPr lang="en-US" b="1">
                      <a:latin typeface="Times New Roman" pitchFamily="18" charset="0"/>
                      <a:cs typeface="Times New Roman" pitchFamily="18" charset="0"/>
                    </a:endParaRPr>
                  </a:p>
                </c:rich>
              </c:tx>
              <c:dLblPos val="inEnd"/>
              <c:showVal val="1"/>
            </c:dLbl>
            <c:txPr>
              <a:bodyPr/>
              <a:lstStyle/>
              <a:p>
                <a:pPr>
                  <a:defRPr b="1">
                    <a:latin typeface="Times New Roman" pitchFamily="18" charset="0"/>
                    <a:cs typeface="Times New Roman" pitchFamily="18" charset="0"/>
                  </a:defRPr>
                </a:pPr>
                <a:endParaRPr lang="ru-RU"/>
              </a:p>
            </c:txPr>
            <c:dLblPos val="inEnd"/>
            <c:showVal val="1"/>
          </c:dLbls>
          <c:cat>
            <c:strRef>
              <c:f>Лист1!$A$2:$A$5</c:f>
              <c:strCache>
                <c:ptCount val="4"/>
                <c:pt idx="0">
                  <c:v>Зерновые и зернобобовые культуры первой группы</c:v>
                </c:pt>
                <c:pt idx="1">
                  <c:v>озимая пшеница</c:v>
                </c:pt>
                <c:pt idx="2">
                  <c:v>озимый ячмень</c:v>
                </c:pt>
                <c:pt idx="3">
                  <c:v>яровой ячмень</c:v>
                </c:pt>
              </c:strCache>
            </c:strRef>
          </c:cat>
          <c:val>
            <c:numRef>
              <c:f>Лист1!$C$2:$C$5</c:f>
              <c:numCache>
                <c:formatCode>General</c:formatCode>
                <c:ptCount val="4"/>
                <c:pt idx="0">
                  <c:v>328.4</c:v>
                </c:pt>
                <c:pt idx="1">
                  <c:v>263.2</c:v>
                </c:pt>
                <c:pt idx="2">
                  <c:v>39.200000000000003</c:v>
                </c:pt>
                <c:pt idx="3">
                  <c:v>18.3</c:v>
                </c:pt>
              </c:numCache>
            </c:numRef>
          </c:val>
        </c:ser>
        <c:dLbls>
          <c:showVal val="1"/>
        </c:dLbls>
        <c:axId val="163003776"/>
        <c:axId val="163005568"/>
      </c:barChart>
      <c:catAx>
        <c:axId val="163003776"/>
        <c:scaling>
          <c:orientation val="minMax"/>
        </c:scaling>
        <c:axPos val="b"/>
        <c:tickLblPos val="nextTo"/>
        <c:crossAx val="163005568"/>
        <c:crosses val="autoZero"/>
        <c:auto val="1"/>
        <c:lblAlgn val="ctr"/>
        <c:lblOffset val="100"/>
      </c:catAx>
      <c:valAx>
        <c:axId val="163005568"/>
        <c:scaling>
          <c:orientation val="minMax"/>
        </c:scaling>
        <c:axPos val="l"/>
        <c:numFmt formatCode="General" sourceLinked="1"/>
        <c:tickLblPos val="nextTo"/>
        <c:txPr>
          <a:bodyPr/>
          <a:lstStyle/>
          <a:p>
            <a:pPr>
              <a:defRPr sz="900" b="1">
                <a:latin typeface="Times New Roman" pitchFamily="18" charset="0"/>
                <a:cs typeface="Times New Roman" pitchFamily="18" charset="0"/>
              </a:defRPr>
            </a:pPr>
            <a:endParaRPr lang="ru-RU"/>
          </a:p>
        </c:txPr>
        <c:crossAx val="163003776"/>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000"/>
            </a:pPr>
            <a:r>
              <a:rPr lang="ru-RU" sz="1000"/>
              <a:t>Поголовье основных видов скота и птицы </a:t>
            </a:r>
          </a:p>
          <a:p>
            <a:pPr>
              <a:defRPr sz="1000"/>
            </a:pPr>
            <a:r>
              <a:rPr lang="ru-RU" sz="1000"/>
              <a:t>в  организациях, осуществляющих сельскохозяйственное производство                          (на 1 июля)</a:t>
            </a:r>
          </a:p>
        </c:rich>
      </c:tx>
      <c:layout>
        <c:manualLayout>
          <c:xMode val="edge"/>
          <c:yMode val="edge"/>
          <c:x val="0.12033955057943339"/>
          <c:y val="0"/>
        </c:manualLayout>
      </c:layout>
    </c:title>
    <c:plotArea>
      <c:layout>
        <c:manualLayout>
          <c:layoutTarget val="inner"/>
          <c:xMode val="edge"/>
          <c:yMode val="edge"/>
          <c:x val="0.3469324473975659"/>
          <c:y val="0.13603450483323729"/>
          <c:w val="0.63826475178974718"/>
          <c:h val="0.41491677869534926"/>
        </c:manualLayout>
      </c:layout>
      <c:barChart>
        <c:barDir val="col"/>
        <c:grouping val="clustered"/>
        <c:ser>
          <c:idx val="0"/>
          <c:order val="0"/>
          <c:tx>
            <c:strRef>
              <c:f>Лист1!$B$1</c:f>
              <c:strCache>
                <c:ptCount val="1"/>
                <c:pt idx="0">
                  <c:v>Крупный рогатый скот, голов</c:v>
                </c:pt>
              </c:strCache>
            </c:strRef>
          </c:tx>
          <c:dLbls>
            <c:dLbl>
              <c:idx val="0"/>
              <c:layout>
                <c:manualLayout>
                  <c:x val="-4.6296296296295903E-3"/>
                  <c:y val="0"/>
                </c:manualLayout>
              </c:layout>
              <c:tx>
                <c:rich>
                  <a:bodyPr/>
                  <a:lstStyle/>
                  <a:p>
                    <a:pPr>
                      <a:defRPr sz="1000"/>
                    </a:pPr>
                    <a:r>
                      <a:rPr lang="ru-RU" sz="1000" b="1">
                        <a:latin typeface="Times New Roman" pitchFamily="18" charset="0"/>
                        <a:cs typeface="Times New Roman" pitchFamily="18" charset="0"/>
                      </a:rPr>
                      <a:t>-4,6*</a:t>
                    </a:r>
                    <a:endParaRPr lang="en-US" sz="1000" b="1">
                      <a:latin typeface="Times New Roman" pitchFamily="18" charset="0"/>
                      <a:cs typeface="Times New Roman" pitchFamily="18" charset="0"/>
                    </a:endParaRPr>
                  </a:p>
                </c:rich>
              </c:tx>
              <c:spPr/>
              <c:dLblPos val="inEnd"/>
              <c:showVal val="1"/>
            </c:dLbl>
            <c:dLbl>
              <c:idx val="1"/>
              <c:layout>
                <c:manualLayout>
                  <c:x val="-1.6203671058531297E-2"/>
                  <c:y val="0"/>
                </c:manualLayout>
              </c:layout>
              <c:tx>
                <c:rich>
                  <a:bodyPr/>
                  <a:lstStyle/>
                  <a:p>
                    <a:r>
                      <a:rPr lang="ru-RU" b="1">
                        <a:latin typeface="Times New Roman" pitchFamily="18" charset="0"/>
                        <a:cs typeface="Times New Roman" pitchFamily="18" charset="0"/>
                      </a:rPr>
                      <a:t>+0,7*</a:t>
                    </a:r>
                    <a:endParaRPr lang="en-US" b="1">
                      <a:latin typeface="Times New Roman" pitchFamily="18" charset="0"/>
                      <a:cs typeface="Times New Roman" pitchFamily="18" charset="0"/>
                    </a:endParaRPr>
                  </a:p>
                </c:rich>
              </c:tx>
              <c:dLblPos val="inEnd"/>
              <c:showVal val="1"/>
            </c:dLbl>
            <c:dLblPos val="inEnd"/>
            <c:showVal val="1"/>
          </c:dLbls>
          <c:cat>
            <c:strRef>
              <c:f>Лист1!$A$2:$A$3</c:f>
              <c:strCache>
                <c:ptCount val="2"/>
                <c:pt idx="0">
                  <c:v>январь-июнь 2014 г.</c:v>
                </c:pt>
                <c:pt idx="1">
                  <c:v>январь-июнь 2015 г.</c:v>
                </c:pt>
              </c:strCache>
            </c:strRef>
          </c:cat>
          <c:val>
            <c:numRef>
              <c:f>Лист1!$B$2:$B$3</c:f>
              <c:numCache>
                <c:formatCode>#,##0</c:formatCode>
                <c:ptCount val="2"/>
                <c:pt idx="0">
                  <c:v>6729</c:v>
                </c:pt>
                <c:pt idx="1">
                  <c:v>6779</c:v>
                </c:pt>
              </c:numCache>
            </c:numRef>
          </c:val>
        </c:ser>
        <c:ser>
          <c:idx val="1"/>
          <c:order val="1"/>
          <c:tx>
            <c:strRef>
              <c:f>Лист1!$C$1</c:f>
              <c:strCache>
                <c:ptCount val="1"/>
                <c:pt idx="0">
                  <c:v>Свиньи, голов</c:v>
                </c:pt>
              </c:strCache>
            </c:strRef>
          </c:tx>
          <c:dLbls>
            <c:dLbl>
              <c:idx val="0"/>
              <c:layout>
                <c:manualLayout>
                  <c:x val="-2.3148148148148147E-3"/>
                  <c:y val="3.9679415073117768E-3"/>
                </c:manualLayout>
              </c:layout>
              <c:tx>
                <c:rich>
                  <a:bodyPr/>
                  <a:lstStyle/>
                  <a:p>
                    <a:r>
                      <a:rPr lang="ru-RU" b="1"/>
                      <a:t>-5,1*</a:t>
                    </a:r>
                    <a:endParaRPr lang="en-US" b="1"/>
                  </a:p>
                </c:rich>
              </c:tx>
              <c:dLblPos val="inEnd"/>
              <c:showVal val="1"/>
            </c:dLbl>
            <c:dLbl>
              <c:idx val="1"/>
              <c:layout>
                <c:manualLayout>
                  <c:x val="-6.9444444444446436E-3"/>
                  <c:y val="0"/>
                </c:manualLayout>
              </c:layout>
              <c:tx>
                <c:rich>
                  <a:bodyPr/>
                  <a:lstStyle/>
                  <a:p>
                    <a:r>
                      <a:rPr lang="ru-RU" b="1"/>
                      <a:t>+14,9*</a:t>
                    </a:r>
                    <a:endParaRPr lang="en-US" b="1"/>
                  </a:p>
                </c:rich>
              </c:tx>
              <c:dLblPos val="inEnd"/>
              <c:showVal val="1"/>
            </c:dLbl>
            <c:dLblPos val="inEnd"/>
            <c:showVal val="1"/>
          </c:dLbls>
          <c:cat>
            <c:strRef>
              <c:f>Лист1!$A$2:$A$3</c:f>
              <c:strCache>
                <c:ptCount val="2"/>
                <c:pt idx="0">
                  <c:v>январь-июнь 2014 г.</c:v>
                </c:pt>
                <c:pt idx="1">
                  <c:v>январь-июнь 2015 г.</c:v>
                </c:pt>
              </c:strCache>
            </c:strRef>
          </c:cat>
          <c:val>
            <c:numRef>
              <c:f>Лист1!$C$2:$C$3</c:f>
              <c:numCache>
                <c:formatCode>#,##0</c:formatCode>
                <c:ptCount val="2"/>
                <c:pt idx="0">
                  <c:v>10647</c:v>
                </c:pt>
                <c:pt idx="1">
                  <c:v>12237</c:v>
                </c:pt>
              </c:numCache>
            </c:numRef>
          </c:val>
        </c:ser>
        <c:ser>
          <c:idx val="2"/>
          <c:order val="2"/>
          <c:tx>
            <c:strRef>
              <c:f>Лист1!$D$1</c:f>
              <c:strCache>
                <c:ptCount val="1"/>
                <c:pt idx="0">
                  <c:v>Овцы и козы, голов</c:v>
                </c:pt>
              </c:strCache>
            </c:strRef>
          </c:tx>
          <c:dLbls>
            <c:dLbl>
              <c:idx val="0"/>
              <c:layout>
                <c:manualLayout>
                  <c:x val="-4.2149706411076715E-3"/>
                  <c:y val="1.007908213427719E-2"/>
                </c:manualLayout>
              </c:layout>
              <c:tx>
                <c:rich>
                  <a:bodyPr/>
                  <a:lstStyle/>
                  <a:p>
                    <a:r>
                      <a:rPr lang="ru-RU" b="1"/>
                      <a:t>-12,8*</a:t>
                    </a:r>
                    <a:endParaRPr lang="en-US" b="1"/>
                  </a:p>
                </c:rich>
              </c:tx>
              <c:dLblPos val="outEnd"/>
              <c:showVal val="1"/>
            </c:dLbl>
            <c:dLbl>
              <c:idx val="1"/>
              <c:layout>
                <c:manualLayout>
                  <c:x val="2.3148148148148147E-3"/>
                  <c:y val="1.1904761904761843E-2"/>
                </c:manualLayout>
              </c:layout>
              <c:tx>
                <c:rich>
                  <a:bodyPr/>
                  <a:lstStyle/>
                  <a:p>
                    <a:r>
                      <a:rPr lang="ru-RU" b="1"/>
                      <a:t>-12,8*</a:t>
                    </a:r>
                    <a:endParaRPr lang="en-US" b="1"/>
                  </a:p>
                </c:rich>
              </c:tx>
              <c:dLblPos val="inEnd"/>
              <c:showVal val="1"/>
            </c:dLbl>
            <c:dLblPos val="inEnd"/>
            <c:showVal val="1"/>
          </c:dLbls>
          <c:cat>
            <c:strRef>
              <c:f>Лист1!$A$2:$A$3</c:f>
              <c:strCache>
                <c:ptCount val="2"/>
                <c:pt idx="0">
                  <c:v>январь-июнь 2014 г.</c:v>
                </c:pt>
                <c:pt idx="1">
                  <c:v>январь-июнь 2015 г.</c:v>
                </c:pt>
              </c:strCache>
            </c:strRef>
          </c:cat>
          <c:val>
            <c:numRef>
              <c:f>Лист1!$D$2:$D$3</c:f>
              <c:numCache>
                <c:formatCode>#,##0</c:formatCode>
                <c:ptCount val="2"/>
                <c:pt idx="0">
                  <c:v>2115</c:v>
                </c:pt>
                <c:pt idx="1">
                  <c:v>1844</c:v>
                </c:pt>
              </c:numCache>
            </c:numRef>
          </c:val>
        </c:ser>
        <c:ser>
          <c:idx val="3"/>
          <c:order val="3"/>
          <c:tx>
            <c:strRef>
              <c:f>Лист1!$E$1</c:f>
              <c:strCache>
                <c:ptCount val="1"/>
                <c:pt idx="0">
                  <c:v>Птица, голов</c:v>
                </c:pt>
              </c:strCache>
            </c:strRef>
          </c:tx>
          <c:spPr>
            <a:solidFill>
              <a:schemeClr val="accent3">
                <a:lumMod val="60000"/>
                <a:lumOff val="40000"/>
              </a:schemeClr>
            </a:solidFill>
          </c:spPr>
          <c:dPt>
            <c:idx val="0"/>
            <c:spPr>
              <a:solidFill>
                <a:schemeClr val="tx2">
                  <a:lumMod val="40000"/>
                  <a:lumOff val="60000"/>
                </a:schemeClr>
              </a:solidFill>
            </c:spPr>
          </c:dPt>
          <c:dPt>
            <c:idx val="1"/>
            <c:spPr>
              <a:solidFill>
                <a:schemeClr val="tx2">
                  <a:lumMod val="40000"/>
                  <a:lumOff val="60000"/>
                </a:schemeClr>
              </a:solidFill>
            </c:spPr>
          </c:dPt>
          <c:dLbls>
            <c:dLbl>
              <c:idx val="0"/>
              <c:layout>
                <c:manualLayout>
                  <c:x val="2.3148148148148147E-3"/>
                  <c:y val="3.9682539682539802E-3"/>
                </c:manualLayout>
              </c:layout>
              <c:tx>
                <c:rich>
                  <a:bodyPr/>
                  <a:lstStyle/>
                  <a:p>
                    <a:r>
                      <a:rPr lang="ru-RU" b="1"/>
                      <a:t>+11,3*</a:t>
                    </a:r>
                    <a:endParaRPr lang="en-US" b="1"/>
                  </a:p>
                </c:rich>
              </c:tx>
              <c:dLblPos val="outEnd"/>
              <c:showVal val="1"/>
            </c:dLbl>
            <c:dLbl>
              <c:idx val="1"/>
              <c:layout>
                <c:manualLayout>
                  <c:x val="2.2111663902708678E-3"/>
                  <c:y val="1.1904896252789341E-2"/>
                </c:manualLayout>
              </c:layout>
              <c:tx>
                <c:rich>
                  <a:bodyPr/>
                  <a:lstStyle/>
                  <a:p>
                    <a:r>
                      <a:rPr lang="ru-RU" b="1"/>
                      <a:t>+32,5*</a:t>
                    </a:r>
                    <a:endParaRPr lang="en-US" b="1"/>
                  </a:p>
                </c:rich>
              </c:tx>
              <c:dLblPos val="outEnd"/>
              <c:showVal val="1"/>
            </c:dLbl>
            <c:dLblPos val="outEnd"/>
            <c:showVal val="1"/>
          </c:dLbls>
          <c:cat>
            <c:strRef>
              <c:f>Лист1!$A$2:$A$3</c:f>
              <c:strCache>
                <c:ptCount val="2"/>
                <c:pt idx="0">
                  <c:v>январь-июнь 2014 г.</c:v>
                </c:pt>
                <c:pt idx="1">
                  <c:v>январь-июнь 2015 г.</c:v>
                </c:pt>
              </c:strCache>
            </c:strRef>
          </c:cat>
          <c:val>
            <c:numRef>
              <c:f>Лист1!$E$2:$E$3</c:f>
              <c:numCache>
                <c:formatCode>#,##0</c:formatCode>
                <c:ptCount val="2"/>
                <c:pt idx="0">
                  <c:v>287120</c:v>
                </c:pt>
                <c:pt idx="1">
                  <c:v>380555</c:v>
                </c:pt>
              </c:numCache>
            </c:numRef>
          </c:val>
        </c:ser>
        <c:dLbls>
          <c:showVal val="1"/>
        </c:dLbls>
        <c:axId val="163212288"/>
        <c:axId val="163222272"/>
      </c:barChart>
      <c:catAx>
        <c:axId val="163212288"/>
        <c:scaling>
          <c:orientation val="minMax"/>
        </c:scaling>
        <c:axPos val="b"/>
        <c:tickLblPos val="nextTo"/>
        <c:crossAx val="163222272"/>
        <c:crosses val="autoZero"/>
        <c:auto val="1"/>
        <c:lblAlgn val="ctr"/>
        <c:lblOffset val="100"/>
      </c:catAx>
      <c:valAx>
        <c:axId val="163222272"/>
        <c:scaling>
          <c:orientation val="minMax"/>
        </c:scaling>
        <c:axPos val="l"/>
        <c:title>
          <c:tx>
            <c:rich>
              <a:bodyPr rot="0" vert="horz"/>
              <a:lstStyle/>
              <a:p>
                <a:pPr>
                  <a:defRPr sz="900"/>
                </a:pPr>
                <a:r>
                  <a:rPr lang="ru-RU" sz="900"/>
                  <a:t>*- темп роста  (спада) к соответствующей дате, %</a:t>
                </a:r>
              </a:p>
            </c:rich>
          </c:tx>
          <c:layout>
            <c:manualLayout>
              <c:xMode val="edge"/>
              <c:yMode val="edge"/>
              <c:x val="1.6204193381299981E-3"/>
              <c:y val="0.31773028371453582"/>
            </c:manualLayout>
          </c:layout>
        </c:title>
        <c:numFmt formatCode="#,##0" sourceLinked="1"/>
        <c:tickLblPos val="nextTo"/>
        <c:crossAx val="163212288"/>
        <c:crosses val="autoZero"/>
        <c:crossBetween val="between"/>
      </c:valAx>
      <c:dTable>
        <c:showHorzBorder val="1"/>
        <c:showVertBorder val="1"/>
        <c:showOutline val="1"/>
      </c:dTable>
    </c:plotArea>
    <c:legend>
      <c:legendPos val="b"/>
      <c:layout>
        <c:manualLayout>
          <c:xMode val="edge"/>
          <c:yMode val="edge"/>
          <c:x val="8.3046325111220773E-2"/>
          <c:y val="0.93139400325890065"/>
          <c:w val="0.87590575548084071"/>
          <c:h val="6.8605996741113701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животноводства </a:t>
            </a:r>
          </a:p>
          <a:p>
            <a:pPr>
              <a:defRPr sz="1100"/>
            </a:pPr>
            <a:r>
              <a:rPr lang="ru-RU" sz="1100"/>
              <a:t>в организациях, осуществляющих сельскохозяйственное производство</a:t>
            </a:r>
          </a:p>
        </c:rich>
      </c:tx>
      <c:layout>
        <c:manualLayout>
          <c:xMode val="edge"/>
          <c:yMode val="edge"/>
          <c:x val="0.18241225464794608"/>
          <c:y val="2.1111571579868452E-3"/>
        </c:manualLayout>
      </c:layout>
    </c:title>
    <c:plotArea>
      <c:layout>
        <c:manualLayout>
          <c:layoutTarget val="inner"/>
          <c:xMode val="edge"/>
          <c:yMode val="edge"/>
          <c:x val="0.23272338148742913"/>
          <c:y val="0.16100621442938193"/>
          <c:w val="0.75871589085072599"/>
          <c:h val="0.39355575398436343"/>
        </c:manualLayout>
      </c:layout>
      <c:barChart>
        <c:barDir val="col"/>
        <c:grouping val="clustered"/>
        <c:ser>
          <c:idx val="0"/>
          <c:order val="0"/>
          <c:tx>
            <c:strRef>
              <c:f>Лист1!$B$1</c:f>
              <c:strCache>
                <c:ptCount val="1"/>
                <c:pt idx="0">
                  <c:v>январь-июнь 2014 г.</c:v>
                </c:pt>
              </c:strCache>
            </c:strRef>
          </c:tx>
          <c:dLbls>
            <c:dLbl>
              <c:idx val="0"/>
              <c:layout>
                <c:manualLayout>
                  <c:x val="1.9613488018937124E-3"/>
                  <c:y val="1.2251939640412591E-2"/>
                </c:manualLayout>
              </c:layout>
              <c:tx>
                <c:rich>
                  <a:bodyPr/>
                  <a:lstStyle/>
                  <a:p>
                    <a:r>
                      <a:rPr lang="ru-RU" sz="900" b="1">
                        <a:latin typeface="Times New Roman" pitchFamily="18" charset="0"/>
                        <a:cs typeface="Times New Roman" pitchFamily="18" charset="0"/>
                      </a:rPr>
                      <a:t>-15,9*</a:t>
                    </a:r>
                    <a:endParaRPr lang="en-US" sz="900" b="1">
                      <a:latin typeface="Times New Roman" pitchFamily="18" charset="0"/>
                      <a:cs typeface="Times New Roman" pitchFamily="18" charset="0"/>
                    </a:endParaRPr>
                  </a:p>
                </c:rich>
              </c:tx>
              <c:dLblPos val="outEnd"/>
              <c:showVal val="1"/>
            </c:dLbl>
            <c:dLbl>
              <c:idx val="1"/>
              <c:layout>
                <c:manualLayout>
                  <c:x val="1.7847432316630964E-3"/>
                  <c:y val="1.0384862488544788E-2"/>
                </c:manualLayout>
              </c:layout>
              <c:tx>
                <c:rich>
                  <a:bodyPr/>
                  <a:lstStyle/>
                  <a:p>
                    <a:r>
                      <a:rPr lang="ru-RU" sz="900" b="1">
                        <a:latin typeface="Times New Roman" pitchFamily="18" charset="0"/>
                        <a:cs typeface="Times New Roman" pitchFamily="18" charset="0"/>
                      </a:rPr>
                      <a:t>+15,0*</a:t>
                    </a:r>
                    <a:endParaRPr lang="en-US" sz="900" b="1">
                      <a:latin typeface="Times New Roman" pitchFamily="18" charset="0"/>
                      <a:cs typeface="Times New Roman" pitchFamily="18" charset="0"/>
                    </a:endParaRPr>
                  </a:p>
                </c:rich>
              </c:tx>
              <c:dLblPos val="outEnd"/>
              <c:showVal val="1"/>
            </c:dLbl>
            <c:dLbl>
              <c:idx val="2"/>
              <c:layout>
                <c:manualLayout>
                  <c:x val="8.4875562720150761E-17"/>
                  <c:y val="1.1904761904761921E-2"/>
                </c:manualLayout>
              </c:layout>
              <c:tx>
                <c:rich>
                  <a:bodyPr/>
                  <a:lstStyle/>
                  <a:p>
                    <a:r>
                      <a:rPr lang="ru-RU" sz="900" b="1">
                        <a:latin typeface="Times New Roman" pitchFamily="18" charset="0"/>
                        <a:cs typeface="Times New Roman" pitchFamily="18" charset="0"/>
                      </a:rPr>
                      <a:t>+39,8*</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Лист1!$B$2:$B$4</c:f>
              <c:numCache>
                <c:formatCode>#,##0.0</c:formatCode>
                <c:ptCount val="3"/>
                <c:pt idx="0">
                  <c:v>1415.9</c:v>
                </c:pt>
                <c:pt idx="1">
                  <c:v>3513.8</c:v>
                </c:pt>
                <c:pt idx="2">
                  <c:v>17121.3</c:v>
                </c:pt>
              </c:numCache>
            </c:numRef>
          </c:val>
        </c:ser>
        <c:ser>
          <c:idx val="1"/>
          <c:order val="1"/>
          <c:tx>
            <c:strRef>
              <c:f>Лист1!$C$1</c:f>
              <c:strCache>
                <c:ptCount val="1"/>
                <c:pt idx="0">
                  <c:v>январь-июнь 2015 г.</c:v>
                </c:pt>
              </c:strCache>
            </c:strRef>
          </c:tx>
          <c:spPr>
            <a:solidFill>
              <a:schemeClr val="accent5">
                <a:lumMod val="40000"/>
                <a:lumOff val="60000"/>
              </a:schemeClr>
            </a:solidFill>
          </c:spPr>
          <c:dLbls>
            <c:dLbl>
              <c:idx val="0"/>
              <c:layout>
                <c:manualLayout>
                  <c:x val="8.7333515274647146E-3"/>
                  <c:y val="2.6317724777156479E-2"/>
                </c:manualLayout>
              </c:layout>
              <c:tx>
                <c:rich>
                  <a:bodyPr/>
                  <a:lstStyle/>
                  <a:p>
                    <a:r>
                      <a:rPr lang="ru-RU" sz="900" b="1">
                        <a:latin typeface="Times New Roman" pitchFamily="18" charset="0"/>
                        <a:cs typeface="Times New Roman" pitchFamily="18" charset="0"/>
                      </a:rPr>
                      <a:t>+97,7*</a:t>
                    </a:r>
                    <a:endParaRPr lang="en-US" sz="900" b="1">
                      <a:latin typeface="Times New Roman" pitchFamily="18" charset="0"/>
                      <a:cs typeface="Times New Roman" pitchFamily="18" charset="0"/>
                    </a:endParaRPr>
                  </a:p>
                </c:rich>
              </c:tx>
              <c:dLblPos val="outEnd"/>
              <c:showVal val="1"/>
            </c:dLbl>
            <c:dLbl>
              <c:idx val="1"/>
              <c:layout>
                <c:manualLayout>
                  <c:x val="-1.75539674998905E-4"/>
                  <c:y val="2.2140438966868271E-2"/>
                </c:manualLayout>
              </c:layout>
              <c:tx>
                <c:rich>
                  <a:bodyPr/>
                  <a:lstStyle/>
                  <a:p>
                    <a:r>
                      <a:rPr lang="ru-RU" sz="900" b="1">
                        <a:latin typeface="Times New Roman" pitchFamily="18" charset="0"/>
                        <a:cs typeface="Times New Roman" pitchFamily="18" charset="0"/>
                      </a:rPr>
                      <a:t>+4,2*</a:t>
                    </a:r>
                    <a:endParaRPr lang="en-US" sz="900" b="1">
                      <a:latin typeface="Times New Roman" pitchFamily="18" charset="0"/>
                      <a:cs typeface="Times New Roman" pitchFamily="18" charset="0"/>
                    </a:endParaRPr>
                  </a:p>
                </c:rich>
              </c:tx>
              <c:dLblPos val="outEnd"/>
              <c:showVal val="1"/>
            </c:dLbl>
            <c:dLbl>
              <c:idx val="2"/>
              <c:layout>
                <c:manualLayout>
                  <c:x val="2.3147415692049392E-3"/>
                  <c:y val="1.8473035698124043E-2"/>
                </c:manualLayout>
              </c:layout>
              <c:tx>
                <c:rich>
                  <a:bodyPr/>
                  <a:lstStyle/>
                  <a:p>
                    <a:r>
                      <a:rPr lang="ru-RU" sz="900" b="1">
                        <a:latin typeface="Times New Roman" pitchFamily="18" charset="0"/>
                        <a:cs typeface="Times New Roman" pitchFamily="18" charset="0"/>
                      </a:rPr>
                      <a:t>+0,6*</a:t>
                    </a:r>
                    <a:endParaRPr lang="en-US" sz="900" b="1">
                      <a:latin typeface="Times New Roman" pitchFamily="18" charset="0"/>
                      <a:cs typeface="Times New Roman" pitchFamily="18" charset="0"/>
                    </a:endParaRPr>
                  </a:p>
                </c:rich>
              </c:tx>
              <c:dLblPos val="outEnd"/>
              <c:showVal val="1"/>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Лист1!$C$2:$C$4</c:f>
              <c:numCache>
                <c:formatCode>#,##0.0</c:formatCode>
                <c:ptCount val="3"/>
                <c:pt idx="0">
                  <c:v>2799.9</c:v>
                </c:pt>
                <c:pt idx="1">
                  <c:v>3660.8</c:v>
                </c:pt>
                <c:pt idx="2">
                  <c:v>17221.2</c:v>
                </c:pt>
              </c:numCache>
            </c:numRef>
          </c:val>
        </c:ser>
        <c:dLbls>
          <c:showVal val="1"/>
        </c:dLbls>
        <c:axId val="163266560"/>
        <c:axId val="163268096"/>
      </c:barChart>
      <c:catAx>
        <c:axId val="163266560"/>
        <c:scaling>
          <c:orientation val="minMax"/>
        </c:scaling>
        <c:axPos val="b"/>
        <c:tickLblPos val="nextTo"/>
        <c:crossAx val="163268096"/>
        <c:crosses val="autoZero"/>
        <c:auto val="1"/>
        <c:lblAlgn val="ctr"/>
        <c:lblOffset val="100"/>
      </c:catAx>
      <c:valAx>
        <c:axId val="163268096"/>
        <c:scaling>
          <c:orientation val="minMax"/>
        </c:scaling>
        <c:axPos val="l"/>
        <c:numFmt formatCode="#,##0.0" sourceLinked="1"/>
        <c:tickLblPos val="nextTo"/>
        <c:crossAx val="163266560"/>
        <c:crosses val="autoZero"/>
        <c:crossBetween val="between"/>
      </c:valAx>
      <c:dTable>
        <c:showHorzBorder val="1"/>
        <c:showVertBorder val="1"/>
        <c:showOutline val="1"/>
      </c:dTable>
    </c:plotArea>
    <c:legend>
      <c:legendPos val="b"/>
      <c:layout>
        <c:manualLayout>
          <c:xMode val="edge"/>
          <c:yMode val="edge"/>
          <c:x val="0.28148869031820845"/>
          <c:y val="0.92648321021727953"/>
          <c:w val="0.50978880448932662"/>
          <c:h val="6.8912159175979287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000"/>
            </a:pPr>
            <a:r>
              <a:rPr lang="ru-RU" sz="1100">
                <a:latin typeface="Times New Roman" pitchFamily="18" charset="0"/>
                <a:cs typeface="Times New Roman" pitchFamily="18" charset="0"/>
              </a:rPr>
              <a:t>Продуктивность скота и птицы в организациях, осуществляющих сельскохозяйственное производство</a:t>
            </a:r>
          </a:p>
        </c:rich>
      </c:tx>
      <c:layout>
        <c:manualLayout>
          <c:xMode val="edge"/>
          <c:yMode val="edge"/>
          <c:x val="0.16698194737852889"/>
          <c:y val="0"/>
        </c:manualLayout>
      </c:layout>
    </c:title>
    <c:plotArea>
      <c:layout>
        <c:manualLayout>
          <c:layoutTarget val="inner"/>
          <c:xMode val="edge"/>
          <c:yMode val="edge"/>
          <c:x val="0.26685315183059743"/>
          <c:y val="0.14098690835850958"/>
          <c:w val="0.71930512923172751"/>
          <c:h val="0.50325131233595799"/>
        </c:manualLayout>
      </c:layout>
      <c:barChart>
        <c:barDir val="col"/>
        <c:grouping val="clustered"/>
        <c:ser>
          <c:idx val="0"/>
          <c:order val="0"/>
          <c:tx>
            <c:strRef>
              <c:f>Лист1!$B$1</c:f>
              <c:strCache>
                <c:ptCount val="1"/>
                <c:pt idx="0">
                  <c:v>январь-июнь 2014 г.</c:v>
                </c:pt>
              </c:strCache>
            </c:strRef>
          </c:tx>
          <c:spPr>
            <a:solidFill>
              <a:srgbClr val="00B0F0"/>
            </a:solidFill>
          </c:spPr>
          <c:dLbls>
            <c:dLbl>
              <c:idx val="0"/>
              <c:layout>
                <c:manualLayout>
                  <c:x val="-1.0979136082565961E-4"/>
                  <c:y val="1.6718307323497921E-2"/>
                </c:manualLayout>
              </c:layout>
              <c:tx>
                <c:rich>
                  <a:bodyPr/>
                  <a:lstStyle/>
                  <a:p>
                    <a:r>
                      <a:rPr lang="ru-RU" sz="900" b="1">
                        <a:latin typeface="Times New Roman" pitchFamily="18" charset="0"/>
                        <a:cs typeface="Times New Roman" pitchFamily="18" charset="0"/>
                      </a:rPr>
                      <a:t>+9,3*</a:t>
                    </a:r>
                    <a:endParaRPr lang="en-US" sz="900" b="1">
                      <a:latin typeface="Times New Roman" pitchFamily="18" charset="0"/>
                      <a:cs typeface="Times New Roman" pitchFamily="18" charset="0"/>
                    </a:endParaRPr>
                  </a:p>
                </c:rich>
              </c:tx>
              <c:dLblPos val="outEnd"/>
              <c:showVal val="1"/>
            </c:dLbl>
            <c:dLbl>
              <c:idx val="1"/>
              <c:layout>
                <c:manualLayout>
                  <c:x val="-4.5747586636417014E-3"/>
                  <c:y val="1.6718307323497921E-2"/>
                </c:manualLayout>
              </c:layout>
              <c:tx>
                <c:rich>
                  <a:bodyPr/>
                  <a:lstStyle/>
                  <a:p>
                    <a:r>
                      <a:rPr lang="ru-RU" sz="900" b="1">
                        <a:latin typeface="Times New Roman" pitchFamily="18" charset="0"/>
                        <a:cs typeface="Times New Roman" pitchFamily="18" charset="0"/>
                      </a:rPr>
                      <a:t>-20,0*</a:t>
                    </a:r>
                    <a:endParaRPr lang="en-US" sz="900" b="1">
                      <a:latin typeface="Times New Roman" pitchFamily="18" charset="0"/>
                      <a:cs typeface="Times New Roman" pitchFamily="18" charset="0"/>
                    </a:endParaRPr>
                  </a:p>
                </c:rich>
              </c:tx>
              <c:dLblPos val="outEnd"/>
              <c:showVal val="1"/>
            </c:dLbl>
            <c:txPr>
              <a:bodyPr/>
              <a:lstStyle/>
              <a:p>
                <a:pPr>
                  <a:defRPr sz="900">
                    <a:latin typeface="Times New Roman" pitchFamily="18" charset="0"/>
                    <a:cs typeface="Times New Roman" pitchFamily="18" charset="0"/>
                  </a:defRPr>
                </a:pPr>
                <a:endParaRPr lang="ru-RU"/>
              </a:p>
            </c:txPr>
            <c:dLblPos val="outEnd"/>
            <c:showVal val="1"/>
          </c:dLbls>
          <c:cat>
            <c:strRef>
              <c:f>Лист1!$A$2:$A$3</c:f>
              <c:strCache>
                <c:ptCount val="2"/>
                <c:pt idx="0">
                  <c:v>Среднегодовой надой молока в расчёте на оду корову, кг</c:v>
                </c:pt>
                <c:pt idx="1">
                  <c:v>Среднегодовая яйценокость кур-несушек, шт.</c:v>
                </c:pt>
              </c:strCache>
            </c:strRef>
          </c:cat>
          <c:val>
            <c:numRef>
              <c:f>Лист1!$B$2:$B$3</c:f>
              <c:numCache>
                <c:formatCode>General</c:formatCode>
                <c:ptCount val="2"/>
                <c:pt idx="0" formatCode="#,##0">
                  <c:v>1749</c:v>
                </c:pt>
                <c:pt idx="1">
                  <c:v>123</c:v>
                </c:pt>
              </c:numCache>
            </c:numRef>
          </c:val>
        </c:ser>
        <c:ser>
          <c:idx val="1"/>
          <c:order val="1"/>
          <c:tx>
            <c:strRef>
              <c:f>Лист1!$C$1</c:f>
              <c:strCache>
                <c:ptCount val="1"/>
                <c:pt idx="0">
                  <c:v>январь-июнь 2015 г.</c:v>
                </c:pt>
              </c:strCache>
            </c:strRef>
          </c:tx>
          <c:spPr>
            <a:solidFill>
              <a:schemeClr val="tx2">
                <a:lumMod val="40000"/>
                <a:lumOff val="60000"/>
              </a:schemeClr>
            </a:solidFill>
          </c:spPr>
          <c:dLbls>
            <c:dLbl>
              <c:idx val="0"/>
              <c:layout>
                <c:manualLayout>
                  <c:x val="-2.3148716579919066E-3"/>
                  <c:y val="1.6905350174336711E-2"/>
                </c:manualLayout>
              </c:layout>
              <c:tx>
                <c:rich>
                  <a:bodyPr/>
                  <a:lstStyle/>
                  <a:p>
                    <a:r>
                      <a:rPr lang="ru-RU" sz="900" b="1">
                        <a:latin typeface="Times New Roman" pitchFamily="18" charset="0"/>
                        <a:cs typeface="Times New Roman" pitchFamily="18" charset="0"/>
                      </a:rPr>
                      <a:t>+6,0*</a:t>
                    </a:r>
                    <a:endParaRPr lang="en-US" sz="900" b="1">
                      <a:latin typeface="Times New Roman" pitchFamily="18" charset="0"/>
                      <a:cs typeface="Times New Roman" pitchFamily="18" charset="0"/>
                    </a:endParaRPr>
                  </a:p>
                </c:rich>
              </c:tx>
              <c:dLblPos val="outEnd"/>
              <c:showVal val="1"/>
            </c:dLbl>
            <c:dLbl>
              <c:idx val="1"/>
              <c:layout>
                <c:manualLayout>
                  <c:x val="-4.6298118985126863E-3"/>
                  <c:y val="1.5873015873015879E-2"/>
                </c:manualLayout>
              </c:layout>
              <c:tx>
                <c:rich>
                  <a:bodyPr/>
                  <a:lstStyle/>
                  <a:p>
                    <a:r>
                      <a:rPr lang="ru-RU" sz="900" b="1">
                        <a:latin typeface="Times New Roman" pitchFamily="18" charset="0"/>
                        <a:cs typeface="Times New Roman" pitchFamily="18" charset="0"/>
                      </a:rPr>
                      <a:t>-11,4*</a:t>
                    </a:r>
                    <a:endParaRPr lang="en-US" sz="900" b="1">
                      <a:latin typeface="Times New Roman" pitchFamily="18" charset="0"/>
                      <a:cs typeface="Times New Roman" pitchFamily="18" charset="0"/>
                    </a:endParaRPr>
                  </a:p>
                </c:rich>
              </c:tx>
              <c:dLblPos val="outEnd"/>
              <c:showVal val="1"/>
            </c:dLbl>
            <c:txPr>
              <a:bodyPr/>
              <a:lstStyle/>
              <a:p>
                <a:pPr>
                  <a:defRPr sz="900">
                    <a:latin typeface="Times New Roman" pitchFamily="18" charset="0"/>
                    <a:cs typeface="Times New Roman" pitchFamily="18" charset="0"/>
                  </a:defRPr>
                </a:pPr>
                <a:endParaRPr lang="ru-RU"/>
              </a:p>
            </c:txPr>
            <c:dLblPos val="outEnd"/>
            <c:showVal val="1"/>
          </c:dLbls>
          <c:cat>
            <c:strRef>
              <c:f>Лист1!$A$2:$A$3</c:f>
              <c:strCache>
                <c:ptCount val="2"/>
                <c:pt idx="0">
                  <c:v>Среднегодовой надой молока в расчёте на оду корову, кг</c:v>
                </c:pt>
                <c:pt idx="1">
                  <c:v>Среднегодовая яйценокость кур-несушек, шт.</c:v>
                </c:pt>
              </c:strCache>
            </c:strRef>
          </c:cat>
          <c:val>
            <c:numRef>
              <c:f>Лист1!$C$2:$C$3</c:f>
              <c:numCache>
                <c:formatCode>General</c:formatCode>
                <c:ptCount val="2"/>
                <c:pt idx="0" formatCode="#,##0">
                  <c:v>1854</c:v>
                </c:pt>
                <c:pt idx="1">
                  <c:v>109</c:v>
                </c:pt>
              </c:numCache>
            </c:numRef>
          </c:val>
        </c:ser>
        <c:dLbls>
          <c:showVal val="1"/>
        </c:dLbls>
        <c:axId val="163533184"/>
        <c:axId val="163534720"/>
      </c:barChart>
      <c:catAx>
        <c:axId val="163533184"/>
        <c:scaling>
          <c:orientation val="minMax"/>
        </c:scaling>
        <c:axPos val="b"/>
        <c:tickLblPos val="nextTo"/>
        <c:crossAx val="163534720"/>
        <c:crosses val="autoZero"/>
        <c:auto val="1"/>
        <c:lblAlgn val="ctr"/>
        <c:lblOffset val="100"/>
      </c:catAx>
      <c:valAx>
        <c:axId val="163534720"/>
        <c:scaling>
          <c:orientation val="minMax"/>
        </c:scaling>
        <c:delete val="1"/>
        <c:axPos val="l"/>
        <c:title>
          <c:tx>
            <c:rich>
              <a:bodyPr rot="0" vert="horz"/>
              <a:lstStyle/>
              <a:p>
                <a:pPr>
                  <a:defRPr sz="900"/>
                </a:pPr>
                <a:r>
                  <a:rPr lang="ru-RU" sz="900" b="1" i="0" baseline="0">
                    <a:latin typeface="Times New Roman" pitchFamily="18" charset="0"/>
                    <a:cs typeface="Times New Roman" pitchFamily="18" charset="0"/>
                  </a:rPr>
                  <a:t>* - темп роста (спада) к предыдущему периоду, %</a:t>
                </a:r>
                <a:endParaRPr lang="ru-RU" sz="900">
                  <a:latin typeface="Times New Roman" pitchFamily="18" charset="0"/>
                  <a:cs typeface="Times New Roman" pitchFamily="18" charset="0"/>
                </a:endParaRPr>
              </a:p>
            </c:rich>
          </c:tx>
          <c:layout>
            <c:manualLayout>
              <c:xMode val="edge"/>
              <c:yMode val="edge"/>
              <c:x val="4.1666666666666664E-2"/>
              <c:y val="0.26572814761791141"/>
            </c:manualLayout>
          </c:layout>
        </c:title>
        <c:numFmt formatCode="#,##0" sourceLinked="1"/>
        <c:tickLblPos val="none"/>
        <c:crossAx val="163533184"/>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34087775172682488"/>
          <c:y val="7.6301919659145984E-2"/>
          <c:w val="0.63252442842235079"/>
          <c:h val="0.50740870354168688"/>
        </c:manualLayout>
      </c:layout>
      <c:barChart>
        <c:barDir val="col"/>
        <c:grouping val="clustered"/>
        <c:ser>
          <c:idx val="0"/>
          <c:order val="0"/>
          <c:tx>
            <c:strRef>
              <c:f>Sheet1!$B$1</c:f>
              <c:strCache>
                <c:ptCount val="1"/>
                <c:pt idx="0">
                  <c:v>январь - июнь 2014 года</c:v>
                </c:pt>
              </c:strCache>
            </c:strRef>
          </c:tx>
          <c:dLbls>
            <c:dLbl>
              <c:idx val="0"/>
              <c:layout>
                <c:manualLayout>
                  <c:x val="-6.8845991025317235E-3"/>
                  <c:y val="5.0545855681083255E-3"/>
                </c:manualLayout>
              </c:layout>
              <c:tx>
                <c:rich>
                  <a:bodyPr/>
                  <a:lstStyle/>
                  <a:p>
                    <a:r>
                      <a:rPr lang="ru-RU" sz="880"/>
                      <a:t>+23,6*</a:t>
                    </a:r>
                    <a:endParaRPr lang="en-US" sz="900"/>
                  </a:p>
                </c:rich>
              </c:tx>
              <c:dLblPos val="outEnd"/>
            </c:dLbl>
            <c:dLbl>
              <c:idx val="1"/>
              <c:tx>
                <c:rich>
                  <a:bodyPr/>
                  <a:lstStyle/>
                  <a:p>
                    <a:r>
                      <a:rPr lang="ru-RU" sz="880"/>
                      <a:t>+71,4*</a:t>
                    </a:r>
                    <a:endParaRPr lang="en-US" sz="900"/>
                  </a:p>
                </c:rich>
              </c:tx>
            </c:dLbl>
            <c:dLbl>
              <c:idx val="2"/>
              <c:tx>
                <c:rich>
                  <a:bodyPr/>
                  <a:lstStyle/>
                  <a:p>
                    <a:r>
                      <a:rPr lang="ru-RU" sz="880"/>
                      <a:t>+10,1*</a:t>
                    </a:r>
                    <a:endParaRPr lang="en-US" sz="900"/>
                  </a:p>
                </c:rich>
              </c:tx>
            </c:dLbl>
            <c:dLbl>
              <c:idx val="3"/>
              <c:delete val="1"/>
            </c:dLbl>
            <c:spPr>
              <a:noFill/>
              <a:ln w="24830">
                <a:noFill/>
              </a:ln>
            </c:spPr>
            <c:txPr>
              <a:bodyPr/>
              <a:lstStyle/>
              <a:p>
                <a:pPr>
                  <a:defRPr sz="880"/>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1187.3</c:v>
                </c:pt>
                <c:pt idx="1">
                  <c:v>363</c:v>
                </c:pt>
                <c:pt idx="2">
                  <c:v>824.3</c:v>
                </c:pt>
                <c:pt idx="3">
                  <c:v>-461.29999999999899</c:v>
                </c:pt>
              </c:numCache>
            </c:numRef>
          </c:val>
        </c:ser>
        <c:ser>
          <c:idx val="1"/>
          <c:order val="1"/>
          <c:tx>
            <c:strRef>
              <c:f>Sheet1!$C$1</c:f>
              <c:strCache>
                <c:ptCount val="1"/>
                <c:pt idx="0">
                  <c:v>январь - июнь 2015 года</c:v>
                </c:pt>
              </c:strCache>
            </c:strRef>
          </c:tx>
          <c:dLbls>
            <c:dLbl>
              <c:idx val="0"/>
              <c:layout>
                <c:manualLayout>
                  <c:x val="4.8192771084339114E-2"/>
                  <c:y val="5.9790732436475038E-3"/>
                </c:manualLayout>
              </c:layout>
              <c:tx>
                <c:rich>
                  <a:bodyPr/>
                  <a:lstStyle/>
                  <a:p>
                    <a:r>
                      <a:rPr lang="ru-RU" sz="880">
                        <a:solidFill>
                          <a:sysClr val="windowText" lastClr="000000"/>
                        </a:solidFill>
                      </a:rPr>
                      <a:t>-23,8*</a:t>
                    </a:r>
                    <a:endParaRPr lang="en-US" sz="900">
                      <a:solidFill>
                        <a:sysClr val="windowText" lastClr="000000"/>
                      </a:solidFill>
                    </a:endParaRPr>
                  </a:p>
                </c:rich>
              </c:tx>
              <c:dLblPos val="outEnd"/>
            </c:dLbl>
            <c:dLbl>
              <c:idx val="1"/>
              <c:layout>
                <c:manualLayout>
                  <c:x val="3.4423407917383859E-2"/>
                  <c:y val="-5.9790732436475038E-3"/>
                </c:manualLayout>
              </c:layout>
              <c:tx>
                <c:rich>
                  <a:bodyPr/>
                  <a:lstStyle/>
                  <a:p>
                    <a:r>
                      <a:rPr lang="ru-RU" sz="880">
                        <a:solidFill>
                          <a:sysClr val="windowText" lastClr="000000"/>
                        </a:solidFill>
                      </a:rPr>
                      <a:t>-20,5*</a:t>
                    </a:r>
                    <a:endParaRPr lang="en-US" sz="900">
                      <a:solidFill>
                        <a:sysClr val="windowText" lastClr="000000"/>
                      </a:solidFill>
                    </a:endParaRPr>
                  </a:p>
                </c:rich>
              </c:tx>
              <c:dLblPos val="outEnd"/>
            </c:dLbl>
            <c:dLbl>
              <c:idx val="2"/>
              <c:layout>
                <c:manualLayout>
                  <c:x val="4.8192771084339114E-2"/>
                  <c:y val="1.195814648729447E-2"/>
                </c:manualLayout>
              </c:layout>
              <c:tx>
                <c:rich>
                  <a:bodyPr/>
                  <a:lstStyle/>
                  <a:p>
                    <a:r>
                      <a:rPr lang="ru-RU" sz="880">
                        <a:solidFill>
                          <a:sysClr val="windowText" lastClr="000000"/>
                        </a:solidFill>
                      </a:rPr>
                      <a:t>-25,2*</a:t>
                    </a:r>
                    <a:endParaRPr lang="en-US" sz="900">
                      <a:solidFill>
                        <a:sysClr val="windowText" lastClr="000000"/>
                      </a:solidFill>
                    </a:endParaRPr>
                  </a:p>
                </c:rich>
              </c:tx>
              <c:dLblPos val="outEnd"/>
            </c:dLbl>
            <c:dLbl>
              <c:idx val="3"/>
              <c:delete val="1"/>
            </c:dLbl>
            <c:spPr>
              <a:noFill/>
              <a:ln w="24830">
                <a:noFill/>
              </a:ln>
            </c:spPr>
            <c:txPr>
              <a:bodyPr/>
              <a:lstStyle/>
              <a:p>
                <a:pPr>
                  <a:defRPr sz="880">
                    <a:solidFill>
                      <a:sysClr val="windowText" lastClr="000000"/>
                    </a:solidFill>
                  </a:defRPr>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905.2</c:v>
                </c:pt>
                <c:pt idx="1">
                  <c:v>288.60000000000002</c:v>
                </c:pt>
                <c:pt idx="2">
                  <c:v>616.6</c:v>
                </c:pt>
                <c:pt idx="3">
                  <c:v>-328</c:v>
                </c:pt>
              </c:numCache>
            </c:numRef>
          </c:val>
        </c:ser>
        <c:gapWidth val="50"/>
        <c:overlap val="60"/>
        <c:axId val="124368768"/>
        <c:axId val="124370304"/>
      </c:barChart>
      <c:catAx>
        <c:axId val="124368768"/>
        <c:scaling>
          <c:orientation val="minMax"/>
        </c:scaling>
        <c:axPos val="b"/>
        <c:numFmt formatCode="General" sourceLinked="1"/>
        <c:majorTickMark val="cross"/>
        <c:tickLblPos val="nextTo"/>
        <c:txPr>
          <a:bodyPr rot="0" vert="horz"/>
          <a:lstStyle/>
          <a:p>
            <a:pPr>
              <a:defRPr/>
            </a:pPr>
            <a:endParaRPr lang="ru-RU"/>
          </a:p>
        </c:txPr>
        <c:crossAx val="124370304"/>
        <c:crosses val="autoZero"/>
        <c:lblAlgn val="ctr"/>
        <c:lblOffset val="20"/>
        <c:tickMarkSkip val="1"/>
      </c:catAx>
      <c:valAx>
        <c:axId val="124370304"/>
        <c:scaling>
          <c:orientation val="minMax"/>
          <c:max val="1200"/>
          <c:min val="-600"/>
        </c:scaling>
        <c:axPos val="l"/>
        <c:title>
          <c:tx>
            <c:rich>
              <a:bodyPr rot="0" vert="horz"/>
              <a:lstStyle/>
              <a:p>
                <a:pPr algn="ctr">
                  <a:defRPr sz="900" b="1" i="0" u="none" strike="noStrike" baseline="0">
                    <a:solidFill>
                      <a:srgbClr val="000000"/>
                    </a:solidFill>
                    <a:latin typeface="Arial Cyr"/>
                    <a:ea typeface="Arial Cyr"/>
                    <a:cs typeface="Arial Cyr"/>
                  </a:defRPr>
                </a:pPr>
                <a:endParaRPr lang="ru-RU" sz="900" b="1" i="0" strike="noStrike">
                  <a:solidFill>
                    <a:srgbClr val="000000"/>
                  </a:solidFill>
                  <a:latin typeface="Times New Roman"/>
                  <a:cs typeface="Times New Roman"/>
                </a:endParaRPr>
              </a:p>
              <a:p>
                <a:pPr algn="ctr">
                  <a:defRPr sz="900" b="1" i="0" u="none" strike="noStrike" baseline="0">
                    <a:solidFill>
                      <a:srgbClr val="000000"/>
                    </a:solidFill>
                    <a:latin typeface="Arial Cyr"/>
                    <a:ea typeface="Arial Cyr"/>
                    <a:cs typeface="Arial Cyr"/>
                  </a:defRPr>
                </a:pPr>
                <a:endParaRPr lang="ru-RU" sz="900" b="1" i="0" strike="noStrike">
                  <a:solidFill>
                    <a:srgbClr val="000000"/>
                  </a:solidFill>
                  <a:latin typeface="Times New Roman"/>
                  <a:cs typeface="Times New Roman"/>
                </a:endParaRPr>
              </a:p>
              <a:p>
                <a:pPr algn="ctr">
                  <a:defRPr sz="900" b="1" i="0" u="none" strike="noStrike" baseline="0">
                    <a:solidFill>
                      <a:srgbClr val="000000"/>
                    </a:solidFill>
                    <a:latin typeface="Arial Cyr"/>
                    <a:ea typeface="Arial Cyr"/>
                    <a:cs typeface="Arial Cyr"/>
                  </a:defRPr>
                </a:pPr>
                <a:endParaRPr lang="ru-RU" sz="900" b="1" i="0" strike="noStrike">
                  <a:solidFill>
                    <a:srgbClr val="000000"/>
                  </a:solidFill>
                  <a:latin typeface="Times New Roman"/>
                  <a:cs typeface="Times New Roman"/>
                </a:endParaRPr>
              </a:p>
              <a:p>
                <a:pPr algn="ctr">
                  <a:defRPr sz="900" b="1" i="0" u="none" strike="noStrike" baseline="0">
                    <a:solidFill>
                      <a:srgbClr val="000000"/>
                    </a:solidFill>
                    <a:latin typeface="Arial Cyr"/>
                    <a:ea typeface="Arial Cyr"/>
                    <a:cs typeface="Arial Cyr"/>
                  </a:defRPr>
                </a:pPr>
                <a:r>
                  <a:rPr lang="ru-RU" sz="900" b="1" i="0" strike="noStrike">
                    <a:solidFill>
                      <a:srgbClr val="000000"/>
                    </a:solidFill>
                    <a:latin typeface="Times New Roman"/>
                    <a:cs typeface="Times New Roman"/>
                  </a:rPr>
                  <a:t>* - темп прироста (спада) в % к </a:t>
                </a:r>
              </a:p>
              <a:p>
                <a:pPr algn="ctr">
                  <a:defRPr sz="900" b="1" i="0" u="none" strike="noStrike" baseline="0">
                    <a:solidFill>
                      <a:srgbClr val="000000"/>
                    </a:solidFill>
                    <a:latin typeface="Arial Cyr"/>
                    <a:ea typeface="Arial Cyr"/>
                    <a:cs typeface="Arial Cyr"/>
                  </a:defRPr>
                </a:pPr>
                <a:r>
                  <a:rPr lang="ru-RU" sz="900" b="1" i="0" strike="noStrike">
                    <a:solidFill>
                      <a:srgbClr val="000000"/>
                    </a:solidFill>
                    <a:latin typeface="Times New Roman"/>
                    <a:cs typeface="Times New Roman"/>
                  </a:rPr>
                  <a:t>предыдущему </a:t>
                </a:r>
              </a:p>
              <a:p>
                <a:pPr algn="ctr">
                  <a:defRPr sz="900" b="1" i="0" u="none" strike="noStrike" baseline="0">
                    <a:solidFill>
                      <a:srgbClr val="000000"/>
                    </a:solidFill>
                    <a:latin typeface="Arial Cyr"/>
                    <a:ea typeface="Arial Cyr"/>
                    <a:cs typeface="Arial Cyr"/>
                  </a:defRPr>
                </a:pPr>
                <a:r>
                  <a:rPr lang="ru-RU" sz="900" b="1" i="0" strike="noStrike">
                    <a:solidFill>
                      <a:srgbClr val="000000"/>
                    </a:solidFill>
                    <a:latin typeface="Times New Roman"/>
                    <a:cs typeface="Times New Roman"/>
                  </a:rPr>
                  <a:t>году</a:t>
                </a:r>
              </a:p>
            </c:rich>
          </c:tx>
          <c:layout>
            <c:manualLayout>
              <c:xMode val="edge"/>
              <c:yMode val="edge"/>
              <c:x val="1.2411988823977649E-2"/>
              <c:y val="8.9461942257218027E-2"/>
            </c:manualLayout>
          </c:layout>
          <c:spPr>
            <a:noFill/>
            <a:ln w="24830">
              <a:noFill/>
            </a:ln>
          </c:spPr>
        </c:title>
        <c:numFmt formatCode="#,##0.0" sourceLinked="1"/>
        <c:majorTickMark val="cross"/>
        <c:tickLblPos val="nextTo"/>
        <c:txPr>
          <a:bodyPr rot="0" vert="horz"/>
          <a:lstStyle/>
          <a:p>
            <a:pPr>
              <a:defRPr/>
            </a:pPr>
            <a:endParaRPr lang="ru-RU"/>
          </a:p>
        </c:txPr>
        <c:crossAx val="124368768"/>
        <c:crosses val="autoZero"/>
        <c:crossBetween val="between"/>
        <c:majorUnit val="200"/>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sz="1050">
                <a:latin typeface="Times New Roman" pitchFamily="18" charset="0"/>
                <a:cs typeface="Times New Roman" pitchFamily="18" charset="0"/>
              </a:rPr>
              <a:t>Доля инвестиций в основной капитал в общем объёме (в процентах)</a:t>
            </a:r>
          </a:p>
        </c:rich>
      </c:tx>
      <c:layout>
        <c:manualLayout>
          <c:xMode val="edge"/>
          <c:yMode val="edge"/>
          <c:x val="0.1700697589792427"/>
          <c:y val="5.1305926090858571E-4"/>
        </c:manualLayout>
      </c:layout>
    </c:title>
    <c:view3D>
      <c:rAngAx val="1"/>
    </c:view3D>
    <c:plotArea>
      <c:layout>
        <c:manualLayout>
          <c:layoutTarget val="inner"/>
          <c:xMode val="edge"/>
          <c:yMode val="edge"/>
          <c:x val="0.15522935666099982"/>
          <c:y val="0.20292980382770354"/>
          <c:w val="0.84477064333902119"/>
          <c:h val="0.51420884889388863"/>
        </c:manualLayout>
      </c:layout>
      <c:bar3DChart>
        <c:barDir val="col"/>
        <c:grouping val="clustered"/>
        <c:ser>
          <c:idx val="0"/>
          <c:order val="0"/>
          <c:tx>
            <c:strRef>
              <c:f>Доля!$A$5</c:f>
              <c:strCache>
                <c:ptCount val="1"/>
                <c:pt idx="0">
                  <c:v>строительно-монтажные работы</c:v>
                </c:pt>
              </c:strCache>
            </c:strRef>
          </c:tx>
          <c:spPr>
            <a:solidFill>
              <a:srgbClr val="9BBB59">
                <a:lumMod val="60000"/>
                <a:lumOff val="40000"/>
              </a:srgbClr>
            </a:solidFill>
          </c:spPr>
          <c:dLbls>
            <c:dLbl>
              <c:idx val="0"/>
              <c:layout>
                <c:manualLayout>
                  <c:x val="1.179941002949852E-2"/>
                  <c:y val="-1.2779552715654953E-2"/>
                </c:manualLayout>
              </c:layout>
              <c:spPr/>
              <c:txPr>
                <a:bodyPr/>
                <a:lstStyle/>
                <a:p>
                  <a:pPr>
                    <a:defRPr sz="900" b="1">
                      <a:latin typeface="Times New Roman" pitchFamily="18" charset="0"/>
                      <a:cs typeface="Times New Roman" pitchFamily="18" charset="0"/>
                    </a:defRPr>
                  </a:pPr>
                  <a:endParaRPr lang="ru-RU"/>
                </a:p>
              </c:txPr>
              <c:showVal val="1"/>
            </c:dLbl>
            <c:dLbl>
              <c:idx val="1"/>
              <c:layout>
                <c:manualLayout>
                  <c:x val="1.1799100333697621E-2"/>
                  <c:y val="0"/>
                </c:manualLayout>
              </c:layout>
              <c:tx>
                <c:rich>
                  <a:bodyPr/>
                  <a:lstStyle/>
                  <a:p>
                    <a:pPr>
                      <a:defRPr sz="900" b="1">
                        <a:latin typeface="Times New Roman" pitchFamily="18" charset="0"/>
                        <a:cs typeface="Times New Roman" pitchFamily="18" charset="0"/>
                      </a:defRPr>
                    </a:pPr>
                    <a:r>
                      <a:rPr lang="ru-RU"/>
                      <a:t>38,2</a:t>
                    </a:r>
                    <a:r>
                      <a:rPr lang="en-US"/>
                      <a:t>%</a:t>
                    </a:r>
                  </a:p>
                </c:rich>
              </c:tx>
              <c:spPr/>
              <c:showVal val="1"/>
            </c:dLbl>
            <c:txPr>
              <a:bodyPr/>
              <a:lstStyle/>
              <a:p>
                <a:pPr>
                  <a:defRPr sz="900">
                    <a:latin typeface="Times New Roman" pitchFamily="18" charset="0"/>
                    <a:cs typeface="Times New Roman" pitchFamily="18" charset="0"/>
                  </a:defRPr>
                </a:pPr>
                <a:endParaRPr lang="ru-RU"/>
              </a:p>
            </c:txPr>
            <c:showVal val="1"/>
          </c:dLbls>
          <c:cat>
            <c:strRef>
              <c:f>Доля!$B$4:$C$4</c:f>
              <c:strCache>
                <c:ptCount val="2"/>
                <c:pt idx="0">
                  <c:v>январь-июнь 2014 г.</c:v>
                </c:pt>
                <c:pt idx="1">
                  <c:v>январь-июнь 2015 г.</c:v>
                </c:pt>
              </c:strCache>
            </c:strRef>
          </c:cat>
          <c:val>
            <c:numRef>
              <c:f>Доля!$B$5:$C$5</c:f>
              <c:numCache>
                <c:formatCode>0.0%</c:formatCode>
                <c:ptCount val="2"/>
                <c:pt idx="0">
                  <c:v>0.38100000000000511</c:v>
                </c:pt>
                <c:pt idx="1">
                  <c:v>0.38200000000000528</c:v>
                </c:pt>
              </c:numCache>
            </c:numRef>
          </c:val>
        </c:ser>
        <c:ser>
          <c:idx val="1"/>
          <c:order val="1"/>
          <c:tx>
            <c:strRef>
              <c:f>Доля!$A$6</c:f>
              <c:strCache>
                <c:ptCount val="1"/>
                <c:pt idx="0">
                  <c:v>машины, оборудование, транспортные средства, инструмент, инвентарь</c:v>
                </c:pt>
              </c:strCache>
            </c:strRef>
          </c:tx>
          <c:spPr>
            <a:solidFill>
              <a:schemeClr val="accent6">
                <a:lumMod val="75000"/>
              </a:schemeClr>
            </a:solidFill>
          </c:spPr>
          <c:dLbls>
            <c:dLbl>
              <c:idx val="0"/>
              <c:layout>
                <c:manualLayout>
                  <c:x val="3.1094113235845641E-2"/>
                  <c:y val="-8.2280339957505159E-3"/>
                </c:manualLayout>
              </c:layout>
              <c:tx>
                <c:rich>
                  <a:bodyPr/>
                  <a:lstStyle/>
                  <a:p>
                    <a:r>
                      <a:rPr lang="ru-RU" b="1">
                        <a:latin typeface="Times New Roman" pitchFamily="18" charset="0"/>
                        <a:cs typeface="Times New Roman" pitchFamily="18" charset="0"/>
                      </a:rPr>
                      <a:t>57,9</a:t>
                    </a:r>
                    <a:r>
                      <a:rPr lang="en-US" b="1">
                        <a:latin typeface="Times New Roman" pitchFamily="18" charset="0"/>
                        <a:cs typeface="Times New Roman" pitchFamily="18" charset="0"/>
                      </a:rPr>
                      <a:t>%</a:t>
                    </a:r>
                  </a:p>
                </c:rich>
              </c:tx>
              <c:showVal val="1"/>
            </c:dLbl>
            <c:dLbl>
              <c:idx val="1"/>
              <c:layout>
                <c:manualLayout>
                  <c:x val="3.159565054368204E-2"/>
                  <c:y val="-1.3117735283089687E-2"/>
                </c:manualLayout>
              </c:layout>
              <c:tx>
                <c:rich>
                  <a:bodyPr/>
                  <a:lstStyle/>
                  <a:p>
                    <a:r>
                      <a:rPr lang="ru-RU"/>
                      <a:t>57,3</a:t>
                    </a:r>
                    <a:r>
                      <a:rPr lang="en-US"/>
                      <a:t>%</a:t>
                    </a:r>
                  </a:p>
                </c:rich>
              </c:tx>
              <c:showVal val="1"/>
            </c:dLbl>
            <c:txPr>
              <a:bodyPr/>
              <a:lstStyle/>
              <a:p>
                <a:pPr>
                  <a:defRPr sz="900" b="1" baseline="0">
                    <a:latin typeface="Times New Roman" pitchFamily="18" charset="0"/>
                    <a:cs typeface="Times New Roman" pitchFamily="18" charset="0"/>
                  </a:defRPr>
                </a:pPr>
                <a:endParaRPr lang="ru-RU"/>
              </a:p>
            </c:txPr>
            <c:showVal val="1"/>
          </c:dLbls>
          <c:cat>
            <c:strRef>
              <c:f>Доля!$B$4:$C$4</c:f>
              <c:strCache>
                <c:ptCount val="2"/>
                <c:pt idx="0">
                  <c:v>январь-июнь 2014 г.</c:v>
                </c:pt>
                <c:pt idx="1">
                  <c:v>январь-июнь 2015 г.</c:v>
                </c:pt>
              </c:strCache>
            </c:strRef>
          </c:cat>
          <c:val>
            <c:numRef>
              <c:f>Доля!$B$6:$C$6</c:f>
              <c:numCache>
                <c:formatCode>0.0%</c:formatCode>
                <c:ptCount val="2"/>
                <c:pt idx="0">
                  <c:v>0.57900000000000063</c:v>
                </c:pt>
                <c:pt idx="1">
                  <c:v>0.57299999999999995</c:v>
                </c:pt>
              </c:numCache>
            </c:numRef>
          </c:val>
        </c:ser>
        <c:dLbls>
          <c:showVal val="1"/>
        </c:dLbls>
        <c:shape val="cylinder"/>
        <c:axId val="163673984"/>
        <c:axId val="163675520"/>
        <c:axId val="0"/>
      </c:bar3DChart>
      <c:catAx>
        <c:axId val="163673984"/>
        <c:scaling>
          <c:orientation val="minMax"/>
        </c:scaling>
        <c:axPos val="b"/>
        <c:tickLblPos val="nextTo"/>
        <c:txPr>
          <a:bodyPr/>
          <a:lstStyle/>
          <a:p>
            <a:pPr>
              <a:defRPr sz="900" b="1">
                <a:latin typeface="Times New Roman" pitchFamily="18" charset="0"/>
                <a:cs typeface="Times New Roman" pitchFamily="18" charset="0"/>
              </a:defRPr>
            </a:pPr>
            <a:endParaRPr lang="ru-RU"/>
          </a:p>
        </c:txPr>
        <c:crossAx val="163675520"/>
        <c:crosses val="autoZero"/>
        <c:auto val="1"/>
        <c:lblAlgn val="ctr"/>
        <c:lblOffset val="100"/>
      </c:catAx>
      <c:valAx>
        <c:axId val="163675520"/>
        <c:scaling>
          <c:orientation val="minMax"/>
        </c:scaling>
        <c:axPos val="l"/>
        <c:numFmt formatCode="0.0%" sourceLinked="1"/>
        <c:tickLblPos val="nextTo"/>
        <c:txPr>
          <a:bodyPr/>
          <a:lstStyle/>
          <a:p>
            <a:pPr>
              <a:defRPr sz="900" b="1">
                <a:latin typeface="Times New Roman" pitchFamily="18" charset="0"/>
                <a:cs typeface="Times New Roman" pitchFamily="18" charset="0"/>
              </a:defRPr>
            </a:pPr>
            <a:endParaRPr lang="ru-RU"/>
          </a:p>
        </c:txPr>
        <c:crossAx val="163673984"/>
        <c:crosses val="autoZero"/>
        <c:crossBetween val="between"/>
      </c:valAx>
    </c:plotArea>
    <c:legend>
      <c:legendPos val="b"/>
      <c:layout>
        <c:manualLayout>
          <c:xMode val="edge"/>
          <c:yMode val="edge"/>
          <c:x val="9.3289578472112528E-2"/>
          <c:y val="0.82367985251846387"/>
          <c:w val="0.87099257220948256"/>
          <c:h val="0.17632014748156491"/>
        </c:manualLayout>
      </c:layout>
      <c:txPr>
        <a:bodyPr/>
        <a:lstStyle/>
        <a:p>
          <a:pPr>
            <a:defRPr b="0">
              <a:latin typeface="Times New Roman" pitchFamily="18" charset="0"/>
              <a:cs typeface="Times New Roman" pitchFamily="18" charset="0"/>
            </a:defRPr>
          </a:pPr>
          <a:endParaRPr lang="ru-RU"/>
        </a:p>
      </c:txPr>
    </c:legend>
    <c:plotVisOnly val="1"/>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sz="1000">
                <a:latin typeface="Times New Roman" pitchFamily="18" charset="0"/>
                <a:cs typeface="Times New Roman" pitchFamily="18" charset="0"/>
              </a:rPr>
              <a:t>Доля инвестиций в основной капитал по объектам  производственного и непроизводственного назначения, </a:t>
            </a:r>
          </a:p>
          <a:p>
            <a:pPr>
              <a:defRPr/>
            </a:pPr>
            <a:r>
              <a:rPr lang="ru-RU" sz="1000">
                <a:latin typeface="Times New Roman" pitchFamily="18" charset="0"/>
                <a:cs typeface="Times New Roman" pitchFamily="18" charset="0"/>
              </a:rPr>
              <a:t>(в процентах) </a:t>
            </a:r>
          </a:p>
        </c:rich>
      </c:tx>
      <c:layout>
        <c:manualLayout>
          <c:xMode val="edge"/>
          <c:yMode val="edge"/>
          <c:x val="0.1700697589792427"/>
          <c:y val="5.1305926090858137E-4"/>
        </c:manualLayout>
      </c:layout>
    </c:title>
    <c:view3D>
      <c:rAngAx val="1"/>
    </c:view3D>
    <c:plotArea>
      <c:layout>
        <c:manualLayout>
          <c:layoutTarget val="inner"/>
          <c:xMode val="edge"/>
          <c:yMode val="edge"/>
          <c:x val="0.18670599803343813"/>
          <c:y val="0.20054214534658579"/>
          <c:w val="0.7700294985251136"/>
          <c:h val="0.46522266683878138"/>
        </c:manualLayout>
      </c:layout>
      <c:bar3DChart>
        <c:barDir val="col"/>
        <c:grouping val="clustered"/>
        <c:ser>
          <c:idx val="0"/>
          <c:order val="0"/>
          <c:tx>
            <c:strRef>
              <c:f>Доля!$A$5</c:f>
              <c:strCache>
                <c:ptCount val="1"/>
                <c:pt idx="0">
                  <c:v>производственного назначения</c:v>
                </c:pt>
              </c:strCache>
            </c:strRef>
          </c:tx>
          <c:spPr>
            <a:solidFill>
              <a:schemeClr val="accent4">
                <a:lumMod val="40000"/>
                <a:lumOff val="60000"/>
              </a:schemeClr>
            </a:solidFill>
          </c:spPr>
          <c:dLbls>
            <c:dLbl>
              <c:idx val="0"/>
              <c:layout>
                <c:manualLayout>
                  <c:x val="-2.9976195556277335E-3"/>
                  <c:y val="-1.2392839962528801E-2"/>
                </c:manualLayout>
              </c:layout>
              <c:tx>
                <c:rich>
                  <a:bodyPr/>
                  <a:lstStyle/>
                  <a:p>
                    <a:r>
                      <a:rPr lang="en-US" sz="900" b="1">
                        <a:latin typeface="Times New Roman" pitchFamily="18" charset="0"/>
                        <a:cs typeface="Times New Roman" pitchFamily="18" charset="0"/>
                      </a:rPr>
                      <a:t>8</a:t>
                    </a:r>
                    <a:r>
                      <a:rPr lang="ru-RU" sz="900" b="1">
                        <a:latin typeface="Times New Roman" pitchFamily="18" charset="0"/>
                        <a:cs typeface="Times New Roman" pitchFamily="18" charset="0"/>
                      </a:rPr>
                      <a:t>7,4</a:t>
                    </a:r>
                    <a:r>
                      <a:rPr lang="en-US" sz="900" b="1">
                        <a:latin typeface="Times New Roman" pitchFamily="18" charset="0"/>
                        <a:cs typeface="Times New Roman" pitchFamily="18" charset="0"/>
                      </a:rPr>
                      <a:t>%</a:t>
                    </a:r>
                    <a:r>
                      <a:rPr lang="ru-RU" sz="900" b="1">
                        <a:latin typeface="Times New Roman" pitchFamily="18" charset="0"/>
                        <a:cs typeface="Times New Roman" pitchFamily="18" charset="0"/>
                      </a:rPr>
                      <a:t>*</a:t>
                    </a:r>
                    <a:endParaRPr lang="en-US" sz="900" b="1">
                      <a:latin typeface="Times New Roman" pitchFamily="18" charset="0"/>
                      <a:cs typeface="Times New Roman" pitchFamily="18" charset="0"/>
                    </a:endParaRPr>
                  </a:p>
                </c:rich>
              </c:tx>
              <c:showVal val="1"/>
            </c:dLbl>
            <c:dLbl>
              <c:idx val="1"/>
              <c:layout>
                <c:manualLayout>
                  <c:x val="-6.8685125768410977E-4"/>
                  <c:y val="-4.2872454448018059E-3"/>
                </c:manualLayout>
              </c:layout>
              <c:tx>
                <c:rich>
                  <a:bodyPr/>
                  <a:lstStyle/>
                  <a:p>
                    <a:r>
                      <a:rPr lang="en-US" sz="900" b="1">
                        <a:latin typeface="Times New Roman" pitchFamily="18" charset="0"/>
                        <a:cs typeface="Times New Roman" pitchFamily="18" charset="0"/>
                      </a:rPr>
                      <a:t>8</a:t>
                    </a:r>
                    <a:r>
                      <a:rPr lang="ru-RU" sz="900" b="1">
                        <a:latin typeface="Times New Roman" pitchFamily="18" charset="0"/>
                        <a:cs typeface="Times New Roman" pitchFamily="18" charset="0"/>
                      </a:rPr>
                      <a:t>7,2</a:t>
                    </a:r>
                    <a:r>
                      <a:rPr lang="en-US" sz="900" b="1">
                        <a:latin typeface="Times New Roman" pitchFamily="18" charset="0"/>
                        <a:cs typeface="Times New Roman" pitchFamily="18" charset="0"/>
                      </a:rPr>
                      <a:t>%</a:t>
                    </a:r>
                    <a:r>
                      <a:rPr lang="ru-RU" sz="900" b="1">
                        <a:latin typeface="Times New Roman" pitchFamily="18" charset="0"/>
                        <a:cs typeface="Times New Roman" pitchFamily="18" charset="0"/>
                      </a:rPr>
                      <a:t>*</a:t>
                    </a:r>
                    <a:endParaRPr lang="en-US" sz="900" b="1">
                      <a:latin typeface="Times New Roman" pitchFamily="18" charset="0"/>
                      <a:cs typeface="Times New Roman" pitchFamily="18" charset="0"/>
                    </a:endParaRPr>
                  </a:p>
                </c:rich>
              </c:tx>
              <c:showVal val="1"/>
            </c:dLbl>
            <c:txPr>
              <a:bodyPr/>
              <a:lstStyle/>
              <a:p>
                <a:pPr>
                  <a:defRPr sz="900" b="1">
                    <a:latin typeface="Times New Roman" pitchFamily="18" charset="0"/>
                    <a:cs typeface="Times New Roman" pitchFamily="18" charset="0"/>
                  </a:defRPr>
                </a:pPr>
                <a:endParaRPr lang="ru-RU"/>
              </a:p>
            </c:txPr>
            <c:showVal val="1"/>
          </c:dLbls>
          <c:cat>
            <c:strRef>
              <c:f>Доля!$B$4:$C$4</c:f>
              <c:strCache>
                <c:ptCount val="2"/>
                <c:pt idx="0">
                  <c:v>январь-июнь 2014 г.</c:v>
                </c:pt>
                <c:pt idx="1">
                  <c:v>январь-июнь 2015 г.</c:v>
                </c:pt>
              </c:strCache>
            </c:strRef>
          </c:cat>
          <c:val>
            <c:numRef>
              <c:f>Доля!$B$5:$C$5</c:f>
              <c:numCache>
                <c:formatCode>0.0%</c:formatCode>
                <c:ptCount val="2"/>
                <c:pt idx="0">
                  <c:v>0.38100000000000511</c:v>
                </c:pt>
                <c:pt idx="1">
                  <c:v>0.38200000000000528</c:v>
                </c:pt>
              </c:numCache>
            </c:numRef>
          </c:val>
        </c:ser>
        <c:ser>
          <c:idx val="1"/>
          <c:order val="1"/>
          <c:tx>
            <c:strRef>
              <c:f>Доля!$A$6</c:f>
              <c:strCache>
                <c:ptCount val="1"/>
                <c:pt idx="0">
                  <c:v>непроизводственного назначения</c:v>
                </c:pt>
              </c:strCache>
            </c:strRef>
          </c:tx>
          <c:dLbls>
            <c:dLbl>
              <c:idx val="0"/>
              <c:layout>
                <c:manualLayout>
                  <c:x val="3.3334582341481463E-2"/>
                  <c:y val="2.3461697512891692E-4"/>
                </c:manualLayout>
              </c:layout>
              <c:tx>
                <c:rich>
                  <a:bodyPr/>
                  <a:lstStyle/>
                  <a:p>
                    <a:r>
                      <a:rPr lang="en-US" sz="900" b="1">
                        <a:latin typeface="Times New Roman" pitchFamily="18" charset="0"/>
                        <a:cs typeface="Times New Roman" pitchFamily="18" charset="0"/>
                      </a:rPr>
                      <a:t>1</a:t>
                    </a:r>
                    <a:r>
                      <a:rPr lang="ru-RU" sz="900" b="1">
                        <a:latin typeface="Times New Roman" pitchFamily="18" charset="0"/>
                        <a:cs typeface="Times New Roman" pitchFamily="18" charset="0"/>
                      </a:rPr>
                      <a:t>2,6</a:t>
                    </a:r>
                    <a:r>
                      <a:rPr lang="en-US" sz="900" b="1">
                        <a:latin typeface="Times New Roman" pitchFamily="18" charset="0"/>
                        <a:cs typeface="Times New Roman" pitchFamily="18" charset="0"/>
                      </a:rPr>
                      <a:t>%</a:t>
                    </a:r>
                    <a:r>
                      <a:rPr lang="ru-RU" sz="900" b="1">
                        <a:latin typeface="Times New Roman" pitchFamily="18" charset="0"/>
                        <a:cs typeface="Times New Roman" pitchFamily="18" charset="0"/>
                      </a:rPr>
                      <a:t>*</a:t>
                    </a:r>
                    <a:endParaRPr lang="en-US" sz="900" b="1">
                      <a:latin typeface="Times New Roman" pitchFamily="18" charset="0"/>
                      <a:cs typeface="Times New Roman" pitchFamily="18" charset="0"/>
                    </a:endParaRPr>
                  </a:p>
                </c:rich>
              </c:tx>
              <c:showVal val="1"/>
            </c:dLbl>
            <c:dLbl>
              <c:idx val="1"/>
              <c:layout>
                <c:manualLayout>
                  <c:x val="5.1376365564923851E-2"/>
                  <c:y val="-4.0526553718060309E-3"/>
                </c:manualLayout>
              </c:layout>
              <c:tx>
                <c:rich>
                  <a:bodyPr/>
                  <a:lstStyle/>
                  <a:p>
                    <a:r>
                      <a:rPr lang="en-US" sz="900" b="1">
                        <a:latin typeface="Times New Roman" pitchFamily="18" charset="0"/>
                        <a:cs typeface="Times New Roman" pitchFamily="18" charset="0"/>
                      </a:rPr>
                      <a:t>1</a:t>
                    </a:r>
                    <a:r>
                      <a:rPr lang="ru-RU" sz="900" b="1">
                        <a:latin typeface="Times New Roman" pitchFamily="18" charset="0"/>
                        <a:cs typeface="Times New Roman" pitchFamily="18" charset="0"/>
                      </a:rPr>
                      <a:t>2,8</a:t>
                    </a:r>
                    <a:r>
                      <a:rPr lang="en-US" sz="900" b="1">
                        <a:latin typeface="Times New Roman" pitchFamily="18" charset="0"/>
                        <a:cs typeface="Times New Roman" pitchFamily="18" charset="0"/>
                      </a:rPr>
                      <a:t>%</a:t>
                    </a:r>
                    <a:r>
                      <a:rPr lang="ru-RU" sz="900" b="1">
                        <a:latin typeface="Times New Roman" pitchFamily="18" charset="0"/>
                        <a:cs typeface="Times New Roman" pitchFamily="18" charset="0"/>
                      </a:rPr>
                      <a:t>*</a:t>
                    </a:r>
                    <a:endParaRPr lang="en-US" sz="900" b="1">
                      <a:latin typeface="Times New Roman" pitchFamily="18" charset="0"/>
                      <a:cs typeface="Times New Roman" pitchFamily="18" charset="0"/>
                    </a:endParaRPr>
                  </a:p>
                </c:rich>
              </c:tx>
              <c:showVal val="1"/>
            </c:dLbl>
            <c:txPr>
              <a:bodyPr/>
              <a:lstStyle/>
              <a:p>
                <a:pPr>
                  <a:defRPr sz="900" b="1">
                    <a:latin typeface="Times New Roman" pitchFamily="18" charset="0"/>
                    <a:cs typeface="Times New Roman" pitchFamily="18" charset="0"/>
                  </a:defRPr>
                </a:pPr>
                <a:endParaRPr lang="ru-RU"/>
              </a:p>
            </c:txPr>
            <c:showVal val="1"/>
          </c:dLbls>
          <c:cat>
            <c:strRef>
              <c:f>Доля!$B$4:$C$4</c:f>
              <c:strCache>
                <c:ptCount val="2"/>
                <c:pt idx="0">
                  <c:v>январь-июнь 2014 г.</c:v>
                </c:pt>
                <c:pt idx="1">
                  <c:v>январь-июнь 2015 г.</c:v>
                </c:pt>
              </c:strCache>
            </c:strRef>
          </c:cat>
          <c:val>
            <c:numRef>
              <c:f>Доля!$B$6:$C$6</c:f>
              <c:numCache>
                <c:formatCode>0.0%</c:formatCode>
                <c:ptCount val="2"/>
                <c:pt idx="0">
                  <c:v>0.57900000000000063</c:v>
                </c:pt>
                <c:pt idx="1">
                  <c:v>0.57299999999999995</c:v>
                </c:pt>
              </c:numCache>
            </c:numRef>
          </c:val>
        </c:ser>
        <c:dLbls>
          <c:showVal val="1"/>
        </c:dLbls>
        <c:shape val="cylinder"/>
        <c:axId val="163746944"/>
        <c:axId val="163748480"/>
        <c:axId val="0"/>
      </c:bar3DChart>
      <c:catAx>
        <c:axId val="163746944"/>
        <c:scaling>
          <c:orientation val="minMax"/>
        </c:scaling>
        <c:axPos val="b"/>
        <c:tickLblPos val="nextTo"/>
        <c:txPr>
          <a:bodyPr/>
          <a:lstStyle/>
          <a:p>
            <a:pPr>
              <a:defRPr sz="900" b="1">
                <a:latin typeface="Times New Roman" pitchFamily="18" charset="0"/>
                <a:cs typeface="Times New Roman" pitchFamily="18" charset="0"/>
              </a:defRPr>
            </a:pPr>
            <a:endParaRPr lang="ru-RU"/>
          </a:p>
        </c:txPr>
        <c:crossAx val="163748480"/>
        <c:crosses val="autoZero"/>
        <c:auto val="1"/>
        <c:lblAlgn val="ctr"/>
        <c:lblOffset val="100"/>
      </c:catAx>
      <c:valAx>
        <c:axId val="163748480"/>
        <c:scaling>
          <c:orientation val="minMax"/>
        </c:scaling>
        <c:axPos val="l"/>
        <c:numFmt formatCode="0.0%" sourceLinked="1"/>
        <c:tickLblPos val="nextTo"/>
        <c:txPr>
          <a:bodyPr/>
          <a:lstStyle/>
          <a:p>
            <a:pPr>
              <a:defRPr sz="900" b="1">
                <a:latin typeface="Times New Roman" pitchFamily="18" charset="0"/>
                <a:cs typeface="Times New Roman" pitchFamily="18" charset="0"/>
              </a:defRPr>
            </a:pPr>
            <a:endParaRPr lang="ru-RU"/>
          </a:p>
        </c:txPr>
        <c:crossAx val="163746944"/>
        <c:crosses val="autoZero"/>
        <c:crossBetween val="between"/>
      </c:valAx>
    </c:plotArea>
    <c:legend>
      <c:legendPos val="b"/>
      <c:layout>
        <c:manualLayout>
          <c:xMode val="edge"/>
          <c:yMode val="edge"/>
          <c:x val="0.14053509367096872"/>
          <c:y val="0.8199205002911617"/>
          <c:w val="0.83692224312668884"/>
          <c:h val="0.11918103484652842"/>
        </c:manualLayout>
      </c:layout>
      <c:txPr>
        <a:bodyPr/>
        <a:lstStyle/>
        <a:p>
          <a:pPr>
            <a:defRPr b="0">
              <a:latin typeface="Times New Roman" pitchFamily="18" charset="0"/>
              <a:cs typeface="Times New Roman" pitchFamily="18" charset="0"/>
            </a:defRPr>
          </a:pPr>
          <a:endParaRPr lang="ru-RU"/>
        </a:p>
      </c:txPr>
    </c:legend>
    <c:plotVisOnly val="1"/>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584"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2014  г.</a:t>
            </a:r>
          </a:p>
        </c:rich>
      </c:tx>
      <c:layout>
        <c:manualLayout>
          <c:xMode val="edge"/>
          <c:yMode val="edge"/>
          <c:x val="0.32532200504910336"/>
          <c:y val="6.4016007900004101E-3"/>
        </c:manualLayout>
      </c:layout>
      <c:spPr>
        <a:noFill/>
        <a:ln w="18548">
          <a:noFill/>
        </a:ln>
      </c:spPr>
    </c:title>
    <c:view3D>
      <c:rotX val="25"/>
      <c:rotY val="80"/>
      <c:perspective val="0"/>
    </c:view3D>
    <c:plotArea>
      <c:layout>
        <c:manualLayout>
          <c:layoutTarget val="inner"/>
          <c:xMode val="edge"/>
          <c:yMode val="edge"/>
          <c:x val="9.7032658716068976E-2"/>
          <c:y val="9.5492254644639993E-2"/>
          <c:w val="0.76703105745734446"/>
          <c:h val="0.39496732026143838"/>
        </c:manualLayout>
      </c:layout>
      <c:pie3DChart>
        <c:varyColors val="1"/>
        <c:ser>
          <c:idx val="0"/>
          <c:order val="0"/>
          <c:tx>
            <c:strRef>
              <c:f>Sheet1!$A$2</c:f>
              <c:strCache>
                <c:ptCount val="1"/>
                <c:pt idx="0">
                  <c:v>Восток</c:v>
                </c:pt>
              </c:strCache>
            </c:strRef>
          </c:tx>
          <c:spPr>
            <a:solidFill>
              <a:srgbClr val="9999FF"/>
            </a:solidFill>
            <a:ln w="9274">
              <a:solidFill>
                <a:srgbClr val="000000"/>
              </a:solidFill>
              <a:prstDash val="solid"/>
            </a:ln>
          </c:spPr>
          <c:explosion val="21"/>
          <c:dPt>
            <c:idx val="0"/>
            <c:spPr>
              <a:solidFill>
                <a:srgbClr val="969696"/>
              </a:solidFill>
              <a:ln w="9274">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9274">
                <a:solidFill>
                  <a:srgbClr val="000000"/>
                </a:solidFill>
                <a:prstDash val="solid"/>
              </a:ln>
            </c:spPr>
          </c:dPt>
          <c:dPt>
            <c:idx val="2"/>
            <c:spPr>
              <a:solidFill>
                <a:srgbClr val="660066"/>
              </a:solidFill>
              <a:ln w="9274">
                <a:solidFill>
                  <a:srgbClr val="000000"/>
                </a:solidFill>
                <a:prstDash val="solid"/>
              </a:ln>
            </c:spPr>
          </c:dPt>
          <c:dPt>
            <c:idx val="3"/>
            <c:spPr>
              <a:pattFill prst="lgCheck">
                <a:fgClr>
                  <a:srgbClr val="993366"/>
                </a:fgClr>
                <a:bgClr>
                  <a:srgbClr val="FFFFFF"/>
                </a:bgClr>
              </a:pattFill>
              <a:ln w="9274">
                <a:solidFill>
                  <a:srgbClr val="000000"/>
                </a:solidFill>
                <a:prstDash val="solid"/>
              </a:ln>
            </c:spPr>
          </c:dPt>
          <c:dLbls>
            <c:dLbl>
              <c:idx val="0"/>
              <c:layout>
                <c:manualLayout>
                  <c:x val="1.7853343553294578E-2"/>
                  <c:y val="9.7364423649942508E-2"/>
                </c:manualLayout>
              </c:layout>
              <c:tx>
                <c:rich>
                  <a:bodyPr/>
                  <a:lstStyle/>
                  <a:p>
                    <a:r>
                      <a:rPr lang="ru-RU">
                        <a:latin typeface="Times New Roman" pitchFamily="18" charset="0"/>
                        <a:cs typeface="Times New Roman" pitchFamily="18" charset="0"/>
                      </a:rPr>
                      <a:t>2,8</a:t>
                    </a:r>
                    <a:r>
                      <a:rPr lang="en-US">
                        <a:latin typeface="Times New Roman" pitchFamily="18" charset="0"/>
                        <a:cs typeface="Times New Roman" pitchFamily="18" charset="0"/>
                      </a:rPr>
                      <a:t>%</a:t>
                    </a:r>
                  </a:p>
                </c:rich>
              </c:tx>
              <c:dLblPos val="bestFit"/>
            </c:dLbl>
            <c:dLbl>
              <c:idx val="1"/>
              <c:layout>
                <c:manualLayout>
                  <c:x val="-2.4295945307721892E-2"/>
                  <c:y val="9.9663991276454228E-2"/>
                </c:manualLayout>
              </c:layout>
              <c:tx>
                <c:rich>
                  <a:bodyPr/>
                  <a:lstStyle/>
                  <a:p>
                    <a:r>
                      <a:rPr lang="en-US">
                        <a:latin typeface="Times New Roman" pitchFamily="18" charset="0"/>
                        <a:cs typeface="Times New Roman" pitchFamily="18" charset="0"/>
                      </a:rPr>
                      <a:t>8</a:t>
                    </a:r>
                    <a:r>
                      <a:rPr lang="ru-RU">
                        <a:latin typeface="Times New Roman" pitchFamily="18" charset="0"/>
                        <a:cs typeface="Times New Roman" pitchFamily="18" charset="0"/>
                      </a:rPr>
                      <a:t>0</a:t>
                    </a:r>
                    <a:r>
                      <a:rPr lang="en-US">
                        <a:latin typeface="Times New Roman" pitchFamily="18" charset="0"/>
                        <a:cs typeface="Times New Roman" pitchFamily="18" charset="0"/>
                      </a:rPr>
                      <a:t>,9%</a:t>
                    </a:r>
                  </a:p>
                </c:rich>
              </c:tx>
              <c:dLblPos val="bestFit"/>
            </c:dLbl>
            <c:dLbl>
              <c:idx val="2"/>
              <c:layout>
                <c:manualLayout>
                  <c:x val="2.3972003499562581E-2"/>
                  <c:y val="-0.13201871505192544"/>
                </c:manualLayout>
              </c:layout>
              <c:tx>
                <c:rich>
                  <a:bodyPr/>
                  <a:lstStyle/>
                  <a:p>
                    <a:r>
                      <a:rPr lang="ru-RU">
                        <a:latin typeface="Times New Roman" pitchFamily="18" charset="0"/>
                        <a:cs typeface="Times New Roman" pitchFamily="18" charset="0"/>
                      </a:rPr>
                      <a:t>2,2%</a:t>
                    </a:r>
                    <a:endParaRPr lang="en-US">
                      <a:latin typeface="Times New Roman" pitchFamily="18" charset="0"/>
                      <a:cs typeface="Times New Roman" pitchFamily="18" charset="0"/>
                    </a:endParaRPr>
                  </a:p>
                </c:rich>
              </c:tx>
              <c:dLblPos val="bestFit"/>
            </c:dLbl>
            <c:dLbl>
              <c:idx val="3"/>
              <c:layout>
                <c:manualLayout>
                  <c:x val="5.770159261065818E-2"/>
                  <c:y val="-4.5760077091814122E-2"/>
                </c:manualLayout>
              </c:layout>
              <c:tx>
                <c:rich>
                  <a:bodyPr/>
                  <a:lstStyle/>
                  <a:p>
                    <a:r>
                      <a:rPr lang="ru-RU">
                        <a:latin typeface="Times New Roman" pitchFamily="18" charset="0"/>
                        <a:cs typeface="Times New Roman" pitchFamily="18" charset="0"/>
                      </a:rPr>
                      <a:t>14,1</a:t>
                    </a:r>
                    <a:r>
                      <a:rPr lang="en-US">
                        <a:latin typeface="Times New Roman" pitchFamily="18" charset="0"/>
                        <a:cs typeface="Times New Roman" pitchFamily="18" charset="0"/>
                      </a:rPr>
                      <a:t>%</a:t>
                    </a:r>
                  </a:p>
                </c:rich>
              </c:tx>
              <c:dLblPos val="bestFit"/>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4.3000000000000003E-2</c:v>
                </c:pt>
                <c:pt idx="1">
                  <c:v>0.88900000000000001</c:v>
                </c:pt>
                <c:pt idx="2">
                  <c:v>1.4999999999999998E-2</c:v>
                </c:pt>
                <c:pt idx="3">
                  <c:v>5.3000000000000012E-2</c:v>
                </c:pt>
              </c:numCache>
            </c:numRef>
          </c:val>
        </c:ser>
        <c:dLbls>
          <c:showVal val="1"/>
          <c:showPercent val="1"/>
        </c:dLbls>
      </c:pie3DChart>
      <c:spPr>
        <a:noFill/>
        <a:ln w="18594">
          <a:noFill/>
        </a:ln>
      </c:spPr>
    </c:plotArea>
    <c:legend>
      <c:legendPos val="r"/>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0.10601672066196206"/>
          <c:y val="0.58456266570738469"/>
          <c:w val="0.74432465172622653"/>
          <c:h val="0.39324300198515832"/>
        </c:manualLayout>
      </c:layout>
      <c:spPr>
        <a:solidFill>
          <a:srgbClr val="FFFFFF"/>
        </a:solidFill>
        <a:ln w="2318">
          <a:solidFill>
            <a:srgbClr val="000000"/>
          </a:solidFill>
          <a:prstDash val="solid"/>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586" b="1" i="0" u="none" strike="noStrike" baseline="0">
          <a:solidFill>
            <a:srgbClr val="000000"/>
          </a:solidFill>
          <a:latin typeface="Calibri"/>
          <a:ea typeface="Calibri"/>
          <a:cs typeface="Calibri"/>
        </a:defRPr>
      </a:pPr>
      <a:endParaRPr lang="ru-RU"/>
    </a:p>
  </c:txPr>
  <c:externalData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2015 г.</a:t>
            </a:r>
          </a:p>
        </c:rich>
      </c:tx>
      <c:layout>
        <c:manualLayout>
          <c:xMode val="edge"/>
          <c:yMode val="edge"/>
          <c:x val="0.31548202542098414"/>
          <c:y val="2.4194945175000658E-4"/>
        </c:manualLayout>
      </c:layout>
      <c:spPr>
        <a:noFill/>
        <a:ln w="24324">
          <a:noFill/>
        </a:ln>
      </c:spPr>
    </c:title>
    <c:view3D>
      <c:rotX val="30"/>
      <c:rotY val="80"/>
      <c:perspective val="0"/>
    </c:view3D>
    <c:plotArea>
      <c:layout>
        <c:manualLayout>
          <c:layoutTarget val="inner"/>
          <c:xMode val="edge"/>
          <c:yMode val="edge"/>
          <c:x val="0"/>
          <c:y val="0.10649168853893635"/>
          <c:w val="0.96004993757804136"/>
          <c:h val="0.40250849354491042"/>
        </c:manualLayout>
      </c:layout>
      <c:pie3DChart>
        <c:varyColors val="1"/>
        <c:ser>
          <c:idx val="0"/>
          <c:order val="0"/>
          <c:tx>
            <c:strRef>
              <c:f>Sheet1!$A$2</c:f>
              <c:strCache>
                <c:ptCount val="1"/>
                <c:pt idx="0">
                  <c:v>Восток</c:v>
                </c:pt>
              </c:strCache>
            </c:strRef>
          </c:tx>
          <c:spPr>
            <a:solidFill>
              <a:srgbClr val="9999FF"/>
            </a:solidFill>
            <a:ln w="12162">
              <a:solidFill>
                <a:srgbClr val="000000"/>
              </a:solidFill>
              <a:prstDash val="solid"/>
            </a:ln>
          </c:spPr>
          <c:explosion val="25"/>
          <c:dPt>
            <c:idx val="0"/>
            <c:spPr>
              <a:solidFill>
                <a:srgbClr val="969696"/>
              </a:solidFill>
              <a:ln w="12162">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2162">
                <a:solidFill>
                  <a:srgbClr val="000000"/>
                </a:solidFill>
                <a:prstDash val="solid"/>
              </a:ln>
            </c:spPr>
          </c:dPt>
          <c:dPt>
            <c:idx val="2"/>
            <c:spPr>
              <a:solidFill>
                <a:srgbClr val="660066"/>
              </a:solidFill>
              <a:ln w="12162">
                <a:solidFill>
                  <a:srgbClr val="000000"/>
                </a:solidFill>
                <a:prstDash val="solid"/>
              </a:ln>
            </c:spPr>
          </c:dPt>
          <c:dPt>
            <c:idx val="3"/>
            <c:spPr>
              <a:pattFill prst="lgCheck">
                <a:fgClr>
                  <a:srgbClr val="993366"/>
                </a:fgClr>
                <a:bgClr>
                  <a:srgbClr val="FFFFFF"/>
                </a:bgClr>
              </a:pattFill>
              <a:ln w="12162">
                <a:solidFill>
                  <a:srgbClr val="000000"/>
                </a:solidFill>
                <a:prstDash val="solid"/>
              </a:ln>
            </c:spPr>
          </c:dPt>
          <c:dLbls>
            <c:dLbl>
              <c:idx val="0"/>
              <c:layout>
                <c:manualLayout>
                  <c:x val="3.7687308013946146E-2"/>
                  <c:y val="7.4465091863521973E-2"/>
                </c:manualLayout>
              </c:layout>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3,4</a:t>
                    </a:r>
                    <a:r>
                      <a:rPr lang="en-US">
                        <a:latin typeface="Times New Roman" pitchFamily="18" charset="0"/>
                        <a:cs typeface="Times New Roman" pitchFamily="18" charset="0"/>
                      </a:rPr>
                      <a:t>%</a:t>
                    </a:r>
                  </a:p>
                </c:rich>
              </c:tx>
              <c:spPr>
                <a:noFill/>
                <a:ln w="24324">
                  <a:noFill/>
                </a:ln>
              </c:spPr>
              <c:dLblPos val="bestFit"/>
            </c:dLbl>
            <c:dLbl>
              <c:idx val="1"/>
              <c:layout>
                <c:manualLayout>
                  <c:x val="-2.128418490275466E-2"/>
                  <c:y val="7.4776052993375822E-2"/>
                </c:manualLayout>
              </c:layout>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94,4%</a:t>
                    </a:r>
                    <a:endParaRPr lang="en-US">
                      <a:latin typeface="Times New Roman" pitchFamily="18" charset="0"/>
                      <a:cs typeface="Times New Roman" pitchFamily="18" charset="0"/>
                    </a:endParaRPr>
                  </a:p>
                </c:rich>
              </c:tx>
              <c:spPr>
                <a:noFill/>
                <a:ln w="24324">
                  <a:noFill/>
                </a:ln>
              </c:spPr>
              <c:dLblPos val="bestFit"/>
            </c:dLbl>
            <c:dLbl>
              <c:idx val="2"/>
              <c:layout>
                <c:manualLayout>
                  <c:x val="6.8544016457402282E-2"/>
                  <c:y val="-0.11207323722215889"/>
                </c:manualLayout>
              </c:layout>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0,2</a:t>
                    </a:r>
                    <a:r>
                      <a:rPr lang="en-US">
                        <a:latin typeface="Times New Roman" pitchFamily="18" charset="0"/>
                        <a:cs typeface="Times New Roman" pitchFamily="18" charset="0"/>
                      </a:rPr>
                      <a:t>%</a:t>
                    </a:r>
                  </a:p>
                </c:rich>
              </c:tx>
              <c:spPr>
                <a:noFill/>
                <a:ln w="24324">
                  <a:noFill/>
                </a:ln>
              </c:spPr>
              <c:dLblPos val="bestFit"/>
            </c:dLbl>
            <c:dLbl>
              <c:idx val="3"/>
              <c:layout>
                <c:manualLayout>
                  <c:x val="4.5934241327942132E-2"/>
                  <c:y val="-4.5053571202150464E-2"/>
                </c:manualLayout>
              </c:layout>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2,0</a:t>
                    </a:r>
                    <a:r>
                      <a:rPr lang="en-US">
                        <a:latin typeface="Times New Roman" pitchFamily="18" charset="0"/>
                        <a:cs typeface="Times New Roman" pitchFamily="18" charset="0"/>
                      </a:rPr>
                      <a:t>%</a:t>
                    </a:r>
                  </a:p>
                </c:rich>
              </c:tx>
              <c:spPr>
                <a:noFill/>
                <a:ln w="24324">
                  <a:noFill/>
                </a:ln>
              </c:spPr>
              <c:dLblPos val="bestFit"/>
            </c:dLbl>
            <c:dLbl>
              <c:idx val="4"/>
              <c:layout>
                <c:manualLayout>
                  <c:x val="-7.9423291546549701E-2"/>
                  <c:y val="1.1341417274298561E-3"/>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5"/>
              <c:layout>
                <c:manualLayout>
                  <c:x val="-0.12883613558915979"/>
                  <c:y val="-5.6232996118203933E-2"/>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6"/>
              <c:layout>
                <c:manualLayout>
                  <c:x val="-4.6739807796465846E-2"/>
                  <c:y val="-0.13727101005578182"/>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7"/>
              <c:layout>
                <c:manualLayout>
                  <c:x val="-0.12131749626794185"/>
                  <c:y val="-0.14979121978685472"/>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8"/>
              <c:layout>
                <c:manualLayout>
                  <c:x val="7.9664857278558709E-2"/>
                  <c:y val="-0.1359210952999807"/>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9"/>
              <c:layout>
                <c:manualLayout>
                  <c:x val="5.5932806936557874E-2"/>
                  <c:y val="-9.9738752073467746E-2"/>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10"/>
              <c:layout>
                <c:manualLayout>
                  <c:x val="8.9960564866300274E-2"/>
                  <c:y val="-6.6121948348689341E-2"/>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dLbl>
              <c:idx val="11"/>
              <c:layout>
                <c:manualLayout>
                  <c:x val="4.7145589451160895E-2"/>
                  <c:y val="-1.489385283150272E-2"/>
                </c:manualLayout>
              </c:layout>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Percent val="1"/>
            </c:dLbl>
            <c:numFmt formatCode="0%" sourceLinked="0"/>
            <c:spPr>
              <a:noFill/>
              <a:ln w="24324">
                <a:noFill/>
              </a:ln>
            </c:spPr>
            <c:txPr>
              <a:bodyPr/>
              <a:lstStyle/>
              <a:p>
                <a:pPr>
                  <a:defRPr sz="765" b="1" i="0" u="none" strike="noStrike" baseline="0">
                    <a:solidFill>
                      <a:srgbClr val="000000"/>
                    </a:solidFill>
                    <a:latin typeface="Times New Roman" pitchFamily="18" charset="0"/>
                    <a:ea typeface="Calibri"/>
                    <a:cs typeface="Times New Roman" pitchFamily="18" charset="0"/>
                  </a:defRPr>
                </a:pPr>
                <a:endParaRPr lang="ru-RU"/>
              </a:p>
            </c:txPr>
            <c:showVal val="1"/>
            <c:showPercent val="1"/>
            <c:showLeaderLines val="1"/>
          </c:dLbls>
          <c:cat>
            <c:strRef>
              <c:f>Sheet1!$B$1:$E$1</c:f>
              <c:strCache>
                <c:ptCount val="4"/>
                <c:pt idx="0">
                  <c:v>средства бюджетов</c:v>
                </c:pt>
                <c:pt idx="1">
                  <c:v>собственные средства организаций</c:v>
                </c:pt>
                <c:pt idx="2">
                  <c:v>кредиты (займы) банков</c:v>
                </c:pt>
                <c:pt idx="3">
                  <c:v>прочие источники</c:v>
                </c:pt>
              </c:strCache>
            </c:strRef>
          </c:cat>
          <c:val>
            <c:numRef>
              <c:f>Sheet1!$B$2:$E$2</c:f>
              <c:numCache>
                <c:formatCode>0.0%</c:formatCode>
                <c:ptCount val="4"/>
                <c:pt idx="0">
                  <c:v>3.5999999999999997E-2</c:v>
                </c:pt>
                <c:pt idx="1">
                  <c:v>0.86000000000000065</c:v>
                </c:pt>
                <c:pt idx="2">
                  <c:v>9.0000000000000028E-3</c:v>
                </c:pt>
                <c:pt idx="3">
                  <c:v>9.5000000000000043E-2</c:v>
                </c:pt>
              </c:numCache>
            </c:numRef>
          </c:val>
        </c:ser>
        <c:dLbls>
          <c:showVal val="1"/>
          <c:showPercent val="1"/>
        </c:dLbls>
      </c:pie3DChart>
      <c:spPr>
        <a:solidFill>
          <a:srgbClr val="FFFFFF"/>
        </a:solidFill>
        <a:ln w="12162">
          <a:solidFill>
            <a:srgbClr val="FFFFFF"/>
          </a:solidFill>
          <a:prstDash val="solid"/>
        </a:ln>
      </c:spPr>
    </c:plotArea>
    <c:legend>
      <c:legendPos val="r"/>
      <c:layout>
        <c:manualLayout>
          <c:xMode val="edge"/>
          <c:yMode val="edge"/>
          <c:x val="7.6192425405308184E-2"/>
          <c:y val="0.58183118414545598"/>
          <c:w val="0.83798873455424805"/>
          <c:h val="0.3920705597079619"/>
        </c:manualLayout>
      </c:layout>
      <c:spPr>
        <a:ln>
          <a:solidFill>
            <a:schemeClr val="tx1"/>
          </a:solidFill>
        </a:ln>
      </c:spPr>
      <c:txPr>
        <a:bodyPr/>
        <a:lstStyle/>
        <a:p>
          <a:pPr>
            <a:defRPr sz="900">
              <a:latin typeface="Times New Roman" pitchFamily="18" charset="0"/>
              <a:cs typeface="Times New Roman" pitchFamily="18" charset="0"/>
            </a:defRPr>
          </a:pPr>
          <a:endParaRPr lang="ru-RU"/>
        </a:p>
      </c:txPr>
    </c:legend>
    <c:plotVisOnly val="1"/>
    <c:dispBlanksAs val="zero"/>
  </c:chart>
  <c:spPr>
    <a:noFill/>
    <a:ln>
      <a:noFill/>
    </a:ln>
  </c:spPr>
  <c:txPr>
    <a:bodyPr/>
    <a:lstStyle/>
    <a:p>
      <a:pPr>
        <a:defRPr sz="763" b="1" i="0" u="none" strike="noStrike" baseline="0">
          <a:solidFill>
            <a:srgbClr val="000000"/>
          </a:solidFill>
          <a:latin typeface="Calibri"/>
          <a:ea typeface="Calibri"/>
          <a:cs typeface="Calibri"/>
        </a:defRPr>
      </a:pPr>
      <a:endParaRPr lang="ru-RU"/>
    </a:p>
  </c:txPr>
  <c:externalData r:id="rId3"/>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40"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 -июнь 2014 г.</a:t>
            </a:r>
          </a:p>
        </c:rich>
      </c:tx>
      <c:layout>
        <c:manualLayout>
          <c:xMode val="edge"/>
          <c:yMode val="edge"/>
          <c:x val="0.36774944932526532"/>
          <c:y val="9.7951673566578731E-5"/>
        </c:manualLayout>
      </c:layout>
      <c:spPr>
        <a:noFill/>
        <a:ln w="23471">
          <a:noFill/>
        </a:ln>
      </c:spPr>
    </c:title>
    <c:view3D>
      <c:rotX val="30"/>
      <c:rotY val="80"/>
      <c:perspective val="0"/>
    </c:view3D>
    <c:plotArea>
      <c:layout>
        <c:manualLayout>
          <c:layoutTarget val="inner"/>
          <c:xMode val="edge"/>
          <c:yMode val="edge"/>
          <c:x val="3.9777328718867216E-2"/>
          <c:y val="8.883389576303817E-2"/>
          <c:w val="0.89791743321804462"/>
          <c:h val="0.393894697589035"/>
        </c:manualLayout>
      </c:layout>
      <c:pie3DChart>
        <c:varyColors val="1"/>
        <c:ser>
          <c:idx val="0"/>
          <c:order val="0"/>
          <c:tx>
            <c:strRef>
              <c:f>Sheet1!$A$2</c:f>
              <c:strCache>
                <c:ptCount val="1"/>
                <c:pt idx="0">
                  <c:v>Восток</c:v>
                </c:pt>
              </c:strCache>
            </c:strRef>
          </c:tx>
          <c:spPr>
            <a:solidFill>
              <a:srgbClr val="9999FF"/>
            </a:solidFill>
            <a:ln w="11735">
              <a:solidFill>
                <a:srgbClr val="000000"/>
              </a:solidFill>
              <a:prstDash val="solid"/>
            </a:ln>
          </c:spPr>
          <c:dPt>
            <c:idx val="0"/>
            <c:spPr>
              <a:solidFill>
                <a:srgbClr val="969696"/>
              </a:solidFill>
              <a:ln w="11735">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735">
                <a:solidFill>
                  <a:srgbClr val="000000"/>
                </a:solidFill>
                <a:prstDash val="solid"/>
              </a:ln>
            </c:spPr>
          </c:dPt>
          <c:dPt>
            <c:idx val="2"/>
            <c:spPr>
              <a:solidFill>
                <a:srgbClr val="00B050"/>
              </a:solidFill>
              <a:ln w="11735">
                <a:solidFill>
                  <a:srgbClr val="000000"/>
                </a:solidFill>
                <a:prstDash val="solid"/>
              </a:ln>
            </c:spPr>
          </c:dPt>
          <c:dPt>
            <c:idx val="3"/>
            <c:spPr>
              <a:pattFill prst="lgCheck">
                <a:fgClr>
                  <a:srgbClr val="993366"/>
                </a:fgClr>
                <a:bgClr>
                  <a:srgbClr val="FFFFFF"/>
                </a:bgClr>
              </a:pattFill>
              <a:ln w="11735">
                <a:solidFill>
                  <a:srgbClr val="000000"/>
                </a:solidFill>
                <a:prstDash val="solid"/>
              </a:ln>
            </c:spPr>
          </c:dPt>
          <c:dLbls>
            <c:dLbl>
              <c:idx val="0"/>
              <c:layout>
                <c:manualLayout>
                  <c:x val="7.6335877862595422E-2"/>
                  <c:y val="2.0833333333333412E-2"/>
                </c:manualLayout>
              </c:layout>
              <c:dLblPos val="bestFit"/>
              <c:showVal val="1"/>
            </c:dLbl>
            <c:dLbl>
              <c:idx val="1"/>
              <c:layout>
                <c:manualLayout>
                  <c:x val="0.14418999151823594"/>
                  <c:y val="5.5555555555555615E-2"/>
                </c:manualLayout>
              </c:layout>
              <c:dLblPos val="bestFit"/>
              <c:showVal val="1"/>
            </c:dLbl>
            <c:dLbl>
              <c:idx val="2"/>
              <c:layout>
                <c:manualLayout>
                  <c:x val="-0.12722646310432825"/>
                  <c:y val="8.3333333333333343E-2"/>
                </c:manualLayout>
              </c:layout>
              <c:dLblPos val="bestFit"/>
              <c:showVal val="1"/>
            </c:dLbl>
            <c:dLbl>
              <c:idx val="3"/>
              <c:layout>
                <c:manualLayout>
                  <c:x val="5.9372349448685413E-2"/>
                  <c:y val="-7.6388888888888895E-2"/>
                </c:manualLayout>
              </c:layout>
              <c:dLblPos val="bestFit"/>
              <c:showVal val="1"/>
            </c:dLbl>
            <c:txPr>
              <a:bodyPr/>
              <a:lstStyle/>
              <a:p>
                <a:pPr>
                  <a:defRPr>
                    <a:latin typeface="Times New Roman" pitchFamily="18" charset="0"/>
                    <a:cs typeface="Times New Roman" pitchFamily="18" charset="0"/>
                  </a:defRPr>
                </a:pPr>
                <a:endParaRPr lang="ru-RU"/>
              </a:p>
            </c:txPr>
            <c:dLblPos val="outEnd"/>
            <c:showVal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0.27800000000000002</c:v>
                </c:pt>
                <c:pt idx="1">
                  <c:v>3.500000000000001E-2</c:v>
                </c:pt>
                <c:pt idx="2">
                  <c:v>0.68400000000000005</c:v>
                </c:pt>
                <c:pt idx="3">
                  <c:v>3.0000000000000092E-3</c:v>
                </c:pt>
              </c:numCache>
            </c:numRef>
          </c:val>
        </c:ser>
        <c:dLbls>
          <c:showVal val="1"/>
          <c:showPercent val="1"/>
        </c:dLbls>
      </c:pie3DChart>
      <c:spPr>
        <a:solidFill>
          <a:srgbClr val="FFFFFF"/>
        </a:solidFill>
        <a:ln w="11735">
          <a:solidFill>
            <a:srgbClr val="FFFFFF"/>
          </a:solidFill>
          <a:prstDash val="solid"/>
        </a:ln>
      </c:spPr>
    </c:plotArea>
    <c:legend>
      <c:legendPos val="r"/>
      <c:legendEntry>
        <c:idx val="0"/>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1.1303812103872869E-2"/>
          <c:y val="0.66028736098709306"/>
          <c:w val="0.96380248288899562"/>
          <c:h val="0.27207320396426188"/>
        </c:manualLayout>
      </c:layout>
      <c:spPr>
        <a:solidFill>
          <a:srgbClr val="FFFFFF"/>
        </a:solidFill>
        <a:ln w="2934">
          <a:solidFill>
            <a:srgbClr val="000000"/>
          </a:solidFill>
          <a:prstDash val="solid"/>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41" b="1" i="0" u="none" strike="noStrike" baseline="0">
          <a:solidFill>
            <a:srgbClr val="000000"/>
          </a:solidFill>
          <a:latin typeface="Calibri"/>
          <a:ea typeface="Calibri"/>
          <a:cs typeface="Calibri"/>
        </a:defRPr>
      </a:pPr>
      <a:endParaRPr lang="ru-RU"/>
    </a:p>
  </c:txPr>
  <c:externalData r:id="rId3"/>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22"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январь-июнь 2015 г.</a:t>
            </a:r>
          </a:p>
        </c:rich>
      </c:tx>
      <c:layout>
        <c:manualLayout>
          <c:xMode val="edge"/>
          <c:yMode val="edge"/>
          <c:x val="0.3504819412910844"/>
          <c:y val="5.9130657448307703E-3"/>
        </c:manualLayout>
      </c:layout>
      <c:spPr>
        <a:noFill/>
        <a:ln w="22943">
          <a:noFill/>
        </a:ln>
      </c:spPr>
    </c:title>
    <c:view3D>
      <c:rotX val="30"/>
      <c:rotY val="80"/>
      <c:perspective val="0"/>
    </c:view3D>
    <c:plotArea>
      <c:layout>
        <c:manualLayout>
          <c:layoutTarget val="inner"/>
          <c:xMode val="edge"/>
          <c:yMode val="edge"/>
          <c:x val="3.9547869016372951E-2"/>
          <c:y val="0.14712160979877512"/>
          <c:w val="0.89126890388700941"/>
          <c:h val="0.37128200943793982"/>
        </c:manualLayout>
      </c:layout>
      <c:pie3DChart>
        <c:varyColors val="1"/>
        <c:ser>
          <c:idx val="0"/>
          <c:order val="0"/>
          <c:tx>
            <c:strRef>
              <c:f>Sheet1!$A$2</c:f>
              <c:strCache>
                <c:ptCount val="1"/>
                <c:pt idx="0">
                  <c:v>Восток</c:v>
                </c:pt>
              </c:strCache>
            </c:strRef>
          </c:tx>
          <c:spPr>
            <a:solidFill>
              <a:srgbClr val="9999FF"/>
            </a:solidFill>
            <a:ln w="11472">
              <a:solidFill>
                <a:srgbClr val="000000"/>
              </a:solidFill>
              <a:prstDash val="solid"/>
            </a:ln>
          </c:spPr>
          <c:dPt>
            <c:idx val="0"/>
            <c:spPr>
              <a:solidFill>
                <a:srgbClr val="969696"/>
              </a:solidFill>
              <a:ln w="11472">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472">
                <a:solidFill>
                  <a:srgbClr val="000000"/>
                </a:solidFill>
                <a:prstDash val="solid"/>
              </a:ln>
            </c:spPr>
          </c:dPt>
          <c:dPt>
            <c:idx val="2"/>
            <c:spPr>
              <a:solidFill>
                <a:srgbClr val="00B050"/>
              </a:solidFill>
              <a:ln w="11472">
                <a:solidFill>
                  <a:srgbClr val="000000"/>
                </a:solidFill>
                <a:prstDash val="solid"/>
              </a:ln>
            </c:spPr>
          </c:dPt>
          <c:dPt>
            <c:idx val="3"/>
            <c:spPr>
              <a:pattFill prst="lgCheck">
                <a:fgClr>
                  <a:srgbClr val="993366"/>
                </a:fgClr>
                <a:bgClr>
                  <a:srgbClr val="FFFFFF"/>
                </a:bgClr>
              </a:pattFill>
              <a:ln w="11472">
                <a:solidFill>
                  <a:srgbClr val="000000"/>
                </a:solidFill>
                <a:prstDash val="solid"/>
              </a:ln>
            </c:spPr>
          </c:dPt>
          <c:dLbls>
            <c:dLbl>
              <c:idx val="0"/>
              <c:layout>
                <c:manualLayout>
                  <c:x val="9.4501859142608766E-2"/>
                  <c:y val="-4.0294181977252874E-3"/>
                </c:manualLayout>
              </c:layout>
              <c:tx>
                <c:rich>
                  <a:bodyPr/>
                  <a:lstStyle/>
                  <a:p>
                    <a:r>
                      <a:rPr lang="en-US">
                        <a:latin typeface="Times New Roman" pitchFamily="18" charset="0"/>
                        <a:cs typeface="Times New Roman" pitchFamily="18" charset="0"/>
                      </a:rPr>
                      <a:t>29,8%</a:t>
                    </a:r>
                  </a:p>
                </c:rich>
              </c:tx>
              <c:dLblPos val="bestFit"/>
            </c:dLbl>
            <c:dLbl>
              <c:idx val="1"/>
              <c:layout>
                <c:manualLayout>
                  <c:x val="0.14293373918538357"/>
                  <c:y val="5.9182524059494326E-2"/>
                </c:manualLayout>
              </c:layout>
              <c:tx>
                <c:rich>
                  <a:bodyPr/>
                  <a:lstStyle/>
                  <a:p>
                    <a:r>
                      <a:rPr lang="en-US">
                        <a:latin typeface="Times New Roman" pitchFamily="18" charset="0"/>
                        <a:cs typeface="Times New Roman" pitchFamily="18" charset="0"/>
                      </a:rPr>
                      <a:t>4,5% </a:t>
                    </a:r>
                  </a:p>
                </c:rich>
              </c:tx>
              <c:dLblPos val="bestFit"/>
            </c:dLbl>
            <c:dLbl>
              <c:idx val="2"/>
              <c:layout>
                <c:manualLayout>
                  <c:x val="-0.11755613881598152"/>
                  <c:y val="0.14027285651793694"/>
                </c:manualLayout>
              </c:layout>
              <c:tx>
                <c:rich>
                  <a:bodyPr/>
                  <a:lstStyle/>
                  <a:p>
                    <a:r>
                      <a:rPr lang="en-US">
                        <a:latin typeface="Times New Roman" pitchFamily="18" charset="0"/>
                        <a:cs typeface="Times New Roman" pitchFamily="18" charset="0"/>
                      </a:rPr>
                      <a:t>65,4% </a:t>
                    </a:r>
                  </a:p>
                </c:rich>
              </c:tx>
              <c:dLblPos val="bestFit"/>
            </c:dLbl>
            <c:dLbl>
              <c:idx val="3"/>
              <c:layout>
                <c:manualLayout>
                  <c:x val="6.4336966559737765E-2"/>
                  <c:y val="-8.3578849518813253E-2"/>
                </c:manualLayout>
              </c:layout>
              <c:tx>
                <c:rich>
                  <a:bodyPr/>
                  <a:lstStyle/>
                  <a:p>
                    <a:r>
                      <a:rPr lang="en-US">
                        <a:latin typeface="Times New Roman" pitchFamily="18" charset="0"/>
                        <a:cs typeface="Times New Roman" pitchFamily="18" charset="0"/>
                      </a:rPr>
                      <a:t>0,3% </a:t>
                    </a:r>
                  </a:p>
                </c:rich>
              </c:tx>
              <c:dLblPos val="bestFit"/>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0.29800000000000032</c:v>
                </c:pt>
                <c:pt idx="1">
                  <c:v>4.5000000000000012E-2</c:v>
                </c:pt>
                <c:pt idx="2">
                  <c:v>0.65400000000000746</c:v>
                </c:pt>
                <c:pt idx="3">
                  <c:v>3.0000000000000092E-3</c:v>
                </c:pt>
              </c:numCache>
            </c:numRef>
          </c:val>
        </c:ser>
        <c:ser>
          <c:idx val="1"/>
          <c:order val="1"/>
          <c:tx>
            <c:strRef>
              <c:f>Sheet1!$A$2</c:f>
              <c:strCache>
                <c:ptCount val="1"/>
                <c:pt idx="0">
                  <c:v>Восток</c:v>
                </c:pt>
              </c:strCache>
            </c:strRef>
          </c:tx>
          <c:spPr>
            <a:solidFill>
              <a:srgbClr val="9999FF"/>
            </a:solidFill>
            <a:ln w="11468">
              <a:solidFill>
                <a:srgbClr val="000000"/>
              </a:solidFill>
              <a:prstDash val="solid"/>
            </a:ln>
          </c:spPr>
          <c:dPt>
            <c:idx val="0"/>
            <c:spPr>
              <a:solidFill>
                <a:srgbClr val="969696"/>
              </a:solidFill>
              <a:ln w="11468">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468">
                <a:solidFill>
                  <a:srgbClr val="000000"/>
                </a:solidFill>
                <a:prstDash val="solid"/>
              </a:ln>
            </c:spPr>
          </c:dPt>
          <c:dPt>
            <c:idx val="2"/>
            <c:spPr>
              <a:solidFill>
                <a:srgbClr val="00B050"/>
              </a:solidFill>
              <a:ln w="11468">
                <a:solidFill>
                  <a:srgbClr val="000000"/>
                </a:solidFill>
                <a:prstDash val="solid"/>
              </a:ln>
            </c:spPr>
          </c:dPt>
          <c:dPt>
            <c:idx val="3"/>
            <c:spPr>
              <a:pattFill prst="lgCheck">
                <a:fgClr>
                  <a:srgbClr val="993366"/>
                </a:fgClr>
                <a:bgClr>
                  <a:srgbClr val="FFFFFF"/>
                </a:bgClr>
              </a:pattFill>
              <a:ln w="11468">
                <a:solidFill>
                  <a:srgbClr val="000000"/>
                </a:solidFill>
                <a:prstDash val="solid"/>
              </a:ln>
            </c:spPr>
          </c:dPt>
          <c:dLbls>
            <c:dLbl>
              <c:idx val="0"/>
              <c:tx>
                <c:rich>
                  <a:bodyPr/>
                  <a:lstStyle/>
                  <a:p>
                    <a:r>
                      <a:rPr lang="en-US"/>
                      <a:t> 2</a:t>
                    </a:r>
                    <a:r>
                      <a:rPr lang="ru-RU"/>
                      <a:t>4,7</a:t>
                    </a:r>
                    <a:r>
                      <a:rPr lang="en-US"/>
                      <a:t>%</a:t>
                    </a:r>
                  </a:p>
                </c:rich>
              </c:tx>
              <c:dLblPos val="bestFit"/>
            </c:dLbl>
            <c:dLbl>
              <c:idx val="1"/>
              <c:tx>
                <c:rich>
                  <a:bodyPr/>
                  <a:lstStyle/>
                  <a:p>
                    <a:r>
                      <a:rPr lang="en-US"/>
                      <a:t> </a:t>
                    </a:r>
                    <a:r>
                      <a:rPr lang="ru-RU"/>
                      <a:t>4,0%</a:t>
                    </a:r>
                    <a:endParaRPr lang="en-US"/>
                  </a:p>
                </c:rich>
              </c:tx>
              <c:dLblPos val="bestFit"/>
            </c:dLbl>
            <c:dLbl>
              <c:idx val="2"/>
              <c:tx>
                <c:rich>
                  <a:bodyPr/>
                  <a:lstStyle/>
                  <a:p>
                    <a:r>
                      <a:rPr lang="en-US"/>
                      <a:t> 7</a:t>
                    </a:r>
                    <a:r>
                      <a:rPr lang="ru-RU"/>
                      <a:t>1,0</a:t>
                    </a:r>
                    <a:r>
                      <a:rPr lang="en-US"/>
                      <a:t>%</a:t>
                    </a:r>
                  </a:p>
                </c:rich>
              </c:tx>
              <c:dLblPos val="bestFit"/>
            </c:dLbl>
            <c:dLbl>
              <c:idx val="3"/>
              <c:tx>
                <c:rich>
                  <a:bodyPr/>
                  <a:lstStyle/>
                  <a:p>
                    <a:r>
                      <a:rPr lang="en-US"/>
                      <a:t> 0</a:t>
                    </a:r>
                    <a:r>
                      <a:rPr lang="ru-RU"/>
                      <a:t>,3</a:t>
                    </a:r>
                    <a:r>
                      <a:rPr lang="en-US"/>
                      <a:t>%</a:t>
                    </a:r>
                  </a:p>
                </c:rich>
              </c:tx>
              <c:dLblPos val="bestFit"/>
            </c:dLbl>
            <c:txPr>
              <a:bodyPr/>
              <a:lstStyle/>
              <a:p>
                <a:pPr>
                  <a:defRPr>
                    <a:latin typeface="Times New Roman" pitchFamily="18" charset="0"/>
                    <a:cs typeface="Times New Roman" pitchFamily="18" charset="0"/>
                  </a:defRPr>
                </a:pPr>
                <a:endParaRPr lang="ru-RU"/>
              </a:p>
            </c:txPr>
            <c:showVal val="1"/>
            <c:showPercent val="1"/>
            <c:showLeaderLines val="1"/>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0.29800000000000032</c:v>
                </c:pt>
                <c:pt idx="1">
                  <c:v>4.5000000000000012E-2</c:v>
                </c:pt>
                <c:pt idx="2">
                  <c:v>0.65400000000000746</c:v>
                </c:pt>
                <c:pt idx="3">
                  <c:v>3.0000000000000092E-3</c:v>
                </c:pt>
              </c:numCache>
            </c:numRef>
          </c:val>
        </c:ser>
        <c:dLbls>
          <c:showVal val="1"/>
          <c:showPercent val="1"/>
        </c:dLbls>
      </c:pie3DChart>
      <c:spPr>
        <a:solidFill>
          <a:srgbClr val="FFFFFF"/>
        </a:solidFill>
        <a:ln w="11472">
          <a:solidFill>
            <a:srgbClr val="FFFFFF"/>
          </a:solidFill>
          <a:prstDash val="solid"/>
        </a:ln>
      </c:spPr>
    </c:plotArea>
    <c:legend>
      <c:legendPos val="r"/>
      <c:layout>
        <c:manualLayout>
          <c:xMode val="edge"/>
          <c:yMode val="edge"/>
          <c:x val="5.3882099093442409E-2"/>
          <c:y val="0.68586287689648562"/>
          <c:w val="0.9286904014298959"/>
          <c:h val="0.24977629091700446"/>
        </c:manualLayout>
      </c:layout>
      <c:spPr>
        <a:solidFill>
          <a:srgbClr val="FFFFFF"/>
        </a:solidFill>
        <a:ln w="2868">
          <a:solidFill>
            <a:srgbClr val="000000"/>
          </a:solidFill>
          <a:prstDash val="solid"/>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26" b="1" i="0" u="none" strike="noStrike" baseline="0">
          <a:solidFill>
            <a:srgbClr val="000000"/>
          </a:solidFill>
          <a:latin typeface="Calibri"/>
          <a:ea typeface="Calibri"/>
          <a:cs typeface="Calibri"/>
        </a:defRPr>
      </a:pPr>
      <a:endParaRPr lang="ru-RU"/>
    </a:p>
  </c:txPr>
  <c:externalData r:id="rId3"/>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a:pPr>
            <a:r>
              <a:rPr lang="ru-RU" sz="900"/>
              <a:t>Структура доходов от услуг элестросвязи </a:t>
            </a:r>
            <a:r>
              <a:rPr lang="ru-RU" sz="900" b="1" i="0" u="none" strike="noStrike" baseline="0"/>
              <a:t>за </a:t>
            </a:r>
            <a:r>
              <a:rPr lang="en-US" sz="900" b="1" i="0" u="none" strike="noStrike" baseline="0"/>
              <a:t>I </a:t>
            </a:r>
            <a:r>
              <a:rPr lang="ru-RU" sz="900" b="1" i="0" u="none" strike="noStrike" baseline="0"/>
              <a:t>полугодие 2014 года</a:t>
            </a:r>
            <a:endParaRPr lang="ru-RU" sz="900"/>
          </a:p>
        </c:rich>
      </c:tx>
      <c:layout>
        <c:manualLayout>
          <c:xMode val="edge"/>
          <c:yMode val="edge"/>
          <c:x val="0.11693935454329923"/>
          <c:y val="0"/>
        </c:manualLayout>
      </c:layout>
      <c:spPr>
        <a:noFill/>
      </c:spPr>
    </c:title>
    <c:view3D>
      <c:rotX val="75"/>
      <c:perspective val="30"/>
    </c:view3D>
    <c:plotArea>
      <c:layout>
        <c:manualLayout>
          <c:layoutTarget val="inner"/>
          <c:xMode val="edge"/>
          <c:yMode val="edge"/>
          <c:x val="0.10538472164663808"/>
          <c:y val="0.22236220472440993"/>
          <c:w val="0.78923055670672748"/>
          <c:h val="0.64367929480514641"/>
        </c:manualLayout>
      </c:layout>
      <c:pie3DChart>
        <c:varyColors val="1"/>
        <c:ser>
          <c:idx val="0"/>
          <c:order val="0"/>
          <c:tx>
            <c:strRef>
              <c:f>Лист1!$B$1</c:f>
              <c:strCache>
                <c:ptCount val="1"/>
                <c:pt idx="0">
                  <c:v>Структура доходов от услуг элестросвязи за I полугодие 2014 года</c:v>
                </c:pt>
              </c:strCache>
            </c:strRef>
          </c:tx>
          <c:explosion val="21"/>
          <c:dLbls>
            <c:dLbl>
              <c:idx val="0"/>
              <c:layout>
                <c:manualLayout>
                  <c:x val="2.2926691455234786E-2"/>
                  <c:y val="-1.7817772778402741E-2"/>
                </c:manualLayout>
              </c:layout>
              <c:tx>
                <c:rich>
                  <a:bodyPr/>
                  <a:lstStyle/>
                  <a:p>
                    <a:r>
                      <a:rPr lang="ru-RU" sz="800"/>
                      <a:t>Мобильная связь</a:t>
                    </a:r>
                    <a:r>
                      <a:rPr lang="ru-RU" sz="800" baseline="0"/>
                      <a:t> </a:t>
                    </a:r>
                    <a:r>
                      <a:rPr lang="en-US" sz="800"/>
                      <a:t>36,</a:t>
                    </a:r>
                    <a:r>
                      <a:rPr lang="ru-RU" sz="800"/>
                      <a:t>3%</a:t>
                    </a:r>
                    <a:endParaRPr lang="en-US" sz="800"/>
                  </a:p>
                </c:rich>
              </c:tx>
              <c:showVal val="1"/>
            </c:dLbl>
            <c:dLbl>
              <c:idx val="1"/>
              <c:layout>
                <c:manualLayout>
                  <c:x val="0.18337615692775242"/>
                  <c:y val="0"/>
                </c:manualLayout>
              </c:layout>
              <c:tx>
                <c:rich>
                  <a:bodyPr/>
                  <a:lstStyle/>
                  <a:p>
                    <a:r>
                      <a:rPr lang="ru-RU" sz="800"/>
                      <a:t>Фиксированная связь 27,0%</a:t>
                    </a:r>
                    <a:endParaRPr lang="en-US" sz="800"/>
                  </a:p>
                </c:rich>
              </c:tx>
              <c:showVal val="1"/>
            </c:dLbl>
            <c:dLbl>
              <c:idx val="2"/>
              <c:layout>
                <c:manualLayout>
                  <c:x val="-6.0642814385043993E-2"/>
                  <c:y val="2.8440350616550491E-2"/>
                </c:manualLayout>
              </c:layout>
              <c:tx>
                <c:rich>
                  <a:bodyPr/>
                  <a:lstStyle/>
                  <a:p>
                    <a:r>
                      <a:rPr lang="ru-RU"/>
                      <a:t>Радиовещание </a:t>
                    </a:r>
                  </a:p>
                  <a:p>
                    <a:r>
                      <a:rPr lang="en-US"/>
                      <a:t>4,</a:t>
                    </a:r>
                    <a:r>
                      <a:rPr lang="ru-RU"/>
                      <a:t>6%</a:t>
                    </a:r>
                    <a:endParaRPr lang="en-US"/>
                  </a:p>
                </c:rich>
              </c:tx>
              <c:showVal val="1"/>
            </c:dLbl>
            <c:dLbl>
              <c:idx val="3"/>
              <c:layout>
                <c:manualLayout>
                  <c:x val="-2.6464439340915708E-2"/>
                  <c:y val="-3.9535683039620052E-2"/>
                </c:manualLayout>
              </c:layout>
              <c:tx>
                <c:rich>
                  <a:bodyPr/>
                  <a:lstStyle/>
                  <a:p>
                    <a:r>
                      <a:rPr lang="ru-RU"/>
                      <a:t>Телевизионное вещание</a:t>
                    </a:r>
                  </a:p>
                  <a:p>
                    <a:r>
                      <a:rPr lang="ru-RU"/>
                      <a:t>7,7%</a:t>
                    </a:r>
                    <a:endParaRPr lang="en-US"/>
                  </a:p>
                </c:rich>
              </c:tx>
              <c:showVal val="1"/>
            </c:dLbl>
            <c:dLbl>
              <c:idx val="4"/>
              <c:layout>
                <c:manualLayout>
                  <c:x val="1.9471784776903223E-3"/>
                  <c:y val="-2.4746906636670645E-4"/>
                </c:manualLayout>
              </c:layout>
              <c:tx>
                <c:rich>
                  <a:bodyPr/>
                  <a:lstStyle/>
                  <a:p>
                    <a:r>
                      <a:rPr lang="ru-RU" sz="800"/>
                      <a:t>Услуги по передаче данных</a:t>
                    </a:r>
                  </a:p>
                  <a:p>
                    <a:r>
                      <a:rPr lang="en-US" sz="800"/>
                      <a:t>2</a:t>
                    </a:r>
                    <a:r>
                      <a:rPr lang="ru-RU" sz="800"/>
                      <a:t>4,2%</a:t>
                    </a:r>
                    <a:endParaRPr lang="en-US" sz="800"/>
                  </a:p>
                </c:rich>
              </c:tx>
              <c:showVal val="1"/>
            </c:dLbl>
            <c:dLbl>
              <c:idx val="5"/>
              <c:layout>
                <c:manualLayout>
                  <c:x val="0.10390201224846894"/>
                  <c:y val="2.7929859831350868E-2"/>
                </c:manualLayout>
              </c:layout>
              <c:tx>
                <c:rich>
                  <a:bodyPr/>
                  <a:lstStyle/>
                  <a:p>
                    <a:r>
                      <a:rPr lang="ru-RU" sz="800"/>
                      <a:t>Прочие услуги</a:t>
                    </a:r>
                  </a:p>
                  <a:p>
                    <a:r>
                      <a:rPr lang="ru-RU" sz="800" baseline="0"/>
                      <a:t> </a:t>
                    </a:r>
                    <a:r>
                      <a:rPr lang="en-US" sz="800"/>
                      <a:t>0,</a:t>
                    </a:r>
                    <a:r>
                      <a:rPr lang="ru-RU" sz="800"/>
                      <a:t>2</a:t>
                    </a:r>
                    <a:r>
                      <a:rPr lang="en-US" sz="800"/>
                      <a:t>%</a:t>
                    </a:r>
                  </a:p>
                </c:rich>
              </c:tx>
              <c:showVal val="1"/>
            </c:dLbl>
            <c:txPr>
              <a:bodyPr/>
              <a:lstStyle/>
              <a:p>
                <a:pPr>
                  <a:defRPr sz="800"/>
                </a:pPr>
                <a:endParaRPr lang="ru-RU"/>
              </a:p>
            </c:txPr>
            <c:showVal val="1"/>
            <c:showLeaderLines val="1"/>
          </c:dLbls>
          <c:cat>
            <c:strRef>
              <c:f>Лист1!$A$2:$A$7</c:f>
              <c:strCache>
                <c:ptCount val="6"/>
                <c:pt idx="0">
                  <c:v>мобильная связь</c:v>
                </c:pt>
                <c:pt idx="1">
                  <c:v>фиксированная связь</c:v>
                </c:pt>
                <c:pt idx="2">
                  <c:v>радиовещание</c:v>
                </c:pt>
                <c:pt idx="3">
                  <c:v>телефизионное вещание</c:v>
                </c:pt>
                <c:pt idx="4">
                  <c:v>услуги по передаче данных</c:v>
                </c:pt>
                <c:pt idx="5">
                  <c:v>прочие услуги</c:v>
                </c:pt>
              </c:strCache>
            </c:strRef>
          </c:cat>
          <c:val>
            <c:numRef>
              <c:f>Лист1!$B$2:$B$7</c:f>
              <c:numCache>
                <c:formatCode>General</c:formatCode>
                <c:ptCount val="6"/>
                <c:pt idx="0">
                  <c:v>36.300000000000004</c:v>
                </c:pt>
                <c:pt idx="1">
                  <c:v>27</c:v>
                </c:pt>
                <c:pt idx="2">
                  <c:v>4.5999999999999996</c:v>
                </c:pt>
                <c:pt idx="3">
                  <c:v>7.7</c:v>
                </c:pt>
                <c:pt idx="4">
                  <c:v>24.2</c:v>
                </c:pt>
                <c:pt idx="5">
                  <c:v>0.2</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a:pPr>
            <a:r>
              <a:rPr lang="ru-RU"/>
              <a:t>Структура доходов от услуг элестросвязи </a:t>
            </a:r>
            <a:r>
              <a:rPr lang="ru-RU" sz="900" b="1" i="0" u="none" strike="noStrike" baseline="0"/>
              <a:t>за </a:t>
            </a:r>
            <a:r>
              <a:rPr lang="en-US" sz="900" b="1" i="0" u="none" strike="noStrike" baseline="0"/>
              <a:t>I </a:t>
            </a:r>
            <a:r>
              <a:rPr lang="ru-RU" sz="900" b="1" i="0" u="none" strike="noStrike" baseline="0"/>
              <a:t>полугодие 2015 года</a:t>
            </a:r>
            <a:endParaRPr lang="ru-RU"/>
          </a:p>
        </c:rich>
      </c:tx>
      <c:layout>
        <c:manualLayout>
          <c:xMode val="edge"/>
          <c:yMode val="edge"/>
          <c:x val="0.1667836257309942"/>
          <c:y val="0"/>
        </c:manualLayout>
      </c:layout>
      <c:spPr>
        <a:noFill/>
      </c:spPr>
    </c:title>
    <c:view3D>
      <c:rotX val="75"/>
      <c:perspective val="30"/>
    </c:view3D>
    <c:plotArea>
      <c:layout>
        <c:manualLayout>
          <c:layoutTarget val="inner"/>
          <c:xMode val="edge"/>
          <c:yMode val="edge"/>
          <c:x val="0.10538472164663812"/>
          <c:y val="0.22236220472440946"/>
          <c:w val="0.78923055670672748"/>
          <c:h val="0.64367929480514674"/>
        </c:manualLayout>
      </c:layout>
      <c:pie3DChart>
        <c:varyColors val="1"/>
        <c:ser>
          <c:idx val="0"/>
          <c:order val="0"/>
          <c:tx>
            <c:strRef>
              <c:f>Лист1!$B$1</c:f>
              <c:strCache>
                <c:ptCount val="1"/>
                <c:pt idx="0">
                  <c:v>Структура доходов от услуг элестросвязи за I полугодие 2014 года</c:v>
                </c:pt>
              </c:strCache>
            </c:strRef>
          </c:tx>
          <c:explosion val="21"/>
          <c:dLbls>
            <c:dLbl>
              <c:idx val="0"/>
              <c:layout>
                <c:manualLayout>
                  <c:x val="2.2926691455234762E-2"/>
                  <c:y val="-1.7817772778402699E-2"/>
                </c:manualLayout>
              </c:layout>
              <c:tx>
                <c:rich>
                  <a:bodyPr/>
                  <a:lstStyle/>
                  <a:p>
                    <a:r>
                      <a:rPr lang="ru-RU" sz="800"/>
                      <a:t>Мобильная связь</a:t>
                    </a:r>
                    <a:r>
                      <a:rPr lang="ru-RU" sz="800" baseline="0"/>
                      <a:t> </a:t>
                    </a:r>
                    <a:r>
                      <a:rPr lang="en-US" sz="800"/>
                      <a:t>36,</a:t>
                    </a:r>
                    <a:r>
                      <a:rPr lang="ru-RU" sz="800"/>
                      <a:t>7%</a:t>
                    </a:r>
                    <a:endParaRPr lang="en-US" sz="800"/>
                  </a:p>
                </c:rich>
              </c:tx>
              <c:showVal val="1"/>
            </c:dLbl>
            <c:dLbl>
              <c:idx val="1"/>
              <c:layout>
                <c:manualLayout>
                  <c:x val="0.18337615692775242"/>
                  <c:y val="0"/>
                </c:manualLayout>
              </c:layout>
              <c:tx>
                <c:rich>
                  <a:bodyPr/>
                  <a:lstStyle/>
                  <a:p>
                    <a:r>
                      <a:rPr lang="ru-RU" sz="800"/>
                      <a:t>Фиксированная связь </a:t>
                    </a:r>
                    <a:r>
                      <a:rPr lang="en-US" sz="800"/>
                      <a:t>2</a:t>
                    </a:r>
                    <a:r>
                      <a:rPr lang="ru-RU" sz="800"/>
                      <a:t>4,9%</a:t>
                    </a:r>
                    <a:endParaRPr lang="en-US" sz="800"/>
                  </a:p>
                </c:rich>
              </c:tx>
              <c:showVal val="1"/>
            </c:dLbl>
            <c:dLbl>
              <c:idx val="2"/>
              <c:layout>
                <c:manualLayout>
                  <c:x val="-6.0642814385043972E-2"/>
                  <c:y val="2.8440350616550411E-2"/>
                </c:manualLayout>
              </c:layout>
              <c:tx>
                <c:rich>
                  <a:bodyPr/>
                  <a:lstStyle/>
                  <a:p>
                    <a:r>
                      <a:rPr lang="ru-RU"/>
                      <a:t>Радиовещание </a:t>
                    </a:r>
                  </a:p>
                  <a:p>
                    <a:r>
                      <a:rPr lang="ru-RU"/>
                      <a:t>3,8%</a:t>
                    </a:r>
                    <a:endParaRPr lang="en-US"/>
                  </a:p>
                </c:rich>
              </c:tx>
              <c:showVal val="1"/>
            </c:dLbl>
            <c:dLbl>
              <c:idx val="3"/>
              <c:layout>
                <c:manualLayout>
                  <c:x val="-2.6464439340915708E-2"/>
                  <c:y val="-3.9535683039620045E-2"/>
                </c:manualLayout>
              </c:layout>
              <c:tx>
                <c:rich>
                  <a:bodyPr/>
                  <a:lstStyle/>
                  <a:p>
                    <a:r>
                      <a:rPr lang="ru-RU"/>
                      <a:t>Телевизионное вещание</a:t>
                    </a:r>
                  </a:p>
                  <a:p>
                    <a:r>
                      <a:rPr lang="en-US"/>
                      <a:t>8,</a:t>
                    </a:r>
                    <a:r>
                      <a:rPr lang="ru-RU"/>
                      <a:t>2%</a:t>
                    </a:r>
                    <a:endParaRPr lang="en-US"/>
                  </a:p>
                </c:rich>
              </c:tx>
              <c:showVal val="1"/>
            </c:dLbl>
            <c:dLbl>
              <c:idx val="4"/>
              <c:layout>
                <c:manualLayout>
                  <c:x val="1.9471784776903243E-3"/>
                  <c:y val="-2.474690663667045E-4"/>
                </c:manualLayout>
              </c:layout>
              <c:tx>
                <c:rich>
                  <a:bodyPr/>
                  <a:lstStyle/>
                  <a:p>
                    <a:r>
                      <a:rPr lang="ru-RU" sz="800"/>
                      <a:t>Услуги по передаче данных</a:t>
                    </a:r>
                  </a:p>
                  <a:p>
                    <a:r>
                      <a:rPr lang="ru-RU" sz="800"/>
                      <a:t>26,1%</a:t>
                    </a:r>
                    <a:endParaRPr lang="en-US" sz="800"/>
                  </a:p>
                </c:rich>
              </c:tx>
              <c:showVal val="1"/>
            </c:dLbl>
            <c:dLbl>
              <c:idx val="5"/>
              <c:layout>
                <c:manualLayout>
                  <c:x val="0.10390201224846894"/>
                  <c:y val="2.7929859831350868E-2"/>
                </c:manualLayout>
              </c:layout>
              <c:tx>
                <c:rich>
                  <a:bodyPr/>
                  <a:lstStyle/>
                  <a:p>
                    <a:r>
                      <a:rPr lang="ru-RU" sz="800"/>
                      <a:t>Прочие услуги</a:t>
                    </a:r>
                  </a:p>
                  <a:p>
                    <a:r>
                      <a:rPr lang="ru-RU" sz="800" baseline="0"/>
                      <a:t> </a:t>
                    </a:r>
                    <a:r>
                      <a:rPr lang="en-US" sz="800"/>
                      <a:t>0,</a:t>
                    </a:r>
                    <a:r>
                      <a:rPr lang="ru-RU" sz="800"/>
                      <a:t>2%</a:t>
                    </a:r>
                    <a:endParaRPr lang="en-US" sz="800"/>
                  </a:p>
                </c:rich>
              </c:tx>
              <c:showVal val="1"/>
            </c:dLbl>
            <c:txPr>
              <a:bodyPr/>
              <a:lstStyle/>
              <a:p>
                <a:pPr>
                  <a:defRPr sz="800"/>
                </a:pPr>
                <a:endParaRPr lang="ru-RU"/>
              </a:p>
            </c:txPr>
            <c:showVal val="1"/>
            <c:showLeaderLines val="1"/>
          </c:dLbls>
          <c:cat>
            <c:strRef>
              <c:f>Лист1!$A$2:$A$7</c:f>
              <c:strCache>
                <c:ptCount val="6"/>
                <c:pt idx="0">
                  <c:v>мобильная связь</c:v>
                </c:pt>
                <c:pt idx="1">
                  <c:v>фиксированная связь</c:v>
                </c:pt>
                <c:pt idx="2">
                  <c:v>радиовещание</c:v>
                </c:pt>
                <c:pt idx="3">
                  <c:v>телефизионное вещание</c:v>
                </c:pt>
                <c:pt idx="4">
                  <c:v>услуги по передаче данных</c:v>
                </c:pt>
                <c:pt idx="5">
                  <c:v>прочие услуги</c:v>
                </c:pt>
              </c:strCache>
            </c:strRef>
          </c:cat>
          <c:val>
            <c:numRef>
              <c:f>Лист1!$B$2:$B$7</c:f>
              <c:numCache>
                <c:formatCode>0.0</c:formatCode>
                <c:ptCount val="6"/>
                <c:pt idx="0">
                  <c:v>36.700000000000003</c:v>
                </c:pt>
                <c:pt idx="1">
                  <c:v>24.9</c:v>
                </c:pt>
                <c:pt idx="2">
                  <c:v>3.8</c:v>
                </c:pt>
                <c:pt idx="3">
                  <c:v>8.2000000000000011</c:v>
                </c:pt>
                <c:pt idx="4">
                  <c:v>26.1</c:v>
                </c:pt>
                <c:pt idx="5">
                  <c:v>0.2</c:v>
                </c:pt>
              </c:numCache>
            </c:numRef>
          </c:val>
        </c:ser>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потребительского рынка,%</a:t>
            </a:r>
          </a:p>
        </c:rich>
      </c:tx>
      <c:layout>
        <c:manualLayout>
          <c:xMode val="edge"/>
          <c:yMode val="edge"/>
          <c:x val="0.26662736039680962"/>
          <c:y val="7.9457028223896048E-4"/>
        </c:manualLayout>
      </c:layout>
      <c:spPr>
        <a:noFill/>
        <a:ln w="25394">
          <a:noFill/>
        </a:ln>
      </c:spPr>
    </c:title>
    <c:view3D>
      <c:depthPercent val="100"/>
      <c:rAngAx val="1"/>
    </c:view3D>
    <c:plotArea>
      <c:layout>
        <c:manualLayout>
          <c:layoutTarget val="inner"/>
          <c:xMode val="edge"/>
          <c:yMode val="edge"/>
          <c:x val="0.35816582735770952"/>
          <c:y val="0.10732316688262072"/>
          <c:w val="0.64183417264230513"/>
          <c:h val="0.52848577472119751"/>
        </c:manualLayout>
      </c:layout>
      <c:bar3DChart>
        <c:barDir val="col"/>
        <c:grouping val="stacked"/>
        <c:ser>
          <c:idx val="0"/>
          <c:order val="0"/>
          <c:tx>
            <c:strRef>
              <c:f>Лист1!$B$1</c:f>
              <c:strCache>
                <c:ptCount val="1"/>
                <c:pt idx="0">
                  <c:v>Розничный товарооборот, включая общественное питание</c:v>
                </c:pt>
              </c:strCache>
            </c:strRef>
          </c:tx>
          <c:spPr>
            <a:solidFill>
              <a:srgbClr val="FFFF00"/>
            </a:solidFill>
          </c:spPr>
          <c:dLbls>
            <c:dLbl>
              <c:idx val="0"/>
              <c:layout>
                <c:manualLayout>
                  <c:x val="2.1231422505307889E-2"/>
                  <c:y val="4.9200492004920137E-3"/>
                </c:manualLayout>
              </c:layout>
              <c:tx>
                <c:rich>
                  <a:bodyPr/>
                  <a:lstStyle/>
                  <a:p>
                    <a:r>
                      <a:rPr lang="ru-RU"/>
                      <a:t>-1,2*</a:t>
                    </a:r>
                    <a:endParaRPr lang="en-US"/>
                  </a:p>
                </c:rich>
              </c:tx>
            </c:dLbl>
            <c:dLbl>
              <c:idx val="1"/>
              <c:layout>
                <c:manualLayout>
                  <c:x val="1.2738853503184714E-2"/>
                  <c:y val="9.8400984009840205E-3"/>
                </c:manualLayout>
              </c:layout>
              <c:tx>
                <c:rich>
                  <a:bodyPr/>
                  <a:lstStyle/>
                  <a:p>
                    <a:r>
                      <a:rPr lang="ru-RU"/>
                      <a:t>-22,3*</a:t>
                    </a:r>
                    <a:endParaRPr lang="en-US"/>
                  </a:p>
                </c:rich>
              </c:tx>
            </c:dLbl>
            <c:spPr>
              <a:noFill/>
              <a:ln w="25394">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2014 года</c:v>
                </c:pt>
                <c:pt idx="1">
                  <c:v>январь-июнь 2015 года</c:v>
                </c:pt>
              </c:strCache>
            </c:strRef>
          </c:cat>
          <c:val>
            <c:numRef>
              <c:f>Лист1!$B$2:$B$3</c:f>
              <c:numCache>
                <c:formatCode>0.0</c:formatCode>
                <c:ptCount val="2"/>
                <c:pt idx="0" formatCode="General">
                  <c:v>76.5</c:v>
                </c:pt>
                <c:pt idx="1">
                  <c:v>70.900000000000006</c:v>
                </c:pt>
              </c:numCache>
            </c:numRef>
          </c:val>
        </c:ser>
        <c:ser>
          <c:idx val="1"/>
          <c:order val="1"/>
          <c:tx>
            <c:strRef>
              <c:f>Лист1!$C$1</c:f>
              <c:strCache>
                <c:ptCount val="1"/>
                <c:pt idx="0">
                  <c:v>Платние услуги населению</c:v>
                </c:pt>
              </c:strCache>
            </c:strRef>
          </c:tx>
          <c:spPr>
            <a:solidFill>
              <a:srgbClr val="FF0000"/>
            </a:solidFill>
          </c:spPr>
          <c:dLbls>
            <c:dLbl>
              <c:idx val="0"/>
              <c:layout>
                <c:manualLayout>
                  <c:x val="8.4925690021231594E-3"/>
                  <c:y val="0"/>
                </c:manualLayout>
              </c:layout>
              <c:tx>
                <c:rich>
                  <a:bodyPr/>
                  <a:lstStyle/>
                  <a:p>
                    <a:r>
                      <a:rPr lang="ru-RU"/>
                      <a:t>+4,5*</a:t>
                    </a:r>
                    <a:endParaRPr lang="en-US"/>
                  </a:p>
                </c:rich>
              </c:tx>
            </c:dLbl>
            <c:dLbl>
              <c:idx val="1"/>
              <c:layout>
                <c:manualLayout>
                  <c:x val="1.0615711252653927E-2"/>
                  <c:y val="0"/>
                </c:manualLayout>
              </c:layout>
              <c:tx>
                <c:rich>
                  <a:bodyPr/>
                  <a:lstStyle/>
                  <a:p>
                    <a:r>
                      <a:rPr lang="ru-RU"/>
                      <a:t>-7</a:t>
                    </a:r>
                    <a:r>
                      <a:rPr lang="en-US"/>
                      <a:t>,</a:t>
                    </a:r>
                    <a:r>
                      <a:rPr lang="ru-RU"/>
                      <a:t>6*</a:t>
                    </a:r>
                    <a:endParaRPr lang="en-US"/>
                  </a:p>
                </c:rich>
              </c:tx>
            </c:dLbl>
            <c:spPr>
              <a:noFill/>
              <a:ln w="25394">
                <a:noFill/>
              </a:ln>
            </c:spPr>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2014 года</c:v>
                </c:pt>
                <c:pt idx="1">
                  <c:v>январь-июнь 2015 года</c:v>
                </c:pt>
              </c:strCache>
            </c:strRef>
          </c:cat>
          <c:val>
            <c:numRef>
              <c:f>Лист1!$C$2:$C$3</c:f>
              <c:numCache>
                <c:formatCode>0.0</c:formatCode>
                <c:ptCount val="2"/>
                <c:pt idx="0" formatCode="General">
                  <c:v>23.5</c:v>
                </c:pt>
                <c:pt idx="1">
                  <c:v>29.1</c:v>
                </c:pt>
              </c:numCache>
            </c:numRef>
          </c:val>
        </c:ser>
        <c:dLbls>
          <c:showVal val="1"/>
        </c:dLbls>
        <c:shape val="cylinder"/>
        <c:axId val="164818304"/>
        <c:axId val="164926592"/>
        <c:axId val="0"/>
      </c:bar3DChart>
      <c:catAx>
        <c:axId val="164818304"/>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64926592"/>
        <c:crosses val="autoZero"/>
        <c:auto val="1"/>
        <c:lblAlgn val="ctr"/>
        <c:lblOffset val="100"/>
      </c:catAx>
      <c:valAx>
        <c:axId val="164926592"/>
        <c:scaling>
          <c:orientation val="minMax"/>
        </c:scaling>
        <c:axPos val="l"/>
        <c:title>
          <c:tx>
            <c:rich>
              <a:bodyPr rot="0" vert="horz"/>
              <a:lstStyle/>
              <a:p>
                <a:pPr algn="ctr">
                  <a:defRPr sz="900" b="0" i="0" u="none" strike="noStrike" baseline="0">
                    <a:solidFill>
                      <a:srgbClr val="000000"/>
                    </a:solidFill>
                    <a:latin typeface="Times New Roman"/>
                    <a:ea typeface="Times New Roman"/>
                    <a:cs typeface="Times New Roman"/>
                  </a:defRPr>
                </a:pPr>
                <a:r>
                  <a:rPr lang="ru-RU" sz="900"/>
                  <a:t>*- темп прироста (спада) (в сопоставимых ценах), в %</a:t>
                </a:r>
              </a:p>
            </c:rich>
          </c:tx>
          <c:layout>
            <c:manualLayout>
              <c:xMode val="edge"/>
              <c:yMode val="edge"/>
              <c:x val="3.375796178343949E-2"/>
              <c:y val="0.29361071563471774"/>
            </c:manualLayout>
          </c:layout>
          <c:spPr>
            <a:noFill/>
            <a:ln w="25394">
              <a:noFill/>
            </a:ln>
          </c:spPr>
        </c:title>
        <c:numFmt formatCode="General" sourceLinked="1"/>
        <c:tickLblPos val="nextTo"/>
        <c:txPr>
          <a:bodyPr/>
          <a:lstStyle/>
          <a:p>
            <a:pPr>
              <a:defRPr b="1">
                <a:latin typeface="Times New Roman" pitchFamily="18" charset="0"/>
                <a:cs typeface="Times New Roman" pitchFamily="18" charset="0"/>
              </a:defRPr>
            </a:pPr>
            <a:endParaRPr lang="ru-RU"/>
          </a:p>
        </c:txPr>
        <c:crossAx val="164818304"/>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395">
          <a:noFill/>
        </a:ln>
      </c:spPr>
    </c:plotArea>
    <c:plotVisOnly val="1"/>
    <c:dispBlanksAs val="gap"/>
  </c:chart>
  <c:spPr>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perspective val="30"/>
    </c:view3D>
    <c:plotArea>
      <c:layout/>
      <c:bar3DChart>
        <c:barDir val="col"/>
        <c:grouping val="clustered"/>
        <c:ser>
          <c:idx val="0"/>
          <c:order val="0"/>
          <c:tx>
            <c:strRef>
              <c:f>Лист1!$B$1</c:f>
              <c:strCache>
                <c:ptCount val="1"/>
                <c:pt idx="0">
                  <c:v>январь-июнь 2014 года</c:v>
                </c:pt>
              </c:strCache>
            </c:strRef>
          </c:tx>
          <c:spPr>
            <a:solidFill>
              <a:schemeClr val="accent2">
                <a:lumMod val="75000"/>
              </a:schemeClr>
            </a:solidFill>
          </c:spPr>
          <c:dLbls>
            <c:dLbl>
              <c:idx val="0"/>
              <c:tx>
                <c:rich>
                  <a:bodyPr/>
                  <a:lstStyle/>
                  <a:p>
                    <a:r>
                      <a:rPr lang="ru-RU"/>
                      <a:t>-0,3*</a:t>
                    </a:r>
                    <a:endParaRPr lang="en-US"/>
                  </a:p>
                </c:rich>
              </c:tx>
            </c:dLbl>
            <c:dLbl>
              <c:idx val="1"/>
              <c:layout>
                <c:manualLayout>
                  <c:x val="9.2592592592595641E-3"/>
                  <c:y val="-1.1904761904761921E-2"/>
                </c:manualLayout>
              </c:layout>
              <c:tx>
                <c:rich>
                  <a:bodyPr/>
                  <a:lstStyle/>
                  <a:p>
                    <a:r>
                      <a:rPr lang="ru-RU"/>
                      <a:t>-1,2*</a:t>
                    </a:r>
                    <a:endParaRPr lang="en-US"/>
                  </a:p>
                </c:rich>
              </c:tx>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Лист1!$B$2:$B$3</c:f>
              <c:numCache>
                <c:formatCode>General</c:formatCode>
                <c:ptCount val="2"/>
                <c:pt idx="0">
                  <c:v>99.7</c:v>
                </c:pt>
                <c:pt idx="1">
                  <c:v>98.8</c:v>
                </c:pt>
              </c:numCache>
            </c:numRef>
          </c:val>
        </c:ser>
        <c:ser>
          <c:idx val="1"/>
          <c:order val="1"/>
          <c:tx>
            <c:strRef>
              <c:f>Лист1!$C$1</c:f>
              <c:strCache>
                <c:ptCount val="1"/>
                <c:pt idx="0">
                  <c:v>январь-июнь 2015 года</c:v>
                </c:pt>
              </c:strCache>
            </c:strRef>
          </c:tx>
          <c:spPr>
            <a:solidFill>
              <a:schemeClr val="accent2">
                <a:lumMod val="40000"/>
                <a:lumOff val="60000"/>
              </a:schemeClr>
            </a:solidFill>
          </c:spPr>
          <c:dLbls>
            <c:dLbl>
              <c:idx val="0"/>
              <c:layout>
                <c:manualLayout>
                  <c:x val="3.2407407407408481E-2"/>
                  <c:y val="-1.1904761904761921E-2"/>
                </c:manualLayout>
              </c:layout>
              <c:tx>
                <c:rich>
                  <a:bodyPr/>
                  <a:lstStyle/>
                  <a:p>
                    <a:r>
                      <a:rPr lang="ru-RU"/>
                      <a:t>-24,4*</a:t>
                    </a:r>
                    <a:endParaRPr lang="en-US"/>
                  </a:p>
                </c:rich>
              </c:tx>
            </c:dLbl>
            <c:dLbl>
              <c:idx val="1"/>
              <c:layout>
                <c:manualLayout>
                  <c:x val="1.3888888888889301E-2"/>
                  <c:y val="-1.9841269841270333E-2"/>
                </c:manualLayout>
              </c:layout>
              <c:tx>
                <c:rich>
                  <a:bodyPr/>
                  <a:lstStyle/>
                  <a:p>
                    <a:r>
                      <a:rPr lang="ru-RU"/>
                      <a:t>-22,3*</a:t>
                    </a:r>
                    <a:endParaRPr lang="en-US"/>
                  </a:p>
                </c:rich>
              </c:tx>
            </c:dLbl>
            <c:txPr>
              <a:bodyPr/>
              <a:lstStyle/>
              <a:p>
                <a:pPr>
                  <a:defRPr b="1"/>
                </a:pPr>
                <a:endParaRPr lang="ru-RU"/>
              </a:p>
            </c:txPr>
            <c:showVal val="1"/>
          </c:dLbls>
          <c:cat>
            <c:strRef>
              <c:f>Лист1!$A$2:$A$3</c:f>
              <c:strCache>
                <c:ptCount val="2"/>
                <c:pt idx="0">
                  <c:v>в текущих ценах</c:v>
                </c:pt>
                <c:pt idx="1">
                  <c:v>в сопоставимых ценах</c:v>
                </c:pt>
              </c:strCache>
            </c:strRef>
          </c:cat>
          <c:val>
            <c:numRef>
              <c:f>Лист1!$C$2:$C$3</c:f>
              <c:numCache>
                <c:formatCode>General</c:formatCode>
                <c:ptCount val="2"/>
                <c:pt idx="0" formatCode="0.0">
                  <c:v>75.599999999999994</c:v>
                </c:pt>
                <c:pt idx="1">
                  <c:v>77.7</c:v>
                </c:pt>
              </c:numCache>
            </c:numRef>
          </c:val>
        </c:ser>
        <c:dLbls>
          <c:showVal val="1"/>
        </c:dLbls>
        <c:shape val="cylinder"/>
        <c:axId val="165167488"/>
        <c:axId val="165169024"/>
        <c:axId val="0"/>
      </c:bar3DChart>
      <c:catAx>
        <c:axId val="165167488"/>
        <c:scaling>
          <c:orientation val="minMax"/>
        </c:scaling>
        <c:axPos val="b"/>
        <c:numFmt formatCode="General" sourceLinked="1"/>
        <c:tickLblPos val="nextTo"/>
        <c:txPr>
          <a:bodyPr/>
          <a:lstStyle/>
          <a:p>
            <a:pPr>
              <a:defRPr sz="1000" b="1"/>
            </a:pPr>
            <a:endParaRPr lang="ru-RU"/>
          </a:p>
        </c:txPr>
        <c:crossAx val="165169024"/>
        <c:crosses val="autoZero"/>
        <c:auto val="1"/>
        <c:lblAlgn val="ctr"/>
        <c:lblOffset val="100"/>
      </c:catAx>
      <c:valAx>
        <c:axId val="165169024"/>
        <c:scaling>
          <c:orientation val="minMax"/>
          <c:max val="120"/>
        </c:scaling>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ru-RU" sz="900"/>
                  <a:t>*-темп прироста (спада),%</a:t>
                </a:r>
              </a:p>
            </c:rich>
          </c:tx>
        </c:title>
        <c:numFmt formatCode="General" sourceLinked="1"/>
        <c:tickLblPos val="nextTo"/>
        <c:crossAx val="165167488"/>
        <c:crosses val="autoZero"/>
        <c:crossBetween val="between"/>
      </c:valAx>
      <c:spPr>
        <a:noFill/>
        <a:ln w="25401">
          <a:noFill/>
        </a:ln>
      </c:spPr>
    </c:plotArea>
    <c:legend>
      <c:legendPos val="b"/>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7.8801261829653024E-2"/>
          <c:y val="3.155006703298778E-2"/>
          <c:w val="0.92836811128945951"/>
          <c:h val="0.42644840447575638"/>
        </c:manualLayout>
      </c:layout>
      <c:barChart>
        <c:barDir val="col"/>
        <c:grouping val="clustered"/>
        <c:ser>
          <c:idx val="0"/>
          <c:order val="0"/>
          <c:tx>
            <c:strRef>
              <c:f>Sheet1!$A$2</c:f>
              <c:strCache>
                <c:ptCount val="1"/>
                <c:pt idx="0">
                  <c:v>январь - июнь 2014 год</c:v>
                </c:pt>
              </c:strCache>
            </c:strRef>
          </c:tx>
          <c:dLbls>
            <c:dLbl>
              <c:idx val="0"/>
              <c:layout>
                <c:manualLayout>
                  <c:x val="-6.4205457463884395E-3"/>
                  <c:y val="1.5936254980079678E-2"/>
                </c:manualLayout>
              </c:layout>
              <c:tx>
                <c:rich>
                  <a:bodyPr/>
                  <a:lstStyle/>
                  <a:p>
                    <a:r>
                      <a:rPr lang="ru-RU"/>
                      <a:t>34,4*</a:t>
                    </a:r>
                    <a:endParaRPr lang="en-US"/>
                  </a:p>
                </c:rich>
              </c:tx>
              <c:dLblPos val="outEnd"/>
            </c:dLbl>
            <c:dLbl>
              <c:idx val="1"/>
              <c:layout>
                <c:manualLayout>
                  <c:x val="-4.2803638309256934E-3"/>
                  <c:y val="2.0202020202020211E-2"/>
                </c:manualLayout>
              </c:layout>
              <c:tx>
                <c:rich>
                  <a:bodyPr/>
                  <a:lstStyle/>
                  <a:p>
                    <a:r>
                      <a:rPr lang="ru-RU"/>
                      <a:t>22,3*</a:t>
                    </a:r>
                    <a:endParaRPr lang="en-US"/>
                  </a:p>
                </c:rich>
              </c:tx>
              <c:dLblPos val="outEnd"/>
            </c:dLbl>
            <c:dLbl>
              <c:idx val="2"/>
              <c:layout>
                <c:manualLayout>
                  <c:x val="-8.5608146876613566E-3"/>
                  <c:y val="1.524558034175451E-2"/>
                </c:manualLayout>
              </c:layout>
              <c:tx>
                <c:rich>
                  <a:bodyPr/>
                  <a:lstStyle/>
                  <a:p>
                    <a:r>
                      <a:rPr lang="ru-RU"/>
                      <a:t>18,9*</a:t>
                    </a:r>
                    <a:endParaRPr lang="en-US"/>
                  </a:p>
                </c:rich>
              </c:tx>
              <c:dLblPos val="outEnd"/>
            </c:dLbl>
            <c:dLbl>
              <c:idx val="3"/>
              <c:tx>
                <c:rich>
                  <a:bodyPr/>
                  <a:lstStyle/>
                  <a:p>
                    <a:r>
                      <a:rPr lang="ru-RU"/>
                      <a:t>12,8*</a:t>
                    </a:r>
                    <a:endParaRPr lang="en-US"/>
                  </a:p>
                </c:rich>
              </c:tx>
              <c:dLblPos val="outEnd"/>
            </c:dLbl>
            <c:dLbl>
              <c:idx val="4"/>
              <c:layout>
                <c:manualLayout>
                  <c:x val="2.1401819154630098E-3"/>
                  <c:y val="5.0505050505050475E-3"/>
                </c:manualLayout>
              </c:layout>
              <c:tx>
                <c:rich>
                  <a:bodyPr/>
                  <a:lstStyle/>
                  <a:p>
                    <a:r>
                      <a:rPr lang="ru-RU"/>
                      <a:t>3,8*</a:t>
                    </a:r>
                    <a:endParaRPr lang="en-US"/>
                  </a:p>
                </c:rich>
              </c:tx>
              <c:dLblPos val="outEnd"/>
            </c:dLbl>
            <c:dLbl>
              <c:idx val="5"/>
              <c:tx>
                <c:rich>
                  <a:bodyPr/>
                  <a:lstStyle/>
                  <a:p>
                    <a:r>
                      <a:rPr lang="ru-RU"/>
                      <a:t>5,6*</a:t>
                    </a:r>
                    <a:endParaRPr lang="en-US"/>
                  </a:p>
                </c:rich>
              </c:tx>
              <c:dLblPos val="outEnd"/>
            </c:dLbl>
            <c:dLbl>
              <c:idx val="6"/>
              <c:layout>
                <c:manualLayout>
                  <c:x val="-4.2803638309256934E-3"/>
                  <c:y val="0"/>
                </c:manualLayout>
              </c:layout>
              <c:tx>
                <c:rich>
                  <a:bodyPr/>
                  <a:lstStyle/>
                  <a:p>
                    <a:r>
                      <a:rPr lang="ru-RU"/>
                      <a:t>2,3*</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124.8</c:v>
                </c:pt>
                <c:pt idx="1">
                  <c:v>81.099999999999994</c:v>
                </c:pt>
                <c:pt idx="2">
                  <c:v>68.599999999999994</c:v>
                </c:pt>
                <c:pt idx="3">
                  <c:v>46.3</c:v>
                </c:pt>
                <c:pt idx="4">
                  <c:v>13.6</c:v>
                </c:pt>
                <c:pt idx="5">
                  <c:v>20.399999999999999</c:v>
                </c:pt>
                <c:pt idx="6">
                  <c:v>8.2000000000000011</c:v>
                </c:pt>
              </c:numCache>
            </c:numRef>
          </c:val>
        </c:ser>
        <c:ser>
          <c:idx val="1"/>
          <c:order val="1"/>
          <c:tx>
            <c:strRef>
              <c:f>Sheet1!$A$3</c:f>
              <c:strCache>
                <c:ptCount val="1"/>
                <c:pt idx="0">
                  <c:v>январь - июнь 2015 год</c:v>
                </c:pt>
              </c:strCache>
            </c:strRef>
          </c:tx>
          <c:spPr>
            <a:scene3d>
              <a:camera prst="orthographicFront"/>
              <a:lightRig rig="threePt" dir="t">
                <a:rot lat="0" lon="0" rev="1800000"/>
              </a:lightRig>
            </a:scene3d>
            <a:sp3d>
              <a:bevelT w="63500" h="25400"/>
            </a:sp3d>
          </c:spPr>
          <c:dLbls>
            <c:dLbl>
              <c:idx val="0"/>
              <c:layout>
                <c:manualLayout>
                  <c:x val="8.5607276618512567E-3"/>
                  <c:y val="4.0041409166483672E-3"/>
                </c:manualLayout>
              </c:layout>
              <c:tx>
                <c:rich>
                  <a:bodyPr/>
                  <a:lstStyle/>
                  <a:p>
                    <a:r>
                      <a:rPr lang="ru-RU"/>
                      <a:t>22,2*</a:t>
                    </a:r>
                    <a:endParaRPr lang="en-US"/>
                  </a:p>
                </c:rich>
              </c:tx>
              <c:dLblPos val="outEnd"/>
            </c:dLbl>
            <c:dLbl>
              <c:idx val="1"/>
              <c:layout>
                <c:manualLayout>
                  <c:x val="6.4205457463884395E-3"/>
                  <c:y val="5.0505050505050475E-3"/>
                </c:manualLayout>
              </c:layout>
              <c:tx>
                <c:rich>
                  <a:bodyPr/>
                  <a:lstStyle/>
                  <a:p>
                    <a:r>
                      <a:rPr lang="ru-RU"/>
                      <a:t>37,2*</a:t>
                    </a:r>
                    <a:endParaRPr lang="en-US"/>
                  </a:p>
                </c:rich>
              </c:tx>
              <c:dLblPos val="outEnd"/>
            </c:dLbl>
            <c:dLbl>
              <c:idx val="2"/>
              <c:layout>
                <c:manualLayout>
                  <c:x val="8.5607276618512567E-3"/>
                  <c:y val="6.0606060606060629E-2"/>
                </c:manualLayout>
              </c:layout>
              <c:tx>
                <c:rich>
                  <a:bodyPr/>
                  <a:lstStyle/>
                  <a:p>
                    <a:r>
                      <a:rPr lang="ru-RU"/>
                      <a:t>17,7*</a:t>
                    </a:r>
                  </a:p>
                  <a:p>
                    <a:endParaRPr lang="en-US"/>
                  </a:p>
                </c:rich>
              </c:tx>
              <c:dLblPos val="outEnd"/>
            </c:dLbl>
            <c:dLbl>
              <c:idx val="3"/>
              <c:layout>
                <c:manualLayout>
                  <c:x val="8.5607276618512567E-3"/>
                  <c:y val="1.0101010101010105E-2"/>
                </c:manualLayout>
              </c:layout>
              <c:tx>
                <c:rich>
                  <a:bodyPr/>
                  <a:lstStyle/>
                  <a:p>
                    <a:r>
                      <a:rPr lang="ru-RU"/>
                      <a:t>11,9*</a:t>
                    </a:r>
                    <a:endParaRPr lang="en-US"/>
                  </a:p>
                </c:rich>
              </c:tx>
              <c:dLblPos val="outEnd"/>
            </c:dLbl>
            <c:dLbl>
              <c:idx val="4"/>
              <c:layout>
                <c:manualLayout>
                  <c:x val="4.2803638309255824E-3"/>
                  <c:y val="0"/>
                </c:manualLayout>
              </c:layout>
              <c:tx>
                <c:rich>
                  <a:bodyPr/>
                  <a:lstStyle/>
                  <a:p>
                    <a:r>
                      <a:rPr lang="ru-RU"/>
                      <a:t>4,5*</a:t>
                    </a:r>
                    <a:endParaRPr lang="en-US"/>
                  </a:p>
                </c:rich>
              </c:tx>
              <c:dLblPos val="outEnd"/>
            </c:dLbl>
            <c:dLbl>
              <c:idx val="5"/>
              <c:layout>
                <c:manualLayout>
                  <c:x val="1.0700909577314071E-2"/>
                  <c:y val="0"/>
                </c:manualLayout>
              </c:layout>
              <c:tx>
                <c:rich>
                  <a:bodyPr/>
                  <a:lstStyle/>
                  <a:p>
                    <a:r>
                      <a:rPr lang="ru-RU"/>
                      <a:t>3,9*</a:t>
                    </a:r>
                    <a:endParaRPr lang="en-US"/>
                  </a:p>
                </c:rich>
              </c:tx>
              <c:dLblPos val="outEnd"/>
            </c:dLbl>
            <c:dLbl>
              <c:idx val="6"/>
              <c:layout>
                <c:manualLayout>
                  <c:x val="4.2803638309256934E-3"/>
                  <c:y val="1.5936254980079678E-2"/>
                </c:manualLayout>
              </c:layout>
              <c:tx>
                <c:rich>
                  <a:bodyPr/>
                  <a:lstStyle/>
                  <a:p>
                    <a:r>
                      <a:rPr lang="ru-RU"/>
                      <a:t>2,7*</a:t>
                    </a:r>
                    <a:endParaRPr lang="en-US"/>
                  </a:p>
                </c:rich>
              </c:tx>
              <c:dLblPos val="outEnd"/>
            </c:dLbl>
            <c:spPr>
              <a:noFill/>
              <a:ln w="24878">
                <a:noFill/>
              </a:ln>
            </c:spPr>
            <c:txPr>
              <a:bodyPr rot="0" vert="horz"/>
              <a:lstStyle/>
              <a:p>
                <a:pPr>
                  <a:defRPr sz="881"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64.099999999999994</c:v>
                </c:pt>
                <c:pt idx="1">
                  <c:v>107.4</c:v>
                </c:pt>
                <c:pt idx="2">
                  <c:v>51</c:v>
                </c:pt>
                <c:pt idx="3">
                  <c:v>34.200000000000003</c:v>
                </c:pt>
                <c:pt idx="4">
                  <c:v>13</c:v>
                </c:pt>
                <c:pt idx="5">
                  <c:v>11.2</c:v>
                </c:pt>
                <c:pt idx="6">
                  <c:v>7.7000000000000464</c:v>
                </c:pt>
              </c:numCache>
            </c:numRef>
          </c:val>
        </c:ser>
        <c:dLbls>
          <c:showVal val="1"/>
        </c:dLbls>
        <c:gapWidth val="160"/>
        <c:axId val="63604608"/>
        <c:axId val="63606144"/>
      </c:barChart>
      <c:catAx>
        <c:axId val="63604608"/>
        <c:scaling>
          <c:orientation val="minMax"/>
        </c:scaling>
        <c:axPos val="b"/>
        <c:numFmt formatCode="General" sourceLinked="1"/>
        <c:tickLblPos val="low"/>
        <c:txPr>
          <a:bodyPr rot="-5400000" vert="horz"/>
          <a:lstStyle/>
          <a:p>
            <a:pPr>
              <a:defRPr sz="900" b="1">
                <a:latin typeface="Times New Roman" pitchFamily="18" charset="0"/>
                <a:cs typeface="Times New Roman" pitchFamily="18" charset="0"/>
              </a:defRPr>
            </a:pPr>
            <a:endParaRPr lang="ru-RU"/>
          </a:p>
        </c:txPr>
        <c:crossAx val="63606144"/>
        <c:crosses val="autoZero"/>
        <c:lblAlgn val="ctr"/>
        <c:lblOffset val="160"/>
        <c:tickLblSkip val="1"/>
        <c:tickMarkSkip val="1"/>
      </c:catAx>
      <c:valAx>
        <c:axId val="63606144"/>
        <c:scaling>
          <c:orientation val="minMax"/>
        </c:scaling>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ru-RU" sz="900"/>
                  <a:t>*- удельный вес в общем объеме экспорта,%</a:t>
                </a:r>
              </a:p>
            </c:rich>
          </c:tx>
          <c:layout>
            <c:manualLayout>
              <c:xMode val="edge"/>
              <c:yMode val="edge"/>
              <c:x val="0.82533031951448077"/>
              <c:y val="7.5915330727544014E-2"/>
            </c:manualLayout>
          </c:layout>
          <c:spPr>
            <a:noFill/>
            <a:ln w="24878">
              <a:noFill/>
            </a:ln>
          </c:spPr>
        </c:title>
        <c:numFmt formatCode="0.0" sourceLinked="1"/>
        <c:tickLblPos val="nextTo"/>
        <c:txPr>
          <a:bodyPr rot="0" vert="horz"/>
          <a:lstStyle/>
          <a:p>
            <a:pPr>
              <a:defRPr b="1">
                <a:latin typeface="Times New Roman" pitchFamily="18" charset="0"/>
                <a:cs typeface="Times New Roman" pitchFamily="18" charset="0"/>
              </a:defRPr>
            </a:pPr>
            <a:endParaRPr lang="ru-RU"/>
          </a:p>
        </c:txPr>
        <c:crossAx val="63604608"/>
        <c:crosses val="autoZero"/>
        <c:crossBetween val="between"/>
      </c:valAx>
    </c:plotArea>
    <c:legend>
      <c:legendPos val="r"/>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13022508038585209"/>
          <c:y val="0.93087557603689375"/>
          <c:w val="0.73472668810289465"/>
          <c:h val="7.3732718894009494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розничного товарооборота, %</a:t>
            </a:r>
          </a:p>
        </c:rich>
      </c:tx>
      <c:layout>
        <c:manualLayout>
          <c:xMode val="edge"/>
          <c:yMode val="edge"/>
          <c:x val="0.19197722489161698"/>
          <c:y val="0"/>
        </c:manualLayout>
      </c:layout>
    </c:title>
    <c:plotArea>
      <c:layout>
        <c:manualLayout>
          <c:layoutTarget val="inner"/>
          <c:xMode val="edge"/>
          <c:yMode val="edge"/>
          <c:x val="7.8553459119496918E-2"/>
          <c:y val="0.23844797178130697"/>
          <c:w val="0.89838574423480089"/>
          <c:h val="0.44102876029385618"/>
        </c:manualLayout>
      </c:layout>
      <c:barChart>
        <c:barDir val="col"/>
        <c:grouping val="clustered"/>
        <c:ser>
          <c:idx val="0"/>
          <c:order val="0"/>
          <c:tx>
            <c:strRef>
              <c:f>Лист1!$B$1</c:f>
              <c:strCache>
                <c:ptCount val="1"/>
                <c:pt idx="0">
                  <c:v>Продовольственные товары</c:v>
                </c:pt>
              </c:strCache>
            </c:strRef>
          </c:tx>
          <c:dLbls>
            <c:dLbl>
              <c:idx val="0"/>
              <c:tx>
                <c:rich>
                  <a:bodyPr/>
                  <a:lstStyle/>
                  <a:p>
                    <a:r>
                      <a:rPr lang="ru-RU"/>
                      <a:t>44,0</a:t>
                    </a:r>
                    <a:endParaRPr lang="en-US"/>
                  </a:p>
                </c:rich>
              </c:tx>
            </c:dLbl>
            <c:dLbl>
              <c:idx val="1"/>
              <c:tx>
                <c:rich>
                  <a:bodyPr/>
                  <a:lstStyle/>
                  <a:p>
                    <a:r>
                      <a:rPr lang="ru-RU"/>
                      <a:t>47,1</a:t>
                    </a:r>
                    <a:endParaRPr lang="en-US"/>
                  </a:p>
                </c:rich>
              </c:tx>
            </c:dLbl>
            <c:txPr>
              <a:bodyPr/>
              <a:lstStyle/>
              <a:p>
                <a:pPr>
                  <a:defRPr b="1"/>
                </a:pPr>
                <a:endParaRPr lang="ru-RU"/>
              </a:p>
            </c:txPr>
            <c:showVal val="1"/>
          </c:dLbls>
          <c:cat>
            <c:strRef>
              <c:f>Лист1!$A$2:$A$3</c:f>
              <c:strCache>
                <c:ptCount val="2"/>
                <c:pt idx="0">
                  <c:v>январь-июнь 2014 года</c:v>
                </c:pt>
                <c:pt idx="1">
                  <c:v>январь-июнь 2015 года</c:v>
                </c:pt>
              </c:strCache>
            </c:strRef>
          </c:cat>
          <c:val>
            <c:numRef>
              <c:f>Лист1!$B$2:$B$3</c:f>
              <c:numCache>
                <c:formatCode>General</c:formatCode>
                <c:ptCount val="2"/>
                <c:pt idx="0" formatCode="0.0">
                  <c:v>44</c:v>
                </c:pt>
                <c:pt idx="1">
                  <c:v>47.1</c:v>
                </c:pt>
              </c:numCache>
            </c:numRef>
          </c:val>
        </c:ser>
        <c:ser>
          <c:idx val="1"/>
          <c:order val="1"/>
          <c:tx>
            <c:strRef>
              <c:f>Лист1!$C$1</c:f>
              <c:strCache>
                <c:ptCount val="1"/>
                <c:pt idx="0">
                  <c:v>Непродовольственные товары</c:v>
                </c:pt>
              </c:strCache>
            </c:strRef>
          </c:tx>
          <c:spPr>
            <a:solidFill>
              <a:schemeClr val="accent6">
                <a:lumMod val="40000"/>
                <a:lumOff val="60000"/>
              </a:schemeClr>
            </a:solidFill>
          </c:spPr>
          <c:dLbls>
            <c:dLbl>
              <c:idx val="0"/>
              <c:tx>
                <c:rich>
                  <a:bodyPr/>
                  <a:lstStyle/>
                  <a:p>
                    <a:r>
                      <a:rPr lang="ru-RU"/>
                      <a:t>56,0</a:t>
                    </a:r>
                    <a:endParaRPr lang="en-US"/>
                  </a:p>
                </c:rich>
              </c:tx>
            </c:dLbl>
            <c:dLbl>
              <c:idx val="1"/>
              <c:tx>
                <c:rich>
                  <a:bodyPr/>
                  <a:lstStyle/>
                  <a:p>
                    <a:r>
                      <a:rPr lang="ru-RU"/>
                      <a:t>52,9</a:t>
                    </a:r>
                    <a:endParaRPr lang="en-US"/>
                  </a:p>
                </c:rich>
              </c:tx>
            </c:dLbl>
            <c:txPr>
              <a:bodyPr/>
              <a:lstStyle/>
              <a:p>
                <a:pPr>
                  <a:defRPr b="1"/>
                </a:pPr>
                <a:endParaRPr lang="ru-RU"/>
              </a:p>
            </c:txPr>
            <c:showVal val="1"/>
          </c:dLbls>
          <c:cat>
            <c:strRef>
              <c:f>Лист1!$A$2:$A$3</c:f>
              <c:strCache>
                <c:ptCount val="2"/>
                <c:pt idx="0">
                  <c:v>январь-июнь 2014 года</c:v>
                </c:pt>
                <c:pt idx="1">
                  <c:v>январь-июнь 2015 года</c:v>
                </c:pt>
              </c:strCache>
            </c:strRef>
          </c:cat>
          <c:val>
            <c:numRef>
              <c:f>Лист1!$C$2:$C$3</c:f>
              <c:numCache>
                <c:formatCode>General</c:formatCode>
                <c:ptCount val="2"/>
                <c:pt idx="0" formatCode="0.0">
                  <c:v>56</c:v>
                </c:pt>
                <c:pt idx="1">
                  <c:v>52.9</c:v>
                </c:pt>
              </c:numCache>
            </c:numRef>
          </c:val>
        </c:ser>
        <c:axId val="165239808"/>
        <c:axId val="165253888"/>
      </c:barChart>
      <c:catAx>
        <c:axId val="165239808"/>
        <c:scaling>
          <c:orientation val="minMax"/>
        </c:scaling>
        <c:axPos val="b"/>
        <c:numFmt formatCode="General" sourceLinked="1"/>
        <c:tickLblPos val="nextTo"/>
        <c:txPr>
          <a:bodyPr/>
          <a:lstStyle/>
          <a:p>
            <a:pPr>
              <a:defRPr b="1"/>
            </a:pPr>
            <a:endParaRPr lang="ru-RU"/>
          </a:p>
        </c:txPr>
        <c:crossAx val="165253888"/>
        <c:crosses val="autoZero"/>
        <c:auto val="1"/>
        <c:lblAlgn val="ctr"/>
        <c:lblOffset val="100"/>
      </c:catAx>
      <c:valAx>
        <c:axId val="165253888"/>
        <c:scaling>
          <c:orientation val="minMax"/>
          <c:max val="60"/>
          <c:min val="0"/>
        </c:scaling>
        <c:axPos val="l"/>
        <c:numFmt formatCode="0.0" sourceLinked="1"/>
        <c:tickLblPos val="nextTo"/>
        <c:txPr>
          <a:bodyPr/>
          <a:lstStyle/>
          <a:p>
            <a:pPr>
              <a:defRPr b="1"/>
            </a:pPr>
            <a:endParaRPr lang="ru-RU"/>
          </a:p>
        </c:txPr>
        <c:crossAx val="165239808"/>
        <c:crosses val="autoZero"/>
        <c:crossBetween val="between"/>
        <c:majorUnit val="20"/>
      </c:valAx>
    </c:plotArea>
    <c:legend>
      <c:legendPos val="b"/>
      <c:layout>
        <c:manualLayout>
          <c:xMode val="edge"/>
          <c:yMode val="edge"/>
          <c:x val="0.12682018521269747"/>
          <c:y val="0.85250732547320451"/>
          <c:w val="0.78409564370491425"/>
          <c:h val="9.2172819714900739E-2"/>
        </c:manualLayout>
      </c:layout>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январь-июнь 2014 года</a:t>
            </a:r>
          </a:p>
        </c:rich>
      </c:tx>
      <c:layout>
        <c:manualLayout>
          <c:xMode val="edge"/>
          <c:yMode val="edge"/>
          <c:x val="0.24345036788434479"/>
          <c:y val="0"/>
        </c:manualLayout>
      </c:layout>
    </c:title>
    <c:view3D>
      <c:rotX val="30"/>
      <c:perspective val="30"/>
    </c:view3D>
    <c:plotArea>
      <c:layout>
        <c:manualLayout>
          <c:layoutTarget val="inner"/>
          <c:xMode val="edge"/>
          <c:yMode val="edge"/>
          <c:x val="0.19015717153002931"/>
          <c:y val="0.11332306925321529"/>
          <c:w val="0.75208316607482895"/>
          <c:h val="0.64549540682415263"/>
        </c:manualLayout>
      </c:layout>
      <c:pie3DChart>
        <c:varyColors val="1"/>
        <c:ser>
          <c:idx val="0"/>
          <c:order val="0"/>
          <c:tx>
            <c:strRef>
              <c:f>Лист1!$B$1</c:f>
              <c:strCache>
                <c:ptCount val="1"/>
                <c:pt idx="0">
                  <c:v>январь-июнь 2014 года</c:v>
                </c:pt>
              </c:strCache>
            </c:strRef>
          </c:tx>
          <c:spPr>
            <a:solidFill>
              <a:srgbClr val="7030A0"/>
            </a:solidFill>
          </c:spPr>
          <c:dPt>
            <c:idx val="1"/>
            <c:explosion val="37"/>
            <c:spPr>
              <a:blipFill>
                <a:blip xmlns:r="http://schemas.openxmlformats.org/officeDocument/2006/relationships" r:embed="rId2"/>
                <a:tile tx="0" ty="0" sx="100000" sy="100000" flip="none" algn="tl"/>
              </a:blipFill>
            </c:spPr>
          </c:dPt>
          <c:dLbls>
            <c:dLbl>
              <c:idx val="0"/>
              <c:layout>
                <c:manualLayout>
                  <c:x val="0.26068076784519789"/>
                  <c:y val="4.0727850195196189E-2"/>
                </c:manualLayout>
              </c:layout>
              <c:tx>
                <c:rich>
                  <a:bodyPr/>
                  <a:lstStyle/>
                  <a:p>
                    <a:pPr>
                      <a:defRPr b="1"/>
                    </a:pPr>
                    <a:r>
                      <a:rPr lang="en-US"/>
                      <a:t>1,</a:t>
                    </a:r>
                    <a:r>
                      <a:rPr lang="ru-RU"/>
                      <a:t>7</a:t>
                    </a:r>
                    <a:endParaRPr lang="en-US"/>
                  </a:p>
                </c:rich>
              </c:tx>
              <c:spPr/>
              <c:dLblPos val="bestFit"/>
            </c:dLbl>
            <c:dLbl>
              <c:idx val="1"/>
              <c:layout>
                <c:manualLayout>
                  <c:x val="-0.34247669828673138"/>
                  <c:y val="-4.7292593860550104E-2"/>
                </c:manualLayout>
              </c:layout>
              <c:tx>
                <c:rich>
                  <a:bodyPr/>
                  <a:lstStyle/>
                  <a:p>
                    <a:pPr>
                      <a:defRPr b="1"/>
                    </a:pPr>
                    <a:r>
                      <a:rPr lang="en-US"/>
                      <a:t>98,</a:t>
                    </a:r>
                    <a:r>
                      <a:rPr lang="ru-RU"/>
                      <a:t>3</a:t>
                    </a:r>
                    <a:endParaRPr lang="en-US"/>
                  </a:p>
                </c:rich>
              </c:tx>
              <c:spPr/>
              <c:dLblPos val="bestFit"/>
            </c:dLbl>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General</c:formatCode>
                <c:ptCount val="2"/>
                <c:pt idx="0">
                  <c:v>1.7</c:v>
                </c:pt>
                <c:pt idx="1">
                  <c:v>98.3</c:v>
                </c:pt>
              </c:numCache>
            </c:numRef>
          </c:val>
        </c:ser>
      </c:pie3DChart>
      <c:spPr>
        <a:noFill/>
        <a:ln w="25402">
          <a:noFill/>
        </a:ln>
      </c:spPr>
    </c:plotArea>
    <c:legend>
      <c:legendPos val="b"/>
      <c:layout>
        <c:manualLayout>
          <c:xMode val="edge"/>
          <c:yMode val="edge"/>
          <c:x val="0.15561593735209636"/>
          <c:y val="0.76369445198661201"/>
          <c:w val="0.84438406264790666"/>
          <c:h val="0.18327571122575168"/>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3"/>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январь-июнь 2015 года</a:t>
            </a:r>
          </a:p>
        </c:rich>
      </c:tx>
      <c:layout>
        <c:manualLayout>
          <c:xMode val="edge"/>
          <c:yMode val="edge"/>
          <c:x val="0.16048725616615178"/>
          <c:y val="0"/>
        </c:manualLayout>
      </c:layout>
    </c:title>
    <c:view3D>
      <c:rotX val="30"/>
      <c:perspective val="30"/>
    </c:view3D>
    <c:plotArea>
      <c:layout>
        <c:manualLayout>
          <c:layoutTarget val="inner"/>
          <c:xMode val="edge"/>
          <c:yMode val="edge"/>
          <c:x val="0.1841507993319017"/>
          <c:y val="0.13184601924759404"/>
          <c:w val="0.63856471429443462"/>
          <c:h val="0.54215321676341088"/>
        </c:manualLayout>
      </c:layout>
      <c:pie3DChart>
        <c:varyColors val="1"/>
        <c:ser>
          <c:idx val="0"/>
          <c:order val="0"/>
          <c:tx>
            <c:strRef>
              <c:f>Лист1!$B$1</c:f>
              <c:strCache>
                <c:ptCount val="1"/>
                <c:pt idx="0">
                  <c:v>январь-июнь 2014 года</c:v>
                </c:pt>
              </c:strCache>
            </c:strRef>
          </c:tx>
          <c:spPr>
            <a:solidFill>
              <a:srgbClr val="7030A0"/>
            </a:solidFill>
          </c:spPr>
          <c:explosion val="35"/>
          <c:dPt>
            <c:idx val="1"/>
            <c:explosion val="34"/>
            <c:spPr>
              <a:blipFill>
                <a:blip xmlns:r="http://schemas.openxmlformats.org/officeDocument/2006/relationships" r:embed="rId2"/>
                <a:tile tx="0" ty="0" sx="100000" sy="100000" flip="none" algn="tl"/>
              </a:blipFill>
            </c:spPr>
          </c:dPt>
          <c:dLbls>
            <c:dLbl>
              <c:idx val="0"/>
              <c:layout>
                <c:manualLayout>
                  <c:x val="0.22761154855643359"/>
                  <c:y val="4.6276465441819771E-2"/>
                </c:manualLayout>
              </c:layout>
              <c:tx>
                <c:rich>
                  <a:bodyPr/>
                  <a:lstStyle/>
                  <a:p>
                    <a:pPr>
                      <a:defRPr b="1"/>
                    </a:pPr>
                    <a:r>
                      <a:rPr lang="ru-RU"/>
                      <a:t>2,0</a:t>
                    </a:r>
                    <a:endParaRPr lang="en-US"/>
                  </a:p>
                </c:rich>
              </c:tx>
              <c:spPr/>
              <c:dLblPos val="bestFit"/>
            </c:dLbl>
            <c:dLbl>
              <c:idx val="1"/>
              <c:layout>
                <c:manualLayout>
                  <c:x val="-0.29558828402264603"/>
                  <c:y val="-3.5017789442986294E-2"/>
                </c:manualLayout>
              </c:layout>
              <c:tx>
                <c:rich>
                  <a:bodyPr/>
                  <a:lstStyle/>
                  <a:p>
                    <a:pPr>
                      <a:defRPr b="1"/>
                    </a:pPr>
                    <a:r>
                      <a:rPr lang="en-US"/>
                      <a:t>98,</a:t>
                    </a:r>
                    <a:r>
                      <a:rPr lang="ru-RU"/>
                      <a:t>0</a:t>
                    </a:r>
                  </a:p>
                  <a:p>
                    <a:pPr>
                      <a:defRPr b="1"/>
                    </a:pPr>
                    <a:endParaRPr lang="en-US"/>
                  </a:p>
                </c:rich>
              </c:tx>
              <c:spPr/>
              <c:dLblPos val="bestFit"/>
            </c:dLbl>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General</c:formatCode>
                <c:ptCount val="2"/>
                <c:pt idx="0">
                  <c:v>1.7</c:v>
                </c:pt>
                <c:pt idx="1">
                  <c:v>98.3</c:v>
                </c:pt>
              </c:numCache>
            </c:numRef>
          </c:val>
        </c:ser>
      </c:pie3DChart>
      <c:spPr>
        <a:noFill/>
        <a:ln w="25402">
          <a:noFill/>
        </a:ln>
      </c:spPr>
    </c:plotArea>
    <c:legend>
      <c:legendPos val="b"/>
      <c:layout>
        <c:manualLayout>
          <c:xMode val="edge"/>
          <c:yMode val="edge"/>
          <c:x val="9.0860105901396565E-2"/>
          <c:y val="0.76022124353100484"/>
          <c:w val="0.82491773894116849"/>
          <c:h val="0.1650680929034814"/>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3"/>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view3D>
      <c:rotX val="0"/>
      <c:rotY val="0"/>
      <c:depthPercent val="100"/>
      <c:perspective val="30"/>
    </c:view3D>
    <c:plotArea>
      <c:layout/>
      <c:bar3DChart>
        <c:barDir val="col"/>
        <c:grouping val="clustered"/>
        <c:ser>
          <c:idx val="0"/>
          <c:order val="0"/>
          <c:tx>
            <c:strRef>
              <c:f>Лист1!$B$1</c:f>
              <c:strCache>
                <c:ptCount val="1"/>
                <c:pt idx="0">
                  <c:v>в текущих ценах</c:v>
                </c:pt>
              </c:strCache>
            </c:strRef>
          </c:tx>
          <c:spPr>
            <a:blipFill>
              <a:blip xmlns:r="http://schemas.openxmlformats.org/officeDocument/2006/relationships" r:embed="rId2"/>
              <a:tile tx="0" ty="0" sx="100000" sy="100000" flip="none" algn="tl"/>
            </a:blipFill>
          </c:spPr>
          <c:dLbls>
            <c:dLbl>
              <c:idx val="0"/>
              <c:tx>
                <c:rich>
                  <a:bodyPr/>
                  <a:lstStyle/>
                  <a:p>
                    <a:r>
                      <a:rPr lang="ru-RU"/>
                      <a:t>+5,7*</a:t>
                    </a:r>
                    <a:endParaRPr lang="en-US"/>
                  </a:p>
                </c:rich>
              </c:tx>
            </c:dLbl>
            <c:dLbl>
              <c:idx val="1"/>
              <c:layout>
                <c:manualLayout>
                  <c:x val="-9.9254139995093773E-3"/>
                  <c:y val="-1.9230480805283983E-2"/>
                </c:manualLayout>
              </c:layout>
              <c:tx>
                <c:rich>
                  <a:bodyPr/>
                  <a:lstStyle/>
                  <a:p>
                    <a:r>
                      <a:rPr lang="ru-RU"/>
                      <a:t>+0,6*</a:t>
                    </a:r>
                    <a:endParaRPr lang="en-US"/>
                  </a:p>
                </c:rich>
              </c:tx>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2014 года</c:v>
                </c:pt>
                <c:pt idx="1">
                  <c:v>январь-июнь 2015 года</c:v>
                </c:pt>
              </c:strCache>
            </c:strRef>
          </c:cat>
          <c:val>
            <c:numRef>
              <c:f>Лист1!$B$2:$B$3</c:f>
              <c:numCache>
                <c:formatCode>0.0</c:formatCode>
                <c:ptCount val="2"/>
                <c:pt idx="0">
                  <c:v>105.7</c:v>
                </c:pt>
                <c:pt idx="1">
                  <c:v>100.6</c:v>
                </c:pt>
              </c:numCache>
            </c:numRef>
          </c:val>
        </c:ser>
        <c:ser>
          <c:idx val="1"/>
          <c:order val="1"/>
          <c:tx>
            <c:strRef>
              <c:f>Лист1!$C$1</c:f>
              <c:strCache>
                <c:ptCount val="1"/>
                <c:pt idx="0">
                  <c:v>в сопоставимых ценах</c:v>
                </c:pt>
              </c:strCache>
            </c:strRef>
          </c:tx>
          <c:spPr>
            <a:blipFill>
              <a:blip xmlns:r="http://schemas.openxmlformats.org/officeDocument/2006/relationships" r:embed="rId3"/>
              <a:tile tx="0" ty="0" sx="100000" sy="100000" flip="none" algn="tl"/>
            </a:blipFill>
          </c:spPr>
          <c:dLbls>
            <c:dLbl>
              <c:idx val="0"/>
              <c:layout>
                <c:manualLayout>
                  <c:x val="1.0824600162389775E-2"/>
                  <c:y val="-4.5784661532694134E-3"/>
                </c:manualLayout>
              </c:layout>
              <c:tx>
                <c:rich>
                  <a:bodyPr/>
                  <a:lstStyle/>
                  <a:p>
                    <a:r>
                      <a:rPr lang="ru-RU"/>
                      <a:t>+4,5*</a:t>
                    </a:r>
                    <a:endParaRPr lang="en-US"/>
                  </a:p>
                </c:rich>
              </c:tx>
            </c:dLbl>
            <c:dLbl>
              <c:idx val="1"/>
              <c:layout>
                <c:manualLayout>
                  <c:x val="-1.4888120999263798E-2"/>
                  <c:y val="-1.2516512359032049E-2"/>
                </c:manualLayout>
              </c:layout>
              <c:tx>
                <c:rich>
                  <a:bodyPr/>
                  <a:lstStyle/>
                  <a:p>
                    <a:r>
                      <a:rPr lang="ru-RU"/>
                      <a:t>-7</a:t>
                    </a:r>
                    <a:r>
                      <a:rPr lang="en-US"/>
                      <a:t>,</a:t>
                    </a:r>
                    <a:r>
                      <a:rPr lang="ru-RU"/>
                      <a:t>6*</a:t>
                    </a:r>
                    <a:endParaRPr lang="en-US"/>
                  </a:p>
                </c:rich>
              </c:tx>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январь-июнь 2014 года</c:v>
                </c:pt>
                <c:pt idx="1">
                  <c:v>январь-июнь 2015 года</c:v>
                </c:pt>
              </c:strCache>
            </c:strRef>
          </c:cat>
          <c:val>
            <c:numRef>
              <c:f>Лист1!$C$2:$C$3</c:f>
              <c:numCache>
                <c:formatCode>0.0</c:formatCode>
                <c:ptCount val="2"/>
                <c:pt idx="0">
                  <c:v>104.5</c:v>
                </c:pt>
                <c:pt idx="1">
                  <c:v>92.4</c:v>
                </c:pt>
              </c:numCache>
            </c:numRef>
          </c:val>
        </c:ser>
        <c:dLbls>
          <c:showVal val="1"/>
        </c:dLbls>
        <c:shape val="cylinder"/>
        <c:axId val="165488128"/>
        <c:axId val="165489664"/>
        <c:axId val="0"/>
      </c:bar3DChart>
      <c:catAx>
        <c:axId val="16548812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65489664"/>
        <c:crosses val="autoZero"/>
        <c:auto val="1"/>
        <c:lblAlgn val="ctr"/>
        <c:lblOffset val="100"/>
      </c:catAx>
      <c:valAx>
        <c:axId val="165489664"/>
        <c:scaling>
          <c:orientation val="minMax"/>
          <c:max val="115"/>
          <c:min val="0"/>
        </c:scaling>
        <c:axPos val="l"/>
        <c:title>
          <c:tx>
            <c:rich>
              <a:bodyPr rot="0" vert="horz"/>
              <a:lstStyle/>
              <a:p>
                <a:pPr algn="ctr">
                  <a:defRPr sz="800" b="1" i="0" u="none" strike="noStrike" baseline="0">
                    <a:solidFill>
                      <a:srgbClr val="000000"/>
                    </a:solidFill>
                    <a:latin typeface="Times New Roman"/>
                    <a:ea typeface="Times New Roman"/>
                    <a:cs typeface="Times New Roman"/>
                  </a:defRPr>
                </a:pPr>
                <a:r>
                  <a:rPr lang="ru-RU"/>
                  <a:t>*-темп прироста (спада),%</a:t>
                </a:r>
              </a:p>
            </c:rich>
          </c:tx>
        </c:title>
        <c:numFmt formatCode="0.0" sourceLinked="1"/>
        <c:tickLblPos val="nextTo"/>
        <c:txPr>
          <a:bodyPr/>
          <a:lstStyle/>
          <a:p>
            <a:pPr>
              <a:defRPr b="1">
                <a:latin typeface="Times New Roman" pitchFamily="18" charset="0"/>
                <a:cs typeface="Times New Roman" pitchFamily="18" charset="0"/>
              </a:defRPr>
            </a:pPr>
            <a:endParaRPr lang="ru-RU"/>
          </a:p>
        </c:txPr>
        <c:crossAx val="165488128"/>
        <c:crosses val="autoZero"/>
        <c:crossBetween val="between"/>
      </c:valAx>
      <c:spPr>
        <a:noFill/>
        <a:ln w="25400">
          <a:noFill/>
        </a:ln>
      </c:spPr>
    </c:plotArea>
    <c:legend>
      <c:legendPos val="b"/>
      <c:layout>
        <c:manualLayout>
          <c:xMode val="edge"/>
          <c:yMode val="edge"/>
          <c:x val="0.30759552721978312"/>
          <c:y val="0.83176429869344015"/>
          <c:w val="0.56673593538689926"/>
          <c:h val="0.1242796573505237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4"/>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5"/>
            </a:pPr>
            <a:r>
              <a:rPr lang="ru-RU"/>
              <a:t>январь-июнь 2014 года</a:t>
            </a:r>
          </a:p>
        </c:rich>
      </c:tx>
    </c:title>
    <c:view3D>
      <c:rotX val="30"/>
      <c:perspective val="30"/>
    </c:view3D>
    <c:plotArea>
      <c:layout>
        <c:manualLayout>
          <c:layoutTarget val="inner"/>
          <c:xMode val="edge"/>
          <c:yMode val="edge"/>
          <c:x val="0.31118870486017086"/>
          <c:y val="2.998228669692151E-2"/>
          <c:w val="0.60408797176215046"/>
          <c:h val="0.96362385736265765"/>
        </c:manualLayout>
      </c:layout>
      <c:pie3DChart>
        <c:varyColors val="1"/>
        <c:ser>
          <c:idx val="0"/>
          <c:order val="0"/>
          <c:tx>
            <c:strRef>
              <c:f>Лист1!$B$1</c:f>
              <c:strCache>
                <c:ptCount val="1"/>
                <c:pt idx="0">
                  <c:v>январь-декабрь 2013 года</c:v>
                </c:pt>
              </c:strCache>
            </c:strRef>
          </c:tx>
          <c:spPr>
            <a:solidFill>
              <a:srgbClr val="7030A0"/>
            </a:solidFill>
          </c:spPr>
          <c:explosion val="47"/>
          <c:dPt>
            <c:idx val="0"/>
            <c:explosion val="0"/>
          </c:dPt>
          <c:dPt>
            <c:idx val="1"/>
            <c:explosion val="10"/>
            <c:spPr>
              <a:solidFill>
                <a:schemeClr val="accent2">
                  <a:lumMod val="60000"/>
                  <a:lumOff val="40000"/>
                </a:schemeClr>
              </a:solidFill>
            </c:spPr>
          </c:dPt>
          <c:dLbls>
            <c:dLbl>
              <c:idx val="0"/>
              <c:layout>
                <c:manualLayout>
                  <c:x val="0.12005650335374744"/>
                  <c:y val="0.22561353743825488"/>
                </c:manualLayout>
              </c:layout>
              <c:tx>
                <c:rich>
                  <a:bodyPr/>
                  <a:lstStyle/>
                  <a:p>
                    <a:r>
                      <a:rPr lang="ru-RU"/>
                      <a:t>52,5</a:t>
                    </a:r>
                    <a:endParaRPr lang="en-US"/>
                  </a:p>
                </c:rich>
              </c:tx>
              <c:dLblPos val="bestFit"/>
            </c:dLbl>
            <c:dLbl>
              <c:idx val="1"/>
              <c:layout>
                <c:manualLayout>
                  <c:x val="-9.7956036745407066E-2"/>
                  <c:y val="-0.19020557212957068"/>
                </c:manualLayout>
              </c:layout>
              <c:tx>
                <c:rich>
                  <a:bodyPr/>
                  <a:lstStyle/>
                  <a:p>
                    <a:r>
                      <a:rPr lang="ru-RU"/>
                      <a:t>47,5</a:t>
                    </a:r>
                    <a:endParaRPr lang="en-US"/>
                  </a:p>
                </c:rich>
              </c:tx>
              <c:dLblPos val="bestFit"/>
            </c:dLbl>
            <c:txPr>
              <a:bodyPr/>
              <a:lstStyle/>
              <a:p>
                <a:pPr>
                  <a:defRPr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49</c:v>
                </c:pt>
                <c:pt idx="1">
                  <c:v>51</c:v>
                </c:pt>
              </c:numCache>
            </c:numRef>
          </c:val>
        </c:ser>
      </c:pie3DChart>
      <c:spPr>
        <a:noFill/>
        <a:ln w="25296">
          <a:noFill/>
        </a:ln>
      </c:spPr>
    </c:plotArea>
    <c:legend>
      <c:legendPos val="b"/>
      <c:layout>
        <c:manualLayout>
          <c:xMode val="edge"/>
          <c:yMode val="edge"/>
          <c:x val="9.9719535058117731E-2"/>
          <c:y val="0.77528734281349165"/>
          <c:w val="0.78373715785526166"/>
          <c:h val="0.20299447643671589"/>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2"/>
            </a:pPr>
            <a:r>
              <a:rPr lang="ru-RU"/>
              <a:t>январь-июнь 2015 года</a:t>
            </a:r>
          </a:p>
        </c:rich>
      </c:tx>
      <c:layout>
        <c:manualLayout>
          <c:xMode val="edge"/>
          <c:yMode val="edge"/>
          <c:x val="0.2504543750213043"/>
          <c:y val="1.066666666666668E-2"/>
        </c:manualLayout>
      </c:layout>
    </c:title>
    <c:view3D>
      <c:rotX val="30"/>
      <c:perspective val="30"/>
    </c:view3D>
    <c:plotArea>
      <c:layout>
        <c:manualLayout>
          <c:layoutTarget val="inner"/>
          <c:xMode val="edge"/>
          <c:yMode val="edge"/>
          <c:x val="0.26835156969015544"/>
          <c:y val="0.27675553246199286"/>
          <c:w val="0.44315785998448332"/>
          <c:h val="0.38807786082577583"/>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0"/>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5</a:t>
                    </a:r>
                    <a:r>
                      <a:rPr lang="ru-RU"/>
                      <a:t>5</a:t>
                    </a:r>
                    <a:r>
                      <a:rPr lang="en-US"/>
                      <a:t>,</a:t>
                    </a:r>
                    <a:r>
                      <a:rPr lang="ru-RU"/>
                      <a:t>5</a:t>
                    </a:r>
                    <a:endParaRPr lang="en-US"/>
                  </a:p>
                </c:rich>
              </c:tx>
              <c:dLblPos val="bestFit"/>
            </c:dLbl>
            <c:dLbl>
              <c:idx val="1"/>
              <c:layout>
                <c:manualLayout>
                  <c:x val="-0.11808009803191002"/>
                  <c:y val="-0.1487986442639552"/>
                </c:manualLayout>
              </c:layout>
              <c:tx>
                <c:rich>
                  <a:bodyPr/>
                  <a:lstStyle/>
                  <a:p>
                    <a:r>
                      <a:rPr lang="en-US"/>
                      <a:t>4</a:t>
                    </a:r>
                    <a:r>
                      <a:rPr lang="ru-RU"/>
                      <a:t>4,5</a:t>
                    </a:r>
                    <a:endParaRPr lang="en-US"/>
                  </a:p>
                </c:rich>
              </c:tx>
              <c:dLblPos val="bestFit"/>
            </c:dLbl>
            <c:txPr>
              <a:bodyPr/>
              <a:lstStyle/>
              <a:p>
                <a:pPr>
                  <a:defRPr sz="893"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216">
          <a:noFill/>
        </a:ln>
      </c:spPr>
    </c:plotArea>
    <c:legend>
      <c:legendPos val="b"/>
      <c:layout>
        <c:manualLayout>
          <c:xMode val="edge"/>
          <c:yMode val="edge"/>
          <c:x val="9.9719466884821265E-2"/>
          <c:y val="0.78971841189534553"/>
          <c:w val="0.70754644305825398"/>
          <c:h val="0.18856308119856188"/>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45"/>
            </a:pPr>
            <a:r>
              <a:rPr lang="ru-RU" sz="1150"/>
              <a:t>Динамика основных составляющих инфляции,%</a:t>
            </a:r>
          </a:p>
        </c:rich>
      </c:tx>
      <c:layout>
        <c:manualLayout>
          <c:xMode val="edge"/>
          <c:yMode val="edge"/>
          <c:x val="0.25269372881787833"/>
          <c:y val="0"/>
        </c:manualLayout>
      </c:layout>
    </c:title>
    <c:plotArea>
      <c:layout>
        <c:manualLayout>
          <c:layoutTarget val="inner"/>
          <c:xMode val="edge"/>
          <c:yMode val="edge"/>
          <c:x val="0.21523044118690429"/>
          <c:y val="0.13082997958588513"/>
          <c:w val="0.76298905818591545"/>
          <c:h val="0.51090463692038801"/>
        </c:manualLayout>
      </c:layout>
      <c:barChart>
        <c:barDir val="col"/>
        <c:grouping val="clustered"/>
        <c:ser>
          <c:idx val="0"/>
          <c:order val="0"/>
          <c:tx>
            <c:strRef>
              <c:f>Лист1!$B$1</c:f>
              <c:strCache>
                <c:ptCount val="1"/>
                <c:pt idx="0">
                  <c:v>январь-июнь 2014 года</c:v>
                </c:pt>
              </c:strCache>
            </c:strRef>
          </c:tx>
          <c:spPr>
            <a:solidFill>
              <a:schemeClr val="accent6">
                <a:lumMod val="75000"/>
              </a:schemeClr>
            </a:solidFill>
          </c:spPr>
          <c:dLbls>
            <c:dLbl>
              <c:idx val="0"/>
              <c:layout>
                <c:manualLayout>
                  <c:x val="4.9171913924114124E-4"/>
                  <c:y val="9.1816856226305029E-3"/>
                </c:manualLayout>
              </c:layout>
              <c:tx>
                <c:rich>
                  <a:bodyPr/>
                  <a:lstStyle/>
                  <a:p>
                    <a:pPr>
                      <a:defRPr/>
                    </a:pPr>
                    <a:r>
                      <a:rPr lang="ru-RU" b="1"/>
                      <a:t>+1,96%*</a:t>
                    </a:r>
                    <a:endParaRPr lang="en-US" b="1"/>
                  </a:p>
                </c:rich>
              </c:tx>
              <c:spPr/>
              <c:dLblPos val="outEnd"/>
            </c:dLbl>
            <c:dLbl>
              <c:idx val="1"/>
              <c:layout>
                <c:manualLayout>
                  <c:x val="8.5469999874816967E-3"/>
                  <c:y val="8.5614853698844067E-3"/>
                </c:manualLayout>
              </c:layout>
              <c:tx>
                <c:rich>
                  <a:bodyPr/>
                  <a:lstStyle/>
                  <a:p>
                    <a:pPr>
                      <a:defRPr/>
                    </a:pPr>
                    <a:r>
                      <a:rPr lang="ru-RU" b="1"/>
                      <a:t>+2,94%*</a:t>
                    </a:r>
                    <a:endParaRPr lang="en-US" b="1"/>
                  </a:p>
                </c:rich>
              </c:tx>
              <c:spPr/>
              <c:dLblPos val="outEnd"/>
            </c:dLbl>
            <c:dLbl>
              <c:idx val="2"/>
              <c:layout>
                <c:manualLayout>
                  <c:x val="-5.3080964243539816E-3"/>
                  <c:y val="4.2461358996792068E-3"/>
                </c:manualLayout>
              </c:layout>
              <c:tx>
                <c:rich>
                  <a:bodyPr/>
                  <a:lstStyle/>
                  <a:p>
                    <a:pPr>
                      <a:defRPr/>
                    </a:pPr>
                    <a:r>
                      <a:rPr lang="ru-RU" b="1"/>
                      <a:t>-1,99%*</a:t>
                    </a:r>
                    <a:endParaRPr lang="en-US" b="1"/>
                  </a:p>
                </c:rich>
              </c:tx>
              <c:spPr/>
              <c:dLblPos val="outEnd"/>
            </c:dLbl>
            <c:dLbl>
              <c:idx val="3"/>
              <c:layout>
                <c:manualLayout>
                  <c:x val="-2.9845315440498615E-3"/>
                  <c:y val="1.1345581802274721E-2"/>
                </c:manualLayout>
              </c:layout>
              <c:tx>
                <c:rich>
                  <a:bodyPr/>
                  <a:lstStyle/>
                  <a:p>
                    <a:pPr>
                      <a:defRPr/>
                    </a:pPr>
                    <a:r>
                      <a:rPr lang="ru-RU" b="1"/>
                      <a:t>+7,18%*</a:t>
                    </a:r>
                    <a:endParaRPr lang="en-US" b="1"/>
                  </a:p>
                </c:rich>
              </c:tx>
              <c:spPr/>
              <c:dLblPos val="outEnd"/>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непродовольственные товары</c:v>
                </c:pt>
                <c:pt idx="3">
                  <c:v>Индекс  тарифов на услуги</c:v>
                </c:pt>
              </c:strCache>
            </c:strRef>
          </c:cat>
          <c:val>
            <c:numRef>
              <c:f>Лист1!$B$2:$B$5</c:f>
              <c:numCache>
                <c:formatCode>0.00</c:formatCode>
                <c:ptCount val="4"/>
                <c:pt idx="0">
                  <c:v>101.96000000000002</c:v>
                </c:pt>
                <c:pt idx="1">
                  <c:v>102.94000000000032</c:v>
                </c:pt>
                <c:pt idx="2">
                  <c:v>98.01</c:v>
                </c:pt>
                <c:pt idx="3">
                  <c:v>107.17999999999998</c:v>
                </c:pt>
              </c:numCache>
            </c:numRef>
          </c:val>
        </c:ser>
        <c:ser>
          <c:idx val="1"/>
          <c:order val="1"/>
          <c:tx>
            <c:strRef>
              <c:f>Лист1!$C$1</c:f>
              <c:strCache>
                <c:ptCount val="1"/>
                <c:pt idx="0">
                  <c:v>январь-июнь 2015 года</c:v>
                </c:pt>
              </c:strCache>
            </c:strRef>
          </c:tx>
          <c:spPr>
            <a:solidFill>
              <a:schemeClr val="accent5">
                <a:lumMod val="60000"/>
                <a:lumOff val="40000"/>
              </a:schemeClr>
            </a:solidFill>
          </c:spPr>
          <c:dLbls>
            <c:dLbl>
              <c:idx val="0"/>
              <c:layout>
                <c:manualLayout>
                  <c:x val="9.8083447041298066E-3"/>
                  <c:y val="7.7628074268494213E-3"/>
                </c:manualLayout>
              </c:layout>
              <c:tx>
                <c:rich>
                  <a:bodyPr/>
                  <a:lstStyle/>
                  <a:p>
                    <a:pPr>
                      <a:defRPr/>
                    </a:pPr>
                    <a:r>
                      <a:rPr lang="ru-RU" b="1"/>
                      <a:t>+0,22%*</a:t>
                    </a:r>
                    <a:endParaRPr lang="en-US" b="1"/>
                  </a:p>
                </c:rich>
              </c:tx>
              <c:spPr/>
              <c:dLblPos val="outEnd"/>
            </c:dLbl>
            <c:dLbl>
              <c:idx val="1"/>
              <c:layout>
                <c:manualLayout>
                  <c:x val="9.5998731478119988E-3"/>
                  <c:y val="5.6918440750461834E-3"/>
                </c:manualLayout>
              </c:layout>
              <c:tx>
                <c:rich>
                  <a:bodyPr/>
                  <a:lstStyle/>
                  <a:p>
                    <a:pPr>
                      <a:defRPr/>
                    </a:pPr>
                    <a:r>
                      <a:rPr lang="ru-RU" b="1"/>
                      <a:t>-1,41%*</a:t>
                    </a:r>
                    <a:endParaRPr lang="en-US" b="1"/>
                  </a:p>
                </c:rich>
              </c:tx>
              <c:spPr/>
              <c:dLblPos val="outEnd"/>
            </c:dLbl>
            <c:dLbl>
              <c:idx val="2"/>
              <c:layout>
                <c:manualLayout>
                  <c:x val="9.6168980467266768E-3"/>
                  <c:y val="8.3145717896374056E-3"/>
                </c:manualLayout>
              </c:layout>
              <c:tx>
                <c:rich>
                  <a:bodyPr/>
                  <a:lstStyle/>
                  <a:p>
                    <a:pPr>
                      <a:defRPr/>
                    </a:pPr>
                    <a:r>
                      <a:rPr lang="ru-RU" b="1"/>
                      <a:t>-1,62%*</a:t>
                    </a:r>
                    <a:endParaRPr lang="en-US" b="1"/>
                  </a:p>
                </c:rich>
              </c:tx>
              <c:spPr/>
              <c:dLblPos val="outEnd"/>
            </c:dLbl>
            <c:dLbl>
              <c:idx val="3"/>
              <c:layout>
                <c:manualLayout>
                  <c:x val="1.2097859786604577E-2"/>
                  <c:y val="1.2787401574803153E-2"/>
                </c:manualLayout>
              </c:layout>
              <c:tx>
                <c:rich>
                  <a:bodyPr/>
                  <a:lstStyle/>
                  <a:p>
                    <a:pPr>
                      <a:defRPr/>
                    </a:pPr>
                    <a:r>
                      <a:rPr lang="ru-RU" b="1"/>
                      <a:t>+6,54%*</a:t>
                    </a:r>
                    <a:endParaRPr lang="en-US" b="1"/>
                  </a:p>
                </c:rich>
              </c:tx>
              <c:spPr/>
              <c:dLblPos val="outEnd"/>
            </c:dLbl>
            <c:dLblPos val="outEnd"/>
            <c:showVal val="1"/>
          </c:dLbls>
          <c:cat>
            <c:strRef>
              <c:f>Лист1!$A$2:$A$5</c:f>
              <c:strCache>
                <c:ptCount val="4"/>
                <c:pt idx="0">
                  <c:v>Сводный индекс потребительских цен  (инфляция)</c:v>
                </c:pt>
                <c:pt idx="1">
                  <c:v>Индекс цен на продовольствен    ные товары</c:v>
                </c:pt>
                <c:pt idx="2">
                  <c:v>Индекс цен на непродовольственные товары</c:v>
                </c:pt>
                <c:pt idx="3">
                  <c:v>Индекс  тарифов на услуги</c:v>
                </c:pt>
              </c:strCache>
            </c:strRef>
          </c:cat>
          <c:val>
            <c:numRef>
              <c:f>Лист1!$C$2:$C$5</c:f>
              <c:numCache>
                <c:formatCode>General</c:formatCode>
                <c:ptCount val="4"/>
                <c:pt idx="0" formatCode="0.00">
                  <c:v>100.22</c:v>
                </c:pt>
                <c:pt idx="1">
                  <c:v>98.59</c:v>
                </c:pt>
                <c:pt idx="2" formatCode="0.00">
                  <c:v>98.38</c:v>
                </c:pt>
                <c:pt idx="3" formatCode="0.00">
                  <c:v>106.54</c:v>
                </c:pt>
              </c:numCache>
            </c:numRef>
          </c:val>
        </c:ser>
        <c:axId val="166249600"/>
        <c:axId val="166251136"/>
      </c:barChart>
      <c:catAx>
        <c:axId val="166249600"/>
        <c:scaling>
          <c:orientation val="minMax"/>
        </c:scaling>
        <c:axPos val="b"/>
        <c:numFmt formatCode="General" sourceLinked="1"/>
        <c:tickLblPos val="nextTo"/>
        <c:crossAx val="166251136"/>
        <c:crosses val="autoZero"/>
        <c:auto val="1"/>
        <c:lblAlgn val="ctr"/>
        <c:lblOffset val="100"/>
      </c:catAx>
      <c:valAx>
        <c:axId val="166251136"/>
        <c:scaling>
          <c:orientation val="minMax"/>
        </c:scaling>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ru-RU" sz="900"/>
                  <a:t>* -прирост (снижение)  индекса цен,%</a:t>
                </a:r>
              </a:p>
            </c:rich>
          </c:tx>
          <c:layout>
            <c:manualLayout>
              <c:xMode val="edge"/>
              <c:yMode val="edge"/>
              <c:x val="0"/>
              <c:y val="0.55978066122016434"/>
            </c:manualLayout>
          </c:layout>
        </c:title>
        <c:numFmt formatCode="0.00" sourceLinked="1"/>
        <c:tickLblPos val="nextTo"/>
        <c:crossAx val="166249600"/>
        <c:crosses val="autoZero"/>
        <c:crossBetween val="between"/>
        <c:minorUnit val="4"/>
      </c:valAx>
      <c:dTable>
        <c:showHorzBorder val="1"/>
        <c:showVertBorder val="1"/>
        <c:showOutline val="1"/>
        <c:showKeys val="1"/>
        <c:txPr>
          <a:bodyPr/>
          <a:lstStyle/>
          <a:p>
            <a:pPr rtl="0">
              <a:defRPr sz="754" b="1"/>
            </a:pPr>
            <a:endParaRPr lang="ru-RU"/>
          </a:p>
        </c:txPr>
      </c:dTable>
      <c:spPr>
        <a:noFill/>
        <a:ln w="24234">
          <a:noFill/>
        </a:ln>
      </c:spPr>
    </c:plotArea>
    <c:plotVisOnly val="1"/>
    <c:dispBlanksAs val="gap"/>
  </c:chart>
  <c:spPr>
    <a:noFill/>
    <a:ln>
      <a:noFill/>
    </a:ln>
  </c:spPr>
  <c:txPr>
    <a:bodyPr/>
    <a:lstStyle/>
    <a:p>
      <a:pPr>
        <a:defRPr sz="763">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январь - июнь 2015 года</a:t>
            </a:r>
          </a:p>
        </c:rich>
      </c:tx>
      <c:layout>
        <c:manualLayout>
          <c:xMode val="edge"/>
          <c:yMode val="edge"/>
          <c:x val="0.43454947379150438"/>
          <c:y val="0"/>
        </c:manualLayout>
      </c:layout>
      <c:spPr>
        <a:noFill/>
      </c:spPr>
    </c:title>
    <c:view3D>
      <c:rotY val="270"/>
      <c:perspective val="0"/>
    </c:view3D>
    <c:plotArea>
      <c:layout>
        <c:manualLayout>
          <c:layoutTarget val="inner"/>
          <c:xMode val="edge"/>
          <c:yMode val="edge"/>
          <c:x val="0.26443768996960954"/>
          <c:y val="0.22033898305084745"/>
          <c:w val="0.44376899696048638"/>
          <c:h val="0.24576271186440873"/>
        </c:manualLayout>
      </c:layout>
      <c:pie3DChart>
        <c:varyColors val="1"/>
        <c:ser>
          <c:idx val="0"/>
          <c:order val="0"/>
          <c:tx>
            <c:strRef>
              <c:f>Sheet1!$A$2</c:f>
              <c:strCache>
                <c:ptCount val="1"/>
                <c:pt idx="0">
                  <c:v>Восток</c:v>
                </c:pt>
              </c:strCache>
            </c:strRef>
          </c:tx>
          <c:spPr>
            <a:solidFill>
              <a:srgbClr val="9999FF"/>
            </a:solidFill>
            <a:ln w="16852">
              <a:solidFill>
                <a:srgbClr val="000000"/>
              </a:solidFill>
              <a:prstDash val="solid"/>
            </a:ln>
          </c:spPr>
          <c:explosion val="25"/>
          <c:dPt>
            <c:idx val="0"/>
            <c:spPr>
              <a:pattFill prst="pct10">
                <a:fgClr>
                  <a:srgbClr val="000000"/>
                </a:fgClr>
                <a:bgClr>
                  <a:srgbClr val="FFFFFF"/>
                </a:bgClr>
              </a:pattFill>
              <a:ln w="16852">
                <a:solidFill>
                  <a:srgbClr val="000000"/>
                </a:solidFill>
                <a:prstDash val="solid"/>
              </a:ln>
            </c:spPr>
          </c:dPt>
          <c:dPt>
            <c:idx val="1"/>
            <c:spPr>
              <a:pattFill prst="lgGrid">
                <a:fgClr>
                  <a:srgbClr val="000000"/>
                </a:fgClr>
                <a:bgClr>
                  <a:srgbClr val="FFFFFF"/>
                </a:bgClr>
              </a:pattFill>
              <a:ln w="16852">
                <a:solidFill>
                  <a:srgbClr val="000000"/>
                </a:solidFill>
                <a:prstDash val="solid"/>
              </a:ln>
            </c:spPr>
          </c:dPt>
          <c:dPt>
            <c:idx val="2"/>
            <c:spPr>
              <a:pattFill prst="dkVert">
                <a:fgClr>
                  <a:srgbClr val="000000"/>
                </a:fgClr>
                <a:bgClr>
                  <a:srgbClr val="FFFFFF"/>
                </a:bgClr>
              </a:pattFill>
              <a:ln w="16852">
                <a:solidFill>
                  <a:srgbClr val="000000"/>
                </a:solidFill>
                <a:prstDash val="solid"/>
              </a:ln>
            </c:spPr>
          </c:dPt>
          <c:dPt>
            <c:idx val="3"/>
            <c:spPr>
              <a:pattFill prst="dashVert">
                <a:fgClr>
                  <a:srgbClr val="000000"/>
                </a:fgClr>
                <a:bgClr>
                  <a:srgbClr val="FFFFFF"/>
                </a:bgClr>
              </a:pattFill>
              <a:ln w="16852">
                <a:solidFill>
                  <a:srgbClr val="000000"/>
                </a:solidFill>
                <a:prstDash val="solid"/>
              </a:ln>
            </c:spPr>
          </c:dPt>
          <c:dPt>
            <c:idx val="4"/>
            <c:spPr>
              <a:pattFill prst="lgConfetti">
                <a:fgClr>
                  <a:srgbClr val="000000"/>
                </a:fgClr>
                <a:bgClr>
                  <a:srgbClr val="FFFFFF"/>
                </a:bgClr>
              </a:pattFill>
              <a:ln w="16852">
                <a:solidFill>
                  <a:srgbClr val="000000"/>
                </a:solidFill>
                <a:prstDash val="solid"/>
              </a:ln>
            </c:spPr>
          </c:dPt>
          <c:dPt>
            <c:idx val="5"/>
            <c:spPr>
              <a:pattFill prst="zigZag">
                <a:fgClr>
                  <a:srgbClr val="000000"/>
                </a:fgClr>
                <a:bgClr>
                  <a:srgbClr val="FFFFFF"/>
                </a:bgClr>
              </a:pattFill>
              <a:ln w="16852">
                <a:solidFill>
                  <a:srgbClr val="000000"/>
                </a:solidFill>
                <a:prstDash val="solid"/>
              </a:ln>
            </c:spPr>
          </c:dPt>
          <c:dPt>
            <c:idx val="6"/>
            <c:spPr>
              <a:pattFill prst="sphere">
                <a:fgClr>
                  <a:srgbClr val="000000"/>
                </a:fgClr>
                <a:bgClr>
                  <a:srgbClr val="FFFFFF"/>
                </a:bgClr>
              </a:pattFill>
              <a:ln w="16852">
                <a:solidFill>
                  <a:srgbClr val="000000"/>
                </a:solidFill>
                <a:prstDash val="solid"/>
              </a:ln>
            </c:spPr>
          </c:dPt>
          <c:dPt>
            <c:idx val="7"/>
            <c:spPr>
              <a:pattFill prst="weave">
                <a:fgClr>
                  <a:srgbClr val="000000"/>
                </a:fgClr>
                <a:bgClr>
                  <a:srgbClr val="FFFFFF"/>
                </a:bgClr>
              </a:pattFill>
              <a:ln w="16852">
                <a:solidFill>
                  <a:srgbClr val="000000"/>
                </a:solidFill>
                <a:prstDash val="solid"/>
              </a:ln>
            </c:spPr>
          </c:dPt>
          <c:dPt>
            <c:idx val="8"/>
            <c:spPr>
              <a:pattFill prst="pct90">
                <a:fgClr>
                  <a:srgbClr val="000000"/>
                </a:fgClr>
                <a:bgClr>
                  <a:srgbClr val="FFFFFF"/>
                </a:bgClr>
              </a:pattFill>
              <a:ln w="16852">
                <a:solidFill>
                  <a:srgbClr val="000000"/>
                </a:solidFill>
                <a:prstDash val="solid"/>
              </a:ln>
            </c:spPr>
          </c:dPt>
          <c:dLbls>
            <c:dLbl>
              <c:idx val="0"/>
              <c:layout>
                <c:manualLayout>
                  <c:x val="-0.19167431865578527"/>
                  <c:y val="-4.6837168609737762E-4"/>
                </c:manualLayout>
              </c:layout>
              <c:tx>
                <c:rich>
                  <a:bodyPr/>
                  <a:lstStyle/>
                  <a:p>
                    <a:r>
                      <a:rPr lang="ru-RU" sz="896"/>
                      <a:t>Торговля и общепит; 1995; 48,1%</a:t>
                    </a:r>
                  </a:p>
                </c:rich>
              </c:tx>
              <c:dLblPos val="bestFit"/>
            </c:dLbl>
            <c:dLbl>
              <c:idx val="1"/>
              <c:layout>
                <c:manualLayout>
                  <c:x val="0.17844026294296708"/>
                  <c:y val="-5.9528779832753814E-2"/>
                </c:manualLayout>
              </c:layout>
              <c:tx>
                <c:rich>
                  <a:bodyPr/>
                  <a:lstStyle/>
                  <a:p>
                    <a:r>
                      <a:rPr lang="ru-RU" sz="896"/>
                      <a:t>Промышленность; 497; 12,0%</a:t>
                    </a:r>
                  </a:p>
                </c:rich>
              </c:tx>
              <c:dLblPos val="bestFit"/>
            </c:dLbl>
            <c:dLbl>
              <c:idx val="2"/>
              <c:layout>
                <c:manualLayout>
                  <c:x val="0.15706480798661496"/>
                  <c:y val="0.10471545707949299"/>
                </c:manualLayout>
              </c:layout>
              <c:tx>
                <c:rich>
                  <a:bodyPr/>
                  <a:lstStyle/>
                  <a:p>
                    <a:r>
                      <a:rPr lang="ru-RU" sz="896"/>
                      <a:t>Сельское хозяйство; 315; 7,6%</a:t>
                    </a:r>
                  </a:p>
                </c:rich>
              </c:tx>
              <c:dLblPos val="bestFit"/>
            </c:dLbl>
            <c:dLbl>
              <c:idx val="3"/>
              <c:layout>
                <c:manualLayout>
                  <c:x val="0.40551196961407754"/>
                  <c:y val="0.30293149402836272"/>
                </c:manualLayout>
              </c:layout>
              <c:tx>
                <c:rich>
                  <a:bodyPr/>
                  <a:lstStyle/>
                  <a:p>
                    <a:r>
                      <a:rPr lang="ru-RU" sz="896"/>
                      <a:t>Строительство; 306; 7,4%</a:t>
                    </a:r>
                  </a:p>
                </c:rich>
              </c:tx>
              <c:dLblPos val="bestFit"/>
            </c:dLbl>
            <c:dLbl>
              <c:idx val="4"/>
              <c:layout>
                <c:manualLayout>
                  <c:x val="0.18511517977728617"/>
                  <c:y val="0.28164005540974046"/>
                </c:manualLayout>
              </c:layout>
              <c:tx>
                <c:rich>
                  <a:bodyPr/>
                  <a:lstStyle/>
                  <a:p>
                    <a:r>
                      <a:rPr lang="ru-RU" sz="896"/>
                      <a:t>Операции с недвижим. имущест.; 254; 6,1%</a:t>
                    </a:r>
                  </a:p>
                </c:rich>
              </c:tx>
              <c:dLblPos val="bestFit"/>
            </c:dLbl>
            <c:dLbl>
              <c:idx val="5"/>
              <c:layout>
                <c:manualLayout>
                  <c:x val="3.3368052901154348E-2"/>
                  <c:y val="0.32420173314044864"/>
                </c:manualLayout>
              </c:layout>
              <c:tx>
                <c:rich>
                  <a:bodyPr/>
                  <a:lstStyle/>
                  <a:p>
                    <a:r>
                      <a:rPr lang="ru-RU" sz="896"/>
                      <a:t>Непроизв. виды бытового обслуж.; 100; 2,4%</a:t>
                    </a:r>
                  </a:p>
                </c:rich>
              </c:tx>
              <c:dLblPos val="bestFit"/>
            </c:dLbl>
            <c:dLbl>
              <c:idx val="6"/>
              <c:layout>
                <c:manualLayout>
                  <c:x val="-0.11077035310163277"/>
                  <c:y val="0.1656371441941854"/>
                </c:manualLayout>
              </c:layout>
              <c:tx>
                <c:rich>
                  <a:bodyPr/>
                  <a:lstStyle/>
                  <a:p>
                    <a:r>
                      <a:rPr lang="ru-RU" sz="896"/>
                      <a:t>Общая коммер. деятельность; 130; 3,1%</a:t>
                    </a:r>
                  </a:p>
                </c:rich>
              </c:tx>
              <c:dLblPos val="bestFit"/>
            </c:dLbl>
            <c:dLbl>
              <c:idx val="7"/>
              <c:layout>
                <c:manualLayout>
                  <c:x val="-0.12273917421953817"/>
                  <c:y val="-1.4180959938147301E-2"/>
                </c:manualLayout>
              </c:layout>
              <c:tx>
                <c:rich>
                  <a:bodyPr/>
                  <a:lstStyle/>
                  <a:p>
                    <a:r>
                      <a:rPr lang="ru-RU" sz="896"/>
                      <a:t>ЖКХ; 77; 1,9%</a:t>
                    </a:r>
                  </a:p>
                </c:rich>
              </c:tx>
              <c:dLblPos val="bestFit"/>
            </c:dLbl>
            <c:dLbl>
              <c:idx val="8"/>
              <c:layout>
                <c:manualLayout>
                  <c:x val="-7.9251135904084502E-2"/>
                  <c:y val="-0.10968076664835502"/>
                </c:manualLayout>
              </c:layout>
              <c:tx>
                <c:rich>
                  <a:bodyPr/>
                  <a:lstStyle/>
                  <a:p>
                    <a:r>
                      <a:rPr lang="ru-RU" sz="896"/>
                      <a:t>Прочие; 474; 11,4%</a:t>
                    </a:r>
                  </a:p>
                </c:rich>
              </c:tx>
              <c:dLblPos val="bestFit"/>
            </c:dLbl>
            <c:numFmt formatCode="0.0%" sourceLinked="0"/>
            <c:spPr>
              <a:solidFill>
                <a:srgbClr val="FFFFFF"/>
              </a:solidFill>
              <a:ln w="33770">
                <a:noFill/>
              </a:ln>
            </c:spPr>
            <c:txPr>
              <a:bodyPr/>
              <a:lstStyle/>
              <a:p>
                <a:pPr>
                  <a:defRPr sz="896"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1995</c:v>
                </c:pt>
                <c:pt idx="1">
                  <c:v>497</c:v>
                </c:pt>
                <c:pt idx="2">
                  <c:v>315</c:v>
                </c:pt>
                <c:pt idx="3">
                  <c:v>306</c:v>
                </c:pt>
                <c:pt idx="4">
                  <c:v>254</c:v>
                </c:pt>
                <c:pt idx="5">
                  <c:v>100</c:v>
                </c:pt>
                <c:pt idx="6">
                  <c:v>130</c:v>
                </c:pt>
                <c:pt idx="7">
                  <c:v>77</c:v>
                </c:pt>
                <c:pt idx="8">
                  <c:v>474</c:v>
                </c:pt>
              </c:numCache>
            </c:numRef>
          </c:val>
        </c:ser>
        <c:dLbls>
          <c:showVal val="1"/>
          <c:showCatName val="1"/>
          <c:showPercent val="1"/>
          <c:separator>; </c:separator>
        </c:dLbls>
      </c:pie3DChart>
      <c:spPr>
        <a:solidFill>
          <a:srgbClr val="FFFFFF"/>
        </a:solidFill>
        <a:ln w="33705">
          <a:noFill/>
        </a:ln>
      </c:spPr>
    </c:plotArea>
    <c:plotVisOnly val="1"/>
    <c:dispBlanksAs val="zero"/>
  </c:chart>
  <c:spPr>
    <a:noFill/>
    <a:ln>
      <a:noFill/>
    </a:ln>
  </c:spPr>
  <c:txPr>
    <a:bodyPr/>
    <a:lstStyle/>
    <a:p>
      <a:pPr>
        <a:defRPr sz="931" b="0" i="0" u="none" strike="noStrike" baseline="0">
          <a:solidFill>
            <a:srgbClr val="000000"/>
          </a:solidFill>
          <a:latin typeface="Times New Roman"/>
          <a:ea typeface="Times New Roman"/>
          <a:cs typeface="Times New Roman"/>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sz="1122" b="1" i="0" u="none" strike="noStrike" baseline="0"/>
              <a:t>январь – июнь </a:t>
            </a:r>
            <a:r>
              <a:rPr lang="ru-RU" b="1"/>
              <a:t>2014 года</a:t>
            </a:r>
          </a:p>
        </c:rich>
      </c:tx>
      <c:layout>
        <c:manualLayout>
          <c:xMode val="edge"/>
          <c:yMode val="edge"/>
          <c:x val="0.38612587323865993"/>
          <c:y val="2.4420024420024451E-2"/>
        </c:manualLayout>
      </c:layout>
      <c:spPr>
        <a:noFill/>
      </c:spPr>
    </c:title>
    <c:view3D>
      <c:rotY val="270"/>
      <c:perspective val="0"/>
    </c:view3D>
    <c:plotArea>
      <c:layout>
        <c:manualLayout>
          <c:layoutTarget val="inner"/>
          <c:xMode val="edge"/>
          <c:yMode val="edge"/>
          <c:x val="0.26575540595189956"/>
          <c:y val="0.20374645477007838"/>
          <c:w val="0.46342862314625605"/>
          <c:h val="0.29868987895501392"/>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17086344569466591"/>
                  <c:y val="1.9306048282426241E-2"/>
                </c:manualLayout>
              </c:layout>
              <c:tx>
                <c:rich>
                  <a:bodyPr/>
                  <a:lstStyle/>
                  <a:p>
                    <a:r>
                      <a:rPr lang="ru-RU" sz="900"/>
                      <a:t>Торговля и общепит; 1959; 47,9%</a:t>
                    </a:r>
                  </a:p>
                </c:rich>
              </c:tx>
              <c:dLblPos val="bestFit"/>
              <c:showVal val="1"/>
              <c:showCatName val="1"/>
              <c:showPercent val="1"/>
              <c:separator>; </c:separator>
            </c:dLbl>
            <c:dLbl>
              <c:idx val="1"/>
              <c:layout>
                <c:manualLayout>
                  <c:x val="0.17844026294296714"/>
                  <c:y val="-5.9528779832753814E-2"/>
                </c:manualLayout>
              </c:layout>
              <c:tx>
                <c:rich>
                  <a:bodyPr/>
                  <a:lstStyle/>
                  <a:p>
                    <a:r>
                      <a:rPr lang="ru-RU" sz="900"/>
                      <a:t>Промышленность; 493; 12,1%</a:t>
                    </a:r>
                  </a:p>
                </c:rich>
              </c:tx>
              <c:dLblPos val="bestFit"/>
              <c:showVal val="1"/>
              <c:showCatName val="1"/>
              <c:showPercent val="1"/>
              <c:separator>; </c:separator>
            </c:dLbl>
            <c:dLbl>
              <c:idx val="2"/>
              <c:layout>
                <c:manualLayout>
                  <c:x val="0.25040892547041932"/>
                  <c:y val="2.7196077234531747E-2"/>
                </c:manualLayout>
              </c:layout>
              <c:tx>
                <c:rich>
                  <a:bodyPr/>
                  <a:lstStyle/>
                  <a:p>
                    <a:r>
                      <a:rPr lang="ru-RU" sz="900"/>
                      <a:t>Сельское хозяйство; 321; 7,8%</a:t>
                    </a:r>
                  </a:p>
                </c:rich>
              </c:tx>
              <c:dLblPos val="bestFit"/>
              <c:showVal val="1"/>
              <c:showCatName val="1"/>
              <c:showPercent val="1"/>
              <c:separator>; </c:separator>
            </c:dLbl>
            <c:dLbl>
              <c:idx val="3"/>
              <c:layout>
                <c:manualLayout>
                  <c:x val="0.42162475914075953"/>
                  <c:y val="0.34200340342072633"/>
                </c:manualLayout>
              </c:layout>
              <c:tx>
                <c:rich>
                  <a:bodyPr/>
                  <a:lstStyle/>
                  <a:p>
                    <a:r>
                      <a:rPr lang="ru-RU" sz="900"/>
                      <a:t>Строительство; 291; 7,4%</a:t>
                    </a:r>
                  </a:p>
                </c:rich>
              </c:tx>
              <c:dLblPos val="bestFit"/>
              <c:showVal val="1"/>
              <c:showCatName val="1"/>
              <c:showPercent val="1"/>
              <c:separator>; </c:separator>
            </c:dLbl>
            <c:dLbl>
              <c:idx val="4"/>
              <c:layout>
                <c:manualLayout>
                  <c:x val="0.1971999270483939"/>
                  <c:y val="0.40195975503062131"/>
                </c:manualLayout>
              </c:layout>
              <c:tx>
                <c:rich>
                  <a:bodyPr/>
                  <a:lstStyle/>
                  <a:p>
                    <a:r>
                      <a:rPr lang="ru-RU" sz="900"/>
                      <a:t>Операции с недвижим. имущест.; 225; 5,5%</a:t>
                    </a:r>
                  </a:p>
                </c:rich>
              </c:tx>
              <c:dLblPos val="bestFit"/>
              <c:showVal val="1"/>
              <c:showCatName val="1"/>
              <c:showPercent val="1"/>
              <c:separator>; </c:separator>
            </c:dLbl>
            <c:dLbl>
              <c:idx val="5"/>
              <c:layout>
                <c:manualLayout>
                  <c:x val="-1.4970303938593778E-2"/>
                  <c:y val="0.37852268466442079"/>
                </c:manualLayout>
              </c:layout>
              <c:tx>
                <c:rich>
                  <a:bodyPr/>
                  <a:lstStyle/>
                  <a:p>
                    <a:r>
                      <a:rPr lang="ru-RU" sz="900"/>
                      <a:t>Непроизв. виды бытового обслуж.; 116; 2,8%</a:t>
                    </a:r>
                  </a:p>
                </c:rich>
              </c:tx>
              <c:dLblPos val="bestFit"/>
              <c:showVal val="1"/>
              <c:showCatName val="1"/>
              <c:showPercent val="1"/>
              <c:separator>; </c:separator>
            </c:dLbl>
            <c:dLbl>
              <c:idx val="6"/>
              <c:layout>
                <c:manualLayout>
                  <c:x val="-0.11077035310163302"/>
                  <c:y val="0.16563714419418549"/>
                </c:manualLayout>
              </c:layout>
              <c:tx>
                <c:rich>
                  <a:bodyPr/>
                  <a:lstStyle/>
                  <a:p>
                    <a:r>
                      <a:rPr lang="ru-RU" sz="900"/>
                      <a:t>Общая коммер. деятельность; 139; 3,4%</a:t>
                    </a:r>
                  </a:p>
                </c:rich>
              </c:tx>
              <c:dLblPos val="bestFit"/>
              <c:showVal val="1"/>
              <c:showCatName val="1"/>
              <c:showPercent val="1"/>
              <c:separator>; </c:separator>
            </c:dLbl>
            <c:dLbl>
              <c:idx val="7"/>
              <c:layout>
                <c:manualLayout>
                  <c:x val="-0.12273917421953819"/>
                  <c:y val="-1.4180959938147311E-2"/>
                </c:manualLayout>
              </c:layout>
              <c:tx>
                <c:rich>
                  <a:bodyPr/>
                  <a:lstStyle/>
                  <a:p>
                    <a:r>
                      <a:rPr lang="ru-RU" sz="900"/>
                      <a:t>ЖКХ; 72; 1,8%</a:t>
                    </a:r>
                  </a:p>
                </c:rich>
              </c:tx>
              <c:dLblPos val="bestFit"/>
              <c:showVal val="1"/>
              <c:showCatName val="1"/>
              <c:showPercent val="1"/>
              <c:separator>; </c:separator>
            </c:dLbl>
            <c:dLbl>
              <c:idx val="8"/>
              <c:layout>
                <c:manualLayout>
                  <c:x val="-7.9251135904084502E-2"/>
                  <c:y val="-0.10968076664835502"/>
                </c:manualLayout>
              </c:layout>
              <c:tx>
                <c:rich>
                  <a:bodyPr/>
                  <a:lstStyle/>
                  <a:p>
                    <a:r>
                      <a:rPr lang="ru-RU" sz="900"/>
                      <a:t>Прочие; 464; 11,3%</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4091</c:v>
                </c:pt>
                <c:pt idx="1">
                  <c:v>493</c:v>
                </c:pt>
                <c:pt idx="2">
                  <c:v>321</c:v>
                </c:pt>
                <c:pt idx="3">
                  <c:v>302</c:v>
                </c:pt>
                <c:pt idx="4">
                  <c:v>225</c:v>
                </c:pt>
                <c:pt idx="5">
                  <c:v>116</c:v>
                </c:pt>
                <c:pt idx="6">
                  <c:v>139</c:v>
                </c:pt>
                <c:pt idx="7">
                  <c:v>72</c:v>
                </c:pt>
                <c:pt idx="8">
                  <c:v>464</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390464947862391"/>
          <c:y val="2.1721703391727196E-3"/>
        </c:manualLayout>
      </c:layout>
      <c:spPr>
        <a:noFill/>
        <a:ln w="25173">
          <a:noFill/>
        </a:ln>
      </c:spPr>
    </c:title>
    <c:plotArea>
      <c:layout>
        <c:manualLayout>
          <c:layoutTarget val="inner"/>
          <c:xMode val="edge"/>
          <c:yMode val="edge"/>
          <c:x val="7.4762159273115983E-2"/>
          <c:y val="6.3207909517231889E-2"/>
          <c:w val="0.91475560837914782"/>
          <c:h val="0.37346906636670685"/>
        </c:manualLayout>
      </c:layout>
      <c:lineChart>
        <c:grouping val="standard"/>
        <c:ser>
          <c:idx val="0"/>
          <c:order val="0"/>
          <c:tx>
            <c:strRef>
              <c:f>Sheet1!$A$2</c:f>
              <c:strCache>
                <c:ptCount val="1"/>
                <c:pt idx="0">
                  <c:v>I полугодие 2014 года</c:v>
                </c:pt>
              </c:strCache>
            </c:strRef>
          </c:tx>
          <c:spPr>
            <a:ln w="24127">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3.3556353291220746E-2"/>
                  <c:y val="5.5678483008010773E-2"/>
                </c:manualLayout>
              </c:layout>
              <c:spPr/>
              <c:txPr>
                <a:bodyPr/>
                <a:lstStyle/>
                <a:p>
                  <a:pPr>
                    <a:defRPr/>
                  </a:pPr>
                  <a:endParaRPr lang="ru-RU"/>
                </a:p>
              </c:txPr>
              <c:dLblPos val="r"/>
              <c:showVal val="1"/>
            </c:dLbl>
            <c:dLbl>
              <c:idx val="1"/>
              <c:layout>
                <c:manualLayout>
                  <c:x val="-3.6102130739803992E-2"/>
                  <c:y val="4.2922538958489034E-2"/>
                </c:manualLayout>
              </c:layout>
              <c:spPr/>
              <c:txPr>
                <a:bodyPr/>
                <a:lstStyle/>
                <a:p>
                  <a:pPr>
                    <a:defRPr/>
                  </a:pPr>
                  <a:endParaRPr lang="ru-RU"/>
                </a:p>
              </c:txPr>
              <c:dLblPos val="r"/>
              <c:showVal val="1"/>
            </c:dLbl>
            <c:dLbl>
              <c:idx val="2"/>
              <c:layout>
                <c:manualLayout>
                  <c:x val="-2.7882348485167942E-2"/>
                  <c:y val="4.3731231129841681E-2"/>
                </c:manualLayout>
              </c:layout>
              <c:spPr/>
              <c:txPr>
                <a:bodyPr/>
                <a:lstStyle/>
                <a:p>
                  <a:pPr>
                    <a:defRPr/>
                  </a:pPr>
                  <a:endParaRPr lang="ru-RU"/>
                </a:p>
              </c:txPr>
              <c:dLblPos val="r"/>
              <c:showVal val="1"/>
            </c:dLbl>
            <c:dLbl>
              <c:idx val="3"/>
              <c:layout>
                <c:manualLayout>
                  <c:x val="-8.7961383234364532E-2"/>
                  <c:y val="2.935682232055218E-2"/>
                </c:manualLayout>
              </c:layout>
              <c:spPr/>
              <c:txPr>
                <a:bodyPr/>
                <a:lstStyle/>
                <a:p>
                  <a:pPr>
                    <a:defRPr/>
                  </a:pPr>
                  <a:endParaRPr lang="ru-RU"/>
                </a:p>
              </c:txPr>
              <c:dLblPos val="r"/>
              <c:showVal val="1"/>
            </c:dLbl>
            <c:dLbl>
              <c:idx val="4"/>
              <c:layout>
                <c:manualLayout>
                  <c:x val="-7.0371395985977428E-2"/>
                  <c:y val="2.7493643096108002E-2"/>
                </c:manualLayout>
              </c:layout>
              <c:spPr/>
              <c:txPr>
                <a:bodyPr/>
                <a:lstStyle/>
                <a:p>
                  <a:pPr>
                    <a:defRPr/>
                  </a:pPr>
                  <a:endParaRPr lang="ru-RU"/>
                </a:p>
              </c:txPr>
              <c:dLblPos val="r"/>
              <c:showVal val="1"/>
            </c:dLbl>
            <c:dLbl>
              <c:idx val="5"/>
              <c:layout>
                <c:manualLayout>
                  <c:x val="-2.6456692913385826E-2"/>
                  <c:y val="-3.7256561777977606E-2"/>
                </c:manualLayout>
              </c:layout>
              <c:spPr/>
              <c:txPr>
                <a:bodyPr/>
                <a:lstStyle/>
                <a:p>
                  <a:pPr>
                    <a:defRPr/>
                  </a:pPr>
                  <a:endParaRPr lang="ru-RU"/>
                </a:p>
              </c:txPr>
              <c:dLblPos val="r"/>
              <c:showVal val="1"/>
            </c:dLbl>
            <c:dLbl>
              <c:idx val="6"/>
              <c:layout>
                <c:manualLayout>
                  <c:x val="-4.7114474132744092E-3"/>
                  <c:y val="-5.6087150761937096E-3"/>
                </c:manualLayout>
              </c:layout>
              <c:spPr/>
              <c:txPr>
                <a:bodyPr/>
                <a:lstStyle/>
                <a:p>
                  <a:pPr>
                    <a:defRPr/>
                  </a:pPr>
                  <a:endParaRPr lang="ru-RU"/>
                </a:p>
              </c:txPr>
              <c:dLblPos val="r"/>
              <c:showVal val="1"/>
            </c:dLbl>
            <c:dLbl>
              <c:idx val="7"/>
              <c:layout>
                <c:manualLayout>
                  <c:x val="-3.0160973331032577E-2"/>
                  <c:y val="2.346395755689621E-2"/>
                </c:manualLayout>
              </c:layout>
              <c:spPr/>
              <c:txPr>
                <a:bodyPr/>
                <a:lstStyle/>
                <a:p>
                  <a:pPr>
                    <a:defRPr/>
                  </a:pPr>
                  <a:endParaRPr lang="ru-RU"/>
                </a:p>
              </c:txPr>
              <c:dLblPos val="r"/>
              <c:showVal val="1"/>
            </c:dLbl>
            <c:dLbl>
              <c:idx val="8"/>
              <c:layout>
                <c:manualLayout>
                  <c:x val="8.0431955626070564E-4"/>
                  <c:y val="1.2977429547353881E-2"/>
                </c:manualLayout>
              </c:layout>
              <c:spPr/>
              <c:txPr>
                <a:bodyPr/>
                <a:lstStyle/>
                <a:p>
                  <a:pPr>
                    <a:defRPr/>
                  </a:pPr>
                  <a:endParaRPr lang="ru-RU"/>
                </a:p>
              </c:txPr>
              <c:dLblPos val="r"/>
              <c:showVal val="1"/>
            </c:dLbl>
            <c:dLbl>
              <c:idx val="9"/>
              <c:layout>
                <c:manualLayout>
                  <c:x val="-7.9102084446820903E-2"/>
                  <c:y val="2.2926720172520995E-2"/>
                </c:manualLayout>
              </c:layout>
              <c:spPr/>
              <c:txPr>
                <a:bodyPr/>
                <a:lstStyle/>
                <a:p>
                  <a:pPr>
                    <a:defRPr/>
                  </a:pPr>
                  <a:endParaRPr lang="ru-RU"/>
                </a:p>
              </c:txPr>
              <c:dLblPos val="r"/>
              <c:showVal val="1"/>
            </c:dLbl>
            <c:dLbl>
              <c:idx val="10"/>
              <c:layout>
                <c:manualLayout>
                  <c:x val="-1.9487662919740592E-2"/>
                  <c:y val="-2.8236970035173298E-2"/>
                </c:manualLayout>
              </c:layout>
              <c:spPr/>
              <c:txPr>
                <a:bodyPr/>
                <a:lstStyle/>
                <a:p>
                  <a:pPr>
                    <a:defRPr/>
                  </a:pPr>
                  <a:endParaRPr lang="ru-RU"/>
                </a:p>
              </c:txPr>
              <c:dLblPos val="r"/>
              <c:showVal val="1"/>
            </c:dLbl>
            <c:dLbl>
              <c:idx val="11"/>
              <c:layout>
                <c:manualLayout>
                  <c:x val="-5.5182583737695537E-2"/>
                  <c:y val="4.2974939186024588E-2"/>
                </c:manualLayout>
              </c:layout>
              <c:spPr/>
              <c:txPr>
                <a:bodyPr/>
                <a:lstStyle/>
                <a:p>
                  <a:pPr>
                    <a:defRPr/>
                  </a:pPr>
                  <a:endParaRPr lang="ru-RU"/>
                </a:p>
              </c:txPr>
              <c:dLblPos val="r"/>
              <c:showVal val="1"/>
            </c:dLbl>
            <c:dLbl>
              <c:idx val="12"/>
              <c:layout>
                <c:manualLayout>
                  <c:x val="-3.3690687114137377E-2"/>
                  <c:y val="-1.9821871638890369E-2"/>
                </c:manualLayout>
              </c:layout>
              <c:spPr/>
              <c:txPr>
                <a:bodyPr/>
                <a:lstStyle/>
                <a:p>
                  <a:pPr>
                    <a:defRPr/>
                  </a:pPr>
                  <a:endParaRPr lang="ru-RU"/>
                </a:p>
              </c:txPr>
              <c:dLblPos val="r"/>
              <c:showVal val="1"/>
            </c:dLbl>
            <c:dLbl>
              <c:idx val="13"/>
              <c:layout>
                <c:manualLayout>
                  <c:x val="-3.4206306787814438E-2"/>
                  <c:y val="3.1446078815344412E-2"/>
                </c:manualLayout>
              </c:layout>
              <c:spPr/>
              <c:txPr>
                <a:bodyPr/>
                <a:lstStyle/>
                <a:p>
                  <a:pPr>
                    <a:defRPr/>
                  </a:pPr>
                  <a:endParaRPr lang="ru-RU"/>
                </a:p>
              </c:txPr>
              <c:dLblPos val="r"/>
              <c:showVal val="1"/>
            </c:dLbl>
            <c:dLbl>
              <c:idx val="14"/>
              <c:layout>
                <c:manualLayout>
                  <c:x val="-6.4047269345206922E-2"/>
                  <c:y val="-3.3791394153971331E-2"/>
                </c:manualLayout>
              </c:layout>
              <c:spPr/>
              <c:txPr>
                <a:bodyPr/>
                <a:lstStyle/>
                <a:p>
                  <a:pPr>
                    <a:defRPr/>
                  </a:pPr>
                  <a:endParaRPr lang="ru-RU"/>
                </a:p>
              </c:txPr>
              <c:dLblPos val="r"/>
              <c:showVal val="1"/>
            </c:dLbl>
            <c:dLbl>
              <c:idx val="15"/>
              <c:layout>
                <c:manualLayout>
                  <c:x val="-2.5768189986406669E-2"/>
                  <c:y val="-2.9365735761318613E-2"/>
                </c:manualLayout>
              </c:layout>
              <c:spPr/>
              <c:txPr>
                <a:bodyPr/>
                <a:lstStyle/>
                <a:p>
                  <a:pPr>
                    <a:defRPr/>
                  </a:pPr>
                  <a:endParaRPr lang="ru-RU"/>
                </a:p>
              </c:txPr>
              <c:dLblPos val="r"/>
              <c:showVal val="1"/>
            </c:dLbl>
            <c:dLbl>
              <c:idx val="16"/>
              <c:layout>
                <c:manualLayout>
                  <c:x val="-3.5637762260849952E-3"/>
                  <c:y val="-1.5095709437348609E-2"/>
                </c:manualLayout>
              </c:layout>
              <c:spPr/>
              <c:txPr>
                <a:bodyPr/>
                <a:lstStyle/>
                <a:p>
                  <a:pPr>
                    <a:defRPr/>
                  </a:pPr>
                  <a:endParaRPr lang="ru-RU"/>
                </a:p>
              </c:txPr>
              <c:dLblPos val="r"/>
              <c:showVal val="1"/>
            </c:dLbl>
            <c:dLbl>
              <c:idx val="17"/>
              <c:layout>
                <c:manualLayout>
                  <c:x val="-3.81789181750464E-2"/>
                  <c:y val="-1.9889397705302281E-2"/>
                </c:manualLayout>
              </c:layout>
              <c:spPr/>
              <c:txPr>
                <a:bodyPr/>
                <a:lstStyle/>
                <a:p>
                  <a:pPr>
                    <a:defRPr/>
                  </a:pPr>
                  <a:endParaRPr lang="ru-RU"/>
                </a:p>
              </c:txPr>
              <c:dLblPos val="r"/>
              <c:showVal val="1"/>
            </c:dLbl>
            <c:dLbl>
              <c:idx val="18"/>
              <c:layout>
                <c:manualLayout>
                  <c:x val="-2.6857491870120338E-4"/>
                  <c:y val="-5.1562860555027019E-2"/>
                </c:manualLayout>
              </c:layout>
              <c:spPr/>
              <c:txPr>
                <a:bodyPr/>
                <a:lstStyle/>
                <a:p>
                  <a:pPr>
                    <a:defRPr/>
                  </a:pPr>
                  <a:endParaRPr lang="ru-RU"/>
                </a:p>
              </c:txPr>
              <c:dLblPos val="r"/>
              <c:showVal val="1"/>
            </c:dLbl>
            <c:dLbl>
              <c:idx val="19"/>
              <c:layout>
                <c:manualLayout>
                  <c:x val="-2.9930518439337254E-2"/>
                  <c:y val="1.5657818232210161E-2"/>
                </c:manualLayout>
              </c:layout>
              <c:spPr/>
              <c:txPr>
                <a:bodyPr/>
                <a:lstStyle/>
                <a:p>
                  <a:pPr>
                    <a:defRPr/>
                  </a:pPr>
                  <a:endParaRPr lang="ru-RU"/>
                </a:p>
              </c:txPr>
              <c:dLblPos val="r"/>
              <c:showVal val="1"/>
            </c:dLbl>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2991.6</c:v>
                </c:pt>
                <c:pt idx="1">
                  <c:v>2608.5</c:v>
                </c:pt>
                <c:pt idx="2">
                  <c:v>2978.8</c:v>
                </c:pt>
                <c:pt idx="3">
                  <c:v>5359.8</c:v>
                </c:pt>
                <c:pt idx="4">
                  <c:v>3390</c:v>
                </c:pt>
                <c:pt idx="5">
                  <c:v>2628</c:v>
                </c:pt>
                <c:pt idx="6">
                  <c:v>2871.1</c:v>
                </c:pt>
                <c:pt idx="7">
                  <c:v>1739.1</c:v>
                </c:pt>
                <c:pt idx="8">
                  <c:v>4945</c:v>
                </c:pt>
                <c:pt idx="9">
                  <c:v>3430.2</c:v>
                </c:pt>
                <c:pt idx="10">
                  <c:v>4518.2</c:v>
                </c:pt>
                <c:pt idx="11">
                  <c:v>3208.7</c:v>
                </c:pt>
                <c:pt idx="12">
                  <c:v>3030.2</c:v>
                </c:pt>
                <c:pt idx="13">
                  <c:v>2387.5</c:v>
                </c:pt>
                <c:pt idx="14">
                  <c:v>3674.5</c:v>
                </c:pt>
                <c:pt idx="15">
                  <c:v>3640.6</c:v>
                </c:pt>
                <c:pt idx="16">
                  <c:v>2769.2</c:v>
                </c:pt>
                <c:pt idx="17">
                  <c:v>5235.1000000000004</c:v>
                </c:pt>
                <c:pt idx="18">
                  <c:v>4305.7</c:v>
                </c:pt>
              </c:numCache>
            </c:numRef>
          </c:val>
        </c:ser>
        <c:ser>
          <c:idx val="1"/>
          <c:order val="1"/>
          <c:tx>
            <c:strRef>
              <c:f>Sheet1!$A$3</c:f>
              <c:strCache>
                <c:ptCount val="1"/>
                <c:pt idx="0">
                  <c:v>I полугодие 2015 года</c:v>
                </c:pt>
              </c:strCache>
            </c:strRef>
          </c:tx>
          <c:spPr>
            <a:ln w="24127">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3.8294229789956141E-2"/>
                  <c:y val="-3.7201730612051349E-2"/>
                </c:manualLayout>
              </c:layout>
              <c:dLblPos val="r"/>
              <c:showVal val="1"/>
            </c:dLbl>
            <c:dLbl>
              <c:idx val="1"/>
              <c:layout>
                <c:manualLayout>
                  <c:x val="-4.0865426295256732E-2"/>
                  <c:y val="-2.4364215074302982E-2"/>
                </c:manualLayout>
              </c:layout>
              <c:dLblPos val="r"/>
              <c:showVal val="1"/>
            </c:dLbl>
            <c:dLbl>
              <c:idx val="2"/>
              <c:layout>
                <c:manualLayout>
                  <c:x val="-7.6964190272581501E-2"/>
                  <c:y val="-1.0506245620934593E-2"/>
                </c:manualLayout>
              </c:layout>
              <c:dLblPos val="r"/>
              <c:showVal val="1"/>
            </c:dLbl>
            <c:dLbl>
              <c:idx val="3"/>
              <c:layout>
                <c:manualLayout>
                  <c:x val="-5.9517627105805807E-3"/>
                  <c:y val="3.5348545245435644E-3"/>
                </c:manualLayout>
              </c:layout>
              <c:dLblPos val="r"/>
              <c:showVal val="1"/>
            </c:dLbl>
            <c:dLbl>
              <c:idx val="4"/>
              <c:layout>
                <c:manualLayout>
                  <c:x val="-2.3824894683460809E-3"/>
                  <c:y val="1.3471720353490885E-2"/>
                </c:manualLayout>
              </c:layout>
              <c:dLblPos val="r"/>
              <c:showVal val="1"/>
            </c:dLbl>
            <c:dLbl>
              <c:idx val="5"/>
              <c:layout>
                <c:manualLayout>
                  <c:x val="-4.296561272972893E-2"/>
                  <c:y val="3.3145304750539804E-2"/>
                </c:manualLayout>
              </c:layout>
              <c:dLblPos val="r"/>
              <c:showVal val="1"/>
            </c:dLbl>
            <c:dLbl>
              <c:idx val="6"/>
              <c:layout>
                <c:manualLayout>
                  <c:x val="-5.1175126358804258E-2"/>
                  <c:y val="2.2261993574760181E-2"/>
                </c:manualLayout>
              </c:layout>
              <c:dLblPos val="r"/>
              <c:showVal val="1"/>
            </c:dLbl>
            <c:dLbl>
              <c:idx val="7"/>
              <c:layout>
                <c:manualLayout>
                  <c:x val="-8.0428252187343507E-2"/>
                  <c:y val="2.9195570073960271E-3"/>
                </c:manualLayout>
              </c:layout>
              <c:dLblPos val="r"/>
              <c:showVal val="1"/>
            </c:dLbl>
            <c:dLbl>
              <c:idx val="8"/>
              <c:layout>
                <c:manualLayout>
                  <c:x val="-1.0780205120004039E-2"/>
                  <c:y val="-1.4053795045963643E-2"/>
                </c:manualLayout>
              </c:layout>
              <c:dLblPos val="r"/>
              <c:showVal val="1"/>
            </c:dLbl>
            <c:dLbl>
              <c:idx val="9"/>
              <c:layout>
                <c:manualLayout>
                  <c:x val="-1.0599914989247398E-2"/>
                  <c:y val="1.7726132641722361E-2"/>
                </c:manualLayout>
              </c:layout>
              <c:dLblPos val="r"/>
              <c:showVal val="1"/>
            </c:dLbl>
            <c:dLbl>
              <c:idx val="10"/>
              <c:layout>
                <c:manualLayout>
                  <c:x val="-1.9813397189587446E-4"/>
                  <c:y val="-1.8737132908045163E-2"/>
                </c:manualLayout>
              </c:layout>
              <c:dLblPos val="r"/>
              <c:showVal val="1"/>
            </c:dLbl>
            <c:dLbl>
              <c:idx val="11"/>
              <c:layout>
                <c:manualLayout>
                  <c:x val="-2.3566664001313038E-2"/>
                  <c:y val="-4.3431415394970772E-2"/>
                </c:manualLayout>
              </c:layout>
              <c:dLblPos val="r"/>
              <c:showVal val="1"/>
            </c:dLbl>
            <c:dLbl>
              <c:idx val="12"/>
              <c:layout>
                <c:manualLayout>
                  <c:x val="-3.8627539275388548E-2"/>
                  <c:y val="3.4781866496104832E-2"/>
                </c:manualLayout>
              </c:layout>
              <c:dLblPos val="r"/>
              <c:showVal val="1"/>
            </c:dLbl>
            <c:dLbl>
              <c:idx val="13"/>
              <c:layout>
                <c:manualLayout>
                  <c:x val="-4.2936826910533077E-2"/>
                  <c:y val="-2.5229359037175551E-2"/>
                </c:manualLayout>
              </c:layout>
              <c:dLblPos val="r"/>
              <c:showVal val="1"/>
            </c:dLbl>
            <c:dLbl>
              <c:idx val="14"/>
              <c:layout>
                <c:manualLayout>
                  <c:x val="-2.102105489085378E-2"/>
                  <c:y val="1.9496125894518108E-2"/>
                </c:manualLayout>
              </c:layout>
              <c:dLblPos val="r"/>
              <c:showVal val="1"/>
            </c:dLbl>
            <c:dLbl>
              <c:idx val="15"/>
              <c:layout>
                <c:manualLayout>
                  <c:x val="-4.0485823825736934E-2"/>
                  <c:y val="5.6448550269374315E-2"/>
                </c:manualLayout>
              </c:layout>
              <c:dLblPos val="r"/>
              <c:showVal val="1"/>
            </c:dLbl>
            <c:dLbl>
              <c:idx val="16"/>
              <c:layout>
                <c:manualLayout>
                  <c:x val="-2.8423546113339606E-2"/>
                  <c:y val="4.3815962593364767E-2"/>
                </c:manualLayout>
              </c:layout>
              <c:dLblPos val="r"/>
              <c:showVal val="1"/>
            </c:dLbl>
            <c:dLbl>
              <c:idx val="17"/>
              <c:layout>
                <c:manualLayout>
                  <c:x val="-8.5515766969535043E-2"/>
                  <c:y val="-9.1916481600227322E-4"/>
                </c:manualLayout>
              </c:layout>
              <c:dLblPos val="r"/>
              <c:showVal val="1"/>
            </c:dLbl>
            <c:dLbl>
              <c:idx val="18"/>
              <c:layout>
                <c:manualLayout>
                  <c:x val="-2.4876607405206871E-4"/>
                  <c:y val="2.7316019944807701E-2"/>
                </c:manualLayout>
              </c:layout>
              <c:dLblPos val="r"/>
              <c:showVal val="1"/>
            </c:dLbl>
            <c:dLbl>
              <c:idx val="19"/>
              <c:layout>
                <c:manualLayout>
                  <c:x val="0"/>
                  <c:y val="-2.5052509171536237E-2"/>
                </c:manualLayout>
              </c:layout>
              <c:dLblPos val="r"/>
              <c:showVal val="1"/>
            </c:dLbl>
            <c:txPr>
              <a:bodyPr/>
              <a:lstStyle/>
              <a:p>
                <a:pPr>
                  <a:defRPr b="1"/>
                </a:pPr>
                <a:endParaRPr lang="ru-RU"/>
              </a:p>
            </c:txPr>
            <c:dLblPos val="t"/>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2938.3</c:v>
                </c:pt>
                <c:pt idx="1">
                  <c:v>2744.4</c:v>
                </c:pt>
                <c:pt idx="2">
                  <c:v>3399.2</c:v>
                </c:pt>
                <c:pt idx="3">
                  <c:v>5364</c:v>
                </c:pt>
                <c:pt idx="4">
                  <c:v>3700.6</c:v>
                </c:pt>
                <c:pt idx="5">
                  <c:v>2597</c:v>
                </c:pt>
                <c:pt idx="6">
                  <c:v>2060.3000000000002</c:v>
                </c:pt>
                <c:pt idx="7">
                  <c:v>6258.3</c:v>
                </c:pt>
                <c:pt idx="8">
                  <c:v>5154.3</c:v>
                </c:pt>
                <c:pt idx="9">
                  <c:v>3500.6</c:v>
                </c:pt>
                <c:pt idx="10">
                  <c:v>4136.7</c:v>
                </c:pt>
                <c:pt idx="11">
                  <c:v>3041.9</c:v>
                </c:pt>
                <c:pt idx="12">
                  <c:v>2913.2</c:v>
                </c:pt>
                <c:pt idx="13">
                  <c:v>2577.6</c:v>
                </c:pt>
                <c:pt idx="14">
                  <c:v>3449.6</c:v>
                </c:pt>
                <c:pt idx="15">
                  <c:v>3511</c:v>
                </c:pt>
                <c:pt idx="16">
                  <c:v>2942.7</c:v>
                </c:pt>
                <c:pt idx="17">
                  <c:v>5007.1000000000004</c:v>
                </c:pt>
                <c:pt idx="18">
                  <c:v>3747.2</c:v>
                </c:pt>
              </c:numCache>
            </c:numRef>
          </c:val>
        </c:ser>
        <c:ser>
          <c:idx val="2"/>
          <c:order val="2"/>
          <c:tx>
            <c:strRef>
              <c:f>Sheet1!$A$4</c:f>
              <c:strCache>
                <c:ptCount val="1"/>
                <c:pt idx="0">
                  <c:v>средняя заработная плата в целом по республике 2013 года</c:v>
                </c:pt>
              </c:strCache>
            </c:strRef>
          </c:tx>
          <c:spPr>
            <a:ln w="24127">
              <a:solidFill>
                <a:srgbClr val="008080"/>
              </a:solidFill>
              <a:prstDash val="solid"/>
            </a:ln>
          </c:spPr>
          <c:marker>
            <c:symbol val="triangle"/>
            <c:size val="2"/>
            <c:spPr>
              <a:solidFill>
                <a:srgbClr val="008080"/>
              </a:solidFill>
              <a:ln>
                <a:solidFill>
                  <a:srgbClr val="008080"/>
                </a:solidFill>
                <a:prstDash val="solid"/>
              </a:ln>
            </c:spPr>
          </c:marker>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3839</c:v>
                </c:pt>
                <c:pt idx="1">
                  <c:v>3839</c:v>
                </c:pt>
                <c:pt idx="2">
                  <c:v>3839</c:v>
                </c:pt>
                <c:pt idx="3">
                  <c:v>3839</c:v>
                </c:pt>
                <c:pt idx="4">
                  <c:v>3839</c:v>
                </c:pt>
                <c:pt idx="5">
                  <c:v>3839</c:v>
                </c:pt>
                <c:pt idx="6">
                  <c:v>3839</c:v>
                </c:pt>
                <c:pt idx="7">
                  <c:v>3839</c:v>
                </c:pt>
                <c:pt idx="8">
                  <c:v>3839</c:v>
                </c:pt>
                <c:pt idx="9">
                  <c:v>3839</c:v>
                </c:pt>
                <c:pt idx="10">
                  <c:v>3839</c:v>
                </c:pt>
                <c:pt idx="11">
                  <c:v>3839</c:v>
                </c:pt>
                <c:pt idx="12">
                  <c:v>3839</c:v>
                </c:pt>
                <c:pt idx="13">
                  <c:v>3839</c:v>
                </c:pt>
                <c:pt idx="14">
                  <c:v>3839</c:v>
                </c:pt>
                <c:pt idx="15">
                  <c:v>3839</c:v>
                </c:pt>
                <c:pt idx="16">
                  <c:v>3839</c:v>
                </c:pt>
                <c:pt idx="17">
                  <c:v>3839</c:v>
                </c:pt>
                <c:pt idx="18">
                  <c:v>3839</c:v>
                </c:pt>
              </c:numCache>
            </c:numRef>
          </c:val>
        </c:ser>
        <c:marker val="1"/>
        <c:axId val="167142528"/>
        <c:axId val="167144448"/>
      </c:lineChart>
      <c:catAx>
        <c:axId val="167142528"/>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67144448"/>
        <c:crosses val="autoZero"/>
        <c:auto val="1"/>
        <c:lblAlgn val="ctr"/>
        <c:lblOffset val="200"/>
        <c:tickLblSkip val="1"/>
        <c:tickMarkSkip val="1"/>
      </c:catAx>
      <c:valAx>
        <c:axId val="167144448"/>
        <c:scaling>
          <c:orientation val="minMax"/>
          <c:max val="65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67142528"/>
        <c:crosses val="autoZero"/>
        <c:crossBetween val="between"/>
        <c:majorUnit val="500"/>
      </c:valAx>
    </c:plotArea>
    <c:legend>
      <c:legendPos val="r"/>
      <c:layout>
        <c:manualLayout>
          <c:xMode val="edge"/>
          <c:yMode val="edge"/>
          <c:x val="3.6503451422639152E-2"/>
          <c:y val="0.89384767307876745"/>
          <c:w val="0.90074436867640362"/>
          <c:h val="0.10605698011546418"/>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pPr>
            <a:r>
              <a:rPr lang="ru-RU" sz="1200"/>
              <a:t>Товарная структура импорта ПМР, млн. долл. США</a:t>
            </a:r>
          </a:p>
        </c:rich>
      </c:tx>
      <c:layout>
        <c:manualLayout>
          <c:xMode val="edge"/>
          <c:yMode val="edge"/>
          <c:x val="0.20873792195533941"/>
          <c:y val="5.6755808749712738E-3"/>
        </c:manualLayout>
      </c:layout>
      <c:spPr>
        <a:noFill/>
        <a:ln w="28727">
          <a:noFill/>
        </a:ln>
      </c:spPr>
    </c:title>
    <c:plotArea>
      <c:layout>
        <c:manualLayout>
          <c:layoutTarget val="inner"/>
          <c:xMode val="edge"/>
          <c:yMode val="edge"/>
          <c:x val="7.8755551436484619E-2"/>
          <c:y val="0.10418752111431615"/>
          <c:w val="0.96291208791208749"/>
          <c:h val="0.34292456017255657"/>
        </c:manualLayout>
      </c:layout>
      <c:barChart>
        <c:barDir val="col"/>
        <c:grouping val="clustered"/>
        <c:ser>
          <c:idx val="0"/>
          <c:order val="0"/>
          <c:tx>
            <c:strRef>
              <c:f>Sheet1!$A$2</c:f>
              <c:strCache>
                <c:ptCount val="1"/>
                <c:pt idx="0">
                  <c:v>январь - июнь 2014 г.</c:v>
                </c:pt>
              </c:strCache>
            </c:strRef>
          </c:tx>
          <c:dLbls>
            <c:dLbl>
              <c:idx val="0"/>
              <c:layout>
                <c:manualLayout>
                  <c:x val="-5.146938139947899E-3"/>
                  <c:y val="2.3060336786534442E-2"/>
                </c:manualLayout>
              </c:layout>
              <c:tx>
                <c:rich>
                  <a:bodyPr/>
                  <a:lstStyle/>
                  <a:p>
                    <a:r>
                      <a:rPr lang="ru-RU" sz="1000"/>
                      <a:t>46,6*</a:t>
                    </a:r>
                    <a:endParaRPr lang="en-US" sz="1000"/>
                  </a:p>
                </c:rich>
              </c:tx>
              <c:dLblPos val="outEnd"/>
            </c:dLbl>
            <c:dLbl>
              <c:idx val="1"/>
              <c:layout>
                <c:manualLayout>
                  <c:x val="-1.5731287177619545E-3"/>
                  <c:y val="2.0290865281184192E-2"/>
                </c:manualLayout>
              </c:layout>
              <c:tx>
                <c:rich>
                  <a:bodyPr/>
                  <a:lstStyle/>
                  <a:p>
                    <a:r>
                      <a:rPr lang="ru-RU" sz="1000"/>
                      <a:t>11,3*</a:t>
                    </a:r>
                    <a:endParaRPr lang="en-US" sz="1000"/>
                  </a:p>
                </c:rich>
              </c:tx>
              <c:dLblPos val="outEnd"/>
            </c:dLbl>
            <c:dLbl>
              <c:idx val="2"/>
              <c:layout>
                <c:manualLayout>
                  <c:x val="-1.3042927798846641E-3"/>
                  <c:y val="1.8925405541558367E-2"/>
                </c:manualLayout>
              </c:layout>
              <c:tx>
                <c:rich>
                  <a:bodyPr/>
                  <a:lstStyle/>
                  <a:p>
                    <a:r>
                      <a:rPr lang="ru-RU" sz="1000"/>
                      <a:t>10,2*</a:t>
                    </a:r>
                    <a:endParaRPr lang="en-US" sz="1000"/>
                  </a:p>
                </c:rich>
              </c:tx>
              <c:dLblPos val="outEnd"/>
            </c:dLbl>
            <c:dLbl>
              <c:idx val="3"/>
              <c:layout>
                <c:manualLayout>
                  <c:x val="2.1643193654421996E-3"/>
                  <c:y val="2.9443866686476861E-3"/>
                </c:manualLayout>
              </c:layout>
              <c:tx>
                <c:rich>
                  <a:bodyPr/>
                  <a:lstStyle/>
                  <a:p>
                    <a:r>
                      <a:rPr lang="ru-RU" sz="1000"/>
                      <a:t>11,0*</a:t>
                    </a:r>
                    <a:endParaRPr lang="en-US" sz="1000"/>
                  </a:p>
                </c:rich>
              </c:tx>
              <c:dLblPos val="outEnd"/>
            </c:dLbl>
            <c:dLbl>
              <c:idx val="4"/>
              <c:layout>
                <c:manualLayout>
                  <c:x val="1.2039404165388417E-3"/>
                  <c:y val="3.9873514104252416E-3"/>
                </c:manualLayout>
              </c:layout>
              <c:tx>
                <c:rich>
                  <a:bodyPr/>
                  <a:lstStyle/>
                  <a:p>
                    <a:r>
                      <a:rPr lang="ru-RU" sz="1000"/>
                      <a:t>3,7*</a:t>
                    </a:r>
                    <a:endParaRPr lang="en-US" sz="1000"/>
                  </a:p>
                </c:rich>
              </c:tx>
              <c:dLblPos val="outEnd"/>
            </c:dLbl>
            <c:dLbl>
              <c:idx val="5"/>
              <c:layout>
                <c:manualLayout>
                  <c:x val="2.6432184935873612E-3"/>
                  <c:y val="1.4806319021443075E-2"/>
                </c:manualLayout>
              </c:layout>
              <c:tx>
                <c:rich>
                  <a:bodyPr/>
                  <a:lstStyle/>
                  <a:p>
                    <a:r>
                      <a:rPr lang="ru-RU" sz="1000" b="1"/>
                      <a:t>17,3*</a:t>
                    </a:r>
                    <a:endParaRPr lang="en-US" sz="1000" b="1"/>
                  </a:p>
                </c:rich>
              </c:tx>
              <c:dLblPos val="outEnd"/>
            </c:dLbl>
            <c:dLbl>
              <c:idx val="6"/>
              <c:layout>
                <c:manualLayout>
                  <c:x val="-7.5617342090612003E-4"/>
                  <c:y val="1.6455402091132061E-2"/>
                </c:manualLayout>
              </c:layout>
              <c:tx>
                <c:rich>
                  <a:bodyPr/>
                  <a:lstStyle/>
                  <a:p>
                    <a:r>
                      <a:rPr lang="ru-RU" sz="1000" b="1"/>
                      <a:t>8</a:t>
                    </a:r>
                    <a:r>
                      <a:rPr lang="en-US" sz="1000" b="1"/>
                      <a:t>,2</a:t>
                    </a:r>
                  </a:p>
                </c:rich>
              </c:tx>
              <c:dLblPos val="outEnd"/>
            </c:dLbl>
            <c:dLbl>
              <c:idx val="7"/>
              <c:layout>
                <c:manualLayout>
                  <c:xMode val="edge"/>
                  <c:yMode val="edge"/>
                  <c:x val="0.72802197802197965"/>
                  <c:y val="0.43750000000000488"/>
                </c:manualLayout>
              </c:layout>
              <c:dLblPos val="outEnd"/>
              <c:showVal val="1"/>
            </c:dLbl>
            <c:spPr>
              <a:noFill/>
              <a:ln w="28727">
                <a:noFill/>
              </a:ln>
            </c:spPr>
            <c:txPr>
              <a:bodyPr rot="0" vert="horz" anchor="ctr" anchorCtr="0"/>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Sheet1!$B$2:$G$2</c:f>
              <c:numCache>
                <c:formatCode>0.0</c:formatCode>
                <c:ptCount val="6"/>
                <c:pt idx="0">
                  <c:v>384</c:v>
                </c:pt>
                <c:pt idx="1">
                  <c:v>92.8</c:v>
                </c:pt>
                <c:pt idx="2">
                  <c:v>83.9</c:v>
                </c:pt>
                <c:pt idx="3" formatCode="General">
                  <c:v>90.3</c:v>
                </c:pt>
                <c:pt idx="4">
                  <c:v>30.6</c:v>
                </c:pt>
                <c:pt idx="5">
                  <c:v>142.70000000000005</c:v>
                </c:pt>
              </c:numCache>
            </c:numRef>
          </c:val>
        </c:ser>
        <c:ser>
          <c:idx val="1"/>
          <c:order val="1"/>
          <c:tx>
            <c:strRef>
              <c:f>Sheet1!$A$3</c:f>
              <c:strCache>
                <c:ptCount val="1"/>
                <c:pt idx="0">
                  <c:v>январь - июнь 2015 г.</c:v>
                </c:pt>
              </c:strCache>
            </c:strRef>
          </c:tx>
          <c:dLbls>
            <c:dLbl>
              <c:idx val="0"/>
              <c:layout>
                <c:manualLayout>
                  <c:x val="1.3667999701930045E-2"/>
                  <c:y val="1.1050165899073941E-2"/>
                </c:manualLayout>
              </c:layout>
              <c:tx>
                <c:rich>
                  <a:bodyPr/>
                  <a:lstStyle/>
                  <a:p>
                    <a:r>
                      <a:rPr lang="ru-RU" sz="1000"/>
                      <a:t>57,0*</a:t>
                    </a:r>
                    <a:endParaRPr lang="en-US" sz="1000"/>
                  </a:p>
                </c:rich>
              </c:tx>
              <c:dLblPos val="outEnd"/>
            </c:dLbl>
            <c:dLbl>
              <c:idx val="1"/>
              <c:layout>
                <c:manualLayout>
                  <c:x val="7.2278662328092713E-3"/>
                  <c:y val="1.6703610161937481E-2"/>
                </c:manualLayout>
              </c:layout>
              <c:tx>
                <c:rich>
                  <a:bodyPr/>
                  <a:lstStyle/>
                  <a:p>
                    <a:r>
                      <a:rPr lang="ru-RU" sz="1000"/>
                      <a:t>10,2*</a:t>
                    </a:r>
                    <a:endParaRPr lang="en-US" sz="1000"/>
                  </a:p>
                </c:rich>
              </c:tx>
              <c:dLblPos val="outEnd"/>
            </c:dLbl>
            <c:dLbl>
              <c:idx val="2"/>
              <c:layout>
                <c:manualLayout>
                  <c:x val="7.8853360982597022E-3"/>
                  <c:y val="1.2483689461698441E-2"/>
                </c:manualLayout>
              </c:layout>
              <c:tx>
                <c:rich>
                  <a:bodyPr/>
                  <a:lstStyle/>
                  <a:p>
                    <a:r>
                      <a:rPr lang="ru-RU" sz="1000" b="1"/>
                      <a:t>7,6*</a:t>
                    </a:r>
                    <a:endParaRPr lang="en-US" sz="1000" b="1"/>
                  </a:p>
                </c:rich>
              </c:tx>
              <c:dLblPos val="outEnd"/>
            </c:dLbl>
            <c:dLbl>
              <c:idx val="3"/>
              <c:layout>
                <c:manualLayout>
                  <c:x val="7.6797816540875134E-3"/>
                  <c:y val="1.7186868034938303E-2"/>
                </c:manualLayout>
              </c:layout>
              <c:tx>
                <c:rich>
                  <a:bodyPr/>
                  <a:lstStyle/>
                  <a:p>
                    <a:r>
                      <a:rPr lang="ru-RU" sz="1000"/>
                      <a:t>9,6*</a:t>
                    </a:r>
                    <a:endParaRPr lang="en-US" sz="1000"/>
                  </a:p>
                </c:rich>
              </c:tx>
              <c:dLblPos val="outEnd"/>
            </c:dLbl>
            <c:dLbl>
              <c:idx val="4"/>
              <c:layout>
                <c:manualLayout>
                  <c:x val="1.0924639230358713E-2"/>
                  <c:y val="4.8544624769320784E-3"/>
                </c:manualLayout>
              </c:layout>
              <c:tx>
                <c:rich>
                  <a:bodyPr/>
                  <a:lstStyle/>
                  <a:p>
                    <a:r>
                      <a:rPr lang="ru-RU" sz="1000"/>
                      <a:t>3,3*</a:t>
                    </a:r>
                    <a:endParaRPr lang="en-US" sz="1000"/>
                  </a:p>
                </c:rich>
              </c:tx>
              <c:dLblPos val="outEnd"/>
            </c:dLbl>
            <c:dLbl>
              <c:idx val="5"/>
              <c:layout>
                <c:manualLayout>
                  <c:x val="1.2116379774294774E-2"/>
                  <c:y val="9.2570692814341604E-3"/>
                </c:manualLayout>
              </c:layout>
              <c:tx>
                <c:rich>
                  <a:bodyPr/>
                  <a:lstStyle/>
                  <a:p>
                    <a:r>
                      <a:rPr lang="ru-RU" sz="1000"/>
                      <a:t>12,3*</a:t>
                    </a:r>
                    <a:endParaRPr lang="en-US" sz="1000"/>
                  </a:p>
                </c:rich>
              </c:tx>
              <c:dLblPos val="outEnd"/>
            </c:dLbl>
            <c:dLbl>
              <c:idx val="6"/>
              <c:layout>
                <c:manualLayout>
                  <c:x val="4.0251667106205027E-3"/>
                  <c:y val="1.0088636461425918E-2"/>
                </c:manualLayout>
              </c:layout>
              <c:tx>
                <c:rich>
                  <a:bodyPr/>
                  <a:lstStyle/>
                  <a:p>
                    <a:r>
                      <a:rPr lang="en-US" sz="1000" b="1"/>
                      <a:t>9,</a:t>
                    </a:r>
                    <a:r>
                      <a:rPr lang="ru-RU" sz="1000" b="1"/>
                      <a:t>6</a:t>
                    </a:r>
                    <a:endParaRPr lang="en-US" sz="1000" b="1"/>
                  </a:p>
                </c:rich>
              </c:tx>
              <c:dLblPos val="outEnd"/>
            </c:dLbl>
            <c:dLbl>
              <c:idx val="7"/>
              <c:layout>
                <c:manualLayout>
                  <c:xMode val="edge"/>
                  <c:yMode val="edge"/>
                  <c:x val="0.75274725274725274"/>
                  <c:y val="0.48214285714289573"/>
                </c:manualLayout>
              </c:layout>
              <c:dLblPos val="outEnd"/>
              <c:showVal val="1"/>
            </c:dLbl>
            <c:spPr>
              <a:noFill/>
              <a:ln w="28727">
                <a:noFill/>
              </a:ln>
            </c:spPr>
            <c:txPr>
              <a:bodyPr rot="0" vert="horz"/>
              <a:lstStyle/>
              <a:p>
                <a:pPr>
                  <a:defRPr sz="1000" b="1"/>
                </a:pPr>
                <a:endParaRPr lang="ru-RU"/>
              </a:p>
            </c:txPr>
            <c:showVal val="1"/>
          </c:dLbls>
          <c:cat>
            <c:strRef>
              <c:f>Sheet1!$B$1:$G$1</c:f>
              <c:strCache>
                <c:ptCount val="6"/>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легкой промышленности</c:v>
                </c:pt>
                <c:pt idx="5">
                  <c:v>Прочие товары</c:v>
                </c:pt>
              </c:strCache>
            </c:strRef>
          </c:cat>
          <c:val>
            <c:numRef>
              <c:f>Sheet1!$B$3:$G$3</c:f>
              <c:numCache>
                <c:formatCode>0.0</c:formatCode>
                <c:ptCount val="6"/>
                <c:pt idx="0">
                  <c:v>351.6</c:v>
                </c:pt>
                <c:pt idx="1">
                  <c:v>63.2</c:v>
                </c:pt>
                <c:pt idx="2">
                  <c:v>46.6</c:v>
                </c:pt>
                <c:pt idx="3">
                  <c:v>58.9</c:v>
                </c:pt>
                <c:pt idx="4">
                  <c:v>20.399999999999999</c:v>
                </c:pt>
                <c:pt idx="5">
                  <c:v>75.900000000000034</c:v>
                </c:pt>
              </c:numCache>
            </c:numRef>
          </c:val>
        </c:ser>
        <c:gapWidth val="160"/>
        <c:axId val="130593920"/>
        <c:axId val="130595456"/>
      </c:barChart>
      <c:catAx>
        <c:axId val="130593920"/>
        <c:scaling>
          <c:orientation val="minMax"/>
        </c:scaling>
        <c:axPos val="b"/>
        <c:numFmt formatCode="General" sourceLinked="1"/>
        <c:tickLblPos val="low"/>
        <c:txPr>
          <a:bodyPr rot="-5400000" vert="horz"/>
          <a:lstStyle/>
          <a:p>
            <a:pPr>
              <a:defRPr sz="900" b="1"/>
            </a:pPr>
            <a:endParaRPr lang="ru-RU"/>
          </a:p>
        </c:txPr>
        <c:crossAx val="130595456"/>
        <c:crosses val="autoZero"/>
        <c:lblAlgn val="ctr"/>
        <c:lblOffset val="160"/>
        <c:tickLblSkip val="1"/>
        <c:tickMarkSkip val="1"/>
      </c:catAx>
      <c:valAx>
        <c:axId val="130595456"/>
        <c:scaling>
          <c:orientation val="minMax"/>
        </c:scaling>
        <c:axPos val="l"/>
        <c:title>
          <c:tx>
            <c:rich>
              <a:bodyPr rot="0" vert="horz"/>
              <a:lstStyle/>
              <a:p>
                <a:pPr algn="ctr">
                  <a:defRPr sz="900" b="0" i="0" u="none" strike="noStrike" baseline="0">
                    <a:solidFill>
                      <a:srgbClr val="000000"/>
                    </a:solidFill>
                    <a:latin typeface="Times New Roman"/>
                    <a:ea typeface="Times New Roman"/>
                    <a:cs typeface="Times New Roman"/>
                  </a:defRPr>
                </a:pPr>
                <a:r>
                  <a:rPr lang="ru-RU" sz="900" b="1" i="0" strike="noStrike">
                    <a:solidFill>
                      <a:srgbClr val="000000"/>
                    </a:solidFill>
                    <a:latin typeface="Times New Roman"/>
                    <a:cs typeface="Times New Roman"/>
                  </a:rPr>
                  <a:t>*-удельный</a:t>
                </a:r>
              </a:p>
              <a:p>
                <a:pPr algn="ctr">
                  <a:defRPr sz="900" b="0" i="0" u="none" strike="noStrike" baseline="0">
                    <a:solidFill>
                      <a:srgbClr val="000000"/>
                    </a:solidFill>
                    <a:latin typeface="Times New Roman"/>
                    <a:ea typeface="Times New Roman"/>
                    <a:cs typeface="Times New Roman"/>
                  </a:defRPr>
                </a:pPr>
                <a:r>
                  <a:rPr lang="ru-RU" sz="900" b="1" i="0" strike="noStrike">
                    <a:solidFill>
                      <a:srgbClr val="000000"/>
                    </a:solidFill>
                    <a:latin typeface="Times New Roman"/>
                    <a:cs typeface="Times New Roman"/>
                  </a:rPr>
                  <a:t> вес в общем </a:t>
                </a:r>
              </a:p>
              <a:p>
                <a:pPr algn="ctr">
                  <a:defRPr sz="900" b="0" i="0" u="none" strike="noStrike" baseline="0">
                    <a:solidFill>
                      <a:srgbClr val="000000"/>
                    </a:solidFill>
                    <a:latin typeface="Times New Roman"/>
                    <a:ea typeface="Times New Roman"/>
                    <a:cs typeface="Times New Roman"/>
                  </a:defRPr>
                </a:pPr>
                <a:r>
                  <a:rPr lang="ru-RU" sz="900" b="1" i="0" strike="noStrike">
                    <a:solidFill>
                      <a:srgbClr val="000000"/>
                    </a:solidFill>
                    <a:latin typeface="Times New Roman"/>
                    <a:cs typeface="Times New Roman"/>
                  </a:rPr>
                  <a:t>объеме импорта,%</a:t>
                </a:r>
              </a:p>
            </c:rich>
          </c:tx>
          <c:layout>
            <c:manualLayout>
              <c:xMode val="edge"/>
              <c:yMode val="edge"/>
              <c:x val="0.83865758540200652"/>
              <c:y val="6.6576571950317034E-2"/>
            </c:manualLayout>
          </c:layout>
          <c:spPr>
            <a:noFill/>
            <a:ln w="28727">
              <a:noFill/>
            </a:ln>
          </c:spPr>
        </c:title>
        <c:numFmt formatCode="0.0" sourceLinked="1"/>
        <c:tickLblPos val="nextTo"/>
        <c:txPr>
          <a:bodyPr rot="0" vert="horz"/>
          <a:lstStyle/>
          <a:p>
            <a:pPr>
              <a:defRPr b="1"/>
            </a:pPr>
            <a:endParaRPr lang="ru-RU"/>
          </a:p>
        </c:txPr>
        <c:crossAx val="130593920"/>
        <c:crosses val="autoZero"/>
        <c:crossBetween val="between"/>
      </c:valAx>
    </c:plotArea>
    <c:legend>
      <c:legendPos val="r"/>
      <c:layout>
        <c:manualLayout>
          <c:xMode val="edge"/>
          <c:yMode val="edge"/>
          <c:x val="8.1971350574403565E-2"/>
          <c:y val="0.93962291071669124"/>
          <c:w val="0.87296413539101581"/>
          <c:h val="6.0377089283308823E-2"/>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688713910761154"/>
          <c:y val="3.7111628652052288E-2"/>
          <c:w val="0.87311278798483527"/>
          <c:h val="0.45806555430571178"/>
        </c:manualLayout>
      </c:layout>
      <c:bar3DChart>
        <c:barDir val="col"/>
        <c:grouping val="clustered"/>
        <c:ser>
          <c:idx val="0"/>
          <c:order val="0"/>
          <c:tx>
            <c:strRef>
              <c:f>Лист1!$B$1</c:f>
              <c:strCache>
                <c:ptCount val="1"/>
                <c:pt idx="0">
                  <c:v>I полугодие 2014 года</c:v>
                </c:pt>
              </c:strCache>
            </c:strRef>
          </c:tx>
          <c:spPr>
            <a:solidFill>
              <a:schemeClr val="accent5">
                <a:lumMod val="20000"/>
                <a:lumOff val="80000"/>
              </a:schemeClr>
            </a:solidFill>
          </c:spPr>
          <c:dLbls>
            <c:dLbl>
              <c:idx val="3"/>
              <c:layout>
                <c:manualLayout>
                  <c:x val="0"/>
                  <c:y val="1.1904761904761923E-2"/>
                </c:manualLayout>
              </c:layout>
              <c:showVal val="1"/>
            </c:dLbl>
            <c:dLbl>
              <c:idx val="7"/>
              <c:layout>
                <c:manualLayout>
                  <c:x val="0"/>
                  <c:y val="1.587301587301588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Лист1!$A$2:$A$8</c:f>
              <c:strCache>
                <c:ptCount val="7"/>
                <c:pt idx="0">
                  <c:v>Строительство</c:v>
                </c:pt>
                <c:pt idx="1">
                  <c:v>Торговля и общепит</c:v>
                </c:pt>
                <c:pt idx="2">
                  <c:v>Промышленность</c:v>
                </c:pt>
                <c:pt idx="3">
                  <c:v>Операции с недвижимым имуществом</c:v>
                </c:pt>
                <c:pt idx="4">
                  <c:v>Здравоохранение и социальное обеспечение</c:v>
                </c:pt>
                <c:pt idx="5">
                  <c:v>Культура и искусство</c:v>
                </c:pt>
                <c:pt idx="6">
                  <c:v>Сельское хозяйство</c:v>
                </c:pt>
              </c:strCache>
            </c:strRef>
          </c:cat>
          <c:val>
            <c:numRef>
              <c:f>Лист1!$B$2:$B$8</c:f>
              <c:numCache>
                <c:formatCode>#,##0.0</c:formatCode>
                <c:ptCount val="7"/>
                <c:pt idx="0">
                  <c:v>15.7</c:v>
                </c:pt>
                <c:pt idx="1">
                  <c:v>20.5</c:v>
                </c:pt>
                <c:pt idx="2">
                  <c:v>7.4</c:v>
                </c:pt>
                <c:pt idx="3">
                  <c:v>5.4</c:v>
                </c:pt>
                <c:pt idx="4">
                  <c:v>0.70000000000000062</c:v>
                </c:pt>
                <c:pt idx="5">
                  <c:v>5.3</c:v>
                </c:pt>
                <c:pt idx="6">
                  <c:v>33</c:v>
                </c:pt>
              </c:numCache>
            </c:numRef>
          </c:val>
        </c:ser>
        <c:ser>
          <c:idx val="1"/>
          <c:order val="1"/>
          <c:tx>
            <c:strRef>
              <c:f>Лист1!$C$1</c:f>
              <c:strCache>
                <c:ptCount val="1"/>
                <c:pt idx="0">
                  <c:v>I полугодие 2015 года</c:v>
                </c:pt>
              </c:strCache>
            </c:strRef>
          </c:tx>
          <c:spPr>
            <a:solidFill>
              <a:srgbClr val="00B0F0"/>
            </a:solidFill>
          </c:spPr>
          <c:dLbls>
            <c:dLbl>
              <c:idx val="0"/>
              <c:layout>
                <c:manualLayout>
                  <c:x val="1.5712682379349044E-2"/>
                  <c:y val="-3.9320927581827277E-7"/>
                </c:manualLayout>
              </c:layout>
              <c:showVal val="1"/>
            </c:dLbl>
            <c:dLbl>
              <c:idx val="1"/>
              <c:layout>
                <c:manualLayout>
                  <c:x val="1.3468013468013481E-2"/>
                  <c:y val="0"/>
                </c:manualLayout>
              </c:layout>
              <c:showVal val="1"/>
            </c:dLbl>
            <c:dLbl>
              <c:idx val="2"/>
              <c:layout>
                <c:manualLayout>
                  <c:x val="1.3468013468013481E-2"/>
                  <c:y val="0"/>
                </c:manualLayout>
              </c:layout>
              <c:showVal val="1"/>
            </c:dLbl>
            <c:dLbl>
              <c:idx val="3"/>
              <c:layout>
                <c:manualLayout>
                  <c:x val="1.8588686515195706E-2"/>
                  <c:y val="4.1019591652167123E-3"/>
                </c:manualLayout>
              </c:layout>
              <c:showVal val="1"/>
            </c:dLbl>
            <c:dLbl>
              <c:idx val="4"/>
              <c:layout>
                <c:manualLayout>
                  <c:x val="1.3888888888889343E-2"/>
                  <c:y val="0"/>
                </c:manualLayout>
              </c:layout>
              <c:showVal val="1"/>
            </c:dLbl>
            <c:dLbl>
              <c:idx val="5"/>
              <c:layout>
                <c:manualLayout>
                  <c:x val="1.5712682379349044E-2"/>
                  <c:y val="0"/>
                </c:manualLayout>
              </c:layout>
              <c:showVal val="1"/>
            </c:dLbl>
            <c:dLbl>
              <c:idx val="6"/>
              <c:layout>
                <c:manualLayout>
                  <c:x val="1.1574074074074075E-2"/>
                  <c:y val="3.968253968253981E-3"/>
                </c:manualLayout>
              </c:layout>
              <c:showVal val="1"/>
            </c:dLbl>
            <c:dLbl>
              <c:idx val="7"/>
              <c:layout>
                <c:manualLayout>
                  <c:x val="1.3888888888889343E-2"/>
                  <c:y val="0"/>
                </c:manualLayout>
              </c:layout>
              <c:showVal val="1"/>
            </c:dLbl>
            <c:txPr>
              <a:bodyPr/>
              <a:lstStyle/>
              <a:p>
                <a:pPr>
                  <a:defRPr>
                    <a:latin typeface="Times New Roman" pitchFamily="18" charset="0"/>
                    <a:cs typeface="Times New Roman" pitchFamily="18" charset="0"/>
                  </a:defRPr>
                </a:pPr>
                <a:endParaRPr lang="ru-RU"/>
              </a:p>
            </c:txPr>
            <c:showVal val="1"/>
          </c:dLbls>
          <c:cat>
            <c:strRef>
              <c:f>Лист1!$A$2:$A$8</c:f>
              <c:strCache>
                <c:ptCount val="7"/>
                <c:pt idx="0">
                  <c:v>Строительство</c:v>
                </c:pt>
                <c:pt idx="1">
                  <c:v>Торговля и общепит</c:v>
                </c:pt>
                <c:pt idx="2">
                  <c:v>Промышленность</c:v>
                </c:pt>
                <c:pt idx="3">
                  <c:v>Операции с недвижимым имуществом</c:v>
                </c:pt>
                <c:pt idx="4">
                  <c:v>Здравоохранение и социальное обеспечение</c:v>
                </c:pt>
                <c:pt idx="5">
                  <c:v>Культура и искусство</c:v>
                </c:pt>
                <c:pt idx="6">
                  <c:v>Сельское хозяйство</c:v>
                </c:pt>
              </c:strCache>
            </c:strRef>
          </c:cat>
          <c:val>
            <c:numRef>
              <c:f>Лист1!$C$2:$C$8</c:f>
              <c:numCache>
                <c:formatCode>#,##0.0</c:formatCode>
                <c:ptCount val="7"/>
                <c:pt idx="0">
                  <c:v>7.1</c:v>
                </c:pt>
                <c:pt idx="1">
                  <c:v>27.2</c:v>
                </c:pt>
                <c:pt idx="2">
                  <c:v>11.7</c:v>
                </c:pt>
                <c:pt idx="3">
                  <c:v>30.2</c:v>
                </c:pt>
                <c:pt idx="4">
                  <c:v>0.5</c:v>
                </c:pt>
                <c:pt idx="5">
                  <c:v>0.5</c:v>
                </c:pt>
                <c:pt idx="6">
                  <c:v>20.9</c:v>
                </c:pt>
              </c:numCache>
            </c:numRef>
          </c:val>
        </c:ser>
        <c:shape val="cylinder"/>
        <c:axId val="166589184"/>
        <c:axId val="166590720"/>
        <c:axId val="0"/>
      </c:bar3DChart>
      <c:catAx>
        <c:axId val="166589184"/>
        <c:scaling>
          <c:orientation val="minMax"/>
        </c:scaling>
        <c:axPos val="b"/>
        <c:numFmt formatCode="General" sourceLinked="1"/>
        <c:tickLblPos val="low"/>
        <c:txPr>
          <a:bodyPr/>
          <a:lstStyle/>
          <a:p>
            <a:pPr>
              <a:defRPr b="1">
                <a:latin typeface="Times New Roman" pitchFamily="18" charset="0"/>
                <a:cs typeface="Times New Roman" pitchFamily="18" charset="0"/>
              </a:defRPr>
            </a:pPr>
            <a:endParaRPr lang="ru-RU"/>
          </a:p>
        </c:txPr>
        <c:crossAx val="166590720"/>
        <c:crosses val="autoZero"/>
        <c:auto val="1"/>
        <c:lblAlgn val="ctr"/>
        <c:lblOffset val="100"/>
      </c:catAx>
      <c:valAx>
        <c:axId val="166590720"/>
        <c:scaling>
          <c:orientation val="minMax"/>
          <c:max val="40"/>
          <c:min val="0"/>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66589184"/>
        <c:crosses val="autoZero"/>
        <c:crossBetween val="between"/>
        <c:majorUnit val="10"/>
      </c:valAx>
      <c:spPr>
        <a:noFill/>
        <a:ln w="25400">
          <a:noFill/>
        </a:ln>
      </c:spPr>
    </c:plotArea>
    <c:legend>
      <c:legendPos val="l"/>
      <c:layout>
        <c:manualLayout>
          <c:xMode val="edge"/>
          <c:yMode val="edge"/>
          <c:x val="0.7167507999856183"/>
          <c:y val="0.90478170620829512"/>
          <c:w val="0.28205946859382308"/>
          <c:h val="9.4774558408957224E-2"/>
        </c:manualLayout>
      </c:layout>
      <c:txPr>
        <a:bodyPr/>
        <a:lstStyle/>
        <a:p>
          <a:pPr>
            <a:defRPr sz="9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en-US" sz="1100" b="1" i="0" baseline="0"/>
              <a:t>I</a:t>
            </a:r>
            <a:r>
              <a:rPr lang="ru-RU" sz="1100" b="1" i="0" baseline="0"/>
              <a:t> полугодие 2015 года</a:t>
            </a:r>
            <a:endParaRPr lang="ru-RU" sz="1100"/>
          </a:p>
        </c:rich>
      </c:tx>
      <c:layout>
        <c:manualLayout>
          <c:xMode val="edge"/>
          <c:yMode val="edge"/>
          <c:x val="0.20456837722870838"/>
          <c:y val="4.0508825285728176E-2"/>
        </c:manualLayout>
      </c:layout>
      <c:spPr>
        <a:noFill/>
        <a:ln w="25095">
          <a:noFill/>
        </a:ln>
      </c:spPr>
    </c:title>
    <c:view3D>
      <c:rotX val="30"/>
      <c:perspective val="30"/>
    </c:view3D>
    <c:plotArea>
      <c:layout>
        <c:manualLayout>
          <c:layoutTarget val="inner"/>
          <c:xMode val="edge"/>
          <c:yMode val="edge"/>
          <c:x val="0.21358776407020791"/>
          <c:y val="0.18177712710534299"/>
          <c:w val="0.4600428867960133"/>
          <c:h val="0.49655636976015677"/>
        </c:manualLayout>
      </c:layout>
      <c:pie3DChart>
        <c:varyColors val="1"/>
        <c:ser>
          <c:idx val="0"/>
          <c:order val="0"/>
          <c:tx>
            <c:strRef>
              <c:f>Лист1!$B$1</c:f>
              <c:strCache>
                <c:ptCount val="1"/>
                <c:pt idx="0">
                  <c:v>2013 год</c:v>
                </c:pt>
              </c:strCache>
            </c:strRef>
          </c:tx>
          <c:spPr>
            <a:solidFill>
              <a:srgbClr val="F79646">
                <a:lumMod val="75000"/>
              </a:srgbClr>
            </a:solidFill>
          </c:spPr>
          <c:dPt>
            <c:idx val="1"/>
            <c:explosion val="8"/>
            <c:spPr>
              <a:solidFill>
                <a:srgbClr val="9BBB59">
                  <a:lumMod val="50000"/>
                </a:srgbClr>
              </a:solidFill>
            </c:spPr>
          </c:dPt>
          <c:dLbls>
            <c:dLbl>
              <c:idx val="0"/>
              <c:layout>
                <c:manualLayout>
                  <c:x val="0.16484064491938519"/>
                  <c:y val="2.6800670016750894E-2"/>
                </c:manualLayout>
              </c:layout>
              <c:tx>
                <c:rich>
                  <a:bodyPr/>
                  <a:lstStyle/>
                  <a:p>
                    <a:r>
                      <a:rPr lang="ru-RU"/>
                      <a:t>6</a:t>
                    </a:r>
                    <a:r>
                      <a:rPr lang="en-US"/>
                      <a:t> </a:t>
                    </a:r>
                    <a:r>
                      <a:rPr lang="ru-RU"/>
                      <a:t>307</a:t>
                    </a:r>
                    <a:r>
                      <a:rPr lang="en-US"/>
                      <a:t>,</a:t>
                    </a:r>
                    <a:r>
                      <a:rPr lang="ru-RU"/>
                      <a:t>8;</a:t>
                    </a:r>
                  </a:p>
                  <a:p>
                    <a:r>
                      <a:rPr lang="ru-RU"/>
                      <a:t>23,7%</a:t>
                    </a:r>
                    <a:endParaRPr lang="en-US"/>
                  </a:p>
                </c:rich>
              </c:tx>
              <c:dLblPos val="bestFit"/>
            </c:dLbl>
            <c:dLbl>
              <c:idx val="1"/>
              <c:layout>
                <c:manualLayout>
                  <c:x val="-4.7774141868630104E-2"/>
                  <c:y val="0.10050251256281409"/>
                </c:manualLayout>
              </c:layout>
              <c:tx>
                <c:rich>
                  <a:bodyPr/>
                  <a:lstStyle/>
                  <a:p>
                    <a:r>
                      <a:rPr lang="ru-RU"/>
                      <a:t>20</a:t>
                    </a:r>
                    <a:r>
                      <a:rPr lang="en-US"/>
                      <a:t> </a:t>
                    </a:r>
                    <a:r>
                      <a:rPr lang="ru-RU"/>
                      <a:t>328</a:t>
                    </a:r>
                    <a:r>
                      <a:rPr lang="en-US"/>
                      <a:t>,</a:t>
                    </a:r>
                    <a:r>
                      <a:rPr lang="ru-RU"/>
                      <a:t>6;</a:t>
                    </a:r>
                  </a:p>
                  <a:p>
                    <a:r>
                      <a:rPr lang="ru-RU"/>
                      <a:t>76,3%</a:t>
                    </a:r>
                    <a:endParaRPr lang="en-US"/>
                  </a:p>
                </c:rich>
              </c:tx>
              <c:dLblPos val="bestFit"/>
            </c:dLbl>
            <c:txPr>
              <a:bodyPr/>
              <a:lstStyle/>
              <a:p>
                <a:pPr>
                  <a:defRPr b="1"/>
                </a:pPr>
                <a:endParaRPr lang="ru-RU"/>
              </a:p>
            </c:txPr>
            <c:dLblPos val="outEnd"/>
            <c:showVal val="1"/>
            <c:showLeaderLines val="1"/>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6307.8</c:v>
                </c:pt>
                <c:pt idx="1">
                  <c:v>20328.599999999897</c:v>
                </c:pt>
              </c:numCache>
            </c:numRef>
          </c:val>
        </c:ser>
        <c:dLbls>
          <c:showVal val="1"/>
        </c:dLbls>
      </c:pie3DChart>
      <c:spPr>
        <a:noFill/>
        <a:ln w="25398">
          <a:noFill/>
        </a:ln>
      </c:spPr>
    </c:plotArea>
    <c:legend>
      <c:legendPos val="r"/>
      <c:layout>
        <c:manualLayout>
          <c:xMode val="edge"/>
          <c:yMode val="edge"/>
          <c:x val="0.32432437324645819"/>
          <c:y val="0.79591828799177877"/>
          <c:w val="0.6452703412073485"/>
          <c:h val="0.20408171200822123"/>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86"/>
              <a:t> </a:t>
            </a:r>
            <a:r>
              <a:rPr lang="en-US" sz="1100" b="1" i="0" baseline="0"/>
              <a:t>I</a:t>
            </a:r>
            <a:r>
              <a:rPr lang="ru-RU" sz="1100" b="1" i="0" baseline="0"/>
              <a:t> полугодие 2014 года</a:t>
            </a:r>
            <a:endParaRPr lang="ru-RU" sz="1100"/>
          </a:p>
        </c:rich>
      </c:tx>
      <c:layout>
        <c:manualLayout>
          <c:xMode val="edge"/>
          <c:yMode val="edge"/>
          <c:x val="0.18741913358391568"/>
          <c:y val="4.1026661141042454E-2"/>
        </c:manualLayout>
      </c:layout>
      <c:spPr>
        <a:noFill/>
        <a:ln w="25101">
          <a:noFill/>
        </a:ln>
      </c:spPr>
    </c:title>
    <c:view3D>
      <c:rotX val="30"/>
      <c:perspective val="30"/>
    </c:view3D>
    <c:plotArea>
      <c:layout>
        <c:manualLayout>
          <c:layoutTarget val="inner"/>
          <c:xMode val="edge"/>
          <c:yMode val="edge"/>
          <c:x val="0.23091032812817591"/>
          <c:y val="0.19547926509186556"/>
          <c:w val="0.4600428867960133"/>
          <c:h val="0.49655636976015693"/>
        </c:manualLayout>
      </c:layout>
      <c:pie3DChart>
        <c:varyColors val="1"/>
        <c:ser>
          <c:idx val="0"/>
          <c:order val="0"/>
          <c:tx>
            <c:strRef>
              <c:f>Лист1!$B$1</c:f>
              <c:strCache>
                <c:ptCount val="1"/>
                <c:pt idx="0">
                  <c:v>2014год</c:v>
                </c:pt>
              </c:strCache>
            </c:strRef>
          </c:tx>
          <c:spPr>
            <a:solidFill>
              <a:srgbClr val="4BACC6">
                <a:lumMod val="75000"/>
              </a:srgbClr>
            </a:solidFill>
          </c:spPr>
          <c:explosion val="2"/>
          <c:dPt>
            <c:idx val="0"/>
            <c:spPr>
              <a:solidFill>
                <a:srgbClr val="F79646">
                  <a:lumMod val="75000"/>
                </a:srgbClr>
              </a:solidFill>
            </c:spPr>
          </c:dPt>
          <c:dPt>
            <c:idx val="1"/>
            <c:explosion val="6"/>
            <c:spPr>
              <a:solidFill>
                <a:srgbClr val="9BBB59">
                  <a:lumMod val="50000"/>
                </a:srgbClr>
              </a:solidFill>
            </c:spPr>
          </c:dPt>
          <c:dLbls>
            <c:dLbl>
              <c:idx val="0"/>
              <c:layout>
                <c:manualLayout>
                  <c:x val="0.13459385758598374"/>
                  <c:y val="-9.3469816272965887E-3"/>
                </c:manualLayout>
              </c:layout>
              <c:tx>
                <c:rich>
                  <a:bodyPr/>
                  <a:lstStyle/>
                  <a:p>
                    <a:pPr>
                      <a:defRPr b="1"/>
                    </a:pPr>
                    <a:r>
                      <a:rPr lang="ru-RU" b="1"/>
                      <a:t>6</a:t>
                    </a:r>
                    <a:r>
                      <a:rPr lang="en-US" b="1"/>
                      <a:t> </a:t>
                    </a:r>
                    <a:r>
                      <a:rPr lang="ru-RU" b="1"/>
                      <a:t>602</a:t>
                    </a:r>
                    <a:r>
                      <a:rPr lang="en-US" b="1"/>
                      <a:t>,</a:t>
                    </a:r>
                    <a:r>
                      <a:rPr lang="ru-RU" b="1"/>
                      <a:t>7; 25,3%</a:t>
                    </a:r>
                    <a:endParaRPr lang="en-US" b="1"/>
                  </a:p>
                </c:rich>
              </c:tx>
              <c:spPr/>
              <c:dLblPos val="bestFit"/>
            </c:dLbl>
            <c:dLbl>
              <c:idx val="1"/>
              <c:layout>
                <c:manualLayout>
                  <c:x val="-8.2894032185371266E-2"/>
                  <c:y val="9.0584251968503948E-2"/>
                </c:manualLayout>
              </c:layout>
              <c:tx>
                <c:rich>
                  <a:bodyPr/>
                  <a:lstStyle/>
                  <a:p>
                    <a:pPr>
                      <a:defRPr b="1"/>
                    </a:pPr>
                    <a:r>
                      <a:rPr lang="ru-RU" b="1"/>
                      <a:t>19</a:t>
                    </a:r>
                    <a:r>
                      <a:rPr lang="en-US" b="1"/>
                      <a:t> </a:t>
                    </a:r>
                    <a:r>
                      <a:rPr lang="ru-RU" b="1"/>
                      <a:t>488</a:t>
                    </a:r>
                    <a:r>
                      <a:rPr lang="en-US" b="1"/>
                      <a:t>,1</a:t>
                    </a:r>
                    <a:r>
                      <a:rPr lang="ru-RU" b="1"/>
                      <a:t>; 74,7% </a:t>
                    </a:r>
                    <a:endParaRPr lang="en-US" b="1"/>
                  </a:p>
                </c:rich>
              </c:tx>
              <c:spPr/>
              <c:dLblPos val="bestFit"/>
            </c:dLbl>
            <c:dLblPos val="outEnd"/>
            <c:showVal val="1"/>
            <c:showLeaderLines val="1"/>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6602.7</c:v>
                </c:pt>
                <c:pt idx="1">
                  <c:v>19488.099999999897</c:v>
                </c:pt>
              </c:numCache>
            </c:numRef>
          </c:val>
        </c:ser>
        <c:dLbls>
          <c:showVal val="1"/>
        </c:dLbls>
      </c:pie3DChart>
      <c:spPr>
        <a:noFill/>
        <a:ln w="25401">
          <a:noFill/>
        </a:ln>
      </c:spPr>
    </c:plotArea>
    <c:legend>
      <c:legendPos val="r"/>
      <c:layout>
        <c:manualLayout>
          <c:xMode val="edge"/>
          <c:yMode val="edge"/>
          <c:x val="0.32432421557062158"/>
          <c:y val="0.7959182207487222"/>
          <c:w val="0.64527019488418391"/>
          <c:h val="0.2040817792512778"/>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Лист1!$B$2</c:f>
              <c:strCache>
                <c:ptCount val="1"/>
                <c:pt idx="0">
                  <c:v>Среднемесячная номинальная заработная плата в целом по республике</c:v>
                </c:pt>
              </c:strCache>
            </c:strRef>
          </c:tx>
          <c:spPr>
            <a:solidFill>
              <a:schemeClr val="accent6">
                <a:lumMod val="60000"/>
                <a:lumOff val="40000"/>
              </a:schemeClr>
            </a:solidFill>
          </c:spPr>
          <c:dLbls>
            <c:dLbl>
              <c:idx val="0"/>
              <c:layout>
                <c:manualLayout>
                  <c:x val="-6.1728395061728504E-3"/>
                  <c:y val="1.7590149516270991E-2"/>
                </c:manualLayout>
              </c:layout>
              <c:tx>
                <c:rich>
                  <a:bodyPr/>
                  <a:lstStyle/>
                  <a:p>
                    <a:r>
                      <a:rPr lang="ru-RU" b="1"/>
                      <a:t>+7,5*</a:t>
                    </a:r>
                    <a:endParaRPr lang="en-US" b="1"/>
                  </a:p>
                </c:rich>
              </c:tx>
              <c:showVal val="1"/>
            </c:dLbl>
            <c:dLbl>
              <c:idx val="1"/>
              <c:layout>
                <c:manualLayout>
                  <c:x val="-1.8518518518518781E-2"/>
                  <c:y val="1.4072119613016881E-2"/>
                </c:manualLayout>
              </c:layout>
              <c:tx>
                <c:rich>
                  <a:bodyPr/>
                  <a:lstStyle/>
                  <a:p>
                    <a:r>
                      <a:rPr lang="ru-RU" b="1"/>
                      <a:t>+10,0**</a:t>
                    </a:r>
                    <a:endParaRPr lang="en-US" b="1"/>
                  </a:p>
                </c:rich>
              </c:tx>
              <c:showVal val="1"/>
            </c:dLbl>
            <c:dLbl>
              <c:idx val="2"/>
              <c:layout>
                <c:manualLayout>
                  <c:x val="-1.2345679012345881E-2"/>
                  <c:y val="0"/>
                </c:manualLayout>
              </c:layout>
              <c:tx>
                <c:rich>
                  <a:bodyPr/>
                  <a:lstStyle/>
                  <a:p>
                    <a:r>
                      <a:rPr lang="ru-RU" b="1"/>
                      <a:t>-4,1*</a:t>
                    </a:r>
                    <a:endParaRPr lang="en-US" b="1"/>
                  </a:p>
                </c:rich>
              </c:tx>
              <c:showVal val="1"/>
            </c:dLbl>
            <c:dLbl>
              <c:idx val="3"/>
              <c:layout>
                <c:manualLayout>
                  <c:x val="-6.1728395061728504E-3"/>
                  <c:y val="1.7590149516270991E-2"/>
                </c:manualLayout>
              </c:layout>
              <c:tx>
                <c:rich>
                  <a:bodyPr/>
                  <a:lstStyle/>
                  <a:p>
                    <a:r>
                      <a:rPr lang="ru-RU" b="1"/>
                      <a:t>-4,4**</a:t>
                    </a:r>
                    <a:endParaRPr lang="en-US" b="1"/>
                  </a:p>
                </c:rich>
              </c:tx>
              <c:showVal val="1"/>
            </c:dLbl>
            <c:spPr>
              <a:noFill/>
            </c:spPr>
            <c:txPr>
              <a:bodyPr/>
              <a:lstStyle/>
              <a:p>
                <a:pPr>
                  <a:defRPr b="1"/>
                </a:pPr>
                <a:endParaRPr lang="ru-RU"/>
              </a:p>
            </c:txPr>
            <c:showVal val="1"/>
          </c:dLbls>
          <c:cat>
            <c:strRef>
              <c:f>Лист1!$A$3:$A$6</c:f>
              <c:strCache>
                <c:ptCount val="4"/>
                <c:pt idx="0">
                  <c:v>руб. ПМР I полуг. 2014 года</c:v>
                </c:pt>
                <c:pt idx="1">
                  <c:v>дол. США</c:v>
                </c:pt>
                <c:pt idx="2">
                  <c:v>руб. ПМР I полуг. 2015 года</c:v>
                </c:pt>
                <c:pt idx="3">
                  <c:v>дол. США</c:v>
                </c:pt>
              </c:strCache>
            </c:strRef>
          </c:cat>
          <c:val>
            <c:numRef>
              <c:f>Лист1!$B$3:$B$6</c:f>
              <c:numCache>
                <c:formatCode>General</c:formatCode>
                <c:ptCount val="4"/>
                <c:pt idx="0">
                  <c:v>4014</c:v>
                </c:pt>
                <c:pt idx="1">
                  <c:v>362</c:v>
                </c:pt>
                <c:pt idx="2">
                  <c:v>3839</c:v>
                </c:pt>
                <c:pt idx="3">
                  <c:v>346</c:v>
                </c:pt>
              </c:numCache>
            </c:numRef>
          </c:val>
        </c:ser>
        <c:ser>
          <c:idx val="1"/>
          <c:order val="1"/>
          <c:tx>
            <c:strRef>
              <c:f>Лист1!$C$2</c:f>
              <c:strCache>
                <c:ptCount val="1"/>
                <c:pt idx="0">
                  <c:v>Среднемесячная номинальная заработная плата во внебюджетном секторе экономики</c:v>
                </c:pt>
              </c:strCache>
            </c:strRef>
          </c:tx>
          <c:dLbls>
            <c:dLbl>
              <c:idx val="0"/>
              <c:layout>
                <c:manualLayout>
                  <c:x val="2.0576131687242852E-3"/>
                  <c:y val="1.4072119613016881E-2"/>
                </c:manualLayout>
              </c:layout>
              <c:tx>
                <c:rich>
                  <a:bodyPr/>
                  <a:lstStyle/>
                  <a:p>
                    <a:r>
                      <a:rPr lang="ru-RU" b="1"/>
                      <a:t>+6,3*</a:t>
                    </a:r>
                    <a:endParaRPr lang="en-US" b="1"/>
                  </a:p>
                </c:rich>
              </c:tx>
              <c:showVal val="1"/>
            </c:dLbl>
            <c:dLbl>
              <c:idx val="1"/>
              <c:layout>
                <c:manualLayout>
                  <c:x val="-6.1728395061728504E-3"/>
                  <c:y val="-2.1108179419525894E-2"/>
                </c:manualLayout>
              </c:layout>
              <c:tx>
                <c:rich>
                  <a:bodyPr/>
                  <a:lstStyle/>
                  <a:p>
                    <a:r>
                      <a:rPr lang="ru-RU" b="1"/>
                      <a:t>+8,6**</a:t>
                    </a:r>
                    <a:endParaRPr lang="en-US" b="1"/>
                  </a:p>
                </c:rich>
              </c:tx>
              <c:showVal val="1"/>
            </c:dLbl>
            <c:dLbl>
              <c:idx val="2"/>
              <c:tx>
                <c:rich>
                  <a:bodyPr/>
                  <a:lstStyle/>
                  <a:p>
                    <a:r>
                      <a:rPr lang="ru-RU" b="1"/>
                      <a:t>-4,6*</a:t>
                    </a:r>
                    <a:endParaRPr lang="en-US" b="1"/>
                  </a:p>
                </c:rich>
              </c:tx>
              <c:showVal val="1"/>
            </c:dLbl>
            <c:dLbl>
              <c:idx val="3"/>
              <c:layout>
                <c:manualLayout>
                  <c:x val="4.1152263374485704E-3"/>
                  <c:y val="-1.0554089709762937E-2"/>
                </c:manualLayout>
              </c:layout>
              <c:tx>
                <c:rich>
                  <a:bodyPr/>
                  <a:lstStyle/>
                  <a:p>
                    <a:r>
                      <a:rPr lang="ru-RU" b="1"/>
                      <a:t>-4,8**</a:t>
                    </a:r>
                    <a:endParaRPr lang="en-US" b="1"/>
                  </a:p>
                </c:rich>
              </c:tx>
              <c:showVal val="1"/>
            </c:dLbl>
            <c:spPr>
              <a:noFill/>
            </c:spPr>
            <c:txPr>
              <a:bodyPr/>
              <a:lstStyle/>
              <a:p>
                <a:pPr>
                  <a:defRPr b="1"/>
                </a:pPr>
                <a:endParaRPr lang="ru-RU"/>
              </a:p>
            </c:txPr>
            <c:showVal val="1"/>
          </c:dLbls>
          <c:cat>
            <c:strRef>
              <c:f>Лист1!$A$3:$A$6</c:f>
              <c:strCache>
                <c:ptCount val="4"/>
                <c:pt idx="0">
                  <c:v>руб. ПМР I полуг. 2014 года</c:v>
                </c:pt>
                <c:pt idx="1">
                  <c:v>дол. США</c:v>
                </c:pt>
                <c:pt idx="2">
                  <c:v>руб. ПМР I полуг. 2015 года</c:v>
                </c:pt>
                <c:pt idx="3">
                  <c:v>дол. США</c:v>
                </c:pt>
              </c:strCache>
            </c:strRef>
          </c:cat>
          <c:val>
            <c:numRef>
              <c:f>Лист1!$C$3:$C$6</c:f>
              <c:numCache>
                <c:formatCode>General</c:formatCode>
                <c:ptCount val="4"/>
                <c:pt idx="0">
                  <c:v>5074</c:v>
                </c:pt>
                <c:pt idx="1">
                  <c:v>457</c:v>
                </c:pt>
                <c:pt idx="2">
                  <c:v>4827</c:v>
                </c:pt>
                <c:pt idx="3">
                  <c:v>435</c:v>
                </c:pt>
              </c:numCache>
            </c:numRef>
          </c:val>
        </c:ser>
        <c:ser>
          <c:idx val="2"/>
          <c:order val="2"/>
          <c:tx>
            <c:strRef>
              <c:f>Лист1!$D$2</c:f>
              <c:strCache>
                <c:ptCount val="1"/>
                <c:pt idx="0">
                  <c:v>Среднемесячная номинальная заработная плата в бюджетном секторе экономики</c:v>
                </c:pt>
              </c:strCache>
            </c:strRef>
          </c:tx>
          <c:spPr>
            <a:solidFill>
              <a:schemeClr val="tx2">
                <a:lumMod val="20000"/>
                <a:lumOff val="80000"/>
              </a:schemeClr>
            </a:solidFill>
          </c:spPr>
          <c:dLbls>
            <c:dLbl>
              <c:idx val="0"/>
              <c:layout>
                <c:manualLayout>
                  <c:x val="1.4403292181069918E-2"/>
                  <c:y val="1.05540553828466E-2"/>
                </c:manualLayout>
              </c:layout>
              <c:tx>
                <c:rich>
                  <a:bodyPr/>
                  <a:lstStyle/>
                  <a:p>
                    <a:r>
                      <a:rPr lang="ru-RU" b="1"/>
                      <a:t>+10,1*</a:t>
                    </a:r>
                    <a:endParaRPr lang="en-US" b="1"/>
                  </a:p>
                </c:rich>
              </c:tx>
              <c:showVal val="1"/>
            </c:dLbl>
            <c:dLbl>
              <c:idx val="1"/>
              <c:layout>
                <c:manualLayout>
                  <c:x val="1.0288065843621401E-2"/>
                  <c:y val="0"/>
                </c:manualLayout>
              </c:layout>
              <c:tx>
                <c:rich>
                  <a:bodyPr/>
                  <a:lstStyle/>
                  <a:p>
                    <a:r>
                      <a:rPr lang="ru-RU" b="1"/>
                      <a:t>+12,4**</a:t>
                    </a:r>
                    <a:endParaRPr lang="en-US" b="1"/>
                  </a:p>
                </c:rich>
              </c:tx>
              <c:showVal val="1"/>
            </c:dLbl>
            <c:dLbl>
              <c:idx val="2"/>
              <c:layout>
                <c:manualLayout>
                  <c:x val="1.2345679012345881E-2"/>
                  <c:y val="-7.0360598065084198E-3"/>
                </c:manualLayout>
              </c:layout>
              <c:tx>
                <c:rich>
                  <a:bodyPr/>
                  <a:lstStyle/>
                  <a:p>
                    <a:r>
                      <a:rPr lang="ru-RU" b="1"/>
                      <a:t>-1,1*</a:t>
                    </a:r>
                    <a:endParaRPr lang="en-US" b="1"/>
                  </a:p>
                </c:rich>
              </c:tx>
              <c:showVal val="1"/>
            </c:dLbl>
            <c:dLbl>
              <c:idx val="3"/>
              <c:layout>
                <c:manualLayout>
                  <c:x val="2.4691358024691811E-2"/>
                  <c:y val="1.0554089709762937E-2"/>
                </c:manualLayout>
              </c:layout>
              <c:tx>
                <c:rich>
                  <a:bodyPr/>
                  <a:lstStyle/>
                  <a:p>
                    <a:r>
                      <a:rPr lang="ru-RU" b="1"/>
                      <a:t>-1,2**</a:t>
                    </a:r>
                    <a:endParaRPr lang="en-US" b="1"/>
                  </a:p>
                </c:rich>
              </c:tx>
              <c:showVal val="1"/>
            </c:dLbl>
            <c:spPr>
              <a:noFill/>
            </c:spPr>
            <c:txPr>
              <a:bodyPr/>
              <a:lstStyle/>
              <a:p>
                <a:pPr>
                  <a:defRPr b="1"/>
                </a:pPr>
                <a:endParaRPr lang="ru-RU"/>
              </a:p>
            </c:txPr>
            <c:showVal val="1"/>
          </c:dLbls>
          <c:cat>
            <c:strRef>
              <c:f>Лист1!$A$3:$A$6</c:f>
              <c:strCache>
                <c:ptCount val="4"/>
                <c:pt idx="0">
                  <c:v>руб. ПМР I полуг. 2014 года</c:v>
                </c:pt>
                <c:pt idx="1">
                  <c:v>дол. США</c:v>
                </c:pt>
                <c:pt idx="2">
                  <c:v>руб. ПМР I полуг. 2015 года</c:v>
                </c:pt>
                <c:pt idx="3">
                  <c:v>дол. США</c:v>
                </c:pt>
              </c:strCache>
            </c:strRef>
          </c:cat>
          <c:val>
            <c:numRef>
              <c:f>Лист1!$D$3:$D$6</c:f>
              <c:numCache>
                <c:formatCode>General</c:formatCode>
                <c:ptCount val="4"/>
                <c:pt idx="0">
                  <c:v>2721</c:v>
                </c:pt>
                <c:pt idx="1">
                  <c:v>245</c:v>
                </c:pt>
                <c:pt idx="2">
                  <c:v>2684</c:v>
                </c:pt>
                <c:pt idx="3">
                  <c:v>242</c:v>
                </c:pt>
              </c:numCache>
            </c:numRef>
          </c:val>
        </c:ser>
        <c:axId val="167721984"/>
        <c:axId val="167748352"/>
      </c:barChart>
      <c:catAx>
        <c:axId val="167721984"/>
        <c:scaling>
          <c:orientation val="minMax"/>
        </c:scaling>
        <c:axPos val="b"/>
        <c:numFmt formatCode="General" sourceLinked="1"/>
        <c:tickLblPos val="nextTo"/>
        <c:crossAx val="167748352"/>
        <c:crosses val="autoZero"/>
        <c:auto val="1"/>
        <c:lblAlgn val="ctr"/>
        <c:lblOffset val="100"/>
      </c:catAx>
      <c:valAx>
        <c:axId val="167748352"/>
        <c:scaling>
          <c:orientation val="minMax"/>
        </c:scaling>
        <c:axPos val="l"/>
        <c:title>
          <c:tx>
            <c:rich>
              <a:bodyPr rot="0" vert="horz"/>
              <a:lstStyle/>
              <a:p>
                <a:pPr>
                  <a:defRPr sz="900"/>
                </a:pPr>
                <a:r>
                  <a:rPr lang="ru-RU" sz="900"/>
                  <a:t>* - Прирост/спад реальной заработной платы</a:t>
                </a:r>
              </a:p>
              <a:p>
                <a:pPr>
                  <a:defRPr sz="900"/>
                </a:pPr>
                <a:r>
                  <a:rPr lang="ru-RU" sz="900"/>
                  <a:t>** - прирост/спад заработной платы в долларовом эквиваленте</a:t>
                </a:r>
              </a:p>
              <a:p>
                <a:pPr>
                  <a:defRPr sz="900"/>
                </a:pPr>
                <a:endParaRPr lang="ru-RU" sz="900"/>
              </a:p>
            </c:rich>
          </c:tx>
          <c:layout>
            <c:manualLayout>
              <c:xMode val="edge"/>
              <c:yMode val="edge"/>
              <c:x val="2.2633744855967669E-2"/>
              <c:y val="0.23557844894748614"/>
            </c:manualLayout>
          </c:layout>
        </c:title>
        <c:numFmt formatCode="General" sourceLinked="1"/>
        <c:tickLblPos val="nextTo"/>
        <c:txPr>
          <a:bodyPr/>
          <a:lstStyle/>
          <a:p>
            <a:pPr>
              <a:defRPr b="1"/>
            </a:pPr>
            <a:endParaRPr lang="ru-RU"/>
          </a:p>
        </c:txPr>
        <c:crossAx val="167721984"/>
        <c:crosses val="autoZero"/>
        <c:crossBetween val="between"/>
      </c:valAx>
      <c:dTable>
        <c:showHorzBorder val="1"/>
        <c:showVertBorder val="1"/>
        <c:showOutline val="1"/>
        <c:showKeys val="1"/>
        <c:txPr>
          <a:bodyPr/>
          <a:lstStyle/>
          <a:p>
            <a:pPr rtl="0">
              <a:defRPr sz="900" b="1"/>
            </a:pPr>
            <a:endParaRPr lang="ru-RU"/>
          </a:p>
        </c:txPr>
      </c:dTable>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176795208291695"/>
          <c:y val="1.7827634559378708E-2"/>
        </c:manualLayout>
      </c:layout>
      <c:spPr>
        <a:solidFill>
          <a:sysClr val="window" lastClr="FFFFFF"/>
        </a:solidFill>
        <a:ln w="25176">
          <a:noFill/>
        </a:ln>
      </c:spPr>
    </c:title>
    <c:plotArea>
      <c:layout>
        <c:manualLayout>
          <c:layoutTarget val="inner"/>
          <c:xMode val="edge"/>
          <c:yMode val="edge"/>
          <c:x val="7.4722222222223897E-2"/>
          <c:y val="0.12863885724976187"/>
          <c:w val="0.91585760517799353"/>
          <c:h val="0.32675283514089798"/>
        </c:manualLayout>
      </c:layout>
      <c:lineChart>
        <c:grouping val="standard"/>
        <c:ser>
          <c:idx val="0"/>
          <c:order val="0"/>
          <c:tx>
            <c:strRef>
              <c:f>Sheet1!$A$2</c:f>
              <c:strCache>
                <c:ptCount val="1"/>
                <c:pt idx="0">
                  <c:v>I полугодие 2014 года</c:v>
                </c:pt>
              </c:strCache>
            </c:strRef>
          </c:tx>
          <c:spPr>
            <a:ln w="2413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9.1935863786261132E-3"/>
                  <c:y val="4.5604362347788294E-3"/>
                </c:manualLayout>
              </c:layout>
              <c:dLblPos val="t"/>
              <c:showVal val="1"/>
            </c:dLbl>
            <c:dLbl>
              <c:idx val="1"/>
              <c:layout>
                <c:manualLayout>
                  <c:x val="1.9464802476613741E-2"/>
                  <c:y val="1.6716904097679623E-2"/>
                </c:manualLayout>
              </c:layout>
              <c:dLblPos val="t"/>
              <c:showVal val="1"/>
            </c:dLbl>
            <c:dLbl>
              <c:idx val="2"/>
              <c:layout>
                <c:manualLayout>
                  <c:x val="-4.2735042735042739E-3"/>
                  <c:y val="-1.3844841721828803E-2"/>
                </c:manualLayout>
              </c:layout>
              <c:dLblPos val="t"/>
              <c:showVal val="1"/>
            </c:dLbl>
            <c:dLbl>
              <c:idx val="3"/>
              <c:layout>
                <c:manualLayout>
                  <c:x val="-2.5659532942997509E-2"/>
                  <c:y val="2.3819255297490332E-2"/>
                </c:manualLayout>
              </c:layout>
              <c:dLblPos val="t"/>
              <c:showVal val="1"/>
            </c:dLbl>
            <c:dLbl>
              <c:idx val="4"/>
              <c:layout>
                <c:manualLayout>
                  <c:x val="-2.1394945824080011E-2"/>
                  <c:y val="1.0444103292120204E-2"/>
                </c:manualLayout>
              </c:layout>
              <c:dLblPos val="t"/>
              <c:showVal val="1"/>
            </c:dLbl>
            <c:dLbl>
              <c:idx val="5"/>
              <c:layout>
                <c:manualLayout>
                  <c:x val="1.8190154115351003E-2"/>
                  <c:y val="7.1107149342181314E-3"/>
                </c:manualLayout>
              </c:layout>
              <c:dLblPos val="t"/>
              <c:showVal val="1"/>
            </c:dLbl>
            <c:dLbl>
              <c:idx val="6"/>
              <c:layout>
                <c:manualLayout>
                  <c:x val="5.9792045225118438E-3"/>
                  <c:y val="4.1535723527516812E-2"/>
                </c:manualLayout>
              </c:layout>
              <c:dLblPos val="t"/>
              <c:showVal val="1"/>
            </c:dLbl>
            <c:dLbl>
              <c:idx val="7"/>
              <c:layout>
                <c:manualLayout>
                  <c:x val="-1.3270072010229493E-2"/>
                  <c:y val="9.608610244474158E-3"/>
                </c:manualLayout>
              </c:layout>
              <c:dLblPos val="t"/>
              <c:showVal val="1"/>
            </c:dLbl>
            <c:dLbl>
              <c:idx val="8"/>
              <c:layout>
                <c:manualLayout>
                  <c:x val="1.4957264957264856E-2"/>
                  <c:y val="6.0030923807481255E-2"/>
                </c:manualLayout>
              </c:layout>
              <c:dLblPos val="t"/>
              <c:showVal val="1"/>
            </c:dLbl>
            <c:dLbl>
              <c:idx val="9"/>
              <c:layout>
                <c:manualLayout>
                  <c:x val="4.2735042735042739E-3"/>
                  <c:y val="8.3857442348012744E-3"/>
                </c:manualLayout>
              </c:layout>
              <c:dLblPos val="t"/>
              <c:showVal val="1"/>
            </c:dLbl>
            <c:dLbl>
              <c:idx val="10"/>
              <c:layout>
                <c:manualLayout>
                  <c:x val="-6.6442896561006801E-3"/>
                  <c:y val="6.366716739023974E-2"/>
                </c:manualLayout>
              </c:layout>
              <c:dLblPos val="t"/>
              <c:showVal val="1"/>
            </c:dLbl>
            <c:dLbl>
              <c:idx val="11"/>
              <c:layout>
                <c:manualLayout>
                  <c:x val="-7.8346673280133566E-17"/>
                  <c:y val="9.3896713615023528E-3"/>
                </c:manualLayout>
              </c:layout>
              <c:dLblPos val="t"/>
              <c:showVal val="1"/>
            </c:dLbl>
            <c:dLbl>
              <c:idx val="12"/>
              <c:layout>
                <c:manualLayout>
                  <c:x val="-3.6270946900868856E-3"/>
                  <c:y val="5.4484007109174323E-2"/>
                </c:manualLayout>
              </c:layout>
              <c:dLblPos val="t"/>
              <c:showVal val="1"/>
            </c:dLbl>
            <c:dLbl>
              <c:idx val="13"/>
              <c:layout>
                <c:manualLayout>
                  <c:x val="2.1365838885524634E-3"/>
                  <c:y val="-3.2398465915031059E-4"/>
                </c:manualLayout>
              </c:layout>
              <c:dLblPos val="t"/>
              <c:showVal val="1"/>
            </c:dLbl>
            <c:dLbl>
              <c:idx val="14"/>
              <c:layout>
                <c:manualLayout>
                  <c:x val="-4.2735042735042739E-3"/>
                  <c:y val="1.3438540308247643E-2"/>
                </c:manualLayout>
              </c:layout>
              <c:dLblPos val="t"/>
              <c:showVal val="1"/>
            </c:dLbl>
            <c:dLbl>
              <c:idx val="15"/>
              <c:layout>
                <c:manualLayout>
                  <c:x val="-3.2143818561142187E-3"/>
                  <c:y val="-6.2408865558471914E-3"/>
                </c:manualLayout>
              </c:layout>
              <c:dLblPos val="t"/>
              <c:showVal val="1"/>
            </c:dLbl>
            <c:dLbl>
              <c:idx val="16"/>
              <c:layout>
                <c:manualLayout>
                  <c:x val="-1.7543576283734069E-2"/>
                  <c:y val="1.2827987696506501E-2"/>
                </c:manualLayout>
              </c:layout>
              <c:dLblPos val="t"/>
              <c:showVal val="1"/>
            </c:dLbl>
            <c:dLbl>
              <c:idx val="17"/>
              <c:layout>
                <c:manualLayout>
                  <c:x val="-1.1939901743051361E-2"/>
                  <c:y val="1.594634004082824E-2"/>
                </c:manualLayout>
              </c:layout>
              <c:dLblPos val="t"/>
              <c:showVal val="1"/>
            </c:dLbl>
            <c:dLbl>
              <c:idx val="18"/>
              <c:layout>
                <c:manualLayout>
                  <c:x val="-1.7094017094017103E-2"/>
                  <c:y val="4.7144169871847781E-2"/>
                </c:manualLayout>
              </c:layout>
              <c:dLblPos val="t"/>
              <c:showVal val="1"/>
            </c:dLbl>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Sheet1!$B$2:$T$2</c:f>
              <c:numCache>
                <c:formatCode>0</c:formatCode>
                <c:ptCount val="19"/>
                <c:pt idx="0" formatCode="General">
                  <c:v>5102</c:v>
                </c:pt>
                <c:pt idx="1">
                  <c:v>3175</c:v>
                </c:pt>
                <c:pt idx="2" formatCode="General">
                  <c:v>1927</c:v>
                </c:pt>
                <c:pt idx="3" formatCode="General">
                  <c:v>4300</c:v>
                </c:pt>
                <c:pt idx="4" formatCode="General">
                  <c:v>6781</c:v>
                </c:pt>
                <c:pt idx="5" formatCode="General">
                  <c:v>5006</c:v>
                </c:pt>
                <c:pt idx="6" formatCode="General">
                  <c:v>1982</c:v>
                </c:pt>
                <c:pt idx="7">
                  <c:v>4317</c:v>
                </c:pt>
                <c:pt idx="8">
                  <c:v>4261</c:v>
                </c:pt>
                <c:pt idx="9">
                  <c:v>5081</c:v>
                </c:pt>
                <c:pt idx="10">
                  <c:v>4235</c:v>
                </c:pt>
                <c:pt idx="11">
                  <c:v>4303</c:v>
                </c:pt>
                <c:pt idx="12">
                  <c:v>4051</c:v>
                </c:pt>
                <c:pt idx="13">
                  <c:v>2719</c:v>
                </c:pt>
                <c:pt idx="14">
                  <c:v>2714</c:v>
                </c:pt>
                <c:pt idx="15">
                  <c:v>2490</c:v>
                </c:pt>
                <c:pt idx="16">
                  <c:v>5061</c:v>
                </c:pt>
                <c:pt idx="17">
                  <c:v>8308</c:v>
                </c:pt>
                <c:pt idx="18">
                  <c:v>5439</c:v>
                </c:pt>
              </c:numCache>
            </c:numRef>
          </c:val>
        </c:ser>
        <c:ser>
          <c:idx val="1"/>
          <c:order val="1"/>
          <c:tx>
            <c:strRef>
              <c:f>Sheet1!$A$3</c:f>
              <c:strCache>
                <c:ptCount val="1"/>
                <c:pt idx="0">
                  <c:v>I полугодие 2015 года</c:v>
                </c:pt>
              </c:strCache>
            </c:strRef>
          </c:tx>
          <c:spPr>
            <a:ln w="24130">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3.0111548556430445E-2"/>
                  <c:y val="2.0733917694251168E-2"/>
                </c:manualLayout>
              </c:layout>
              <c:dLblPos val="t"/>
              <c:showVal val="1"/>
            </c:dLbl>
            <c:dLbl>
              <c:idx val="1"/>
              <c:layout>
                <c:manualLayout>
                  <c:x val="-2.5875227135070358E-2"/>
                  <c:y val="4.2634796436609002E-2"/>
                </c:manualLayout>
              </c:layout>
              <c:dLblPos val="t"/>
              <c:showVal val="1"/>
            </c:dLbl>
            <c:dLbl>
              <c:idx val="2"/>
              <c:layout>
                <c:manualLayout>
                  <c:x val="-4.2735042735042739E-3"/>
                  <c:y val="4.807716645482208E-2"/>
                </c:manualLayout>
              </c:layout>
              <c:dLblPos val="t"/>
              <c:showVal val="1"/>
            </c:dLbl>
            <c:dLbl>
              <c:idx val="3"/>
              <c:layout>
                <c:manualLayout>
                  <c:x val="3.0364089104246577E-2"/>
                  <c:y val="2.3421097520042712E-2"/>
                </c:manualLayout>
              </c:layout>
              <c:dLblPos val="t"/>
              <c:showVal val="1"/>
            </c:dLbl>
            <c:dLbl>
              <c:idx val="4"/>
              <c:layout>
                <c:manualLayout>
                  <c:x val="3.2076351033043952E-2"/>
                  <c:y val="3.3392429719869922E-2"/>
                </c:manualLayout>
              </c:layout>
              <c:dLblPos val="t"/>
              <c:showVal val="1"/>
            </c:dLbl>
            <c:dLbl>
              <c:idx val="5"/>
              <c:layout>
                <c:manualLayout>
                  <c:x val="-2.3522780806245373E-2"/>
                  <c:y val="2.5157232704402552E-2"/>
                </c:manualLayout>
              </c:layout>
              <c:dLblPos val="t"/>
              <c:showVal val="1"/>
            </c:dLbl>
            <c:dLbl>
              <c:idx val="6"/>
              <c:layout>
                <c:manualLayout>
                  <c:x val="-3.2051282051282055E-2"/>
                  <c:y val="1.8642103699302113E-2"/>
                </c:manualLayout>
              </c:layout>
              <c:dLblPos val="t"/>
              <c:showVal val="1"/>
            </c:dLbl>
            <c:dLbl>
              <c:idx val="7"/>
              <c:layout>
                <c:manualLayout>
                  <c:x val="5.9792045225117675E-3"/>
                  <c:y val="6.3800987140758533E-2"/>
                </c:manualLayout>
              </c:layout>
              <c:dLblPos val="t"/>
              <c:showVal val="1"/>
            </c:dLbl>
            <c:dLbl>
              <c:idx val="8"/>
              <c:layout>
                <c:manualLayout>
                  <c:x val="2.136752136752137E-3"/>
                  <c:y val="9.4882505883947706E-4"/>
                </c:manualLayout>
              </c:layout>
              <c:dLblPos val="t"/>
              <c:showVal val="1"/>
            </c:dLbl>
            <c:dLbl>
              <c:idx val="9"/>
              <c:layout>
                <c:manualLayout>
                  <c:x val="0"/>
                  <c:y val="5.3109713487071976E-2"/>
                </c:manualLayout>
              </c:layout>
              <c:dLblPos val="t"/>
              <c:showVal val="1"/>
            </c:dLbl>
            <c:dLbl>
              <c:idx val="10"/>
              <c:layout>
                <c:manualLayout>
                  <c:x val="1.9397334948516377E-3"/>
                  <c:y val="1.0446084176584844E-2"/>
                </c:manualLayout>
              </c:layout>
              <c:dLblPos val="t"/>
              <c:showVal val="1"/>
            </c:dLbl>
            <c:dLbl>
              <c:idx val="11"/>
              <c:layout>
                <c:manualLayout>
                  <c:x val="-6.1947304663840085E-3"/>
                  <c:y val="6.9755525842289084E-2"/>
                </c:manualLayout>
              </c:layout>
              <c:dLblPos val="t"/>
              <c:showVal val="1"/>
            </c:dLbl>
            <c:dLbl>
              <c:idx val="12"/>
              <c:layout>
                <c:manualLayout>
                  <c:x val="3.8239450837876192E-3"/>
                  <c:y val="1.3984384027468544E-2"/>
                </c:manualLayout>
              </c:layout>
              <c:dLblPos val="t"/>
              <c:showVal val="1"/>
            </c:dLbl>
            <c:dLbl>
              <c:idx val="13"/>
              <c:layout>
                <c:manualLayout>
                  <c:x val="-1.0683928931960429E-2"/>
                  <c:y val="4.8623890567138228E-2"/>
                </c:manualLayout>
              </c:layout>
              <c:dLblPos val="t"/>
              <c:showVal val="1"/>
            </c:dLbl>
            <c:dLbl>
              <c:idx val="14"/>
              <c:layout>
                <c:manualLayout>
                  <c:x val="-2.136752136752137E-3"/>
                  <c:y val="5.8700209643605922E-2"/>
                </c:manualLayout>
              </c:layout>
              <c:dLblPos val="t"/>
              <c:showVal val="1"/>
            </c:dLbl>
            <c:dLbl>
              <c:idx val="15"/>
              <c:layout>
                <c:manualLayout>
                  <c:x val="1.0683760683760906E-2"/>
                  <c:y val="5.0314465408805104E-2"/>
                </c:manualLayout>
              </c:layout>
              <c:dLblPos val="t"/>
              <c:showVal val="1"/>
            </c:dLbl>
            <c:dLbl>
              <c:idx val="16"/>
              <c:layout>
                <c:manualLayout>
                  <c:x val="1.9895854364358766E-2"/>
                  <c:y val="4.2987834067911533E-2"/>
                </c:manualLayout>
              </c:layout>
              <c:dLblPos val="t"/>
              <c:showVal val="1"/>
            </c:dLbl>
            <c:dLbl>
              <c:idx val="17"/>
              <c:layout>
                <c:manualLayout>
                  <c:x val="3.4188034188034191E-2"/>
                  <c:y val="2.7952260684396071E-2"/>
                </c:manualLayout>
              </c:layout>
              <c:dLblPos val="t"/>
              <c:showVal val="1"/>
            </c:dLbl>
            <c:dLbl>
              <c:idx val="18"/>
              <c:layout>
                <c:manualLayout>
                  <c:x val="5.7439935392691434E-3"/>
                  <c:y val="4.8113482670014723E-4"/>
                </c:manualLayout>
              </c:layout>
              <c:dLblPos val="t"/>
              <c:showVal val="1"/>
            </c:dLbl>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Sheet1!$B$3:$T$3</c:f>
              <c:numCache>
                <c:formatCode>0</c:formatCode>
                <c:ptCount val="19"/>
                <c:pt idx="0" formatCode="General">
                  <c:v>4918</c:v>
                </c:pt>
                <c:pt idx="1">
                  <c:v>2925</c:v>
                </c:pt>
                <c:pt idx="2" formatCode="General">
                  <c:v>1910</c:v>
                </c:pt>
                <c:pt idx="3" formatCode="General">
                  <c:v>3966</c:v>
                </c:pt>
                <c:pt idx="4" formatCode="General">
                  <c:v>6701</c:v>
                </c:pt>
                <c:pt idx="5" formatCode="General">
                  <c:v>4522</c:v>
                </c:pt>
                <c:pt idx="6" formatCode="General">
                  <c:v>1988</c:v>
                </c:pt>
                <c:pt idx="7">
                  <c:v>4078</c:v>
                </c:pt>
                <c:pt idx="8">
                  <c:v>4415</c:v>
                </c:pt>
                <c:pt idx="9">
                  <c:v>4807</c:v>
                </c:pt>
                <c:pt idx="10">
                  <c:v>4664</c:v>
                </c:pt>
                <c:pt idx="11">
                  <c:v>4209</c:v>
                </c:pt>
                <c:pt idx="12">
                  <c:v>4145</c:v>
                </c:pt>
                <c:pt idx="13">
                  <c:v>2663</c:v>
                </c:pt>
                <c:pt idx="14">
                  <c:v>2692</c:v>
                </c:pt>
                <c:pt idx="15">
                  <c:v>2391</c:v>
                </c:pt>
                <c:pt idx="16">
                  <c:v>3232</c:v>
                </c:pt>
                <c:pt idx="17">
                  <c:v>7687</c:v>
                </c:pt>
                <c:pt idx="18">
                  <c:v>5974</c:v>
                </c:pt>
              </c:numCache>
            </c:numRef>
          </c:val>
        </c:ser>
        <c:ser>
          <c:idx val="2"/>
          <c:order val="2"/>
          <c:tx>
            <c:strRef>
              <c:f>Sheet1!$A$4</c:f>
              <c:strCache>
                <c:ptCount val="1"/>
                <c:pt idx="0">
                  <c:v>средняя заработная плата в целом по республике за  I полуг. 2015 года</c:v>
                </c:pt>
              </c:strCache>
            </c:strRef>
          </c:tx>
          <c:spPr>
            <a:ln w="24130">
              <a:solidFill>
                <a:srgbClr val="008080"/>
              </a:solidFill>
              <a:prstDash val="solid"/>
            </a:ln>
          </c:spPr>
          <c:marker>
            <c:symbol val="triangle"/>
            <c:size val="2"/>
            <c:spPr>
              <a:solidFill>
                <a:srgbClr val="008080"/>
              </a:solidFill>
              <a:ln>
                <a:solidFill>
                  <a:srgbClr val="008080"/>
                </a:solidFill>
                <a:prstDash val="solid"/>
              </a:ln>
            </c:spPr>
          </c:marker>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Заготовки</c:v>
                </c:pt>
                <c:pt idx="10">
                  <c:v>Операции с недвиж. имуществом</c:v>
                </c:pt>
                <c:pt idx="11">
                  <c:v>Общая комерческая деятельность</c:v>
                </c:pt>
                <c:pt idx="12">
                  <c:v>ЖКХ</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Sheet1!$B$4:$T$4</c:f>
              <c:numCache>
                <c:formatCode>General</c:formatCode>
                <c:ptCount val="19"/>
                <c:pt idx="0">
                  <c:v>3839</c:v>
                </c:pt>
                <c:pt idx="1">
                  <c:v>3839</c:v>
                </c:pt>
                <c:pt idx="2">
                  <c:v>3839</c:v>
                </c:pt>
                <c:pt idx="3">
                  <c:v>3839</c:v>
                </c:pt>
                <c:pt idx="4">
                  <c:v>3839</c:v>
                </c:pt>
                <c:pt idx="5">
                  <c:v>3839</c:v>
                </c:pt>
                <c:pt idx="6">
                  <c:v>3839</c:v>
                </c:pt>
                <c:pt idx="7">
                  <c:v>3839</c:v>
                </c:pt>
                <c:pt idx="8">
                  <c:v>3839</c:v>
                </c:pt>
                <c:pt idx="9">
                  <c:v>3839</c:v>
                </c:pt>
                <c:pt idx="10">
                  <c:v>3839</c:v>
                </c:pt>
                <c:pt idx="11">
                  <c:v>3839</c:v>
                </c:pt>
                <c:pt idx="12">
                  <c:v>3839</c:v>
                </c:pt>
                <c:pt idx="13">
                  <c:v>3839</c:v>
                </c:pt>
                <c:pt idx="14">
                  <c:v>3839</c:v>
                </c:pt>
                <c:pt idx="15">
                  <c:v>3839</c:v>
                </c:pt>
                <c:pt idx="16">
                  <c:v>3839</c:v>
                </c:pt>
                <c:pt idx="17">
                  <c:v>3839</c:v>
                </c:pt>
                <c:pt idx="18">
                  <c:v>3839</c:v>
                </c:pt>
              </c:numCache>
            </c:numRef>
          </c:val>
        </c:ser>
        <c:marker val="1"/>
        <c:axId val="167906688"/>
        <c:axId val="167925248"/>
      </c:lineChart>
      <c:catAx>
        <c:axId val="167906688"/>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67925248"/>
        <c:crosses val="autoZero"/>
        <c:auto val="1"/>
        <c:lblAlgn val="ctr"/>
        <c:lblOffset val="200"/>
        <c:tickLblSkip val="1"/>
        <c:tickMarkSkip val="1"/>
      </c:catAx>
      <c:valAx>
        <c:axId val="167925248"/>
        <c:scaling>
          <c:orientation val="minMax"/>
          <c:max val="9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67906688"/>
        <c:crosses val="autoZero"/>
        <c:crossBetween val="between"/>
        <c:majorUnit val="500"/>
      </c:valAx>
    </c:plotArea>
    <c:legend>
      <c:legendPos val="r"/>
      <c:layout>
        <c:manualLayout>
          <c:xMode val="edge"/>
          <c:yMode val="edge"/>
          <c:x val="3.6503400333744232E-2"/>
          <c:y val="0.8984873746127533"/>
          <c:w val="0.90074428736753764"/>
          <c:h val="0.10141710273637178"/>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оплаты труда в организациях внебюджетного сектора, руб. ПМР</a:t>
            </a:r>
            <a:endParaRPr lang="ru-RU" sz="1200">
              <a:solidFill>
                <a:srgbClr val="FF0000"/>
              </a:solidFill>
            </a:endParaRPr>
          </a:p>
        </c:rich>
      </c:tx>
      <c:layout>
        <c:manualLayout>
          <c:xMode val="edge"/>
          <c:yMode val="edge"/>
          <c:x val="0.20669997981021604"/>
          <c:y val="5.695178513644702E-4"/>
        </c:manualLayout>
      </c:layout>
      <c:spPr>
        <a:solidFill>
          <a:sysClr val="window" lastClr="FFFFFF"/>
        </a:solidFill>
        <a:ln w="23940">
          <a:noFill/>
        </a:ln>
      </c:spPr>
    </c:title>
    <c:plotArea>
      <c:layout>
        <c:manualLayout>
          <c:layoutTarget val="inner"/>
          <c:xMode val="edge"/>
          <c:yMode val="edge"/>
          <c:x val="8.0632108486440368E-2"/>
          <c:y val="0.10622250985750208"/>
          <c:w val="0.88247863247864955"/>
          <c:h val="0.31059816153117847"/>
        </c:manualLayout>
      </c:layout>
      <c:lineChart>
        <c:grouping val="standard"/>
        <c:ser>
          <c:idx val="0"/>
          <c:order val="0"/>
          <c:tx>
            <c:strRef>
              <c:f>Sheet1!$A$2</c:f>
              <c:strCache>
                <c:ptCount val="1"/>
                <c:pt idx="0">
                  <c:v>  I полугодие 2014 года</c:v>
                </c:pt>
              </c:strCache>
            </c:strRef>
          </c:tx>
          <c:spPr>
            <a:ln w="22946">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1.6847701729591501E-2"/>
                  <c:y val="-2.8815338760621589E-2"/>
                </c:manualLayout>
              </c:layout>
              <c:dLblPos val="r"/>
              <c:showVal val="1"/>
            </c:dLbl>
            <c:dLbl>
              <c:idx val="1"/>
              <c:layout>
                <c:manualLayout>
                  <c:x val="1.0683760683760903E-2"/>
                  <c:y val="-5.6497175141242938E-2"/>
                </c:manualLayout>
              </c:layout>
              <c:dLblPos val="b"/>
              <c:showVal val="1"/>
            </c:dLbl>
            <c:dLbl>
              <c:idx val="2"/>
              <c:layout>
                <c:manualLayout>
                  <c:x val="-4.2735042735042583E-3"/>
                  <c:y val="-6.2146892655367263E-2"/>
                </c:manualLayout>
              </c:layout>
              <c:dLblPos val="b"/>
              <c:showVal val="1"/>
            </c:dLbl>
            <c:dLbl>
              <c:idx val="3"/>
              <c:layout>
                <c:manualLayout>
                  <c:x val="-5.8099973080288039E-2"/>
                  <c:y val="-6.5305396147517108E-4"/>
                </c:manualLayout>
              </c:layout>
              <c:dLblPos val="r"/>
              <c:showVal val="1"/>
            </c:dLbl>
            <c:dLbl>
              <c:idx val="4"/>
              <c:layout>
                <c:manualLayout>
                  <c:x val="-3.6444579043004251E-2"/>
                  <c:y val="-1.8680991147293029E-2"/>
                </c:manualLayout>
              </c:layout>
              <c:dLblPos val="r"/>
              <c:showVal val="1"/>
            </c:dLbl>
            <c:dLbl>
              <c:idx val="5"/>
              <c:layout>
                <c:manualLayout>
                  <c:x val="1.282051282051282E-2"/>
                  <c:y val="-5.0847457627118814E-2"/>
                </c:manualLayout>
              </c:layout>
              <c:dLblPos val="b"/>
              <c:showVal val="1"/>
            </c:dLbl>
            <c:dLbl>
              <c:idx val="6"/>
              <c:layout>
                <c:manualLayout>
                  <c:x val="-6.4102564102564534E-3"/>
                  <c:y val="-1.6281863072200987E-4"/>
                </c:manualLayout>
              </c:layout>
              <c:dLblPos val="r"/>
              <c:showVal val="1"/>
            </c:dLbl>
            <c:dLbl>
              <c:idx val="7"/>
              <c:layout>
                <c:manualLayout>
                  <c:x val="0"/>
                  <c:y val="-1.4124293785310786E-2"/>
                </c:manualLayout>
              </c:layout>
              <c:dLblPos val="b"/>
              <c:showVal val="1"/>
            </c:dLbl>
            <c:dLbl>
              <c:idx val="8"/>
              <c:layout>
                <c:manualLayout>
                  <c:x val="-3.9478935325392019E-2"/>
                  <c:y val="-1.4284888117798841E-2"/>
                </c:manualLayout>
              </c:layout>
              <c:dLblPos val="r"/>
              <c:showVal val="1"/>
            </c:dLbl>
            <c:dLbl>
              <c:idx val="9"/>
              <c:layout>
                <c:manualLayout>
                  <c:x val="-3.4451510868833815E-2"/>
                  <c:y val="2.1465367676498627E-2"/>
                </c:manualLayout>
              </c:layout>
              <c:dLblPos val="r"/>
              <c:showVal val="1"/>
            </c:dLbl>
            <c:dLbl>
              <c:idx val="10"/>
              <c:layout>
                <c:manualLayout>
                  <c:x val="-1.6824819974426778E-7"/>
                  <c:y val="-5.6497175141242938E-2"/>
                </c:manualLayout>
              </c:layout>
              <c:dLblPos val="b"/>
              <c:showVal val="1"/>
            </c:dLbl>
            <c:dLbl>
              <c:idx val="11"/>
              <c:layout>
                <c:manualLayout>
                  <c:x val="-6.4102564102564534E-3"/>
                  <c:y val="-8.4745762711867061E-3"/>
                </c:manualLayout>
              </c:layout>
              <c:dLblPos val="b"/>
              <c:showVal val="1"/>
            </c:dLbl>
            <c:dLbl>
              <c:idx val="12"/>
              <c:layout>
                <c:manualLayout>
                  <c:x val="-1.6824819974426778E-7"/>
                  <c:y val="-4.8022598870056499E-2"/>
                </c:manualLayout>
              </c:layout>
              <c:dLblPos val="b"/>
              <c:showVal val="1"/>
            </c:dLbl>
            <c:dLbl>
              <c:idx val="13"/>
              <c:layout>
                <c:manualLayout>
                  <c:x val="-4.6123224981492704E-2"/>
                  <c:y val="-2.8483028604475612E-2"/>
                </c:manualLayout>
              </c:layout>
              <c:dLblPos val="r"/>
              <c:showVal val="1"/>
            </c:dLbl>
            <c:dLbl>
              <c:idx val="14"/>
              <c:layout>
                <c:manualLayout>
                  <c:x val="-3.0490611750454272E-2"/>
                  <c:y val="-1.26727167578629E-2"/>
                </c:manualLayout>
              </c:layout>
              <c:dLblPos val="r"/>
              <c:showVal val="1"/>
            </c:dLbl>
            <c:dLbl>
              <c:idx val="15"/>
              <c:layout>
                <c:manualLayout>
                  <c:x val="-2.5641025641026174E-2"/>
                  <c:y val="-2.5423728813559452E-2"/>
                </c:manualLayout>
              </c:layout>
              <c:dLblPos val="b"/>
              <c:showVal val="1"/>
            </c:dLbl>
            <c:dLbl>
              <c:idx val="16"/>
              <c:layout>
                <c:manualLayout>
                  <c:x val="-4.1278013325257275E-2"/>
                  <c:y val="-1.3281952044130286E-2"/>
                </c:manualLayout>
              </c:layout>
              <c:dLblPos val="r"/>
              <c:showVal val="1"/>
            </c:dLbl>
            <c:dLbl>
              <c:idx val="17"/>
              <c:layout>
                <c:manualLayout>
                  <c:x val="-5.4680833165085117E-2"/>
                  <c:y val="-9.0422171804795479E-3"/>
                </c:manualLayout>
              </c:layout>
              <c:dLblPos val="r"/>
              <c:showVal val="1"/>
            </c:dLbl>
            <c:dLbl>
              <c:idx val="18"/>
              <c:layout>
                <c:manualLayout>
                  <c:x val="-5.5555555555555455E-2"/>
                  <c:y val="-7.7683615819210345E-3"/>
                </c:manualLayout>
              </c:layout>
              <c:dLblPos val="r"/>
              <c:showVal val="1"/>
            </c:dLbl>
            <c:txPr>
              <a:bodyPr/>
              <a:lstStyle/>
              <a:p>
                <a:pPr>
                  <a:defRPr sz="763">
                    <a:latin typeface="Times New Roman" pitchFamily="18" charset="0"/>
                    <a:cs typeface="Times New Roman" pitchFamily="18" charset="0"/>
                  </a:defRPr>
                </a:pPr>
                <a:endParaRPr lang="ru-RU"/>
              </a:p>
            </c:txPr>
            <c:dLblPos val="b"/>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Материально-тех. снабжение</c:v>
                </c:pt>
                <c:pt idx="8">
                  <c:v>Заготовки</c:v>
                </c:pt>
                <c:pt idx="9">
                  <c:v>Операции с недвиж. Имуществом</c:v>
                </c:pt>
                <c:pt idx="10">
                  <c:v>Общая комерческая деятельность</c:v>
                </c:pt>
                <c:pt idx="11">
                  <c:v>ЖКХ</c:v>
                </c:pt>
                <c:pt idx="12">
                  <c:v>Бытовое обслуживание</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Sheet1!$B$2:$T$2</c:f>
              <c:numCache>
                <c:formatCode>0</c:formatCode>
                <c:ptCount val="19"/>
                <c:pt idx="0" formatCode="General">
                  <c:v>5102</c:v>
                </c:pt>
                <c:pt idx="1">
                  <c:v>3288</c:v>
                </c:pt>
                <c:pt idx="2" formatCode="General">
                  <c:v>1927</c:v>
                </c:pt>
                <c:pt idx="3" formatCode="General">
                  <c:v>4300</c:v>
                </c:pt>
                <c:pt idx="4" formatCode="General">
                  <c:v>6781</c:v>
                </c:pt>
                <c:pt idx="5" formatCode="General">
                  <c:v>5006</c:v>
                </c:pt>
                <c:pt idx="6">
                  <c:v>4426</c:v>
                </c:pt>
                <c:pt idx="7">
                  <c:v>2387</c:v>
                </c:pt>
                <c:pt idx="8">
                  <c:v>5081</c:v>
                </c:pt>
                <c:pt idx="9">
                  <c:v>4235</c:v>
                </c:pt>
                <c:pt idx="10">
                  <c:v>4303</c:v>
                </c:pt>
                <c:pt idx="11">
                  <c:v>4080</c:v>
                </c:pt>
                <c:pt idx="12">
                  <c:v>3455</c:v>
                </c:pt>
                <c:pt idx="13">
                  <c:v>4317</c:v>
                </c:pt>
                <c:pt idx="14">
                  <c:v>5620</c:v>
                </c:pt>
                <c:pt idx="15">
                  <c:v>2699</c:v>
                </c:pt>
                <c:pt idx="16">
                  <c:v>10800</c:v>
                </c:pt>
                <c:pt idx="17">
                  <c:v>8308</c:v>
                </c:pt>
                <c:pt idx="18">
                  <c:v>5439</c:v>
                </c:pt>
              </c:numCache>
            </c:numRef>
          </c:val>
        </c:ser>
        <c:ser>
          <c:idx val="1"/>
          <c:order val="1"/>
          <c:tx>
            <c:strRef>
              <c:f>Sheet1!$A$3</c:f>
              <c:strCache>
                <c:ptCount val="1"/>
                <c:pt idx="0">
                  <c:v>   I полугодие 2015 года</c:v>
                </c:pt>
              </c:strCache>
            </c:strRef>
          </c:tx>
          <c:spPr>
            <a:ln w="22946">
              <a:solidFill>
                <a:srgbClr val="FF9900"/>
              </a:solidFill>
              <a:prstDash val="solid"/>
            </a:ln>
          </c:spPr>
          <c:marker>
            <c:symbol val="circle"/>
            <c:size val="2"/>
            <c:spPr>
              <a:solidFill>
                <a:srgbClr val="FF9900"/>
              </a:solidFill>
              <a:ln>
                <a:solidFill>
                  <a:srgbClr val="FF9900"/>
                </a:solidFill>
                <a:prstDash val="solid"/>
              </a:ln>
            </c:spPr>
          </c:marker>
          <c:dLbls>
            <c:dLbl>
              <c:idx val="0"/>
              <c:layout>
                <c:manualLayout>
                  <c:x val="-3.4035264822666812E-2"/>
                  <c:y val="-1.5569865207527402E-2"/>
                </c:manualLayout>
              </c:layout>
              <c:dLblPos val="r"/>
              <c:showVal val="1"/>
            </c:dLbl>
            <c:dLbl>
              <c:idx val="1"/>
              <c:layout>
                <c:manualLayout>
                  <c:x val="-4.3453126051551313E-2"/>
                  <c:y val="1.9578940344321366E-2"/>
                </c:manualLayout>
              </c:layout>
              <c:dLblPos val="r"/>
              <c:showVal val="1"/>
            </c:dLbl>
            <c:dLbl>
              <c:idx val="2"/>
              <c:layout>
                <c:manualLayout>
                  <c:x val="1.958666832003222E-17"/>
                  <c:y val="4.8022376440233112E-2"/>
                </c:manualLayout>
              </c:layout>
              <c:dLblPos val="t"/>
              <c:showVal val="1"/>
            </c:dLbl>
            <c:dLbl>
              <c:idx val="3"/>
              <c:layout>
                <c:manualLayout>
                  <c:x val="-1.8835049464970725E-2"/>
                  <c:y val="1.5429956848614267E-2"/>
                </c:manualLayout>
              </c:layout>
              <c:dLblPos val="r"/>
              <c:showVal val="1"/>
            </c:dLbl>
            <c:dLbl>
              <c:idx val="4"/>
              <c:layout>
                <c:manualLayout>
                  <c:x val="-3.0872030419275446E-2"/>
                  <c:y val="3.5613016593265469E-2"/>
                </c:manualLayout>
              </c:layout>
              <c:dLblPos val="r"/>
              <c:showVal val="1"/>
            </c:dLbl>
            <c:dLbl>
              <c:idx val="5"/>
              <c:layout>
                <c:manualLayout>
                  <c:x val="-3.4960461673060099E-2"/>
                  <c:y val="2.088949686373949E-2"/>
                </c:manualLayout>
              </c:layout>
              <c:dLblPos val="r"/>
              <c:showVal val="1"/>
            </c:dLbl>
            <c:dLbl>
              <c:idx val="6"/>
              <c:layout>
                <c:manualLayout>
                  <c:x val="-3.8901844000269296E-2"/>
                  <c:y val="2.0288713910761192E-2"/>
                </c:manualLayout>
              </c:layout>
              <c:dLblPos val="r"/>
              <c:showVal val="1"/>
            </c:dLbl>
            <c:dLbl>
              <c:idx val="7"/>
              <c:layout>
                <c:manualLayout>
                  <c:x val="-1.9230769230769607E-2"/>
                  <c:y val="8.474576271186654E-3"/>
                </c:manualLayout>
              </c:layout>
              <c:dLblPos val="t"/>
              <c:showVal val="1"/>
            </c:dLbl>
            <c:dLbl>
              <c:idx val="8"/>
              <c:layout>
                <c:manualLayout>
                  <c:x val="4.2735042735042739E-3"/>
                  <c:y val="5.3672316384180775E-2"/>
                </c:manualLayout>
              </c:layout>
              <c:dLblPos val="t"/>
              <c:showVal val="1"/>
            </c:dLbl>
            <c:dLbl>
              <c:idx val="9"/>
              <c:layout>
                <c:manualLayout>
                  <c:x val="-3.4602766000403802E-2"/>
                  <c:y val="-2.2188931891988027E-2"/>
                </c:manualLayout>
              </c:layout>
              <c:dLblPos val="r"/>
              <c:showVal val="1"/>
            </c:dLbl>
            <c:dLbl>
              <c:idx val="10"/>
              <c:layout>
                <c:manualLayout>
                  <c:x val="-4.2736725217041817E-3"/>
                  <c:y val="4.1962720761599716E-2"/>
                </c:manualLayout>
              </c:layout>
              <c:dLblPos val="t"/>
              <c:showVal val="1"/>
            </c:dLbl>
            <c:dLbl>
              <c:idx val="11"/>
              <c:layout>
                <c:manualLayout>
                  <c:x val="6.4102564102564534E-3"/>
                  <c:y val="1.6949152542372881E-2"/>
                </c:manualLayout>
              </c:layout>
              <c:dLblPos val="t"/>
              <c:showVal val="1"/>
            </c:dLbl>
            <c:dLbl>
              <c:idx val="12"/>
              <c:layout>
                <c:manualLayout>
                  <c:x val="-3.2036980954303802E-2"/>
                  <c:y val="1.2417812180257077E-2"/>
                </c:manualLayout>
              </c:layout>
              <c:dLblPos val="r"/>
              <c:showVal val="1"/>
            </c:dLbl>
            <c:dLbl>
              <c:idx val="13"/>
              <c:layout>
                <c:manualLayout>
                  <c:x val="2.136752136752137E-3"/>
                  <c:y val="5.0437297032787591E-2"/>
                </c:manualLayout>
              </c:layout>
              <c:dLblPos val="t"/>
              <c:showVal val="1"/>
            </c:dLbl>
            <c:dLbl>
              <c:idx val="14"/>
              <c:layout>
                <c:manualLayout>
                  <c:x val="-4.2735042735042739E-3"/>
                  <c:y val="6.7796610169493107E-2"/>
                </c:manualLayout>
              </c:layout>
              <c:dLblPos val="t"/>
              <c:showVal val="1"/>
            </c:dLbl>
            <c:dLbl>
              <c:idx val="15"/>
              <c:layout>
                <c:manualLayout>
                  <c:x val="-2.5592065414900059E-2"/>
                  <c:y val="1.8030606343698619E-2"/>
                </c:manualLayout>
              </c:layout>
              <c:dLblPos val="r"/>
              <c:showVal val="1"/>
            </c:dLbl>
            <c:dLbl>
              <c:idx val="16"/>
              <c:layout>
                <c:manualLayout>
                  <c:x val="-6.4102564102564534E-3"/>
                  <c:y val="8.4745762711867061E-3"/>
                </c:manualLayout>
              </c:layout>
              <c:dLblPos val="t"/>
              <c:showVal val="1"/>
            </c:dLbl>
            <c:dLbl>
              <c:idx val="17"/>
              <c:layout>
                <c:manualLayout>
                  <c:x val="-5.0789925297799313E-2"/>
                  <c:y val="3.1765203078429902E-3"/>
                </c:manualLayout>
              </c:layout>
              <c:dLblPos val="r"/>
              <c:showVal val="1"/>
            </c:dLbl>
            <c:dLbl>
              <c:idx val="18"/>
              <c:layout>
                <c:manualLayout>
                  <c:x val="-3.4188034188034191E-2"/>
                  <c:y val="-3.4193691890208593E-2"/>
                </c:manualLayout>
              </c:layout>
              <c:dLblPos val="r"/>
              <c:showVal val="1"/>
            </c:dLbl>
            <c:txPr>
              <a:bodyPr/>
              <a:lstStyle/>
              <a:p>
                <a:pPr>
                  <a:defRPr sz="763">
                    <a:latin typeface="Times New Roman" pitchFamily="18" charset="0"/>
                    <a:cs typeface="Times New Roman" pitchFamily="18" charset="0"/>
                  </a:defRPr>
                </a:pPr>
                <a:endParaRPr lang="ru-RU"/>
              </a:p>
            </c:txPr>
            <c:dLblPos val="t"/>
            <c:showVal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Материально-тех. снабжение</c:v>
                </c:pt>
                <c:pt idx="8">
                  <c:v>Заготовки</c:v>
                </c:pt>
                <c:pt idx="9">
                  <c:v>Операции с недвиж. Имуществом</c:v>
                </c:pt>
                <c:pt idx="10">
                  <c:v>Общая комерческая деятельность</c:v>
                </c:pt>
                <c:pt idx="11">
                  <c:v>ЖКХ</c:v>
                </c:pt>
                <c:pt idx="12">
                  <c:v>Бытовое обслуживание</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Sheet1!$B$3:$T$3</c:f>
              <c:numCache>
                <c:formatCode>0</c:formatCode>
                <c:ptCount val="19"/>
                <c:pt idx="0" formatCode="General">
                  <c:v>4918</c:v>
                </c:pt>
                <c:pt idx="1">
                  <c:v>3047</c:v>
                </c:pt>
                <c:pt idx="2" formatCode="General">
                  <c:v>1910</c:v>
                </c:pt>
                <c:pt idx="3" formatCode="General">
                  <c:v>3966</c:v>
                </c:pt>
                <c:pt idx="4" formatCode="General">
                  <c:v>6701</c:v>
                </c:pt>
                <c:pt idx="5" formatCode="General">
                  <c:v>4522</c:v>
                </c:pt>
                <c:pt idx="6">
                  <c:v>4178</c:v>
                </c:pt>
                <c:pt idx="7">
                  <c:v>0</c:v>
                </c:pt>
                <c:pt idx="8">
                  <c:v>4807</c:v>
                </c:pt>
                <c:pt idx="9">
                  <c:v>4664</c:v>
                </c:pt>
                <c:pt idx="10">
                  <c:v>4209</c:v>
                </c:pt>
                <c:pt idx="11">
                  <c:v>4174</c:v>
                </c:pt>
                <c:pt idx="12">
                  <c:v>2462</c:v>
                </c:pt>
                <c:pt idx="13">
                  <c:v>4223</c:v>
                </c:pt>
                <c:pt idx="14">
                  <c:v>5279</c:v>
                </c:pt>
                <c:pt idx="15">
                  <c:v>2582</c:v>
                </c:pt>
                <c:pt idx="16">
                  <c:v>5475</c:v>
                </c:pt>
                <c:pt idx="17">
                  <c:v>7687</c:v>
                </c:pt>
                <c:pt idx="18">
                  <c:v>5974</c:v>
                </c:pt>
              </c:numCache>
            </c:numRef>
          </c:val>
        </c:ser>
        <c:ser>
          <c:idx val="2"/>
          <c:order val="2"/>
          <c:tx>
            <c:strRef>
              <c:f>Sheet1!$A$4</c:f>
              <c:strCache>
                <c:ptCount val="1"/>
                <c:pt idx="0">
                  <c:v>средняя заработная плата в целом по республике за   I полугодие 2015 года</c:v>
                </c:pt>
              </c:strCache>
            </c:strRef>
          </c:tx>
          <c:spPr>
            <a:ln w="22946">
              <a:solidFill>
                <a:srgbClr val="008080"/>
              </a:solidFill>
              <a:prstDash val="solid"/>
            </a:ln>
          </c:spPr>
          <c:marker>
            <c:symbol val="triangle"/>
            <c:size val="2"/>
            <c:spPr>
              <a:solidFill>
                <a:srgbClr val="008080"/>
              </a:solidFill>
              <a:ln>
                <a:solidFill>
                  <a:srgbClr val="008080"/>
                </a:solidFill>
                <a:prstDash val="solid"/>
              </a:ln>
            </c:spPr>
          </c:marker>
          <c:dLbls>
            <c:delete val="1"/>
          </c:dLbls>
          <c:cat>
            <c:strRef>
              <c:f>Sheet1!$B$1:$T$1</c:f>
              <c:strCache>
                <c:ptCount val="19"/>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Материально-тех. снабжение</c:v>
                </c:pt>
                <c:pt idx="8">
                  <c:v>Заготовки</c:v>
                </c:pt>
                <c:pt idx="9">
                  <c:v>Операции с недвиж. Имуществом</c:v>
                </c:pt>
                <c:pt idx="10">
                  <c:v>Общая комерческая деятельность</c:v>
                </c:pt>
                <c:pt idx="11">
                  <c:v>ЖКХ</c:v>
                </c:pt>
                <c:pt idx="12">
                  <c:v>Бытовое обслуживание</c:v>
                </c:pt>
                <c:pt idx="13">
                  <c:v>Здравоохранение</c:v>
                </c:pt>
                <c:pt idx="14">
                  <c:v>Образование</c:v>
                </c:pt>
                <c:pt idx="15">
                  <c:v>Культура и искусство</c:v>
                </c:pt>
                <c:pt idx="16">
                  <c:v>Физкультура отдых и туризм</c:v>
                </c:pt>
                <c:pt idx="17">
                  <c:v>Банки и кредитование</c:v>
                </c:pt>
                <c:pt idx="18">
                  <c:v>Страхование</c:v>
                </c:pt>
              </c:strCache>
            </c:strRef>
          </c:cat>
          <c:val>
            <c:numRef>
              <c:f>Sheet1!$B$4:$T$4</c:f>
              <c:numCache>
                <c:formatCode>General</c:formatCode>
                <c:ptCount val="19"/>
                <c:pt idx="0">
                  <c:v>4827</c:v>
                </c:pt>
                <c:pt idx="1">
                  <c:v>4827</c:v>
                </c:pt>
                <c:pt idx="2">
                  <c:v>4827</c:v>
                </c:pt>
                <c:pt idx="3">
                  <c:v>4827</c:v>
                </c:pt>
                <c:pt idx="4">
                  <c:v>4827</c:v>
                </c:pt>
                <c:pt idx="5">
                  <c:v>4827</c:v>
                </c:pt>
                <c:pt idx="6">
                  <c:v>4827</c:v>
                </c:pt>
                <c:pt idx="7">
                  <c:v>4827</c:v>
                </c:pt>
                <c:pt idx="8">
                  <c:v>4827</c:v>
                </c:pt>
                <c:pt idx="9">
                  <c:v>4827</c:v>
                </c:pt>
                <c:pt idx="10">
                  <c:v>4827</c:v>
                </c:pt>
                <c:pt idx="11">
                  <c:v>4827</c:v>
                </c:pt>
                <c:pt idx="12">
                  <c:v>4827</c:v>
                </c:pt>
                <c:pt idx="13">
                  <c:v>4827</c:v>
                </c:pt>
                <c:pt idx="14">
                  <c:v>4827</c:v>
                </c:pt>
                <c:pt idx="15">
                  <c:v>4827</c:v>
                </c:pt>
                <c:pt idx="16">
                  <c:v>4827</c:v>
                </c:pt>
                <c:pt idx="17">
                  <c:v>4827</c:v>
                </c:pt>
                <c:pt idx="18">
                  <c:v>4827</c:v>
                </c:pt>
              </c:numCache>
            </c:numRef>
          </c:val>
        </c:ser>
        <c:dLbls>
          <c:showVal val="1"/>
        </c:dLbls>
        <c:marker val="1"/>
        <c:axId val="168049664"/>
        <c:axId val="168256640"/>
      </c:lineChart>
      <c:catAx>
        <c:axId val="168049664"/>
        <c:scaling>
          <c:orientation val="minMax"/>
        </c:scaling>
        <c:axPos val="b"/>
        <c:numFmt formatCode="General" sourceLinked="1"/>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68256640"/>
        <c:crosses val="autoZero"/>
        <c:auto val="1"/>
        <c:lblAlgn val="ctr"/>
        <c:lblOffset val="200"/>
        <c:tickLblSkip val="1"/>
        <c:tickMarkSkip val="1"/>
      </c:catAx>
      <c:valAx>
        <c:axId val="168256640"/>
        <c:scaling>
          <c:orientation val="minMax"/>
        </c:scaling>
        <c:axPos val="l"/>
        <c:numFmt formatCode="General" sourceLinked="0"/>
        <c:tickLblPos val="nextTo"/>
        <c:spPr>
          <a:ln w="2868">
            <a:solidFill>
              <a:srgbClr val="000000"/>
            </a:solidFill>
            <a:prstDash val="solid"/>
          </a:ln>
        </c:spPr>
        <c:txPr>
          <a:bodyPr rot="0" vert="horz"/>
          <a:lstStyle/>
          <a:p>
            <a:pPr>
              <a:defRPr sz="816" b="0" i="0" u="none" strike="noStrike" baseline="0">
                <a:solidFill>
                  <a:srgbClr val="000000"/>
                </a:solidFill>
                <a:latin typeface="Times New Roman"/>
                <a:ea typeface="Times New Roman"/>
                <a:cs typeface="Times New Roman"/>
              </a:defRPr>
            </a:pPr>
            <a:endParaRPr lang="ru-RU"/>
          </a:p>
        </c:txPr>
        <c:crossAx val="168049664"/>
        <c:crosses val="autoZero"/>
        <c:crossBetween val="between"/>
      </c:valAx>
      <c:spPr>
        <a:solidFill>
          <a:srgbClr val="FFFFFF"/>
        </a:solidFill>
        <a:ln w="2868">
          <a:solidFill>
            <a:srgbClr val="000000"/>
          </a:solidFill>
          <a:prstDash val="solid"/>
        </a:ln>
      </c:spPr>
    </c:plotArea>
    <c:legend>
      <c:legendPos val="r"/>
      <c:layout>
        <c:manualLayout>
          <c:xMode val="edge"/>
          <c:yMode val="edge"/>
          <c:x val="1.4099703883168448E-2"/>
          <c:y val="0.90773097921281398"/>
          <c:w val="0.95616090653341046"/>
          <c:h val="9.226902078718599E-2"/>
        </c:manualLayout>
      </c:layout>
      <c:spPr>
        <a:solidFill>
          <a:srgbClr val="FFFFFF"/>
        </a:solidFill>
        <a:ln w="2868">
          <a:no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title>
      <c:tx>
        <c:rich>
          <a:bodyPr/>
          <a:lstStyle/>
          <a:p>
            <a:pPr>
              <a:defRPr sz="1200"/>
            </a:pPr>
            <a:r>
              <a:rPr lang="ru-RU" sz="1200"/>
              <a:t>Динамика среднемесячной номинальной заработной платы в разрезе подотраслей промышленности, %</a:t>
            </a:r>
            <a:endParaRPr lang="ru-RU" sz="1200">
              <a:solidFill>
                <a:srgbClr val="FF0000"/>
              </a:solidFill>
            </a:endParaRPr>
          </a:p>
        </c:rich>
      </c:tx>
      <c:layout>
        <c:manualLayout>
          <c:xMode val="edge"/>
          <c:yMode val="edge"/>
          <c:x val="0.16765366114377317"/>
          <c:y val="0"/>
        </c:manualLayout>
      </c:layout>
      <c:spPr>
        <a:solidFill>
          <a:schemeClr val="bg1"/>
        </a:solidFill>
      </c:spPr>
    </c:title>
    <c:view3D>
      <c:rotX val="10"/>
      <c:rotY val="0"/>
      <c:perspective val="30"/>
    </c:view3D>
    <c:plotArea>
      <c:layout>
        <c:manualLayout>
          <c:layoutTarget val="inner"/>
          <c:xMode val="edge"/>
          <c:yMode val="edge"/>
          <c:x val="9.8163869051255764E-2"/>
          <c:y val="0.11311794090254847"/>
          <c:w val="0.89139381014873265"/>
          <c:h val="0.36235170603674538"/>
        </c:manualLayout>
      </c:layout>
      <c:bar3DChart>
        <c:barDir val="col"/>
        <c:grouping val="clustered"/>
        <c:ser>
          <c:idx val="0"/>
          <c:order val="0"/>
          <c:tx>
            <c:strRef>
              <c:f>Лист1!$B$1</c:f>
              <c:strCache>
                <c:ptCount val="1"/>
                <c:pt idx="0">
                  <c:v>I полугодие 2014 года</c:v>
                </c:pt>
              </c:strCache>
            </c:strRef>
          </c:tx>
          <c:dLbls>
            <c:delete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Лист1!$B$2:$B$12</c:f>
              <c:numCache>
                <c:formatCode>#,##0</c:formatCode>
                <c:ptCount val="11"/>
                <c:pt idx="0">
                  <c:v>5802</c:v>
                </c:pt>
                <c:pt idx="1">
                  <c:v>6928</c:v>
                </c:pt>
                <c:pt idx="2">
                  <c:v>4069</c:v>
                </c:pt>
                <c:pt idx="3">
                  <c:v>4773</c:v>
                </c:pt>
                <c:pt idx="4">
                  <c:v>4147</c:v>
                </c:pt>
                <c:pt idx="5">
                  <c:v>2777</c:v>
                </c:pt>
                <c:pt idx="6">
                  <c:v>4893</c:v>
                </c:pt>
                <c:pt idx="7">
                  <c:v>4268</c:v>
                </c:pt>
                <c:pt idx="8">
                  <c:v>4768</c:v>
                </c:pt>
                <c:pt idx="9">
                  <c:v>4614</c:v>
                </c:pt>
                <c:pt idx="10">
                  <c:v>3492</c:v>
                </c:pt>
              </c:numCache>
            </c:numRef>
          </c:val>
        </c:ser>
        <c:ser>
          <c:idx val="1"/>
          <c:order val="1"/>
          <c:tx>
            <c:strRef>
              <c:f>Лист1!$C$1</c:f>
              <c:strCache>
                <c:ptCount val="1"/>
                <c:pt idx="0">
                  <c:v>I полугодие 2015 года</c:v>
                </c:pt>
              </c:strCache>
            </c:strRef>
          </c:tx>
          <c:dLbls>
            <c:dLbl>
              <c:idx val="0"/>
              <c:layout>
                <c:manualLayout>
                  <c:x val="-3.0005086573480651E-3"/>
                  <c:y val="7.0127846922360508E-3"/>
                </c:manualLayout>
              </c:layout>
              <c:tx>
                <c:rich>
                  <a:bodyPr/>
                  <a:lstStyle/>
                  <a:p>
                    <a:r>
                      <a:rPr lang="ru-RU" sz="800" b="1"/>
                      <a:t>104,6*</a:t>
                    </a:r>
                    <a:endParaRPr lang="en-US" sz="800" b="1"/>
                  </a:p>
                </c:rich>
              </c:tx>
              <c:showVal val="1"/>
            </c:dLbl>
            <c:dLbl>
              <c:idx val="1"/>
              <c:layout>
                <c:manualLayout>
                  <c:x val="1.5105088608110504E-4"/>
                  <c:y val="-2.3187200609825326E-3"/>
                </c:manualLayout>
              </c:layout>
              <c:tx>
                <c:rich>
                  <a:bodyPr/>
                  <a:lstStyle/>
                  <a:p>
                    <a:r>
                      <a:rPr lang="ru-RU" sz="800" b="1"/>
                      <a:t>90,6*</a:t>
                    </a:r>
                    <a:endParaRPr lang="en-US" sz="800" b="1"/>
                  </a:p>
                </c:rich>
              </c:tx>
              <c:showVal val="1"/>
            </c:dLbl>
            <c:dLbl>
              <c:idx val="2"/>
              <c:layout>
                <c:manualLayout>
                  <c:x val="4.9498463854812189E-4"/>
                  <c:y val="-3.3633053932774692E-3"/>
                </c:manualLayout>
              </c:layout>
              <c:tx>
                <c:rich>
                  <a:bodyPr/>
                  <a:lstStyle/>
                  <a:p>
                    <a:r>
                      <a:rPr lang="ru-RU" sz="800" b="1"/>
                      <a:t>99,4*</a:t>
                    </a:r>
                    <a:endParaRPr lang="en-US" sz="800" b="1"/>
                  </a:p>
                </c:rich>
              </c:tx>
              <c:showVal val="1"/>
            </c:dLbl>
            <c:dLbl>
              <c:idx val="3"/>
              <c:layout>
                <c:manualLayout>
                  <c:x val="-1.8550936946835261E-3"/>
                  <c:y val="-1.2537465074930151E-3"/>
                </c:manualLayout>
              </c:layout>
              <c:tx>
                <c:rich>
                  <a:bodyPr/>
                  <a:lstStyle/>
                  <a:p>
                    <a:r>
                      <a:rPr lang="ru-RU" sz="800" b="1"/>
                      <a:t>102,0*</a:t>
                    </a:r>
                    <a:endParaRPr lang="en-US" sz="800" b="1"/>
                  </a:p>
                </c:rich>
              </c:tx>
              <c:showVal val="1"/>
            </c:dLbl>
            <c:dLbl>
              <c:idx val="4"/>
              <c:layout>
                <c:manualLayout>
                  <c:x val="-1.4877210116177341E-4"/>
                  <c:y val="-3.9888239776480006E-3"/>
                </c:manualLayout>
              </c:layout>
              <c:tx>
                <c:rich>
                  <a:bodyPr/>
                  <a:lstStyle/>
                  <a:p>
                    <a:r>
                      <a:rPr lang="ru-RU" sz="800" b="1"/>
                      <a:t>101,5*</a:t>
                    </a:r>
                    <a:endParaRPr lang="en-US" sz="800" b="1"/>
                  </a:p>
                </c:rich>
              </c:tx>
              <c:showVal val="1"/>
            </c:dLbl>
            <c:dLbl>
              <c:idx val="5"/>
              <c:layout>
                <c:manualLayout>
                  <c:x val="-3.8929784939673241E-3"/>
                  <c:y val="3.8946744560196208E-5"/>
                </c:manualLayout>
              </c:layout>
              <c:tx>
                <c:rich>
                  <a:bodyPr/>
                  <a:lstStyle/>
                  <a:p>
                    <a:r>
                      <a:rPr lang="ru-RU" sz="800" b="1"/>
                      <a:t>101,4*</a:t>
                    </a:r>
                    <a:endParaRPr lang="en-US" sz="800" b="1"/>
                  </a:p>
                </c:rich>
              </c:tx>
              <c:showVal val="1"/>
            </c:dLbl>
            <c:dLbl>
              <c:idx val="6"/>
              <c:layout>
                <c:manualLayout>
                  <c:x val="-1.5723615943355961E-3"/>
                  <c:y val="-1.6863040634772432E-2"/>
                </c:manualLayout>
              </c:layout>
              <c:tx>
                <c:rich>
                  <a:bodyPr/>
                  <a:lstStyle/>
                  <a:p>
                    <a:r>
                      <a:rPr lang="ru-RU" sz="800" b="1"/>
                      <a:t>84,6*</a:t>
                    </a:r>
                    <a:endParaRPr lang="en-US" sz="800" b="1"/>
                  </a:p>
                </c:rich>
              </c:tx>
              <c:showVal val="1"/>
            </c:dLbl>
            <c:dLbl>
              <c:idx val="7"/>
              <c:layout>
                <c:manualLayout>
                  <c:x val="-3.8347067081731501E-3"/>
                  <c:y val="-8.5881344039915684E-3"/>
                </c:manualLayout>
              </c:layout>
              <c:tx>
                <c:rich>
                  <a:bodyPr/>
                  <a:lstStyle/>
                  <a:p>
                    <a:r>
                      <a:rPr lang="ru-RU" sz="800" b="1"/>
                      <a:t>87,5*</a:t>
                    </a:r>
                    <a:endParaRPr lang="en-US" sz="800" b="1"/>
                  </a:p>
                </c:rich>
              </c:tx>
              <c:showVal val="1"/>
            </c:dLbl>
            <c:dLbl>
              <c:idx val="8"/>
              <c:layout>
                <c:manualLayout>
                  <c:x val="-8.1810006307351107E-3"/>
                  <c:y val="-5.6034579835937516E-3"/>
                </c:manualLayout>
              </c:layout>
              <c:tx>
                <c:rich>
                  <a:bodyPr/>
                  <a:lstStyle/>
                  <a:p>
                    <a:r>
                      <a:rPr lang="ru-RU" sz="800" b="1"/>
                      <a:t>91,0*</a:t>
                    </a:r>
                    <a:endParaRPr lang="en-US" sz="800" b="1"/>
                  </a:p>
                </c:rich>
              </c:tx>
              <c:showVal val="1"/>
            </c:dLbl>
            <c:dLbl>
              <c:idx val="9"/>
              <c:layout>
                <c:manualLayout>
                  <c:x val="-1.0513988077071754E-2"/>
                  <c:y val="-8.2895605791214987E-3"/>
                </c:manualLayout>
              </c:layout>
              <c:tx>
                <c:rich>
                  <a:bodyPr/>
                  <a:lstStyle/>
                  <a:p>
                    <a:r>
                      <a:rPr lang="ru-RU" sz="800" b="1"/>
                      <a:t>89,7*</a:t>
                    </a:r>
                    <a:endParaRPr lang="en-US" sz="800" b="1"/>
                  </a:p>
                </c:rich>
              </c:tx>
              <c:showVal val="1"/>
            </c:dLbl>
            <c:dLbl>
              <c:idx val="10"/>
              <c:layout>
                <c:manualLayout>
                  <c:x val="-1.1978758469144845E-2"/>
                  <c:y val="-2.5806451612903236E-2"/>
                </c:manualLayout>
              </c:layout>
              <c:tx>
                <c:rich>
                  <a:bodyPr/>
                  <a:lstStyle/>
                  <a:p>
                    <a:r>
                      <a:rPr lang="ru-RU" sz="800" b="1"/>
                      <a:t>133,6*</a:t>
                    </a:r>
                    <a:endParaRPr lang="en-US" sz="800" b="1"/>
                  </a:p>
                </c:rich>
              </c:tx>
              <c:showVal val="1"/>
            </c:dLbl>
            <c:txPr>
              <a:bodyPr/>
              <a:lstStyle/>
              <a:p>
                <a:pPr>
                  <a:defRPr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Лист1!$C$2:$C$12</c:f>
              <c:numCache>
                <c:formatCode>#,##0</c:formatCode>
                <c:ptCount val="11"/>
                <c:pt idx="0">
                  <c:v>6069</c:v>
                </c:pt>
                <c:pt idx="1">
                  <c:v>6274</c:v>
                </c:pt>
                <c:pt idx="2">
                  <c:v>4046</c:v>
                </c:pt>
                <c:pt idx="3">
                  <c:v>4870</c:v>
                </c:pt>
                <c:pt idx="4">
                  <c:v>4208</c:v>
                </c:pt>
                <c:pt idx="5">
                  <c:v>2817</c:v>
                </c:pt>
                <c:pt idx="6">
                  <c:v>4139</c:v>
                </c:pt>
                <c:pt idx="7">
                  <c:v>3736</c:v>
                </c:pt>
                <c:pt idx="8">
                  <c:v>4340</c:v>
                </c:pt>
                <c:pt idx="9">
                  <c:v>4138</c:v>
                </c:pt>
                <c:pt idx="10">
                  <c:v>4665</c:v>
                </c:pt>
              </c:numCache>
            </c:numRef>
          </c:val>
        </c:ser>
        <c:dLbls>
          <c:showVal val="1"/>
        </c:dLbls>
        <c:shape val="cylinder"/>
        <c:axId val="168093952"/>
        <c:axId val="168103936"/>
        <c:axId val="0"/>
      </c:bar3DChart>
      <c:catAx>
        <c:axId val="168093952"/>
        <c:scaling>
          <c:orientation val="minMax"/>
        </c:scaling>
        <c:axPos val="b"/>
        <c:tickLblPos val="nextTo"/>
        <c:txPr>
          <a:bodyPr rot="-5400000" vert="horz"/>
          <a:lstStyle/>
          <a:p>
            <a:pPr>
              <a:defRPr sz="900" b="0"/>
            </a:pPr>
            <a:endParaRPr lang="ru-RU"/>
          </a:p>
        </c:txPr>
        <c:crossAx val="168103936"/>
        <c:crosses val="autoZero"/>
        <c:auto val="1"/>
        <c:lblAlgn val="ctr"/>
        <c:lblOffset val="100"/>
      </c:catAx>
      <c:valAx>
        <c:axId val="168103936"/>
        <c:scaling>
          <c:orientation val="minMax"/>
        </c:scaling>
        <c:axPos val="l"/>
        <c:title>
          <c:tx>
            <c:rich>
              <a:bodyPr rot="0" vert="horz"/>
              <a:lstStyle/>
              <a:p>
                <a:pPr>
                  <a:defRPr sz="900"/>
                </a:pPr>
                <a:r>
                  <a:rPr lang="ru-RU" sz="900"/>
                  <a:t>* - темп роста </a:t>
                </a:r>
                <a:r>
                  <a:rPr lang="en-US" sz="900"/>
                  <a:t>I</a:t>
                </a:r>
                <a:r>
                  <a:rPr lang="ru-RU" sz="900"/>
                  <a:t> полуг.</a:t>
                </a:r>
              </a:p>
              <a:p>
                <a:pPr>
                  <a:defRPr sz="900"/>
                </a:pPr>
                <a:r>
                  <a:rPr lang="ru-RU" sz="900"/>
                  <a:t>2015г. к                         </a:t>
                </a:r>
                <a:r>
                  <a:rPr lang="en-US" sz="900"/>
                  <a:t>I</a:t>
                </a:r>
                <a:r>
                  <a:rPr lang="ru-RU" sz="900"/>
                  <a:t> полуг.2014г., %</a:t>
                </a:r>
              </a:p>
            </c:rich>
          </c:tx>
          <c:layout>
            <c:manualLayout>
              <c:xMode val="edge"/>
              <c:yMode val="edge"/>
              <c:x val="1.24031007751938E-2"/>
              <c:y val="0.8526621672290966"/>
            </c:manualLayout>
          </c:layout>
        </c:title>
        <c:numFmt formatCode="#,##0" sourceLinked="1"/>
        <c:tickLblPos val="nextTo"/>
        <c:crossAx val="168093952"/>
        <c:crosses val="autoZero"/>
        <c:crossBetween val="between"/>
        <c:majorUnit val="5000"/>
      </c:valAx>
      <c:dTable>
        <c:showHorzBorder val="1"/>
        <c:showVertBorder val="1"/>
        <c:showOutline val="1"/>
        <c:showKeys val="1"/>
      </c:dTable>
    </c:plotArea>
    <c:legend>
      <c:legendPos val="b"/>
      <c:layout>
        <c:manualLayout>
          <c:xMode val="edge"/>
          <c:yMode val="edge"/>
          <c:x val="0.36901324543734382"/>
          <c:y val="0.90789753553533081"/>
          <c:w val="0.52298488270361554"/>
          <c:h val="9.0280192248696225E-2"/>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оплаты труда в организациях бюджетного сектора,</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 руб. ПМР</a:t>
            </a:r>
            <a:endParaRPr lang="ru-RU" sz="1200">
              <a:solidFill>
                <a:srgbClr val="FF0000"/>
              </a:solidFill>
              <a:latin typeface="Times New Roman" pitchFamily="18" charset="0"/>
              <a:cs typeface="Times New Roman" pitchFamily="18" charset="0"/>
            </a:endParaRPr>
          </a:p>
        </c:rich>
      </c:tx>
      <c:layout>
        <c:manualLayout>
          <c:xMode val="edge"/>
          <c:yMode val="edge"/>
          <c:x val="0.17442713861394291"/>
          <c:y val="1.4262930737476431E-2"/>
        </c:manualLayout>
      </c:layout>
      <c:spPr>
        <a:solidFill>
          <a:schemeClr val="bg1"/>
        </a:solidFill>
      </c:spPr>
    </c:title>
    <c:plotArea>
      <c:layout>
        <c:manualLayout>
          <c:layoutTarget val="inner"/>
          <c:xMode val="edge"/>
          <c:yMode val="edge"/>
          <c:x val="9.7791490797194597E-2"/>
          <c:y val="0.1407428009446314"/>
          <c:w val="0.86877068266155988"/>
          <c:h val="0.4076382337649323"/>
        </c:manualLayout>
      </c:layout>
      <c:lineChart>
        <c:grouping val="standard"/>
        <c:ser>
          <c:idx val="0"/>
          <c:order val="0"/>
          <c:tx>
            <c:strRef>
              <c:f>Лист1!$B$1</c:f>
              <c:strCache>
                <c:ptCount val="1"/>
                <c:pt idx="0">
                  <c:v>I полугодие 2014 года</c:v>
                </c:pt>
              </c:strCache>
            </c:strRef>
          </c:tx>
          <c:dLbls>
            <c:dLbl>
              <c:idx val="0"/>
              <c:layout>
                <c:manualLayout>
                  <c:x val="4.1797283176593534E-3"/>
                  <c:y val="6.0453899109866914E-3"/>
                </c:manualLayout>
              </c:layout>
              <c:dLblPos val="t"/>
              <c:showVal val="1"/>
            </c:dLbl>
            <c:dLbl>
              <c:idx val="1"/>
              <c:layout>
                <c:manualLayout>
                  <c:x val="-2.0898641588296802E-3"/>
                  <c:y val="6.4416088800357124E-2"/>
                </c:manualLayout>
              </c:layout>
              <c:dLblPos val="t"/>
              <c:showVal val="1"/>
            </c:dLbl>
            <c:dLbl>
              <c:idx val="2"/>
              <c:layout>
                <c:manualLayout>
                  <c:x val="1.4466467553624756E-2"/>
                  <c:y val="7.2199399896015523E-2"/>
                </c:manualLayout>
              </c:layout>
              <c:dLblPos val="t"/>
              <c:showVal val="1"/>
            </c:dLbl>
            <c:dLbl>
              <c:idx val="3"/>
              <c:layout>
                <c:manualLayout>
                  <c:x val="-1.6455623297871992E-7"/>
                  <c:y val="7.0560452019869838E-2"/>
                </c:manualLayout>
              </c:layout>
              <c:dLblPos val="t"/>
              <c:showVal val="1"/>
            </c:dLbl>
            <c:dLbl>
              <c:idx val="4"/>
              <c:layout>
                <c:manualLayout>
                  <c:x val="-3.2160870173360517E-3"/>
                  <c:y val="7.310594528905838E-2"/>
                </c:manualLayout>
              </c:layout>
              <c:dLblPos val="t"/>
              <c:showVal val="1"/>
            </c:dLbl>
            <c:dLbl>
              <c:idx val="5"/>
              <c:layout>
                <c:manualLayout>
                  <c:x val="-5.6271649429401284E-3"/>
                  <c:y val="1.1737983826007431E-2"/>
                </c:manualLayout>
              </c:layout>
              <c:dLblPos val="t"/>
              <c:showVal val="1"/>
            </c:dLbl>
            <c:dLbl>
              <c:idx val="6"/>
              <c:layout>
                <c:manualLayout>
                  <c:x val="-1.0449320794148381E-2"/>
                  <c:y val="7.0529131352614514E-3"/>
                </c:manualLayout>
              </c:layout>
              <c:dLblPos val="t"/>
              <c:showVal val="1"/>
            </c:dLbl>
            <c:dLbl>
              <c:idx val="7"/>
              <c:layout>
                <c:manualLayout>
                  <c:x val="6.7494384518550134E-3"/>
                  <c:y val="6.9688735208814884E-2"/>
                </c:manualLayout>
              </c:layout>
              <c:dLblPos val="t"/>
              <c:showVal val="1"/>
            </c:dLbl>
            <c:dLbl>
              <c:idx val="8"/>
              <c:layout>
                <c:manualLayout>
                  <c:x val="-1.1575708208888017E-2"/>
                  <c:y val="6.5339422071047829E-2"/>
                </c:manualLayout>
              </c:layout>
              <c:dLblPos val="t"/>
              <c:showVal val="1"/>
            </c:dLbl>
            <c:dLbl>
              <c:idx val="9"/>
              <c:layout>
                <c:manualLayout>
                  <c:x val="2.0898641588296802E-3"/>
                  <c:y val="4.9621959546226413E-3"/>
                </c:manualLayout>
              </c:layout>
              <c:dLblPos val="t"/>
              <c:showVal val="1"/>
            </c:dLbl>
            <c:dLbl>
              <c:idx val="10"/>
              <c:layout>
                <c:manualLayout>
                  <c:x val="-2.0898641588296802E-3"/>
                  <c:y val="1.4523769254380422E-2"/>
                </c:manualLayout>
              </c:layout>
              <c:dLblPos val="t"/>
              <c:showVal val="1"/>
            </c:dLbl>
            <c:dLbl>
              <c:idx val="11"/>
              <c:layout>
                <c:manualLayout>
                  <c:x val="0"/>
                  <c:y val="1.4478416928193906E-2"/>
                </c:manualLayout>
              </c:layout>
              <c:dLblPos val="t"/>
              <c:showVal val="1"/>
            </c:dLbl>
            <c:dLbl>
              <c:idx val="12"/>
              <c:layout>
                <c:manualLayout>
                  <c:x val="-1.3665407811484401E-2"/>
                  <c:y val="2.1956288876778231E-2"/>
                </c:manualLayout>
              </c:layout>
              <c:dLblPos val="t"/>
              <c:showVal val="1"/>
            </c:dLbl>
            <c:dLbl>
              <c:idx val="13"/>
              <c:layout>
                <c:manualLayout>
                  <c:x val="1.0449320794148381E-2"/>
                  <c:y val="6.790381606099713E-2"/>
                </c:manualLayout>
              </c:layout>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Лист1!$B$2:$B$14</c:f>
              <c:numCache>
                <c:formatCode>#,##0</c:formatCode>
                <c:ptCount val="13"/>
                <c:pt idx="0">
                  <c:v>2378</c:v>
                </c:pt>
                <c:pt idx="1">
                  <c:v>1775</c:v>
                </c:pt>
                <c:pt idx="2">
                  <c:v>1982</c:v>
                </c:pt>
                <c:pt idx="3">
                  <c:v>2316</c:v>
                </c:pt>
                <c:pt idx="4">
                  <c:v>2040</c:v>
                </c:pt>
                <c:pt idx="5">
                  <c:v>2668</c:v>
                </c:pt>
                <c:pt idx="6">
                  <c:v>2677</c:v>
                </c:pt>
                <c:pt idx="7">
                  <c:v>3764</c:v>
                </c:pt>
                <c:pt idx="8">
                  <c:v>3118</c:v>
                </c:pt>
                <c:pt idx="9">
                  <c:v>2480</c:v>
                </c:pt>
                <c:pt idx="10">
                  <c:v>2476</c:v>
                </c:pt>
                <c:pt idx="11">
                  <c:v>2445</c:v>
                </c:pt>
                <c:pt idx="12">
                  <c:v>2970</c:v>
                </c:pt>
              </c:numCache>
            </c:numRef>
          </c:val>
        </c:ser>
        <c:ser>
          <c:idx val="1"/>
          <c:order val="1"/>
          <c:tx>
            <c:strRef>
              <c:f>Лист1!$C$1</c:f>
              <c:strCache>
                <c:ptCount val="1"/>
                <c:pt idx="0">
                  <c:v>I полугодие 2015 года</c:v>
                </c:pt>
              </c:strCache>
            </c:strRef>
          </c:tx>
          <c:dLbls>
            <c:dLbl>
              <c:idx val="0"/>
              <c:layout>
                <c:manualLayout>
                  <c:x val="0"/>
                  <c:y val="7.314478291645525E-2"/>
                </c:manualLayout>
              </c:layout>
              <c:dLblPos val="t"/>
              <c:showVal val="1"/>
            </c:dLbl>
            <c:dLbl>
              <c:idx val="1"/>
              <c:layout>
                <c:manualLayout>
                  <c:x val="3.2157579048700492E-3"/>
                  <c:y val="8.3794060348666068E-3"/>
                </c:manualLayout>
              </c:layout>
              <c:dLblPos val="t"/>
              <c:showVal val="1"/>
            </c:dLbl>
            <c:dLbl>
              <c:idx val="2"/>
              <c:layout>
                <c:manualLayout>
                  <c:x val="9.6364130032335299E-4"/>
                  <c:y val="1.5079773739499746E-2"/>
                </c:manualLayout>
              </c:layout>
              <c:dLblPos val="t"/>
              <c:showVal val="1"/>
            </c:dLbl>
            <c:dLbl>
              <c:idx val="3"/>
              <c:layout>
                <c:manualLayout>
                  <c:x val="2.4105842569052106E-3"/>
                  <c:y val="1.1561585828024521E-2"/>
                </c:manualLayout>
              </c:layout>
              <c:dLblPos val="t"/>
              <c:showVal val="1"/>
            </c:dLbl>
            <c:dLbl>
              <c:idx val="4"/>
              <c:layout>
                <c:manualLayout>
                  <c:x val="-3.8585145508849812E-3"/>
                  <c:y val="6.3811474639656821E-3"/>
                </c:manualLayout>
              </c:layout>
              <c:dLblPos val="t"/>
              <c:showVal val="1"/>
            </c:dLbl>
            <c:dLbl>
              <c:idx val="5"/>
              <c:layout>
                <c:manualLayout>
                  <c:x val="-1.7686503920552321E-3"/>
                  <c:y val="7.5967652014858528E-2"/>
                </c:manualLayout>
              </c:layout>
              <c:dLblPos val="t"/>
              <c:showVal val="1"/>
            </c:dLbl>
            <c:dLbl>
              <c:idx val="6"/>
              <c:layout>
                <c:manualLayout>
                  <c:x val="2.0898641588296802E-3"/>
                  <c:y val="7.6273091161934176E-2"/>
                </c:manualLayout>
              </c:layout>
              <c:dLblPos val="t"/>
              <c:showVal val="1"/>
            </c:dLbl>
            <c:dLbl>
              <c:idx val="7"/>
              <c:layout>
                <c:manualLayout>
                  <c:x val="-7.7170291017698575E-3"/>
                  <c:y val="9.1557827347955228E-2"/>
                </c:manualLayout>
              </c:layout>
              <c:dLblPos val="t"/>
              <c:showVal val="1"/>
            </c:dLbl>
            <c:dLbl>
              <c:idx val="8"/>
              <c:layout>
                <c:manualLayout>
                  <c:x val="7.2368540139379134E-3"/>
                  <c:y val="1.1065967589373522E-2"/>
                </c:manualLayout>
              </c:layout>
              <c:dLblPos val="t"/>
              <c:showVal val="1"/>
            </c:dLbl>
            <c:dLbl>
              <c:idx val="9"/>
              <c:layout>
                <c:manualLayout>
                  <c:x val="-5.3061157323986584E-3"/>
                  <c:y val="7.3166331535528248E-2"/>
                </c:manualLayout>
              </c:layout>
              <c:dLblPos val="t"/>
              <c:showVal val="1"/>
            </c:dLbl>
            <c:dLbl>
              <c:idx val="10"/>
              <c:layout>
                <c:manualLayout>
                  <c:x val="-2.411077925604127E-3"/>
                  <c:y val="6.9923765495900125E-2"/>
                </c:manualLayout>
              </c:layout>
              <c:dLblPos val="t"/>
              <c:showVal val="1"/>
            </c:dLbl>
            <c:dLbl>
              <c:idx val="11"/>
              <c:layout>
                <c:manualLayout>
                  <c:x val="-1.4474366252807741E-3"/>
                  <c:y val="6.9618075783486486E-2"/>
                </c:manualLayout>
              </c:layout>
              <c:dLblPos val="t"/>
              <c:showVal val="1"/>
            </c:dLbl>
            <c:dLbl>
              <c:idx val="12"/>
              <c:layout>
                <c:manualLayout>
                  <c:x val="-3.5373007841105206E-3"/>
                  <c:y val="7.5250283452038824E-2"/>
                </c:manualLayout>
              </c:layout>
              <c:dLblPos val="t"/>
              <c:showVal val="1"/>
            </c:dLbl>
            <c:dLbl>
              <c:idx val="13"/>
              <c:layout>
                <c:manualLayout>
                  <c:x val="1.2539184952978056E-2"/>
                  <c:y val="9.5011876484560574E-3"/>
                </c:manualLayout>
              </c:layout>
              <c:dLblPos val="t"/>
              <c:showVal val="1"/>
            </c:dLbl>
            <c:txPr>
              <a:bodyPr/>
              <a:lstStyle/>
              <a:p>
                <a:pPr>
                  <a:defRPr sz="800" b="1">
                    <a:latin typeface="Times New Roman" pitchFamily="18" charset="0"/>
                    <a:cs typeface="Times New Roman" pitchFamily="18" charset="0"/>
                  </a:defRPr>
                </a:pPr>
                <a:endParaRPr lang="ru-RU"/>
              </a:p>
            </c:txPr>
            <c:dLblPos val="t"/>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Лист1!$C$2:$C$14</c:f>
              <c:numCache>
                <c:formatCode>#,##0</c:formatCode>
                <c:ptCount val="13"/>
                <c:pt idx="0">
                  <c:v>2160</c:v>
                </c:pt>
                <c:pt idx="1">
                  <c:v>1775</c:v>
                </c:pt>
                <c:pt idx="2">
                  <c:v>1988</c:v>
                </c:pt>
                <c:pt idx="3">
                  <c:v>2349</c:v>
                </c:pt>
                <c:pt idx="4">
                  <c:v>2060</c:v>
                </c:pt>
                <c:pt idx="5">
                  <c:v>2617</c:v>
                </c:pt>
                <c:pt idx="6">
                  <c:v>2659</c:v>
                </c:pt>
                <c:pt idx="7">
                  <c:v>3715</c:v>
                </c:pt>
                <c:pt idx="8">
                  <c:v>3180</c:v>
                </c:pt>
                <c:pt idx="9">
                  <c:v>2462</c:v>
                </c:pt>
                <c:pt idx="10">
                  <c:v>2378</c:v>
                </c:pt>
                <c:pt idx="11">
                  <c:v>2329</c:v>
                </c:pt>
                <c:pt idx="12">
                  <c:v>2882</c:v>
                </c:pt>
              </c:numCache>
            </c:numRef>
          </c:val>
        </c:ser>
        <c:ser>
          <c:idx val="2"/>
          <c:order val="2"/>
          <c:tx>
            <c:strRef>
              <c:f>Лист1!$D$1</c:f>
              <c:strCache>
                <c:ptCount val="1"/>
                <c:pt idx="0">
                  <c:v>Средняя по республике</c:v>
                </c:pt>
              </c:strCache>
            </c:strRef>
          </c:tx>
          <c:dLbls>
            <c:delete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Лист1!$D$2:$D$14</c:f>
              <c:numCache>
                <c:formatCode>#,##0</c:formatCode>
                <c:ptCount val="13"/>
                <c:pt idx="0">
                  <c:v>3839</c:v>
                </c:pt>
                <c:pt idx="1">
                  <c:v>3839</c:v>
                </c:pt>
                <c:pt idx="2">
                  <c:v>3839</c:v>
                </c:pt>
                <c:pt idx="3">
                  <c:v>3839</c:v>
                </c:pt>
                <c:pt idx="4">
                  <c:v>3839</c:v>
                </c:pt>
                <c:pt idx="5">
                  <c:v>3839</c:v>
                </c:pt>
                <c:pt idx="6">
                  <c:v>3839</c:v>
                </c:pt>
                <c:pt idx="7">
                  <c:v>3839</c:v>
                </c:pt>
                <c:pt idx="8">
                  <c:v>3839</c:v>
                </c:pt>
                <c:pt idx="9">
                  <c:v>3839</c:v>
                </c:pt>
                <c:pt idx="10">
                  <c:v>3839</c:v>
                </c:pt>
                <c:pt idx="11">
                  <c:v>3839</c:v>
                </c:pt>
                <c:pt idx="12">
                  <c:v>3839</c:v>
                </c:pt>
              </c:numCache>
            </c:numRef>
          </c:val>
        </c:ser>
        <c:dLbls>
          <c:showVal val="1"/>
        </c:dLbls>
        <c:marker val="1"/>
        <c:axId val="172793856"/>
        <c:axId val="172795392"/>
      </c:lineChart>
      <c:catAx>
        <c:axId val="172793856"/>
        <c:scaling>
          <c:orientation val="minMax"/>
        </c:scaling>
        <c:axPos val="b"/>
        <c:numFmt formatCode="General" sourceLinked="1"/>
        <c:tickLblPos val="nextTo"/>
        <c:txPr>
          <a:bodyPr rot="-5400000" vert="horz"/>
          <a:lstStyle/>
          <a:p>
            <a:pPr>
              <a:defRPr b="0" i="0">
                <a:latin typeface="Times New Roman" pitchFamily="18" charset="0"/>
                <a:cs typeface="Times New Roman" pitchFamily="18" charset="0"/>
              </a:defRPr>
            </a:pPr>
            <a:endParaRPr lang="ru-RU"/>
          </a:p>
        </c:txPr>
        <c:crossAx val="172795392"/>
        <c:crosses val="autoZero"/>
        <c:auto val="1"/>
        <c:lblAlgn val="ctr"/>
        <c:lblOffset val="100"/>
      </c:catAx>
      <c:valAx>
        <c:axId val="172795392"/>
        <c:scaling>
          <c:orientation val="minMax"/>
        </c:scaling>
        <c:axPos val="l"/>
        <c:numFmt formatCode="#,##0" sourceLinked="1"/>
        <c:tickLblPos val="nextTo"/>
        <c:txPr>
          <a:bodyPr/>
          <a:lstStyle/>
          <a:p>
            <a:pPr>
              <a:defRPr b="1">
                <a:latin typeface="Times New Roman" pitchFamily="18" charset="0"/>
                <a:cs typeface="Times New Roman" pitchFamily="18" charset="0"/>
              </a:defRPr>
            </a:pPr>
            <a:endParaRPr lang="ru-RU"/>
          </a:p>
        </c:txPr>
        <c:crossAx val="172793856"/>
        <c:crosses val="autoZero"/>
        <c:crossBetween val="between"/>
      </c:valAx>
      <c:spPr>
        <a:noFill/>
        <a:ln w="25400">
          <a:noFill/>
        </a:ln>
      </c:spPr>
    </c:plotArea>
    <c:legend>
      <c:legendPos val="b"/>
      <c:layout>
        <c:manualLayout>
          <c:xMode val="edge"/>
          <c:yMode val="edge"/>
          <c:x val="5.2089781880714024E-2"/>
          <c:y val="0.94601695074511849"/>
          <c:w val="0.9"/>
          <c:h val="5.3983049254881323E-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средней назначенной пенсии и величины прожиточного минимума пенсионера</a:t>
            </a:r>
            <a:endParaRPr lang="ru-RU" sz="1200" b="0">
              <a:solidFill>
                <a:srgbClr val="FF0000"/>
              </a:solidFill>
              <a:latin typeface="Times New Roman" pitchFamily="18" charset="0"/>
              <a:cs typeface="Times New Roman" pitchFamily="18" charset="0"/>
            </a:endParaRPr>
          </a:p>
        </c:rich>
      </c:tx>
      <c:layout>
        <c:manualLayout>
          <c:xMode val="edge"/>
          <c:yMode val="edge"/>
          <c:x val="0.14581059390048154"/>
          <c:y val="0"/>
        </c:manualLayout>
      </c:layout>
      <c:spPr>
        <a:noFill/>
      </c:spPr>
    </c:title>
    <c:plotArea>
      <c:layout/>
      <c:barChart>
        <c:barDir val="col"/>
        <c:grouping val="clustered"/>
        <c:ser>
          <c:idx val="0"/>
          <c:order val="0"/>
          <c:tx>
            <c:strRef>
              <c:f>Лист1!$B$1</c:f>
              <c:strCache>
                <c:ptCount val="1"/>
                <c:pt idx="0">
                  <c:v>Средний размер назначенных пенсий, руб. ПМР</c:v>
                </c:pt>
              </c:strCache>
            </c:strRef>
          </c:tx>
          <c:dLbls>
            <c:dLbl>
              <c:idx val="0"/>
              <c:layout>
                <c:manualLayout>
                  <c:x val="2.3148148148148147E-3"/>
                  <c:y val="-1.1904761904761921E-2"/>
                </c:manualLayout>
              </c:layout>
              <c:tx>
                <c:rich>
                  <a:bodyPr/>
                  <a:lstStyle/>
                  <a:p>
                    <a:r>
                      <a:rPr lang="ru-RU" b="1">
                        <a:latin typeface="Times New Roman" pitchFamily="18" charset="0"/>
                        <a:cs typeface="Times New Roman" pitchFamily="18" charset="0"/>
                      </a:rPr>
                      <a:t>+7,8</a:t>
                    </a:r>
                    <a:r>
                      <a:rPr lang="ru-RU"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Val val="1"/>
            </c:dLbl>
            <c:dLbl>
              <c:idx val="1"/>
              <c:tx>
                <c:rich>
                  <a:bodyPr/>
                  <a:lstStyle/>
                  <a:p>
                    <a:r>
                      <a:rPr lang="ru-RU" b="1">
                        <a:latin typeface="Times New Roman" pitchFamily="18" charset="0"/>
                        <a:cs typeface="Times New Roman" pitchFamily="18" charset="0"/>
                      </a:rPr>
                      <a:t>-0,1%*</a:t>
                    </a:r>
                    <a:endParaRPr lang="en-US" b="1">
                      <a:latin typeface="Times New Roman" pitchFamily="18" charset="0"/>
                      <a:cs typeface="Times New Roman" pitchFamily="18" charset="0"/>
                    </a:endParaRP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Лист1!$B$2:$B$3</c:f>
              <c:numCache>
                <c:formatCode>#,##0.00</c:formatCode>
                <c:ptCount val="2"/>
                <c:pt idx="0">
                  <c:v>1347.85</c:v>
                </c:pt>
                <c:pt idx="1">
                  <c:v>1347.03</c:v>
                </c:pt>
              </c:numCache>
            </c:numRef>
          </c:val>
        </c:ser>
        <c:ser>
          <c:idx val="1"/>
          <c:order val="1"/>
          <c:tx>
            <c:strRef>
              <c:f>Лист1!$C$1</c:f>
              <c:strCache>
                <c:ptCount val="1"/>
                <c:pt idx="0">
                  <c:v>Прожиточный минимум пенсионера, руб. ПМР</c:v>
                </c:pt>
              </c:strCache>
            </c:strRef>
          </c:tx>
          <c:dLbls>
            <c:dLbl>
              <c:idx val="0"/>
              <c:layout>
                <c:manualLayout>
                  <c:x val="6.944444444444516E-3"/>
                  <c:y val="0"/>
                </c:manualLayout>
              </c:layout>
              <c:tx>
                <c:rich>
                  <a:bodyPr/>
                  <a:lstStyle/>
                  <a:p>
                    <a:r>
                      <a:rPr lang="ru-RU"/>
                      <a:t>+10,3%*</a:t>
                    </a:r>
                    <a:endParaRPr lang="en-US"/>
                  </a:p>
                </c:rich>
              </c:tx>
              <c:showVal val="1"/>
            </c:dLbl>
            <c:dLbl>
              <c:idx val="1"/>
              <c:tx>
                <c:rich>
                  <a:bodyPr/>
                  <a:lstStyle/>
                  <a:p>
                    <a:r>
                      <a:rPr lang="ru-RU"/>
                      <a:t>-0,2%*</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I полугодие 2014 года</c:v>
                </c:pt>
                <c:pt idx="1">
                  <c:v>I полугодие 2015 года</c:v>
                </c:pt>
              </c:strCache>
            </c:strRef>
          </c:cat>
          <c:val>
            <c:numRef>
              <c:f>Лист1!$C$2:$C$3</c:f>
              <c:numCache>
                <c:formatCode>#,##0.00</c:formatCode>
                <c:ptCount val="2"/>
                <c:pt idx="0">
                  <c:v>1112.76</c:v>
                </c:pt>
                <c:pt idx="1">
                  <c:v>1110.53</c:v>
                </c:pt>
              </c:numCache>
            </c:numRef>
          </c:val>
        </c:ser>
        <c:axId val="168532608"/>
        <c:axId val="173482368"/>
      </c:barChart>
      <c:catAx>
        <c:axId val="168532608"/>
        <c:scaling>
          <c:orientation val="minMax"/>
        </c:scaling>
        <c:axPos val="b"/>
        <c:numFmt formatCode="#,##0.00" sourceLinked="1"/>
        <c:tickLblPos val="nextTo"/>
        <c:crossAx val="173482368"/>
        <c:crosses val="autoZero"/>
        <c:auto val="1"/>
        <c:lblAlgn val="ctr"/>
        <c:lblOffset val="100"/>
      </c:catAx>
      <c:valAx>
        <c:axId val="173482368"/>
        <c:scaling>
          <c:orientation val="minMax"/>
          <c:max val="1500"/>
          <c:min val="0"/>
        </c:scaling>
        <c:axPos val="l"/>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baseline="0">
                    <a:latin typeface="Times New Roman" pitchFamily="18" charset="0"/>
                    <a:cs typeface="Times New Roman" pitchFamily="18" charset="0"/>
                  </a:rPr>
                  <a:t> темп прироста</a:t>
                </a:r>
                <a:endParaRPr lang="ru-RU">
                  <a:latin typeface="Times New Roman" pitchFamily="18" charset="0"/>
                  <a:cs typeface="Times New Roman" pitchFamily="18" charset="0"/>
                </a:endParaRPr>
              </a:p>
            </c:rich>
          </c:tx>
          <c:layout>
            <c:manualLayout>
              <c:xMode val="edge"/>
              <c:yMode val="edge"/>
              <c:x val="3.9351851851851853E-2"/>
              <c:y val="0.50191326830414851"/>
            </c:manualLayout>
          </c:layout>
        </c:title>
        <c:numFmt formatCode="#,##0.00" sourceLinked="1"/>
        <c:tickLblPos val="nextTo"/>
        <c:txPr>
          <a:bodyPr/>
          <a:lstStyle/>
          <a:p>
            <a:pPr>
              <a:defRPr b="1">
                <a:latin typeface="Times New Roman" pitchFamily="18" charset="0"/>
                <a:cs typeface="Times New Roman" pitchFamily="18" charset="0"/>
              </a:defRPr>
            </a:pPr>
            <a:endParaRPr lang="ru-RU"/>
          </a:p>
        </c:txPr>
        <c:crossAx val="168532608"/>
        <c:crosses val="autoZero"/>
        <c:crossBetween val="between"/>
        <c:majorUnit val="3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I</a:t>
            </a:r>
            <a:r>
              <a:rPr lang="ru-RU" sz="1100">
                <a:latin typeface="Times New Roman" pitchFamily="18" charset="0"/>
                <a:cs typeface="Times New Roman" pitchFamily="18" charset="0"/>
              </a:rPr>
              <a:t> полугодие 2014 года</a:t>
            </a:r>
          </a:p>
        </c:rich>
      </c:tx>
      <c:layout>
        <c:manualLayout>
          <c:xMode val="edge"/>
          <c:yMode val="edge"/>
          <c:x val="2.8904428904429152E-3"/>
          <c:y val="2.8027509219575412E-3"/>
        </c:manualLayout>
      </c:layout>
    </c:title>
    <c:view3D>
      <c:rotX val="30"/>
      <c:perspective val="30"/>
    </c:view3D>
    <c:plotArea>
      <c:layout>
        <c:manualLayout>
          <c:layoutTarget val="inner"/>
          <c:xMode val="edge"/>
          <c:yMode val="edge"/>
          <c:x val="5.7821614403462722E-2"/>
          <c:y val="0.24950576749861986"/>
          <c:w val="0.94217838559653733"/>
          <c:h val="0.45052503123456838"/>
        </c:manualLayout>
      </c:layout>
      <c:pie3DChart>
        <c:varyColors val="1"/>
        <c:ser>
          <c:idx val="0"/>
          <c:order val="0"/>
          <c:tx>
            <c:strRef>
              <c:f>Лист1!$B$1</c:f>
              <c:strCache>
                <c:ptCount val="1"/>
                <c:pt idx="0">
                  <c:v>I полугодие 2014 года</c:v>
                </c:pt>
              </c:strCache>
            </c:strRef>
          </c:tx>
          <c:explosion val="25"/>
          <c:dPt>
            <c:idx val="0"/>
            <c:explosion val="3"/>
            <c:spPr>
              <a:blipFill>
                <a:blip xmlns:r="http://schemas.openxmlformats.org/officeDocument/2006/relationships" r:embed="rId2"/>
                <a:tile tx="0" ty="0" sx="100000" sy="100000" flip="none" algn="tl"/>
              </a:blipFill>
            </c:spPr>
          </c:dPt>
          <c:dPt>
            <c:idx val="1"/>
            <c:explosion val="2"/>
            <c:spPr>
              <a:blipFill>
                <a:blip xmlns:r="http://schemas.openxmlformats.org/officeDocument/2006/relationships" r:embed="rId3"/>
                <a:tile tx="0" ty="0" sx="100000" sy="100000" flip="none" algn="tl"/>
              </a:blipFill>
            </c:spPr>
          </c:dPt>
          <c:dPt>
            <c:idx val="2"/>
            <c:explosion val="14"/>
            <c:spPr>
              <a:blipFill>
                <a:blip xmlns:r="http://schemas.openxmlformats.org/officeDocument/2006/relationships" r:embed="rId4"/>
                <a:tile tx="0" ty="0" sx="100000" sy="100000" flip="none" algn="tl"/>
              </a:blipFill>
            </c:spPr>
          </c:dPt>
          <c:dLbls>
            <c:dLbl>
              <c:idx val="0"/>
              <c:layout>
                <c:manualLayout>
                  <c:x val="2.783404705990835E-2"/>
                  <c:y val="-8.0648904126836743E-2"/>
                </c:manualLayout>
              </c:layout>
              <c:tx>
                <c:rich>
                  <a:bodyPr/>
                  <a:lstStyle/>
                  <a:p>
                    <a:r>
                      <a:rPr lang="ru-RU" b="1"/>
                      <a:t>667,4;</a:t>
                    </a:r>
                  </a:p>
                  <a:p>
                    <a:r>
                      <a:rPr lang="ru-RU" b="1"/>
                      <a:t>50,2%</a:t>
                    </a:r>
                    <a:endParaRPr lang="en-US" b="1"/>
                  </a:p>
                </c:rich>
              </c:tx>
              <c:dLblPos val="bestFit"/>
            </c:dLbl>
            <c:dLbl>
              <c:idx val="1"/>
              <c:layout>
                <c:manualLayout>
                  <c:x val="-7.84703485490887E-2"/>
                  <c:y val="-1.1483880970574879E-2"/>
                </c:manualLayout>
              </c:layout>
              <c:tx>
                <c:rich>
                  <a:bodyPr/>
                  <a:lstStyle/>
                  <a:p>
                    <a:r>
                      <a:rPr lang="ru-RU" b="1"/>
                      <a:t>253,9;</a:t>
                    </a:r>
                  </a:p>
                  <a:p>
                    <a:r>
                      <a:rPr lang="ru-RU" b="1"/>
                      <a:t>19,1%</a:t>
                    </a:r>
                    <a:endParaRPr lang="en-US" b="1"/>
                  </a:p>
                </c:rich>
              </c:tx>
              <c:dLblPos val="bestFit"/>
            </c:dLbl>
            <c:dLbl>
              <c:idx val="2"/>
              <c:layout>
                <c:manualLayout>
                  <c:x val="-0.11444840447575633"/>
                  <c:y val="-2.8731150303629042E-2"/>
                </c:manualLayout>
              </c:layout>
              <c:tx>
                <c:rich>
                  <a:bodyPr/>
                  <a:lstStyle/>
                  <a:p>
                    <a:r>
                      <a:rPr lang="ru-RU" b="1"/>
                      <a:t>384,3;</a:t>
                    </a:r>
                  </a:p>
                  <a:p>
                    <a:r>
                      <a:rPr lang="ru-RU" b="1"/>
                      <a:t>28,9%</a:t>
                    </a:r>
                    <a:endParaRPr lang="en-US" b="1"/>
                  </a:p>
                </c:rich>
              </c:tx>
              <c:dLblPos val="bestFit"/>
            </c:dLbl>
            <c:dLbl>
              <c:idx val="3"/>
              <c:layout>
                <c:manualLayout>
                  <c:x val="-7.668978219827785E-2"/>
                  <c:y val="9.9137054362671267E-3"/>
                </c:manualLayout>
              </c:layout>
              <c:tx>
                <c:rich>
                  <a:bodyPr/>
                  <a:lstStyle/>
                  <a:p>
                    <a:r>
                      <a:rPr lang="ru-RU" b="1"/>
                      <a:t>24,8;</a:t>
                    </a:r>
                  </a:p>
                  <a:p>
                    <a:r>
                      <a:rPr lang="en-US" b="1"/>
                      <a:t>1,9</a:t>
                    </a:r>
                    <a:r>
                      <a:rPr lang="ru-RU" b="1"/>
                      <a:t>%</a:t>
                    </a:r>
                    <a:endParaRPr lang="en-US" b="1"/>
                  </a:p>
                </c:rich>
              </c:tx>
              <c:dLblPos val="bestFit"/>
            </c:dLbl>
            <c:txPr>
              <a:bodyPr/>
              <a:lstStyle/>
              <a:p>
                <a:pPr>
                  <a:defRPr b="1">
                    <a:latin typeface="Times New Roman" pitchFamily="18" charset="0"/>
                    <a:cs typeface="Times New Roman" pitchFamily="18" charset="0"/>
                  </a:defRPr>
                </a:pPr>
                <a:endParaRPr lang="ru-RU"/>
              </a:p>
            </c:txPr>
            <c:showVal val="1"/>
            <c:showLeaderLines val="1"/>
          </c:dLbls>
          <c:cat>
            <c:strRef>
              <c:f>Лист1!$A$2:$A$5</c:f>
              <c:strCache>
                <c:ptCount val="4"/>
                <c:pt idx="0">
                  <c:v>Питание</c:v>
                </c:pt>
                <c:pt idx="1">
                  <c:v>Непродовольственные товары</c:v>
                </c:pt>
                <c:pt idx="2">
                  <c:v>Услуги</c:v>
                </c:pt>
                <c:pt idx="3">
                  <c:v>Обязательные платежи и сборы</c:v>
                </c:pt>
              </c:strCache>
            </c:strRef>
          </c:cat>
          <c:val>
            <c:numRef>
              <c:f>Лист1!$B$2:$B$5</c:f>
              <c:numCache>
                <c:formatCode>#,##0.0</c:formatCode>
                <c:ptCount val="4"/>
                <c:pt idx="0">
                  <c:v>50.2</c:v>
                </c:pt>
                <c:pt idx="1">
                  <c:v>19.100000000000001</c:v>
                </c:pt>
                <c:pt idx="2">
                  <c:v>28.9</c:v>
                </c:pt>
                <c:pt idx="3">
                  <c:v>1.9000000000000001</c:v>
                </c:pt>
              </c:numCache>
            </c:numRef>
          </c:val>
        </c:ser>
      </c:pie3DChart>
      <c:spPr>
        <a:noFill/>
        <a:ln w="25395">
          <a:noFill/>
        </a:ln>
      </c:spPr>
    </c:plotArea>
    <c:legend>
      <c:legendPos val="b"/>
      <c:layout>
        <c:manualLayout>
          <c:xMode val="edge"/>
          <c:yMode val="edge"/>
          <c:x val="7.6403722261989979E-2"/>
          <c:y val="0.74732295026998274"/>
          <c:w val="0.91736845621570062"/>
          <c:h val="0.22315723750390226"/>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5"/>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97">
                <a:latin typeface="Times New Roman" pitchFamily="18" charset="0"/>
                <a:cs typeface="Times New Roman" pitchFamily="18" charset="0"/>
              </a:defRPr>
            </a:pPr>
            <a:r>
              <a:rPr lang="ru-RU" sz="1197">
                <a:latin typeface="Times New Roman" pitchFamily="18" charset="0"/>
                <a:cs typeface="Times New Roman" pitchFamily="18" charset="0"/>
              </a:rPr>
              <a:t>Импорт товаров в разрезе стран, млн. долл. США</a:t>
            </a:r>
          </a:p>
        </c:rich>
      </c:tx>
      <c:layout>
        <c:manualLayout>
          <c:xMode val="edge"/>
          <c:yMode val="edge"/>
          <c:x val="0.3298423117078807"/>
          <c:y val="3.0836978710995409E-3"/>
        </c:manualLayout>
      </c:layout>
      <c:spPr>
        <a:noFill/>
        <a:ln w="25398">
          <a:noFill/>
        </a:ln>
      </c:spPr>
    </c:title>
    <c:plotArea>
      <c:layout>
        <c:manualLayout>
          <c:layoutTarget val="inner"/>
          <c:xMode val="edge"/>
          <c:yMode val="edge"/>
          <c:x val="0.23556991984559791"/>
          <c:y val="8.7793129632380854E-2"/>
          <c:w val="0.75386483979518848"/>
          <c:h val="0.61942919297250065"/>
        </c:manualLayout>
      </c:layout>
      <c:barChart>
        <c:barDir val="col"/>
        <c:grouping val="clustered"/>
        <c:ser>
          <c:idx val="0"/>
          <c:order val="0"/>
          <c:tx>
            <c:strRef>
              <c:f>Лист1!$B$1</c:f>
              <c:strCache>
                <c:ptCount val="1"/>
                <c:pt idx="0">
                  <c:v>январь - июнь 2014 г.</c:v>
                </c:pt>
              </c:strCache>
            </c:strRef>
          </c:tx>
          <c:dLbls>
            <c:dLbl>
              <c:idx val="0"/>
              <c:layout>
                <c:manualLayout>
                  <c:x val="-3.0228500849158561E-3"/>
                  <c:y val="4.2418869826703134E-3"/>
                </c:manualLayout>
              </c:layout>
              <c:tx>
                <c:rich>
                  <a:bodyPr/>
                  <a:lstStyle/>
                  <a:p>
                    <a:r>
                      <a:rPr lang="ru-RU" sz="898" b="1">
                        <a:latin typeface="Times New Roman" pitchFamily="18" charset="0"/>
                        <a:cs typeface="Times New Roman" pitchFamily="18" charset="0"/>
                      </a:rPr>
                      <a:t>46,7*</a:t>
                    </a:r>
                    <a:endParaRPr lang="en-US" sz="900" b="1">
                      <a:latin typeface="Times New Roman" pitchFamily="18" charset="0"/>
                      <a:cs typeface="Times New Roman" pitchFamily="18" charset="0"/>
                    </a:endParaRPr>
                  </a:p>
                </c:rich>
              </c:tx>
              <c:dLblPos val="outEnd"/>
            </c:dLbl>
            <c:dLbl>
              <c:idx val="1"/>
              <c:layout>
                <c:manualLayout>
                  <c:x val="-5.0532194114035669E-3"/>
                  <c:y val="9.7335560327690626E-3"/>
                </c:manualLayout>
              </c:layout>
              <c:tx>
                <c:rich>
                  <a:bodyPr/>
                  <a:lstStyle/>
                  <a:p>
                    <a:r>
                      <a:rPr lang="ru-RU" sz="898" b="1">
                        <a:latin typeface="Times New Roman" pitchFamily="18" charset="0"/>
                        <a:cs typeface="Times New Roman" pitchFamily="18" charset="0"/>
                      </a:rPr>
                      <a:t>13,4*</a:t>
                    </a:r>
                    <a:endParaRPr lang="en-US" sz="900" b="1">
                      <a:latin typeface="Times New Roman" pitchFamily="18" charset="0"/>
                      <a:cs typeface="Times New Roman" pitchFamily="18" charset="0"/>
                    </a:endParaRPr>
                  </a:p>
                </c:rich>
              </c:tx>
              <c:dLblPos val="outEnd"/>
            </c:dLbl>
            <c:dLbl>
              <c:idx val="2"/>
              <c:layout>
                <c:manualLayout>
                  <c:x val="-2.1241315423809943E-3"/>
                  <c:y val="1.3422676470077001E-2"/>
                </c:manualLayout>
              </c:layout>
              <c:tx>
                <c:rich>
                  <a:bodyPr/>
                  <a:lstStyle/>
                  <a:p>
                    <a:r>
                      <a:rPr lang="ru-RU" sz="898" b="1">
                        <a:latin typeface="Times New Roman" pitchFamily="18" charset="0"/>
                        <a:cs typeface="Times New Roman" pitchFamily="18" charset="0"/>
                      </a:rPr>
                      <a:t>6,8*</a:t>
                    </a:r>
                    <a:endParaRPr lang="en-US" sz="900" b="1">
                      <a:latin typeface="Times New Roman" pitchFamily="18" charset="0"/>
                      <a:cs typeface="Times New Roman" pitchFamily="18" charset="0"/>
                    </a:endParaRPr>
                  </a:p>
                </c:rich>
              </c:tx>
              <c:dLblPos val="outEnd"/>
            </c:dLbl>
            <c:dLbl>
              <c:idx val="3"/>
              <c:layout>
                <c:manualLayout>
                  <c:x val="-1.2527404662653098E-3"/>
                  <c:y val="1.8752672472232362E-2"/>
                </c:manualLayout>
              </c:layout>
              <c:tx>
                <c:rich>
                  <a:bodyPr/>
                  <a:lstStyle/>
                  <a:p>
                    <a:r>
                      <a:rPr lang="ru-RU" sz="898" b="1">
                        <a:latin typeface="Times New Roman" pitchFamily="18" charset="0"/>
                        <a:cs typeface="Times New Roman" pitchFamily="18" charset="0"/>
                      </a:rPr>
                      <a:t>7,8*</a:t>
                    </a:r>
                    <a:endParaRPr lang="en-US" sz="900" b="1">
                      <a:latin typeface="Times New Roman" pitchFamily="18" charset="0"/>
                      <a:cs typeface="Times New Roman" pitchFamily="18" charset="0"/>
                    </a:endParaRPr>
                  </a:p>
                </c:rich>
              </c:tx>
              <c:dLblPos val="outEnd"/>
            </c:dLbl>
            <c:dLbl>
              <c:idx val="4"/>
              <c:layout>
                <c:manualLayout>
                  <c:x val="-3.5208973683889368E-3"/>
                  <c:y val="1.3422708778503161E-2"/>
                </c:manualLayout>
              </c:layout>
              <c:tx>
                <c:rich>
                  <a:bodyPr/>
                  <a:lstStyle/>
                  <a:p>
                    <a:r>
                      <a:rPr lang="ru-RU" sz="898" b="1">
                        <a:latin typeface="Times New Roman" pitchFamily="18" charset="0"/>
                        <a:cs typeface="Times New Roman" pitchFamily="18" charset="0"/>
                      </a:rPr>
                      <a:t>5,3*</a:t>
                    </a:r>
                    <a:endParaRPr lang="en-US" sz="900" b="1">
                      <a:latin typeface="Times New Roman" pitchFamily="18" charset="0"/>
                      <a:cs typeface="Times New Roman" pitchFamily="18" charset="0"/>
                    </a:endParaRPr>
                  </a:p>
                </c:rich>
              </c:tx>
              <c:dLblPos val="outEnd"/>
            </c:dLbl>
            <c:dLbl>
              <c:idx val="5"/>
              <c:layout>
                <c:manualLayout>
                  <c:x val="-3.3014930510735412E-3"/>
                  <c:y val="0"/>
                </c:manualLayout>
              </c:layout>
              <c:tx>
                <c:rich>
                  <a:bodyPr/>
                  <a:lstStyle/>
                  <a:p>
                    <a:r>
                      <a:rPr lang="ru-RU" sz="898" b="1">
                        <a:latin typeface="Times New Roman" pitchFamily="18" charset="0"/>
                        <a:cs typeface="Times New Roman" pitchFamily="18" charset="0"/>
                      </a:rPr>
                      <a:t>2,9*</a:t>
                    </a:r>
                    <a:endParaRPr lang="en-US" sz="900" b="1">
                      <a:latin typeface="Times New Roman" pitchFamily="18" charset="0"/>
                      <a:cs typeface="Times New Roman" pitchFamily="18" charset="0"/>
                    </a:endParaRPr>
                  </a:p>
                </c:rich>
              </c:tx>
              <c:dLblPos val="outEnd"/>
            </c:dLbl>
            <c:dLbl>
              <c:idx val="6"/>
              <c:layout>
                <c:manualLayout>
                  <c:x val="-7.4268010433377434E-3"/>
                  <c:y val="1.4869888475836441E-2"/>
                </c:manualLayout>
              </c:layout>
              <c:tx>
                <c:rich>
                  <a:bodyPr/>
                  <a:lstStyle/>
                  <a:p>
                    <a:r>
                      <a:rPr lang="ru-RU" sz="898" b="1">
                        <a:latin typeface="Times New Roman" pitchFamily="18" charset="0"/>
                        <a:cs typeface="Times New Roman" pitchFamily="18" charset="0"/>
                      </a:rPr>
                      <a:t>1,9*</a:t>
                    </a:r>
                    <a:endParaRPr lang="en-US" sz="900" b="1">
                      <a:latin typeface="Times New Roman" pitchFamily="18" charset="0"/>
                      <a:cs typeface="Times New Roman" pitchFamily="18" charset="0"/>
                    </a:endParaRPr>
                  </a:p>
                </c:rich>
              </c:tx>
              <c:dLblPos val="outEnd"/>
            </c:dLbl>
            <c:dLbl>
              <c:idx val="7"/>
              <c:layout>
                <c:manualLayout>
                  <c:x val="-1.2636096958468426E-2"/>
                  <c:y val="8.9485668596065767E-3"/>
                </c:manualLayout>
              </c:layout>
              <c:tx>
                <c:rich>
                  <a:bodyPr/>
                  <a:lstStyle/>
                  <a:p>
                    <a:r>
                      <a:rPr lang="ru-RU" sz="898" b="1">
                        <a:latin typeface="Times New Roman" pitchFamily="18" charset="0"/>
                        <a:cs typeface="Times New Roman" pitchFamily="18" charset="0"/>
                      </a:rPr>
                      <a:t>15,2*</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Лист1!$B$2:$B$9</c:f>
              <c:numCache>
                <c:formatCode>#,##0.0</c:formatCode>
                <c:ptCount val="8"/>
                <c:pt idx="0">
                  <c:v>384617.5</c:v>
                </c:pt>
                <c:pt idx="1">
                  <c:v>110610.6</c:v>
                </c:pt>
                <c:pt idx="2">
                  <c:v>55876.6</c:v>
                </c:pt>
                <c:pt idx="3">
                  <c:v>64142.3</c:v>
                </c:pt>
                <c:pt idx="4">
                  <c:v>44013.8</c:v>
                </c:pt>
                <c:pt idx="5">
                  <c:v>24112.5</c:v>
                </c:pt>
                <c:pt idx="6">
                  <c:v>15633.7</c:v>
                </c:pt>
                <c:pt idx="7">
                  <c:v>125326.30000000005</c:v>
                </c:pt>
              </c:numCache>
            </c:numRef>
          </c:val>
        </c:ser>
        <c:ser>
          <c:idx val="1"/>
          <c:order val="1"/>
          <c:tx>
            <c:strRef>
              <c:f>Лист1!$C$1</c:f>
              <c:strCache>
                <c:ptCount val="1"/>
                <c:pt idx="0">
                  <c:v>январь - июнь 2015 г.</c:v>
                </c:pt>
              </c:strCache>
            </c:strRef>
          </c:tx>
          <c:dLbls>
            <c:dLbl>
              <c:idx val="0"/>
              <c:layout>
                <c:manualLayout>
                  <c:x val="1.8424049452834823E-2"/>
                  <c:y val="1.2121212121212118E-2"/>
                </c:manualLayout>
              </c:layout>
              <c:tx>
                <c:rich>
                  <a:bodyPr/>
                  <a:lstStyle/>
                  <a:p>
                    <a:r>
                      <a:rPr lang="ru-RU" sz="898" b="1">
                        <a:latin typeface="Times New Roman" pitchFamily="18" charset="0"/>
                        <a:cs typeface="Times New Roman" pitchFamily="18" charset="0"/>
                      </a:rPr>
                      <a:t>58,5*</a:t>
                    </a:r>
                    <a:endParaRPr lang="en-US" sz="900" b="1">
                      <a:latin typeface="Times New Roman" pitchFamily="18" charset="0"/>
                      <a:cs typeface="Times New Roman" pitchFamily="18" charset="0"/>
                    </a:endParaRPr>
                  </a:p>
                </c:rich>
              </c:tx>
              <c:dLblPos val="outEnd"/>
            </c:dLbl>
            <c:dLbl>
              <c:idx val="1"/>
              <c:layout>
                <c:manualLayout>
                  <c:x val="1.1864597807626987E-2"/>
                  <c:y val="6.5359545288627002E-3"/>
                </c:manualLayout>
              </c:layout>
              <c:tx>
                <c:rich>
                  <a:bodyPr/>
                  <a:lstStyle/>
                  <a:p>
                    <a:r>
                      <a:rPr lang="ru-RU" sz="898" b="1">
                        <a:latin typeface="Times New Roman" pitchFamily="18" charset="0"/>
                        <a:cs typeface="Times New Roman" pitchFamily="18" charset="0"/>
                      </a:rPr>
                      <a:t>11,0 *</a:t>
                    </a:r>
                    <a:endParaRPr lang="en-US" sz="900" b="1">
                      <a:latin typeface="Times New Roman" pitchFamily="18" charset="0"/>
                      <a:cs typeface="Times New Roman" pitchFamily="18" charset="0"/>
                    </a:endParaRPr>
                  </a:p>
                </c:rich>
              </c:tx>
              <c:dLblPos val="outEnd"/>
            </c:dLbl>
            <c:dLbl>
              <c:idx val="2"/>
              <c:layout>
                <c:manualLayout>
                  <c:x val="1.1029488960938721E-2"/>
                  <c:y val="1.3131007630668701E-2"/>
                </c:manualLayout>
              </c:layout>
              <c:tx>
                <c:rich>
                  <a:bodyPr/>
                  <a:lstStyle/>
                  <a:p>
                    <a:r>
                      <a:rPr lang="ru-RU" sz="898" b="1">
                        <a:latin typeface="Times New Roman" pitchFamily="18" charset="0"/>
                        <a:cs typeface="Times New Roman" pitchFamily="18" charset="0"/>
                      </a:rPr>
                      <a:t>6,7*</a:t>
                    </a:r>
                    <a:endParaRPr lang="en-US" sz="900" b="1">
                      <a:latin typeface="Times New Roman" pitchFamily="18" charset="0"/>
                      <a:cs typeface="Times New Roman" pitchFamily="18" charset="0"/>
                    </a:endParaRPr>
                  </a:p>
                </c:rich>
              </c:tx>
              <c:dLblPos val="outEnd"/>
            </c:dLbl>
            <c:dLbl>
              <c:idx val="3"/>
              <c:layout>
                <c:manualLayout>
                  <c:x val="7.8794194843295907E-3"/>
                  <c:y val="1.7600945577167109E-2"/>
                </c:manualLayout>
              </c:layout>
              <c:tx>
                <c:rich>
                  <a:bodyPr/>
                  <a:lstStyle/>
                  <a:p>
                    <a:r>
                      <a:rPr lang="ru-RU" sz="898" b="1">
                        <a:latin typeface="Times New Roman" pitchFamily="18" charset="0"/>
                        <a:cs typeface="Times New Roman" pitchFamily="18" charset="0"/>
                      </a:rPr>
                      <a:t>3,7*</a:t>
                    </a:r>
                    <a:endParaRPr lang="en-US" sz="900" b="1">
                      <a:latin typeface="Times New Roman" pitchFamily="18" charset="0"/>
                      <a:cs typeface="Times New Roman" pitchFamily="18" charset="0"/>
                    </a:endParaRPr>
                  </a:p>
                </c:rich>
              </c:tx>
              <c:dLblPos val="outEnd"/>
            </c:dLbl>
            <c:dLbl>
              <c:idx val="4"/>
              <c:layout>
                <c:manualLayout>
                  <c:x val="1.0321290721012817E-2"/>
                  <c:y val="8.8296744363908167E-3"/>
                </c:manualLayout>
              </c:layout>
              <c:tx>
                <c:rich>
                  <a:bodyPr/>
                  <a:lstStyle/>
                  <a:p>
                    <a:r>
                      <a:rPr lang="ru-RU" sz="898" b="1">
                        <a:latin typeface="Times New Roman" pitchFamily="18" charset="0"/>
                        <a:cs typeface="Times New Roman" pitchFamily="18" charset="0"/>
                      </a:rPr>
                      <a:t>3,9*</a:t>
                    </a:r>
                    <a:endParaRPr lang="en-US" sz="900" b="1">
                      <a:latin typeface="Times New Roman" pitchFamily="18" charset="0"/>
                      <a:cs typeface="Times New Roman" pitchFamily="18" charset="0"/>
                    </a:endParaRPr>
                  </a:p>
                </c:rich>
              </c:tx>
              <c:dLblPos val="outEnd"/>
            </c:dLbl>
            <c:dLbl>
              <c:idx val="5"/>
              <c:layout>
                <c:manualLayout>
                  <c:x val="9.9672687972827047E-3"/>
                  <c:y val="-1.7764335749423152E-4"/>
                </c:manualLayout>
              </c:layout>
              <c:tx>
                <c:rich>
                  <a:bodyPr/>
                  <a:lstStyle/>
                  <a:p>
                    <a:r>
                      <a:rPr lang="ru-RU" sz="898" b="1">
                        <a:latin typeface="Times New Roman" pitchFamily="18" charset="0"/>
                        <a:cs typeface="Times New Roman" pitchFamily="18" charset="0"/>
                      </a:rPr>
                      <a:t>2,2*</a:t>
                    </a:r>
                    <a:endParaRPr lang="en-US" sz="900" b="1">
                      <a:latin typeface="Times New Roman" pitchFamily="18" charset="0"/>
                      <a:cs typeface="Times New Roman" pitchFamily="18" charset="0"/>
                    </a:endParaRPr>
                  </a:p>
                </c:rich>
              </c:tx>
              <c:dLblPos val="outEnd"/>
            </c:dLbl>
            <c:dLbl>
              <c:idx val="6"/>
              <c:layout>
                <c:manualLayout>
                  <c:x val="1.1574002944753857E-2"/>
                  <c:y val="9.4562647754137547E-3"/>
                </c:manualLayout>
              </c:layout>
              <c:tx>
                <c:rich>
                  <a:bodyPr/>
                  <a:lstStyle/>
                  <a:p>
                    <a:r>
                      <a:rPr lang="ru-RU" sz="898" b="1">
                        <a:latin typeface="Times New Roman" pitchFamily="18" charset="0"/>
                        <a:cs typeface="Times New Roman" pitchFamily="18" charset="0"/>
                      </a:rPr>
                      <a:t>1,4*</a:t>
                    </a:r>
                    <a:endParaRPr lang="en-US" sz="900" b="1">
                      <a:latin typeface="Times New Roman" pitchFamily="18" charset="0"/>
                      <a:cs typeface="Times New Roman" pitchFamily="18" charset="0"/>
                    </a:endParaRPr>
                  </a:p>
                </c:rich>
              </c:tx>
              <c:dLblPos val="outEnd"/>
            </c:dLbl>
            <c:dLbl>
              <c:idx val="7"/>
              <c:layout>
                <c:manualLayout>
                  <c:x val="1.0951763651494778E-2"/>
                  <c:y val="7.5461489299654023E-3"/>
                </c:manualLayout>
              </c:layout>
              <c:tx>
                <c:rich>
                  <a:bodyPr/>
                  <a:lstStyle/>
                  <a:p>
                    <a:r>
                      <a:rPr lang="ru-RU" sz="898" b="1">
                        <a:latin typeface="Times New Roman" pitchFamily="18" charset="0"/>
                        <a:cs typeface="Times New Roman" pitchFamily="18" charset="0"/>
                      </a:rPr>
                      <a:t>12,7*</a:t>
                    </a:r>
                    <a:endParaRPr lang="en-US" sz="900" b="1">
                      <a:latin typeface="Times New Roman" pitchFamily="18" charset="0"/>
                      <a:cs typeface="Times New Roman" pitchFamily="18" charset="0"/>
                    </a:endParaRPr>
                  </a:p>
                </c:rich>
              </c:tx>
              <c:dLblPos val="outEnd"/>
            </c:dLbl>
            <c:spPr>
              <a:noFill/>
              <a:ln w="25398">
                <a:noFill/>
              </a:ln>
            </c:spPr>
            <c:txPr>
              <a:bodyPr/>
              <a:lstStyle/>
              <a:p>
                <a:pPr>
                  <a:defRPr sz="898">
                    <a:latin typeface="Times New Roman" pitchFamily="18" charset="0"/>
                    <a:cs typeface="Times New Roman" pitchFamily="18" charset="0"/>
                  </a:defRPr>
                </a:pPr>
                <a:endParaRPr lang="ru-RU"/>
              </a:p>
            </c:txPr>
            <c:dLblPos val="outEnd"/>
            <c:showVal val="1"/>
          </c:dLbls>
          <c:cat>
            <c:strRef>
              <c:f>Лист1!$A$2:$A$9</c:f>
              <c:strCache>
                <c:ptCount val="8"/>
                <c:pt idx="0">
                  <c:v>Россия</c:v>
                </c:pt>
                <c:pt idx="1">
                  <c:v>Украина</c:v>
                </c:pt>
                <c:pt idx="2">
                  <c:v> Молдова</c:v>
                </c:pt>
                <c:pt idx="3">
                  <c:v>Беларусь</c:v>
                </c:pt>
                <c:pt idx="4">
                  <c:v>Германия</c:v>
                </c:pt>
                <c:pt idx="5">
                  <c:v>Италия</c:v>
                </c:pt>
                <c:pt idx="6">
                  <c:v>Польша</c:v>
                </c:pt>
                <c:pt idx="7">
                  <c:v>Прочие страны</c:v>
                </c:pt>
              </c:strCache>
            </c:strRef>
          </c:cat>
          <c:val>
            <c:numRef>
              <c:f>Лист1!$C$2:$C$9</c:f>
              <c:numCache>
                <c:formatCode>#,##0.0</c:formatCode>
                <c:ptCount val="8"/>
                <c:pt idx="0">
                  <c:v>360551.5</c:v>
                </c:pt>
                <c:pt idx="1">
                  <c:v>67850.899999999994</c:v>
                </c:pt>
                <c:pt idx="2">
                  <c:v>41328.5</c:v>
                </c:pt>
                <c:pt idx="3">
                  <c:v>22580.1</c:v>
                </c:pt>
                <c:pt idx="4">
                  <c:v>24025.7</c:v>
                </c:pt>
                <c:pt idx="5">
                  <c:v>13492.6</c:v>
                </c:pt>
                <c:pt idx="6">
                  <c:v>8520.6</c:v>
                </c:pt>
                <c:pt idx="7">
                  <c:v>78272.500000000116</c:v>
                </c:pt>
              </c:numCache>
            </c:numRef>
          </c:val>
        </c:ser>
        <c:dLbls>
          <c:showVal val="1"/>
        </c:dLbls>
        <c:axId val="130564480"/>
        <c:axId val="130566016"/>
      </c:barChart>
      <c:catAx>
        <c:axId val="130564480"/>
        <c:scaling>
          <c:orientation val="minMax"/>
        </c:scaling>
        <c:axPos val="b"/>
        <c:numFmt formatCode="General" sourceLinked="1"/>
        <c:tickLblPos val="nextTo"/>
        <c:crossAx val="130566016"/>
        <c:crosses val="autoZero"/>
        <c:auto val="1"/>
        <c:lblAlgn val="ctr"/>
        <c:lblOffset val="100"/>
      </c:catAx>
      <c:valAx>
        <c:axId val="130566016"/>
        <c:scaling>
          <c:orientation val="minMax"/>
          <c:max val="385000"/>
          <c:min val="3000"/>
        </c:scaling>
        <c:delete val="1"/>
        <c:axPos val="l"/>
        <c:title>
          <c:tx>
            <c:rich>
              <a:bodyPr rot="0" vert="horz"/>
              <a:lstStyle/>
              <a:p>
                <a:pPr algn="ctr">
                  <a:defRPr sz="895" b="0" i="0" u="none" strike="noStrike" baseline="0">
                    <a:solidFill>
                      <a:srgbClr val="000000"/>
                    </a:solidFill>
                    <a:latin typeface="Times New Roman"/>
                    <a:ea typeface="Times New Roman"/>
                    <a:cs typeface="Times New Roman"/>
                  </a:defRPr>
                </a:pPr>
                <a:r>
                  <a:rPr lang="ru-RU" sz="900"/>
                  <a:t>*- удельный вес страны в общем импорте,%</a:t>
                </a:r>
              </a:p>
            </c:rich>
          </c:tx>
          <c:layout>
            <c:manualLayout>
              <c:xMode val="edge"/>
              <c:yMode val="edge"/>
              <c:x val="0.82777859582132252"/>
              <c:y val="0.14022559889044078"/>
            </c:manualLayout>
          </c:layout>
          <c:spPr>
            <a:noFill/>
            <a:ln w="25398">
              <a:noFill/>
            </a:ln>
          </c:spPr>
        </c:title>
        <c:numFmt formatCode="#,##0.0" sourceLinked="1"/>
        <c:tickLblPos val="nextTo"/>
        <c:crossAx val="130564480"/>
        <c:crosses val="autoZero"/>
        <c:crossBetween val="between"/>
        <c:majorUnit val="15000"/>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a:t>I</a:t>
            </a:r>
            <a:r>
              <a:rPr lang="ru-RU"/>
              <a:t> полгодие 2015 года</a:t>
            </a:r>
          </a:p>
        </c:rich>
      </c:tx>
      <c:layout>
        <c:manualLayout>
          <c:xMode val="edge"/>
          <c:yMode val="edge"/>
          <c:x val="0.49720683515959857"/>
          <c:y val="0"/>
        </c:manualLayout>
      </c:layout>
    </c:title>
    <c:view3D>
      <c:rotX val="30"/>
      <c:perspective val="30"/>
    </c:view3D>
    <c:plotArea>
      <c:layout>
        <c:manualLayout>
          <c:layoutTarget val="inner"/>
          <c:xMode val="edge"/>
          <c:yMode val="edge"/>
          <c:x val="5.7803351504139004E-2"/>
          <c:y val="0.23586830127247418"/>
          <c:w val="0.94219653179189999"/>
          <c:h val="0.46008813473962473"/>
        </c:manualLayout>
      </c:layout>
      <c:pie3DChart>
        <c:varyColors val="1"/>
        <c:ser>
          <c:idx val="0"/>
          <c:order val="0"/>
          <c:tx>
            <c:strRef>
              <c:f>Лист1!$B$1</c:f>
              <c:strCache>
                <c:ptCount val="1"/>
                <c:pt idx="0">
                  <c:v>2012 год</c:v>
                </c:pt>
              </c:strCache>
            </c:strRef>
          </c:tx>
          <c:explosion val="25"/>
          <c:dPt>
            <c:idx val="0"/>
            <c:explosion val="3"/>
            <c:spPr>
              <a:blipFill>
                <a:blip xmlns:r="http://schemas.openxmlformats.org/officeDocument/2006/relationships" r:embed="rId2"/>
                <a:tile tx="0" ty="0" sx="100000" sy="100000" flip="none" algn="tl"/>
              </a:blipFill>
            </c:spPr>
          </c:dPt>
          <c:dPt>
            <c:idx val="1"/>
            <c:explosion val="10"/>
            <c:spPr>
              <a:blipFill>
                <a:blip xmlns:r="http://schemas.openxmlformats.org/officeDocument/2006/relationships" r:embed="rId3"/>
                <a:tile tx="0" ty="0" sx="100000" sy="100000" flip="none" algn="tl"/>
              </a:blipFill>
            </c:spPr>
          </c:dPt>
          <c:dPt>
            <c:idx val="2"/>
            <c:explosion val="12"/>
            <c:spPr>
              <a:blipFill>
                <a:blip xmlns:r="http://schemas.openxmlformats.org/officeDocument/2006/relationships" r:embed="rId4"/>
                <a:tile tx="0" ty="0" sx="100000" sy="100000" flip="none" algn="tl"/>
              </a:blipFill>
            </c:spPr>
          </c:dPt>
          <c:dLbls>
            <c:dLbl>
              <c:idx val="0"/>
              <c:layout>
                <c:manualLayout>
                  <c:x val="4.7832167832167934E-2"/>
                  <c:y val="-7.3175853018372705E-2"/>
                </c:manualLayout>
              </c:layout>
              <c:tx>
                <c:rich>
                  <a:bodyPr/>
                  <a:lstStyle/>
                  <a:p>
                    <a:r>
                      <a:rPr lang="ru-RU" b="1">
                        <a:latin typeface="Times New Roman" pitchFamily="18" charset="0"/>
                        <a:cs typeface="Times New Roman" pitchFamily="18" charset="0"/>
                      </a:rPr>
                      <a:t>605,0;</a:t>
                    </a:r>
                  </a:p>
                  <a:p>
                    <a:r>
                      <a:rPr lang="ru-RU" b="1">
                        <a:latin typeface="Times New Roman" pitchFamily="18" charset="0"/>
                        <a:cs typeface="Times New Roman" pitchFamily="18" charset="0"/>
                      </a:rPr>
                      <a:t>45,8%</a:t>
                    </a:r>
                    <a:endParaRPr lang="en-US" b="1">
                      <a:latin typeface="Times New Roman" pitchFamily="18" charset="0"/>
                      <a:cs typeface="Times New Roman" pitchFamily="18" charset="0"/>
                    </a:endParaRPr>
                  </a:p>
                </c:rich>
              </c:tx>
              <c:dLblPos val="bestFit"/>
            </c:dLbl>
            <c:dLbl>
              <c:idx val="1"/>
              <c:layout>
                <c:manualLayout>
                  <c:x val="-0.13467577042379969"/>
                  <c:y val="-5.8330177082295091E-2"/>
                </c:manualLayout>
              </c:layout>
              <c:tx>
                <c:rich>
                  <a:bodyPr/>
                  <a:lstStyle/>
                  <a:p>
                    <a:r>
                      <a:rPr lang="ru-RU" b="1">
                        <a:latin typeface="Times New Roman" pitchFamily="18" charset="0"/>
                        <a:cs typeface="Times New Roman" pitchFamily="18" charset="0"/>
                      </a:rPr>
                      <a:t>265,7;</a:t>
                    </a:r>
                  </a:p>
                  <a:p>
                    <a:r>
                      <a:rPr lang="ru-RU" b="1">
                        <a:latin typeface="Times New Roman" pitchFamily="18" charset="0"/>
                        <a:cs typeface="Times New Roman" pitchFamily="18" charset="0"/>
                      </a:rPr>
                      <a:t>20,1%</a:t>
                    </a:r>
                    <a:endParaRPr lang="en-US" b="1">
                      <a:latin typeface="Times New Roman" pitchFamily="18" charset="0"/>
                      <a:cs typeface="Times New Roman" pitchFamily="18" charset="0"/>
                    </a:endParaRPr>
                  </a:p>
                </c:rich>
              </c:tx>
              <c:dLblPos val="bestFit"/>
            </c:dLbl>
            <c:dLbl>
              <c:idx val="2"/>
              <c:layout>
                <c:manualLayout>
                  <c:x val="-8.6938236766646998E-2"/>
                  <c:y val="1.708458029462257E-3"/>
                </c:manualLayout>
              </c:layout>
              <c:tx>
                <c:rich>
                  <a:bodyPr/>
                  <a:lstStyle/>
                  <a:p>
                    <a:r>
                      <a:rPr lang="ru-RU" b="1">
                        <a:latin typeface="Times New Roman" pitchFamily="18" charset="0"/>
                        <a:cs typeface="Times New Roman" pitchFamily="18" charset="0"/>
                      </a:rPr>
                      <a:t>424,7;</a:t>
                    </a:r>
                  </a:p>
                  <a:p>
                    <a:r>
                      <a:rPr lang="ru-RU" b="1">
                        <a:latin typeface="Times New Roman" pitchFamily="18" charset="0"/>
                        <a:cs typeface="Times New Roman" pitchFamily="18" charset="0"/>
                      </a:rPr>
                      <a:t>32,2%</a:t>
                    </a:r>
                    <a:endParaRPr lang="en-US" b="1">
                      <a:latin typeface="Times New Roman" pitchFamily="18" charset="0"/>
                      <a:cs typeface="Times New Roman" pitchFamily="18" charset="0"/>
                    </a:endParaRPr>
                  </a:p>
                </c:rich>
              </c:tx>
              <c:dLblPos val="bestFit"/>
            </c:dLbl>
            <c:dLbl>
              <c:idx val="3"/>
              <c:layout>
                <c:manualLayout>
                  <c:x val="-7.0683476704140324E-2"/>
                  <c:y val="5.2450823720835834E-3"/>
                </c:manualLayout>
              </c:layout>
              <c:tx>
                <c:rich>
                  <a:bodyPr/>
                  <a:lstStyle/>
                  <a:p>
                    <a:r>
                      <a:rPr lang="ru-RU" b="1">
                        <a:latin typeface="Times New Roman" pitchFamily="18" charset="0"/>
                        <a:cs typeface="Times New Roman" pitchFamily="18" charset="0"/>
                      </a:rPr>
                      <a:t>24,5;</a:t>
                    </a:r>
                  </a:p>
                  <a:p>
                    <a:r>
                      <a:rPr lang="en-US" b="1">
                        <a:latin typeface="Times New Roman" pitchFamily="18" charset="0"/>
                        <a:cs typeface="Times New Roman" pitchFamily="18" charset="0"/>
                      </a:rPr>
                      <a:t>1,9</a:t>
                    </a:r>
                    <a:r>
                      <a:rPr lang="ru-RU" b="1">
                        <a:latin typeface="Times New Roman" pitchFamily="18" charset="0"/>
                        <a:cs typeface="Times New Roman" pitchFamily="18" charset="0"/>
                      </a:rPr>
                      <a:t>%</a:t>
                    </a:r>
                    <a:endParaRPr lang="en-US" b="1">
                      <a:latin typeface="Times New Roman" pitchFamily="18" charset="0"/>
                      <a:cs typeface="Times New Roman" pitchFamily="18" charset="0"/>
                    </a:endParaRPr>
                  </a:p>
                </c:rich>
              </c:tx>
              <c:dLblPos val="bestFit"/>
            </c:dLbl>
            <c:txPr>
              <a:bodyPr/>
              <a:lstStyle/>
              <a:p>
                <a:pPr>
                  <a:defRPr b="1">
                    <a:latin typeface="Times New Roman" pitchFamily="18" charset="0"/>
                    <a:cs typeface="Times New Roman" pitchFamily="18" charset="0"/>
                  </a:defRPr>
                </a:pPr>
                <a:endParaRPr lang="ru-RU"/>
              </a:p>
            </c:txPr>
            <c:showVal val="1"/>
            <c:showLeaderLines val="1"/>
          </c:dLbls>
          <c:cat>
            <c:strRef>
              <c:f>Лист1!$A$2:$A$5</c:f>
              <c:strCache>
                <c:ptCount val="4"/>
                <c:pt idx="0">
                  <c:v>Питание</c:v>
                </c:pt>
                <c:pt idx="1">
                  <c:v>Непродольственные товары</c:v>
                </c:pt>
                <c:pt idx="2">
                  <c:v>Услуги</c:v>
                </c:pt>
                <c:pt idx="3">
                  <c:v>Обязательные платежи и сборы</c:v>
                </c:pt>
              </c:strCache>
            </c:strRef>
          </c:cat>
          <c:val>
            <c:numRef>
              <c:f>Лист1!$B$2:$B$5</c:f>
              <c:numCache>
                <c:formatCode>#,##0.0</c:formatCode>
                <c:ptCount val="4"/>
                <c:pt idx="0">
                  <c:v>45.8</c:v>
                </c:pt>
                <c:pt idx="1">
                  <c:v>20.100000000000001</c:v>
                </c:pt>
                <c:pt idx="2">
                  <c:v>32.200000000000003</c:v>
                </c:pt>
                <c:pt idx="3">
                  <c:v>1.9000000000000001</c:v>
                </c:pt>
              </c:numCache>
            </c:numRef>
          </c:val>
        </c:ser>
      </c:pie3DChart>
      <c:spPr>
        <a:noFill/>
        <a:ln w="25395">
          <a:noFill/>
        </a:ln>
      </c:spPr>
    </c:plotArea>
    <c:legend>
      <c:legendPos val="b"/>
      <c:layout>
        <c:manualLayout>
          <c:xMode val="edge"/>
          <c:yMode val="edge"/>
          <c:x val="4.7037556669052696E-2"/>
          <c:y val="0.74732248777272858"/>
          <c:w val="0.90977847769031228"/>
          <c:h val="0.2231572375039024"/>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5"/>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50"/>
            </a:pPr>
            <a:r>
              <a:rPr lang="ru-RU" sz="120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6013649926729712"/>
          <c:y val="2.1645132196313598E-2"/>
        </c:manualLayout>
      </c:layout>
      <c:spPr>
        <a:noFill/>
        <a:ln w="24908">
          <a:noFill/>
        </a:ln>
      </c:spPr>
    </c:title>
    <c:plotArea>
      <c:layout>
        <c:manualLayout>
          <c:layoutTarget val="inner"/>
          <c:xMode val="edge"/>
          <c:yMode val="edge"/>
          <c:x val="7.2514256091239321E-2"/>
          <c:y val="0.19613756613756642"/>
          <c:w val="0.91881281558313133"/>
          <c:h val="0.47805956687846862"/>
        </c:manualLayout>
      </c:layout>
      <c:barChart>
        <c:barDir val="col"/>
        <c:grouping val="clustered"/>
        <c:ser>
          <c:idx val="0"/>
          <c:order val="0"/>
          <c:tx>
            <c:strRef>
              <c:f>Лист1!$B$1</c:f>
              <c:strCache>
                <c:ptCount val="1"/>
                <c:pt idx="0">
                  <c:v>январь-июнь 2014 года года</c:v>
                </c:pt>
              </c:strCache>
            </c:strRef>
          </c:tx>
          <c:spPr>
            <a:solidFill>
              <a:srgbClr val="C0504D">
                <a:alpha val="70000"/>
              </a:srgbClr>
            </a:solidFill>
          </c:spPr>
          <c:dLbls>
            <c:dLbl>
              <c:idx val="0"/>
              <c:layout>
                <c:manualLayout>
                  <c:x val="1.060944534001854E-17"/>
                  <c:y val="1.5564202334630461E-2"/>
                </c:manualLayout>
              </c:layout>
              <c:dLblPos val="outEnd"/>
              <c:showVal val="1"/>
            </c:dLbl>
            <c:dLbl>
              <c:idx val="1"/>
              <c:layout>
                <c:manualLayout>
                  <c:x val="-1.0368229632260487E-2"/>
                  <c:y val="1.5358496854559834E-2"/>
                </c:manualLayout>
              </c:layout>
              <c:dLblPos val="outEnd"/>
              <c:showVal val="1"/>
            </c:dLbl>
            <c:dLbl>
              <c:idx val="2"/>
              <c:layout>
                <c:manualLayout>
                  <c:x val="-6.9444444444447147E-3"/>
                  <c:y val="0"/>
                </c:manualLayout>
              </c:layout>
              <c:dLblPos val="outEnd"/>
              <c:showVal val="1"/>
            </c:dLbl>
            <c:dLbl>
              <c:idx val="3"/>
              <c:layout>
                <c:manualLayout>
                  <c:x val="0"/>
                  <c:y val="1.5564405800626301E-2"/>
                </c:manualLayout>
              </c:layout>
              <c:dLblPos val="outEnd"/>
              <c:showVal val="1"/>
            </c:dLbl>
            <c:dLbl>
              <c:idx val="4"/>
              <c:layout>
                <c:manualLayout>
                  <c:x val="-6.4619994040404577E-3"/>
                  <c:y val="1.5358496854559834E-2"/>
                </c:manualLayout>
              </c:layout>
              <c:dLblPos val="outEnd"/>
              <c:showVal val="1"/>
            </c:dLbl>
            <c:dLbl>
              <c:idx val="5"/>
              <c:layout>
                <c:manualLayout>
                  <c:x val="-2.0736132711249612E-3"/>
                  <c:y val="1.0455720062019301E-2"/>
                </c:manualLayout>
              </c:layout>
              <c:dLblPos val="outEnd"/>
              <c:showVal val="1"/>
            </c:dLbl>
            <c:dLbl>
              <c:idx val="6"/>
              <c:layout>
                <c:manualLayout>
                  <c:x val="-6.2208398133748524E-3"/>
                  <c:y val="1.5564304461942341E-2"/>
                </c:manualLayout>
              </c:layout>
              <c:dLblPos val="outEnd"/>
              <c:showVal val="1"/>
            </c:dLbl>
            <c:dLbl>
              <c:idx val="7"/>
              <c:layout>
                <c:manualLayout>
                  <c:x val="-1.0368066355624676E-2"/>
                  <c:y val="2.0752405949256387E-2"/>
                </c:manualLayout>
              </c:layout>
              <c:dLblPos val="outEnd"/>
              <c:showVal val="1"/>
            </c:dLbl>
            <c:dLbl>
              <c:idx val="8"/>
              <c:layout>
                <c:manualLayout>
                  <c:x val="-4.1472265422497941E-3"/>
                  <c:y val="1.0273299170936938E-2"/>
                </c:manualLayout>
              </c:layout>
              <c:dLblPos val="outEnd"/>
              <c:showVal val="1"/>
            </c:dLbl>
            <c:dLbl>
              <c:idx val="9"/>
              <c:layout>
                <c:manualLayout>
                  <c:x val="-1.2441679626749661E-2"/>
                  <c:y val="2.0752405949256338E-2"/>
                </c:manualLayout>
              </c:layout>
              <c:dLblPos val="outEnd"/>
              <c:showVal val="1"/>
            </c:dLbl>
            <c:dLbl>
              <c:idx val="10"/>
              <c:layout>
                <c:manualLayout>
                  <c:x val="-1.5480094537171973E-2"/>
                  <c:y val="1.5255593050868661E-2"/>
                </c:manualLayout>
              </c:layout>
              <c:dLblPos val="outEnd"/>
              <c:showVal val="1"/>
            </c:dLbl>
            <c:dLbl>
              <c:idx val="11"/>
              <c:layout>
                <c:manualLayout>
                  <c:x val="-1.3406481266047481E-2"/>
                  <c:y val="1.5255593050868661E-2"/>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Лист1!$B$2:$B$7</c:f>
              <c:numCache>
                <c:formatCode>General</c:formatCode>
                <c:ptCount val="6"/>
                <c:pt idx="0">
                  <c:v>1029</c:v>
                </c:pt>
                <c:pt idx="1">
                  <c:v>1040</c:v>
                </c:pt>
                <c:pt idx="2">
                  <c:v>905</c:v>
                </c:pt>
                <c:pt idx="3">
                  <c:v>669</c:v>
                </c:pt>
                <c:pt idx="4">
                  <c:v>885</c:v>
                </c:pt>
                <c:pt idx="5">
                  <c:v>1007</c:v>
                </c:pt>
              </c:numCache>
            </c:numRef>
          </c:val>
        </c:ser>
        <c:ser>
          <c:idx val="1"/>
          <c:order val="1"/>
          <c:tx>
            <c:strRef>
              <c:f>Лист1!$C$1</c:f>
              <c:strCache>
                <c:ptCount val="1"/>
                <c:pt idx="0">
                  <c:v>январь-июнь 2015 года</c:v>
                </c:pt>
              </c:strCache>
            </c:strRef>
          </c:tx>
          <c:spPr>
            <a:solidFill>
              <a:srgbClr val="4BACC6">
                <a:lumMod val="75000"/>
                <a:alpha val="68000"/>
              </a:srgbClr>
            </a:solidFill>
          </c:spPr>
          <c:dLbls>
            <c:dLbl>
              <c:idx val="0"/>
              <c:layout>
                <c:manualLayout>
                  <c:x val="1.157407407407408E-2"/>
                  <c:y val="-4.7556735531910517E-17"/>
                </c:manualLayout>
              </c:layout>
              <c:dLblPos val="outEnd"/>
              <c:showVal val="1"/>
            </c:dLbl>
            <c:dLbl>
              <c:idx val="1"/>
              <c:layout>
                <c:manualLayout>
                  <c:x val="7.2364204863196806E-4"/>
                  <c:y val="-4.1661458984293912E-7"/>
                </c:manualLayout>
              </c:layout>
              <c:dLblPos val="outEnd"/>
              <c:showVal val="1"/>
            </c:dLbl>
            <c:dLbl>
              <c:idx val="2"/>
              <c:layout>
                <c:manualLayout>
                  <c:x val="6.9444444444447147E-3"/>
                  <c:y val="0"/>
                </c:manualLayout>
              </c:layout>
              <c:dLblPos val="outEnd"/>
              <c:showVal val="1"/>
            </c:dLbl>
            <c:dLbl>
              <c:idx val="3"/>
              <c:layout>
                <c:manualLayout>
                  <c:x val="6.9444444444447147E-3"/>
                  <c:y val="1.5564202334630461E-2"/>
                </c:manualLayout>
              </c:layout>
              <c:dLblPos val="outEnd"/>
              <c:showVal val="1"/>
            </c:dLbl>
            <c:dLbl>
              <c:idx val="4"/>
              <c:layout>
                <c:manualLayout>
                  <c:x val="6.9444444444447147E-3"/>
                  <c:y val="1.0376134889753573E-2"/>
                </c:manualLayout>
              </c:layout>
              <c:dLblPos val="outEnd"/>
              <c:showVal val="1"/>
            </c:dLbl>
            <c:dLbl>
              <c:idx val="5"/>
              <c:layout>
                <c:manualLayout>
                  <c:x val="1.4472840972638917E-3"/>
                  <c:y val="-3.0871141107362553E-4"/>
                </c:manualLayout>
              </c:layout>
              <c:dLblPos val="outEnd"/>
              <c:showVal val="1"/>
            </c:dLbl>
            <c:dLbl>
              <c:idx val="6"/>
              <c:layout>
                <c:manualLayout>
                  <c:x val="6.9444818620068415E-3"/>
                  <c:y val="1.5255593050868661E-2"/>
                </c:manualLayout>
              </c:layout>
              <c:dLblPos val="outEnd"/>
              <c:showVal val="1"/>
            </c:dLbl>
            <c:dLbl>
              <c:idx val="7"/>
              <c:layout>
                <c:manualLayout>
                  <c:x val="1.157407407407408E-2"/>
                  <c:y val="1.5564202334630461E-2"/>
                </c:manualLayout>
              </c:layout>
              <c:dLblPos val="outEnd"/>
              <c:showVal val="1"/>
            </c:dLbl>
            <c:dLbl>
              <c:idx val="8"/>
              <c:layout>
                <c:manualLayout>
                  <c:x val="1.3165321675381723E-2"/>
                  <c:y val="2.0546598341873942E-2"/>
                </c:manualLayout>
              </c:layout>
              <c:dLblPos val="outEnd"/>
              <c:showVal val="1"/>
            </c:dLbl>
            <c:dLbl>
              <c:idx val="9"/>
              <c:layout>
                <c:manualLayout>
                  <c:x val="2.7972553197568809E-3"/>
                  <c:y val="1.5564304461942341E-2"/>
                </c:manualLayout>
              </c:layout>
              <c:dLblPos val="outEnd"/>
              <c:showVal val="1"/>
            </c:dLbl>
            <c:dLbl>
              <c:idx val="10"/>
              <c:layout>
                <c:manualLayout>
                  <c:x val="-6.2632917386105827E-4"/>
                  <c:y val="-4.1203182935466522E-4"/>
                </c:manualLayout>
              </c:layout>
              <c:dLblPos val="outEnd"/>
              <c:showVal val="1"/>
            </c:dLbl>
            <c:dLbl>
              <c:idx val="11"/>
              <c:layout>
                <c:manualLayout>
                  <c:x val="1.1091708404256623E-2"/>
                  <c:y val="1.017039536724576E-2"/>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Лист1!$C$2:$C$7</c:f>
              <c:numCache>
                <c:formatCode>General</c:formatCode>
                <c:ptCount val="6"/>
                <c:pt idx="0">
                  <c:v>1083</c:v>
                </c:pt>
                <c:pt idx="1">
                  <c:v>1070</c:v>
                </c:pt>
                <c:pt idx="2">
                  <c:v>733</c:v>
                </c:pt>
                <c:pt idx="3">
                  <c:v>437</c:v>
                </c:pt>
                <c:pt idx="4">
                  <c:v>388</c:v>
                </c:pt>
                <c:pt idx="5">
                  <c:v>465</c:v>
                </c:pt>
              </c:numCache>
            </c:numRef>
          </c:val>
        </c:ser>
        <c:dLbls>
          <c:showVal val="1"/>
        </c:dLbls>
        <c:axId val="153966848"/>
        <c:axId val="154001408"/>
      </c:barChart>
      <c:catAx>
        <c:axId val="153966848"/>
        <c:scaling>
          <c:orientation val="minMax"/>
        </c:scaling>
        <c:axPos val="b"/>
        <c:numFmt formatCode="General" sourceLinked="1"/>
        <c:tickLblPos val="nextTo"/>
        <c:txPr>
          <a:bodyPr rot="-5400000" vert="horz"/>
          <a:lstStyle/>
          <a:p>
            <a:pPr>
              <a:defRPr>
                <a:latin typeface="Times New Roman" pitchFamily="18" charset="0"/>
                <a:cs typeface="Times New Roman" pitchFamily="18" charset="0"/>
              </a:defRPr>
            </a:pPr>
            <a:endParaRPr lang="ru-RU"/>
          </a:p>
        </c:txPr>
        <c:crossAx val="154001408"/>
        <c:crosses val="autoZero"/>
        <c:auto val="1"/>
        <c:lblAlgn val="ctr"/>
        <c:lblOffset val="100"/>
      </c:catAx>
      <c:valAx>
        <c:axId val="15400140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3966848"/>
        <c:crosses val="autoZero"/>
        <c:crossBetween val="between"/>
      </c:valAx>
    </c:plotArea>
    <c:legend>
      <c:legendPos val="r"/>
      <c:layout>
        <c:manualLayout>
          <c:xMode val="edge"/>
          <c:yMode val="edge"/>
          <c:x val="0.15415975802402621"/>
          <c:y val="0.89898965332036362"/>
          <c:w val="0.64974336994811965"/>
          <c:h val="0.10101029038036913"/>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821"/>
          <c:y val="2.0689655172414525E-2"/>
        </c:manualLayout>
      </c:layout>
      <c:spPr>
        <a:noFill/>
        <a:ln w="25399">
          <a:noFill/>
        </a:ln>
      </c:spPr>
    </c:title>
    <c:view3D>
      <c:rotX val="0"/>
      <c:rotY val="40"/>
      <c:depthPercent val="100"/>
      <c:rAngAx val="1"/>
    </c:view3D>
    <c:plotArea>
      <c:layout/>
      <c:bar3DChart>
        <c:barDir val="bar"/>
        <c:grouping val="clustered"/>
        <c:ser>
          <c:idx val="0"/>
          <c:order val="0"/>
          <c:tx>
            <c:strRef>
              <c:f>Лист1!$B$1</c:f>
              <c:strCache>
                <c:ptCount val="1"/>
                <c:pt idx="0">
                  <c:v>на 1.07.2015г.</c:v>
                </c:pt>
              </c:strCache>
            </c:strRef>
          </c:tx>
          <c:spPr>
            <a:solidFill>
              <a:srgbClr val="8064A2">
                <a:lumMod val="60000"/>
                <a:lumOff val="40000"/>
              </a:srgbClr>
            </a:solidFill>
          </c:spPr>
          <c:dLbls>
            <c:dLbl>
              <c:idx val="4"/>
              <c:layout>
                <c:manualLayout>
                  <c:x val="-2.3148148148148147E-3"/>
                  <c:y val="1.1904761904761921E-2"/>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General</c:formatCode>
                <c:ptCount val="8"/>
                <c:pt idx="0" formatCode="0.00">
                  <c:v>2.69</c:v>
                </c:pt>
                <c:pt idx="1">
                  <c:v>5.75</c:v>
                </c:pt>
                <c:pt idx="2">
                  <c:v>7.88</c:v>
                </c:pt>
                <c:pt idx="3" formatCode="0.00">
                  <c:v>8.9500000000000028</c:v>
                </c:pt>
                <c:pt idx="4">
                  <c:v>1.03</c:v>
                </c:pt>
                <c:pt idx="5">
                  <c:v>5.76</c:v>
                </c:pt>
                <c:pt idx="6">
                  <c:v>1.9500000000000133</c:v>
                </c:pt>
                <c:pt idx="7">
                  <c:v>1.54</c:v>
                </c:pt>
              </c:numCache>
            </c:numRef>
          </c:val>
        </c:ser>
        <c:ser>
          <c:idx val="1"/>
          <c:order val="1"/>
          <c:tx>
            <c:strRef>
              <c:f>Лист1!$C$1</c:f>
              <c:strCache>
                <c:ptCount val="1"/>
                <c:pt idx="0">
                  <c:v>на 1 07. 2014 г.</c:v>
                </c:pt>
              </c:strCache>
            </c:strRef>
          </c:tx>
          <c:spPr>
            <a:solidFill>
              <a:srgbClr val="F79646">
                <a:lumMod val="60000"/>
                <a:lumOff val="40000"/>
              </a:srgbClr>
            </a:solidFill>
          </c:spPr>
          <c:dLbls>
            <c:dLbl>
              <c:idx val="0"/>
              <c:layout>
                <c:manualLayout>
                  <c:x val="2.3108030040439047E-3"/>
                  <c:y val="-1.2084592145015121E-2"/>
                </c:manualLayout>
              </c:layout>
              <c:showVal val="1"/>
            </c:dLbl>
            <c:dLbl>
              <c:idx val="1"/>
              <c:layout>
                <c:manualLayout>
                  <c:x val="2.3108030040439047E-3"/>
                  <c:y val="-1.2084592145015121E-2"/>
                </c:manualLayout>
              </c:layout>
              <c:showVal val="1"/>
            </c:dLbl>
            <c:dLbl>
              <c:idx val="2"/>
              <c:layout>
                <c:manualLayout>
                  <c:x val="-8.4728464691162759E-17"/>
                  <c:y val="-8.0563947633434246E-3"/>
                </c:manualLayout>
              </c:layout>
              <c:showVal val="1"/>
            </c:dLbl>
            <c:dLbl>
              <c:idx val="3"/>
              <c:layout>
                <c:manualLayout>
                  <c:x val="4.6216060080878103E-3"/>
                  <c:y val="-1.2084592145015121E-2"/>
                </c:manualLayout>
              </c:layout>
              <c:showVal val="1"/>
            </c:dLbl>
            <c:dLbl>
              <c:idx val="4"/>
              <c:layout>
                <c:manualLayout>
                  <c:x val="0"/>
                  <c:y val="-8.0563947633434246E-3"/>
                </c:manualLayout>
              </c:layout>
              <c:showVal val="1"/>
            </c:dLbl>
            <c:dLbl>
              <c:idx val="6"/>
              <c:layout>
                <c:manualLayout>
                  <c:x val="2.3108030040439047E-3"/>
                  <c:y val="-8.0563947633434246E-3"/>
                </c:manualLayout>
              </c:layout>
              <c:showVal val="1"/>
            </c:dLbl>
            <c:dLbl>
              <c:idx val="7"/>
              <c:layout>
                <c:manualLayout>
                  <c:x val="-1.2008897501330541E-5"/>
                  <c:y val="-7.7566588164394894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General</c:formatCode>
                <c:ptCount val="8"/>
                <c:pt idx="0" formatCode="0.00">
                  <c:v>3.62</c:v>
                </c:pt>
                <c:pt idx="1">
                  <c:v>3.82</c:v>
                </c:pt>
                <c:pt idx="2">
                  <c:v>5.63</c:v>
                </c:pt>
                <c:pt idx="3" formatCode="0.00">
                  <c:v>6.9700000000000024</c:v>
                </c:pt>
                <c:pt idx="4" formatCode="0.00">
                  <c:v>0.8</c:v>
                </c:pt>
                <c:pt idx="5">
                  <c:v>4.05</c:v>
                </c:pt>
                <c:pt idx="6">
                  <c:v>1.6500000000000001</c:v>
                </c:pt>
                <c:pt idx="7">
                  <c:v>1.3900000000000001</c:v>
                </c:pt>
              </c:numCache>
            </c:numRef>
          </c:val>
        </c:ser>
        <c:shape val="cylinder"/>
        <c:axId val="153945600"/>
        <c:axId val="153947136"/>
        <c:axId val="0"/>
      </c:bar3DChart>
      <c:catAx>
        <c:axId val="153945600"/>
        <c:scaling>
          <c:orientation val="minMax"/>
        </c:scaling>
        <c:axPos val="l"/>
        <c:numFmt formatCode="General" sourceLinked="1"/>
        <c:tickLblPos val="nextTo"/>
        <c:txPr>
          <a:bodyPr/>
          <a:lstStyle/>
          <a:p>
            <a:pPr>
              <a:defRPr b="1"/>
            </a:pPr>
            <a:endParaRPr lang="ru-RU"/>
          </a:p>
        </c:txPr>
        <c:crossAx val="153947136"/>
        <c:crosses val="autoZero"/>
        <c:auto val="1"/>
        <c:lblAlgn val="ctr"/>
        <c:lblOffset val="100"/>
      </c:catAx>
      <c:valAx>
        <c:axId val="153947136"/>
        <c:scaling>
          <c:orientation val="minMax"/>
        </c:scaling>
        <c:delete val="1"/>
        <c:axPos val="b"/>
        <c:numFmt formatCode="0.00" sourceLinked="1"/>
        <c:tickLblPos val="nextTo"/>
        <c:crossAx val="153945600"/>
        <c:crosses val="autoZero"/>
        <c:crossBetween val="between"/>
      </c:valAx>
      <c:spPr>
        <a:noFill/>
        <a:ln w="25399">
          <a:noFill/>
        </a:ln>
      </c:spPr>
    </c:plotArea>
    <c:legend>
      <c:legendPos val="r"/>
      <c:layout>
        <c:manualLayout>
          <c:xMode val="edge"/>
          <c:yMode val="edge"/>
          <c:x val="0.28064411359325331"/>
          <c:y val="0.9203259244493176"/>
          <c:w val="0.41900244271892356"/>
          <c:h val="6.5153659590019619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100"/>
            </a:pPr>
            <a:r>
              <a:rPr lang="ru-RU" sz="1200"/>
              <a:t>Динамика численности вакантных рабочих мест (должнотей) и безработных граждан, зарегистрированных в службе занятости</a:t>
            </a:r>
          </a:p>
        </c:rich>
      </c:tx>
      <c:layout>
        <c:manualLayout>
          <c:xMode val="edge"/>
          <c:yMode val="edge"/>
          <c:x val="0.18830181417938593"/>
          <c:y val="4.0874768276343072E-2"/>
        </c:manualLayout>
      </c:layout>
    </c:title>
    <c:plotArea>
      <c:layout>
        <c:manualLayout>
          <c:layoutTarget val="inner"/>
          <c:xMode val="edge"/>
          <c:yMode val="edge"/>
          <c:x val="3.7453067633408096E-2"/>
          <c:y val="0.24563148137951291"/>
          <c:w val="0.96182757214000159"/>
          <c:h val="0.46282069636401096"/>
        </c:manualLayout>
      </c:layout>
      <c:lineChart>
        <c:grouping val="standard"/>
        <c:ser>
          <c:idx val="0"/>
          <c:order val="0"/>
          <c:tx>
            <c:strRef>
              <c:f>Лист1!$B$1</c:f>
              <c:strCache>
                <c:ptCount val="1"/>
                <c:pt idx="0">
                  <c:v>Количество граждан состоявших на учете в службе занятости</c:v>
                </c:pt>
              </c:strCache>
            </c:strRef>
          </c:tx>
          <c:spPr>
            <a:ln>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c:spPr>
          <c:marker>
            <c:spPr>
              <a:ln>
                <a:gradFill>
                  <a:gsLst>
                    <a:gs pos="0">
                      <a:srgbClr val="8488C4"/>
                    </a:gs>
                    <a:gs pos="53000">
                      <a:srgbClr val="D4DEFF"/>
                    </a:gs>
                    <a:gs pos="83000">
                      <a:srgbClr val="D4DEFF"/>
                    </a:gs>
                    <a:gs pos="100000">
                      <a:srgbClr val="96AB94"/>
                    </a:gs>
                  </a:gsLst>
                  <a:lin ang="5400000" scaled="0"/>
                </a:gradFill>
              </a:ln>
            </c:spPr>
          </c:marker>
          <c:dLbls>
            <c:txPr>
              <a:bodyPr/>
              <a:lstStyle/>
              <a:p>
                <a:pPr>
                  <a:defRPr sz="950"/>
                </a:pPr>
                <a:endParaRPr lang="ru-RU"/>
              </a:p>
            </c:txPr>
            <c:dLblPos val="t"/>
            <c:showVal val="1"/>
          </c:dLbls>
          <c:cat>
            <c:numRef>
              <c:f>Лист1!$A$2:$A$8</c:f>
              <c:numCache>
                <c:formatCode>dd/mm/yyyy</c:formatCode>
                <c:ptCount val="7"/>
                <c:pt idx="0">
                  <c:v>42005</c:v>
                </c:pt>
                <c:pt idx="1">
                  <c:v>42036</c:v>
                </c:pt>
                <c:pt idx="2">
                  <c:v>42064</c:v>
                </c:pt>
                <c:pt idx="3">
                  <c:v>42095</c:v>
                </c:pt>
                <c:pt idx="4">
                  <c:v>42125</c:v>
                </c:pt>
                <c:pt idx="5">
                  <c:v>42156</c:v>
                </c:pt>
                <c:pt idx="6">
                  <c:v>42186</c:v>
                </c:pt>
              </c:numCache>
            </c:numRef>
          </c:cat>
          <c:val>
            <c:numRef>
              <c:f>Лист1!$B$2:$B$8</c:f>
              <c:numCache>
                <c:formatCode>General</c:formatCode>
                <c:ptCount val="7"/>
                <c:pt idx="0">
                  <c:v>5157</c:v>
                </c:pt>
                <c:pt idx="1">
                  <c:v>5507</c:v>
                </c:pt>
                <c:pt idx="2">
                  <c:v>5788</c:v>
                </c:pt>
                <c:pt idx="3">
                  <c:v>5164</c:v>
                </c:pt>
                <c:pt idx="4">
                  <c:v>4448</c:v>
                </c:pt>
                <c:pt idx="5">
                  <c:v>4102</c:v>
                </c:pt>
                <c:pt idx="6">
                  <c:v>3758</c:v>
                </c:pt>
              </c:numCache>
            </c:numRef>
          </c:val>
        </c:ser>
        <c:ser>
          <c:idx val="1"/>
          <c:order val="1"/>
          <c:tx>
            <c:strRef>
              <c:f>Лист1!$C$1</c:f>
              <c:strCache>
                <c:ptCount val="1"/>
                <c:pt idx="0">
                  <c:v>Наличие вакансий в базе данных службы занятости</c:v>
                </c:pt>
              </c:strCache>
            </c:strRef>
          </c:tx>
          <c:spPr>
            <a:ln>
              <a:solidFill>
                <a:schemeClr val="accent2">
                  <a:lumMod val="60000"/>
                  <a:lumOff val="40000"/>
                </a:schemeClr>
              </a:solidFill>
            </a:ln>
          </c:spPr>
          <c:marker>
            <c:spPr>
              <a:ln>
                <a:solidFill>
                  <a:schemeClr val="accent2">
                    <a:lumMod val="60000"/>
                    <a:lumOff val="40000"/>
                  </a:schemeClr>
                </a:solidFill>
                <a:bevel/>
              </a:ln>
            </c:spPr>
          </c:marker>
          <c:dLbls>
            <c:txPr>
              <a:bodyPr/>
              <a:lstStyle/>
              <a:p>
                <a:pPr>
                  <a:defRPr sz="950"/>
                </a:pPr>
                <a:endParaRPr lang="ru-RU"/>
              </a:p>
            </c:txPr>
            <c:dLblPos val="b"/>
            <c:showVal val="1"/>
          </c:dLbls>
          <c:cat>
            <c:numRef>
              <c:f>Лист1!$A$2:$A$8</c:f>
              <c:numCache>
                <c:formatCode>dd/mm/yyyy</c:formatCode>
                <c:ptCount val="7"/>
                <c:pt idx="0">
                  <c:v>42005</c:v>
                </c:pt>
                <c:pt idx="1">
                  <c:v>42036</c:v>
                </c:pt>
                <c:pt idx="2">
                  <c:v>42064</c:v>
                </c:pt>
                <c:pt idx="3">
                  <c:v>42095</c:v>
                </c:pt>
                <c:pt idx="4">
                  <c:v>42125</c:v>
                </c:pt>
                <c:pt idx="5">
                  <c:v>42156</c:v>
                </c:pt>
                <c:pt idx="6">
                  <c:v>42186</c:v>
                </c:pt>
              </c:numCache>
            </c:numRef>
          </c:cat>
          <c:val>
            <c:numRef>
              <c:f>Лист1!$C$2:$C$8</c:f>
              <c:numCache>
                <c:formatCode>General</c:formatCode>
                <c:ptCount val="7"/>
                <c:pt idx="0">
                  <c:v>1393</c:v>
                </c:pt>
                <c:pt idx="1">
                  <c:v>1477</c:v>
                </c:pt>
                <c:pt idx="2">
                  <c:v>1304</c:v>
                </c:pt>
                <c:pt idx="3">
                  <c:v>1208</c:v>
                </c:pt>
                <c:pt idx="4">
                  <c:v>1115</c:v>
                </c:pt>
                <c:pt idx="5">
                  <c:v>1148</c:v>
                </c:pt>
                <c:pt idx="6">
                  <c:v>1142</c:v>
                </c:pt>
              </c:numCache>
            </c:numRef>
          </c:val>
        </c:ser>
        <c:marker val="1"/>
        <c:axId val="154923392"/>
        <c:axId val="154924928"/>
      </c:lineChart>
      <c:dateAx>
        <c:axId val="154923392"/>
        <c:scaling>
          <c:orientation val="minMax"/>
        </c:scaling>
        <c:axPos val="b"/>
        <c:numFmt formatCode="dd/mm/yyyy" sourceLinked="1"/>
        <c:tickLblPos val="nextTo"/>
        <c:txPr>
          <a:bodyPr/>
          <a:lstStyle/>
          <a:p>
            <a:pPr>
              <a:defRPr sz="950"/>
            </a:pPr>
            <a:endParaRPr lang="ru-RU"/>
          </a:p>
        </c:txPr>
        <c:crossAx val="154924928"/>
        <c:crosses val="autoZero"/>
        <c:auto val="1"/>
        <c:lblOffset val="100"/>
      </c:dateAx>
      <c:valAx>
        <c:axId val="154924928"/>
        <c:scaling>
          <c:orientation val="minMax"/>
        </c:scaling>
        <c:delete val="1"/>
        <c:axPos val="l"/>
        <c:numFmt formatCode="General" sourceLinked="1"/>
        <c:tickLblPos val="nextTo"/>
        <c:crossAx val="154923392"/>
        <c:crosses val="autoZero"/>
        <c:crossBetween val="between"/>
      </c:valAx>
    </c:plotArea>
    <c:legend>
      <c:legendPos val="b"/>
      <c:layout>
        <c:manualLayout>
          <c:xMode val="edge"/>
          <c:yMode val="edge"/>
          <c:x val="3.9576671014282722E-2"/>
          <c:y val="0.8478266615274489"/>
          <c:w val="0.92424066783320002"/>
          <c:h val="0.15217333847255121"/>
        </c:manualLayout>
      </c:layout>
      <c:txPr>
        <a:bodyPr/>
        <a:lstStyle/>
        <a:p>
          <a:pPr>
            <a:defRPr sz="1100"/>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915">
                <a:solidFill>
                  <a:srgbClr val="FF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Динамика инвестиций в основной капитал</a:t>
            </a:r>
          </a:p>
          <a:p>
            <a:pPr>
              <a:defRPr sz="915">
                <a:solidFill>
                  <a:srgbClr val="FF0000"/>
                </a:solidFill>
                <a:latin typeface="Times New Roman" pitchFamily="18" charset="0"/>
                <a:cs typeface="Times New Roman" pitchFamily="18" charset="0"/>
              </a:defRPr>
            </a:pPr>
            <a:r>
              <a:rPr lang="ru-RU" sz="1048">
                <a:solidFill>
                  <a:sysClr val="windowText" lastClr="000000"/>
                </a:solidFill>
                <a:latin typeface="Times New Roman" pitchFamily="18" charset="0"/>
                <a:cs typeface="Times New Roman" pitchFamily="18" charset="0"/>
              </a:rPr>
              <a:t> </a:t>
            </a:r>
            <a:r>
              <a:rPr lang="ru-RU" sz="873" b="0">
                <a:solidFill>
                  <a:sysClr val="windowText" lastClr="000000"/>
                </a:solidFill>
                <a:latin typeface="Times New Roman" pitchFamily="18" charset="0"/>
                <a:cs typeface="Times New Roman" pitchFamily="18" charset="0"/>
              </a:rPr>
              <a:t>(в части новых и приобретенных по импорту основных средств) по организациям всех форм собственности (кроме субъектов предпринимательства)</a:t>
            </a:r>
            <a:endParaRPr lang="ru-RU" sz="1000">
              <a:solidFill>
                <a:sysClr val="windowText" lastClr="000000"/>
              </a:solidFill>
              <a:latin typeface="Times New Roman" pitchFamily="18" charset="0"/>
              <a:cs typeface="Times New Roman" pitchFamily="18" charset="0"/>
            </a:endParaRPr>
          </a:p>
        </c:rich>
      </c:tx>
      <c:layout>
        <c:manualLayout>
          <c:xMode val="edge"/>
          <c:yMode val="edge"/>
          <c:x val="0.18287619585011194"/>
          <c:y val="3.1745709205704152E-2"/>
        </c:manualLayout>
      </c:layout>
    </c:title>
    <c:plotArea>
      <c:layout>
        <c:manualLayout>
          <c:layoutTarget val="inner"/>
          <c:xMode val="edge"/>
          <c:yMode val="edge"/>
          <c:x val="0.27305555555555555"/>
          <c:y val="0.29126631898285754"/>
          <c:w val="0.6700881620566661"/>
          <c:h val="0.34419288498028688"/>
        </c:manualLayout>
      </c:layout>
      <c:barChart>
        <c:barDir val="col"/>
        <c:grouping val="clustered"/>
        <c:ser>
          <c:idx val="0"/>
          <c:order val="0"/>
          <c:tx>
            <c:strRef>
              <c:f>Лист1!$B$1</c:f>
              <c:strCache>
                <c:ptCount val="1"/>
                <c:pt idx="0">
                  <c:v>Инвестиции в основной капитал, млн. руб.</c:v>
                </c:pt>
              </c:strCache>
            </c:strRef>
          </c:tx>
          <c:dLbls>
            <c:dLbl>
              <c:idx val="0"/>
              <c:layout>
                <c:manualLayout>
                  <c:x val="0"/>
                  <c:y val="1.195814648729447E-2"/>
                </c:manualLayout>
              </c:layout>
              <c:tx>
                <c:rich>
                  <a:bodyPr/>
                  <a:lstStyle/>
                  <a:p>
                    <a:r>
                      <a:rPr lang="ru-RU" sz="786" b="1">
                        <a:latin typeface="Times New Roman" pitchFamily="18" charset="0"/>
                        <a:cs typeface="Times New Roman" pitchFamily="18" charset="0"/>
                      </a:rPr>
                      <a:t>+5,0*</a:t>
                    </a:r>
                    <a:endParaRPr lang="en-US" sz="900" b="1">
                      <a:latin typeface="Times New Roman" pitchFamily="18" charset="0"/>
                      <a:cs typeface="Times New Roman" pitchFamily="18" charset="0"/>
                    </a:endParaRPr>
                  </a:p>
                </c:rich>
              </c:tx>
              <c:dLblPos val="outEnd"/>
            </c:dLbl>
            <c:dLbl>
              <c:idx val="1"/>
              <c:layout>
                <c:manualLayout>
                  <c:x val="2.136752136752137E-3"/>
                  <c:y val="7.2379741769947013E-3"/>
                </c:manualLayout>
              </c:layout>
              <c:tx>
                <c:rich>
                  <a:bodyPr/>
                  <a:lstStyle/>
                  <a:p>
                    <a:r>
                      <a:rPr lang="ru-RU" sz="786" b="1">
                        <a:latin typeface="Times New Roman" pitchFamily="18" charset="0"/>
                        <a:cs typeface="Times New Roman" pitchFamily="18" charset="0"/>
                      </a:rPr>
                      <a:t>-36,3*</a:t>
                    </a:r>
                    <a:endParaRPr lang="en-US" sz="900" b="1">
                      <a:latin typeface="Times New Roman" pitchFamily="18" charset="0"/>
                      <a:cs typeface="Times New Roman" pitchFamily="18" charset="0"/>
                    </a:endParaRPr>
                  </a:p>
                </c:rich>
              </c:tx>
              <c:dLblPos val="outEnd"/>
            </c:dLbl>
            <c:txPr>
              <a:bodyPr/>
              <a:lstStyle/>
              <a:p>
                <a:pPr>
                  <a:defRPr sz="786" b="1">
                    <a:latin typeface="Times New Roman" pitchFamily="18" charset="0"/>
                    <a:cs typeface="Times New Roman" pitchFamily="18" charset="0"/>
                  </a:defRPr>
                </a:pPr>
                <a:endParaRPr lang="ru-RU"/>
              </a:p>
            </c:txPr>
            <c:dLblPos val="outEnd"/>
            <c:showVal val="1"/>
          </c:dLbls>
          <c:cat>
            <c:strRef>
              <c:f>Лист1!$A$2:$A$3</c:f>
              <c:strCache>
                <c:ptCount val="2"/>
                <c:pt idx="0">
                  <c:v>январь-декабрь 2014 года</c:v>
                </c:pt>
                <c:pt idx="1">
                  <c:v>январь-декабрь 2015 года</c:v>
                </c:pt>
              </c:strCache>
            </c:strRef>
          </c:cat>
          <c:val>
            <c:numRef>
              <c:f>Лист1!$B$2:$B$3</c:f>
              <c:numCache>
                <c:formatCode>#,##0.0</c:formatCode>
                <c:ptCount val="2"/>
                <c:pt idx="0">
                  <c:v>629.70000000000005</c:v>
                </c:pt>
                <c:pt idx="1">
                  <c:v>400.7</c:v>
                </c:pt>
              </c:numCache>
            </c:numRef>
          </c:val>
        </c:ser>
        <c:dLbls>
          <c:showVal val="1"/>
        </c:dLbls>
        <c:axId val="130813312"/>
        <c:axId val="130860160"/>
      </c:barChart>
      <c:catAx>
        <c:axId val="130813312"/>
        <c:scaling>
          <c:orientation val="minMax"/>
        </c:scaling>
        <c:axPos val="b"/>
        <c:numFmt formatCode="General" sourceLinked="1"/>
        <c:tickLblPos val="nextTo"/>
        <c:crossAx val="130860160"/>
        <c:crosses val="autoZero"/>
        <c:auto val="1"/>
        <c:lblAlgn val="ctr"/>
        <c:lblOffset val="100"/>
      </c:catAx>
      <c:valAx>
        <c:axId val="130860160"/>
        <c:scaling>
          <c:orientation val="minMax"/>
          <c:min val="10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темп прироста (спада),%</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(в сопоставимых ценах) </a:t>
                </a:r>
              </a:p>
            </c:rich>
          </c:tx>
          <c:layout>
            <c:manualLayout>
              <c:xMode val="edge"/>
              <c:yMode val="edge"/>
              <c:x val="9.9786324786325046E-3"/>
              <c:y val="0.46010694924816642"/>
            </c:manualLayout>
          </c:layout>
        </c:title>
        <c:numFmt formatCode="#,##0" sourceLinked="0"/>
        <c:tickLblPos val="nextTo"/>
        <c:txPr>
          <a:bodyPr/>
          <a:lstStyle/>
          <a:p>
            <a:pPr>
              <a:defRPr b="1">
                <a:latin typeface="Times New Roman" pitchFamily="18" charset="0"/>
                <a:cs typeface="Times New Roman" pitchFamily="18" charset="0"/>
              </a:defRPr>
            </a:pPr>
            <a:endParaRPr lang="ru-RU"/>
          </a:p>
        </c:txPr>
        <c:crossAx val="130813312"/>
        <c:crosses val="autoZero"/>
        <c:crossBetween val="between"/>
        <c:majorUnit val="100"/>
        <c:minorUnit val="5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r>
              <a:rPr lang="ru-RU" sz="1100"/>
              <a:t>Отраслевая структура инвестиций в основной капитал, млн. руб.</a:t>
            </a:r>
          </a:p>
        </c:rich>
      </c:tx>
      <c:layout>
        <c:manualLayout>
          <c:xMode val="edge"/>
          <c:yMode val="edge"/>
          <c:x val="0.23032410608730591"/>
          <c:y val="3.017960254968129E-2"/>
        </c:manualLayout>
      </c:layout>
      <c:spPr>
        <a:noFill/>
        <a:ln w="24876">
          <a:noFill/>
        </a:ln>
      </c:spPr>
    </c:title>
    <c:plotArea>
      <c:layout>
        <c:manualLayout>
          <c:layoutTarget val="inner"/>
          <c:xMode val="edge"/>
          <c:yMode val="edge"/>
          <c:x val="0.12114102592700079"/>
          <c:y val="0.1722279254342354"/>
          <c:w val="0.87885897407301539"/>
          <c:h val="0.38762838945473965"/>
        </c:manualLayout>
      </c:layout>
      <c:barChart>
        <c:barDir val="col"/>
        <c:grouping val="clustered"/>
        <c:ser>
          <c:idx val="0"/>
          <c:order val="0"/>
          <c:tx>
            <c:strRef>
              <c:f>Лист1!$B$1</c:f>
              <c:strCache>
                <c:ptCount val="1"/>
                <c:pt idx="0">
                  <c:v>январь-декабрь 2014года</c:v>
                </c:pt>
              </c:strCache>
            </c:strRef>
          </c:tx>
          <c:spPr>
            <a:solidFill>
              <a:schemeClr val="accent6">
                <a:lumMod val="75000"/>
              </a:schemeClr>
            </a:solidFill>
          </c:spPr>
          <c:dLbls>
            <c:dLbl>
              <c:idx val="0"/>
              <c:tx>
                <c:rich>
                  <a:bodyPr/>
                  <a:lstStyle/>
                  <a:p>
                    <a:pPr>
                      <a:defRPr/>
                    </a:pPr>
                    <a:r>
                      <a:rPr lang="ru-RU" sz="784" b="1"/>
                      <a:t>41,0*</a:t>
                    </a:r>
                    <a:endParaRPr lang="en-US" sz="800" b="1"/>
                  </a:p>
                </c:rich>
              </c:tx>
              <c:spPr>
                <a:noFill/>
                <a:ln w="24876">
                  <a:noFill/>
                </a:ln>
              </c:spPr>
              <c:dLblPos val="outEnd"/>
            </c:dLbl>
            <c:dLbl>
              <c:idx val="1"/>
              <c:layout>
                <c:manualLayout>
                  <c:x val="-6.0060060060060094E-3"/>
                  <c:y val="3.5087719298245892E-3"/>
                </c:manualLayout>
              </c:layout>
              <c:tx>
                <c:rich>
                  <a:bodyPr/>
                  <a:lstStyle/>
                  <a:p>
                    <a:pPr>
                      <a:defRPr/>
                    </a:pPr>
                    <a:r>
                      <a:rPr lang="ru-RU" sz="784" b="1"/>
                      <a:t>18,4*</a:t>
                    </a:r>
                    <a:endParaRPr lang="en-US" sz="800" b="1"/>
                  </a:p>
                </c:rich>
              </c:tx>
              <c:spPr>
                <a:noFill/>
                <a:ln w="24876">
                  <a:noFill/>
                </a:ln>
              </c:spPr>
              <c:dLblPos val="outEnd"/>
            </c:dLbl>
            <c:dLbl>
              <c:idx val="2"/>
              <c:tx>
                <c:rich>
                  <a:bodyPr/>
                  <a:lstStyle/>
                  <a:p>
                    <a:pPr>
                      <a:defRPr/>
                    </a:pPr>
                    <a:r>
                      <a:rPr lang="ru-RU" sz="784" b="1"/>
                      <a:t>12,3*</a:t>
                    </a:r>
                    <a:endParaRPr lang="en-US" sz="800" b="1"/>
                  </a:p>
                </c:rich>
              </c:tx>
              <c:spPr>
                <a:noFill/>
                <a:ln w="24876">
                  <a:noFill/>
                </a:ln>
              </c:spPr>
              <c:dLblPos val="outEnd"/>
            </c:dLbl>
            <c:dLbl>
              <c:idx val="3"/>
              <c:layout>
                <c:manualLayout>
                  <c:x val="6.0422960725075824E-3"/>
                  <c:y val="7.984031936127671E-3"/>
                </c:manualLayout>
              </c:layout>
              <c:tx>
                <c:rich>
                  <a:bodyPr/>
                  <a:lstStyle/>
                  <a:p>
                    <a:pPr>
                      <a:defRPr/>
                    </a:pPr>
                    <a:r>
                      <a:rPr lang="ru-RU" sz="784" b="1"/>
                      <a:t>4,2*</a:t>
                    </a:r>
                    <a:endParaRPr lang="en-US" sz="800" b="1"/>
                  </a:p>
                </c:rich>
              </c:tx>
              <c:spPr>
                <a:noFill/>
                <a:ln w="24876">
                  <a:noFill/>
                </a:ln>
              </c:spPr>
              <c:dLblPos val="outEnd"/>
            </c:dLbl>
            <c:dLbl>
              <c:idx val="4"/>
              <c:tx>
                <c:rich>
                  <a:bodyPr/>
                  <a:lstStyle/>
                  <a:p>
                    <a:pPr>
                      <a:defRPr/>
                    </a:pPr>
                    <a:r>
                      <a:rPr lang="ru-RU" sz="784" b="1"/>
                      <a:t>0,7*</a:t>
                    </a:r>
                    <a:endParaRPr lang="en-US" sz="800" b="1"/>
                  </a:p>
                </c:rich>
              </c:tx>
              <c:spPr>
                <a:noFill/>
                <a:ln w="24876">
                  <a:noFill/>
                </a:ln>
              </c:spPr>
              <c:dLblPos val="outEnd"/>
            </c:dLbl>
            <c:dLbl>
              <c:idx val="5"/>
              <c:layout>
                <c:manualLayout>
                  <c:x val="-4.0040040040039302E-3"/>
                  <c:y val="1.0526315789473684E-2"/>
                </c:manualLayout>
              </c:layout>
              <c:tx>
                <c:rich>
                  <a:bodyPr/>
                  <a:lstStyle/>
                  <a:p>
                    <a:pPr>
                      <a:defRPr/>
                    </a:pPr>
                    <a:r>
                      <a:rPr lang="ru-RU" sz="784" b="1"/>
                      <a:t>8,6*</a:t>
                    </a:r>
                    <a:endParaRPr lang="en-US" sz="800" b="1"/>
                  </a:p>
                </c:rich>
              </c:tx>
              <c:spPr>
                <a:noFill/>
                <a:ln w="24876">
                  <a:noFill/>
                </a:ln>
              </c:spPr>
              <c:dLblPos val="outEnd"/>
            </c:dLbl>
            <c:dLbl>
              <c:idx val="6"/>
              <c:layout>
                <c:manualLayout>
                  <c:x val="-2.0020020020020042E-3"/>
                  <c:y val="1.0526315789473684E-2"/>
                </c:manualLayout>
              </c:layout>
              <c:tx>
                <c:rich>
                  <a:bodyPr/>
                  <a:lstStyle/>
                  <a:p>
                    <a:pPr>
                      <a:defRPr/>
                    </a:pPr>
                    <a:r>
                      <a:rPr lang="ru-RU" sz="784" b="1"/>
                      <a:t>0,8*</a:t>
                    </a:r>
                    <a:endParaRPr lang="en-US" sz="800" b="1"/>
                  </a:p>
                </c:rich>
              </c:tx>
              <c:spPr>
                <a:noFill/>
                <a:ln w="24876">
                  <a:noFill/>
                </a:ln>
              </c:spPr>
              <c:dLblPos val="outEnd"/>
            </c:dLbl>
            <c:dLbl>
              <c:idx val="7"/>
              <c:layout>
                <c:manualLayout>
                  <c:x val="0"/>
                  <c:y val="1.0526315789473753E-2"/>
                </c:manualLayout>
              </c:layout>
              <c:tx>
                <c:rich>
                  <a:bodyPr/>
                  <a:lstStyle/>
                  <a:p>
                    <a:pPr>
                      <a:defRPr/>
                    </a:pPr>
                    <a:r>
                      <a:rPr lang="ru-RU" sz="784" b="1"/>
                      <a:t>2,1*</a:t>
                    </a:r>
                    <a:endParaRPr lang="en-US" sz="800" b="1"/>
                  </a:p>
                </c:rich>
              </c:tx>
              <c:spPr>
                <a:noFill/>
                <a:ln w="24876">
                  <a:noFill/>
                </a:ln>
              </c:spPr>
              <c:dLblPos val="outEnd"/>
            </c:dLbl>
            <c:dLbl>
              <c:idx val="8"/>
              <c:layout>
                <c:manualLayout>
                  <c:x val="-5.6716706445689223E-4"/>
                  <c:y val="-1.6464237516869103E-2"/>
                </c:manualLayout>
              </c:layout>
              <c:tx>
                <c:rich>
                  <a:bodyPr/>
                  <a:lstStyle/>
                  <a:p>
                    <a:pPr>
                      <a:defRPr/>
                    </a:pPr>
                    <a:r>
                      <a:rPr lang="ru-RU" sz="784" b="1"/>
                      <a:t>4,2*</a:t>
                    </a:r>
                    <a:endParaRPr lang="en-US" sz="800" b="1"/>
                  </a:p>
                </c:rich>
              </c:tx>
              <c:spPr>
                <a:noFill/>
                <a:ln w="24876">
                  <a:noFill/>
                </a:ln>
              </c:spPr>
              <c:dLblPos val="outEnd"/>
            </c:dLbl>
            <c:dLbl>
              <c:idx val="9"/>
              <c:tx>
                <c:rich>
                  <a:bodyPr/>
                  <a:lstStyle/>
                  <a:p>
                    <a:pPr>
                      <a:defRPr/>
                    </a:pPr>
                    <a:r>
                      <a:rPr lang="ru-RU" sz="784" b="1"/>
                      <a:t>0,9*</a:t>
                    </a:r>
                    <a:endParaRPr lang="en-US" sz="800" b="1"/>
                  </a:p>
                </c:rich>
              </c:tx>
              <c:spPr>
                <a:noFill/>
                <a:ln w="24876">
                  <a:noFill/>
                </a:ln>
              </c:spPr>
              <c:dLblPos val="outEnd"/>
            </c:dLbl>
            <c:dLbl>
              <c:idx val="10"/>
              <c:layout>
                <c:manualLayout>
                  <c:x val="-1.0010010010010013E-2"/>
                  <c:y val="3.5087719298245892E-3"/>
                </c:manualLayout>
              </c:layout>
              <c:tx>
                <c:rich>
                  <a:bodyPr/>
                  <a:lstStyle/>
                  <a:p>
                    <a:pPr>
                      <a:defRPr/>
                    </a:pPr>
                    <a:r>
                      <a:rPr lang="ru-RU" sz="784" b="1"/>
                      <a:t>6,8*</a:t>
                    </a:r>
                    <a:endParaRPr lang="en-US" sz="800" b="1"/>
                  </a:p>
                </c:rich>
              </c:tx>
              <c:spPr>
                <a:noFill/>
                <a:ln w="24876">
                  <a:noFill/>
                </a:ln>
              </c:spPr>
              <c:dLblPos val="outEnd"/>
            </c:dLbl>
            <c:spPr>
              <a:noFill/>
              <a:ln w="24876">
                <a:noFill/>
              </a:ln>
            </c:spPr>
            <c:dLblPos val="outEnd"/>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Лист1!$B$2:$B$12</c:f>
              <c:numCache>
                <c:formatCode>#,##0.0</c:formatCode>
                <c:ptCount val="11"/>
                <c:pt idx="0">
                  <c:v>258.3</c:v>
                </c:pt>
                <c:pt idx="1">
                  <c:v>116</c:v>
                </c:pt>
                <c:pt idx="2">
                  <c:v>77.2</c:v>
                </c:pt>
                <c:pt idx="3">
                  <c:v>26.4</c:v>
                </c:pt>
                <c:pt idx="4">
                  <c:v>4.5</c:v>
                </c:pt>
                <c:pt idx="5">
                  <c:v>53.9</c:v>
                </c:pt>
                <c:pt idx="6">
                  <c:v>5.2</c:v>
                </c:pt>
                <c:pt idx="7">
                  <c:v>13.5</c:v>
                </c:pt>
                <c:pt idx="8">
                  <c:v>26.4</c:v>
                </c:pt>
                <c:pt idx="9">
                  <c:v>5.4</c:v>
                </c:pt>
                <c:pt idx="10">
                  <c:v>43.1</c:v>
                </c:pt>
              </c:numCache>
            </c:numRef>
          </c:val>
        </c:ser>
        <c:ser>
          <c:idx val="1"/>
          <c:order val="1"/>
          <c:tx>
            <c:strRef>
              <c:f>Лист1!$C$1</c:f>
              <c:strCache>
                <c:ptCount val="1"/>
                <c:pt idx="0">
                  <c:v>январь-декабрь 2015года</c:v>
                </c:pt>
              </c:strCache>
            </c:strRef>
          </c:tx>
          <c:spPr>
            <a:solidFill>
              <a:srgbClr val="0070C0"/>
            </a:solidFill>
          </c:spPr>
          <c:dLbls>
            <c:dLbl>
              <c:idx val="0"/>
              <c:layout>
                <c:manualLayout>
                  <c:x val="1.1086451402876981E-2"/>
                  <c:y val="3.6134800657336252E-3"/>
                </c:manualLayout>
              </c:layout>
              <c:tx>
                <c:rich>
                  <a:bodyPr/>
                  <a:lstStyle/>
                  <a:p>
                    <a:pPr>
                      <a:defRPr/>
                    </a:pPr>
                    <a:r>
                      <a:rPr lang="ru-RU" sz="784" b="1"/>
                      <a:t>37,7*</a:t>
                    </a:r>
                    <a:endParaRPr lang="en-US" sz="800" b="1"/>
                  </a:p>
                </c:rich>
              </c:tx>
              <c:spPr>
                <a:noFill/>
                <a:ln w="24876">
                  <a:noFill/>
                </a:ln>
              </c:spPr>
              <c:dLblPos val="outEnd"/>
            </c:dLbl>
            <c:dLbl>
              <c:idx val="1"/>
              <c:layout>
                <c:manualLayout>
                  <c:x val="1.2012012012012015E-2"/>
                  <c:y val="0"/>
                </c:manualLayout>
              </c:layout>
              <c:tx>
                <c:rich>
                  <a:bodyPr/>
                  <a:lstStyle/>
                  <a:p>
                    <a:pPr>
                      <a:defRPr/>
                    </a:pPr>
                    <a:r>
                      <a:rPr lang="ru-RU" sz="784" b="1"/>
                      <a:t>18,2*</a:t>
                    </a:r>
                    <a:endParaRPr lang="en-US" sz="800" b="1"/>
                  </a:p>
                </c:rich>
              </c:tx>
              <c:spPr>
                <a:noFill/>
                <a:ln w="24876">
                  <a:noFill/>
                </a:ln>
              </c:spPr>
              <c:dLblPos val="outEnd"/>
            </c:dLbl>
            <c:dLbl>
              <c:idx val="2"/>
              <c:layout>
                <c:manualLayout>
                  <c:x val="7.5542965061378723E-3"/>
                  <c:y val="0"/>
                </c:manualLayout>
              </c:layout>
              <c:tx>
                <c:rich>
                  <a:bodyPr/>
                  <a:lstStyle/>
                  <a:p>
                    <a:pPr>
                      <a:defRPr/>
                    </a:pPr>
                    <a:r>
                      <a:rPr lang="ru-RU" sz="784" b="1"/>
                      <a:t>4,0*</a:t>
                    </a:r>
                    <a:endParaRPr lang="en-US" sz="800" b="1"/>
                  </a:p>
                </c:rich>
              </c:tx>
              <c:spPr>
                <a:noFill/>
                <a:ln w="24876">
                  <a:noFill/>
                </a:ln>
              </c:spPr>
            </c:dLbl>
            <c:dLbl>
              <c:idx val="3"/>
              <c:layout>
                <c:manualLayout>
                  <c:x val="1.2965964343598063E-2"/>
                  <c:y val="-7.2267389340560104E-3"/>
                </c:manualLayout>
              </c:layout>
              <c:tx>
                <c:rich>
                  <a:bodyPr/>
                  <a:lstStyle/>
                  <a:p>
                    <a:pPr>
                      <a:defRPr/>
                    </a:pPr>
                    <a:r>
                      <a:rPr lang="ru-RU" sz="784" b="1"/>
                      <a:t>6,7*</a:t>
                    </a:r>
                    <a:endParaRPr lang="en-US" sz="800" b="1"/>
                  </a:p>
                </c:rich>
              </c:tx>
              <c:spPr>
                <a:noFill/>
                <a:ln w="24876">
                  <a:noFill/>
                </a:ln>
              </c:spPr>
              <c:dLblPos val="outEnd"/>
            </c:dLbl>
            <c:dLbl>
              <c:idx val="4"/>
              <c:layout>
                <c:manualLayout>
                  <c:x val="1.2965964343598063E-2"/>
                  <c:y val="0"/>
                </c:manualLayout>
              </c:layout>
              <c:tx>
                <c:rich>
                  <a:bodyPr/>
                  <a:lstStyle/>
                  <a:p>
                    <a:pPr>
                      <a:defRPr/>
                    </a:pPr>
                    <a:r>
                      <a:rPr lang="ru-RU" sz="784" b="1"/>
                      <a:t>1,0*</a:t>
                    </a:r>
                    <a:endParaRPr lang="en-US" sz="800" b="1"/>
                  </a:p>
                </c:rich>
              </c:tx>
              <c:spPr>
                <a:noFill/>
                <a:ln w="24876">
                  <a:noFill/>
                </a:ln>
              </c:spPr>
              <c:dLblPos val="outEnd"/>
            </c:dLbl>
            <c:dLbl>
              <c:idx val="5"/>
              <c:layout>
                <c:manualLayout>
                  <c:x val="1.0804970286331783E-2"/>
                  <c:y val="0"/>
                </c:manualLayout>
              </c:layout>
              <c:tx>
                <c:rich>
                  <a:bodyPr/>
                  <a:lstStyle/>
                  <a:p>
                    <a:pPr>
                      <a:defRPr/>
                    </a:pPr>
                    <a:r>
                      <a:rPr lang="ru-RU" sz="784" b="1"/>
                      <a:t>10,3*</a:t>
                    </a:r>
                    <a:endParaRPr lang="en-US" sz="800" b="1"/>
                  </a:p>
                </c:rich>
              </c:tx>
              <c:spPr>
                <a:noFill/>
                <a:ln w="24876">
                  <a:noFill/>
                </a:ln>
              </c:spPr>
              <c:dLblPos val="outEnd"/>
            </c:dLbl>
            <c:dLbl>
              <c:idx val="6"/>
              <c:layout>
                <c:manualLayout>
                  <c:x val="6.4829821717990324E-3"/>
                  <c:y val="7.2267389340560104E-3"/>
                </c:manualLayout>
              </c:layout>
              <c:tx>
                <c:rich>
                  <a:bodyPr/>
                  <a:lstStyle/>
                  <a:p>
                    <a:pPr>
                      <a:defRPr/>
                    </a:pPr>
                    <a:r>
                      <a:rPr lang="ru-RU" sz="784" b="1"/>
                      <a:t>0,6*</a:t>
                    </a:r>
                    <a:endParaRPr lang="en-US" sz="800" b="1"/>
                  </a:p>
                </c:rich>
              </c:tx>
              <c:spPr>
                <a:noFill/>
                <a:ln w="24876">
                  <a:noFill/>
                </a:ln>
              </c:spPr>
              <c:dLblPos val="outEnd"/>
            </c:dLbl>
            <c:dLbl>
              <c:idx val="7"/>
              <c:layout>
                <c:manualLayout>
                  <c:x val="1.0804970286331783E-2"/>
                  <c:y val="3.6133694670280052E-3"/>
                </c:manualLayout>
              </c:layout>
              <c:tx>
                <c:rich>
                  <a:bodyPr/>
                  <a:lstStyle/>
                  <a:p>
                    <a:pPr>
                      <a:defRPr/>
                    </a:pPr>
                    <a:r>
                      <a:rPr lang="ru-RU" sz="784" b="1"/>
                      <a:t>1,5*</a:t>
                    </a:r>
                    <a:endParaRPr lang="en-US" sz="800" b="1"/>
                  </a:p>
                </c:rich>
              </c:tx>
              <c:spPr>
                <a:noFill/>
                <a:ln w="24876">
                  <a:noFill/>
                </a:ln>
              </c:spPr>
              <c:dLblPos val="outEnd"/>
            </c:dLbl>
            <c:dLbl>
              <c:idx val="8"/>
              <c:tx>
                <c:rich>
                  <a:bodyPr/>
                  <a:lstStyle/>
                  <a:p>
                    <a:pPr>
                      <a:defRPr/>
                    </a:pPr>
                    <a:r>
                      <a:rPr lang="ru-RU" sz="784" b="1"/>
                      <a:t>3,2*</a:t>
                    </a:r>
                    <a:endParaRPr lang="en-US" sz="800" b="1"/>
                  </a:p>
                </c:rich>
              </c:tx>
              <c:spPr>
                <a:noFill/>
                <a:ln w="24876">
                  <a:noFill/>
                </a:ln>
              </c:spPr>
            </c:dLbl>
            <c:dLbl>
              <c:idx val="9"/>
              <c:layout>
                <c:manualLayout>
                  <c:x val="6.4829821717990324E-3"/>
                  <c:y val="3.6133694670280052E-3"/>
                </c:manualLayout>
              </c:layout>
              <c:tx>
                <c:rich>
                  <a:bodyPr/>
                  <a:lstStyle/>
                  <a:p>
                    <a:pPr>
                      <a:defRPr/>
                    </a:pPr>
                    <a:r>
                      <a:rPr lang="ru-RU" sz="784" b="1"/>
                      <a:t>0,5*</a:t>
                    </a:r>
                    <a:endParaRPr lang="en-US" sz="800" b="1"/>
                  </a:p>
                </c:rich>
              </c:tx>
              <c:spPr>
                <a:noFill/>
                <a:ln w="24876">
                  <a:noFill/>
                </a:ln>
              </c:spPr>
              <c:dLblPos val="outEnd"/>
            </c:dLbl>
            <c:dLbl>
              <c:idx val="10"/>
              <c:layout>
                <c:manualLayout>
                  <c:x val="2.0386986510407142E-3"/>
                  <c:y val="-5.3287849404581086E-3"/>
                </c:manualLayout>
              </c:layout>
              <c:tx>
                <c:rich>
                  <a:bodyPr/>
                  <a:lstStyle/>
                  <a:p>
                    <a:pPr>
                      <a:defRPr/>
                    </a:pPr>
                    <a:r>
                      <a:rPr lang="ru-RU" sz="784" b="1"/>
                      <a:t>16,3*</a:t>
                    </a:r>
                    <a:endParaRPr lang="en-US" sz="800" b="1"/>
                  </a:p>
                </c:rich>
              </c:tx>
              <c:spPr>
                <a:noFill/>
                <a:ln w="24876">
                  <a:noFill/>
                </a:ln>
              </c:spPr>
              <c:dLblPos val="outEnd"/>
            </c:dLbl>
            <c:spPr>
              <a:noFill/>
              <a:ln w="24876">
                <a:noFill/>
              </a:ln>
            </c:spPr>
            <c:showVal val="1"/>
          </c:dLbls>
          <c:cat>
            <c:strRef>
              <c:f>Лист1!$A$2:$A$12</c:f>
              <c:strCache>
                <c:ptCount val="11"/>
                <c:pt idx="0">
                  <c:v>Промышленность</c:v>
                </c:pt>
                <c:pt idx="1">
                  <c:v>Сельское хозяйство</c:v>
                </c:pt>
                <c:pt idx="2">
                  <c:v>Транспорт</c:v>
                </c:pt>
                <c:pt idx="3">
                  <c:v>Связь</c:v>
                </c:pt>
                <c:pt idx="4">
                  <c:v>Строительство</c:v>
                </c:pt>
                <c:pt idx="5">
                  <c:v>Торговля и общественное питание</c:v>
                </c:pt>
                <c:pt idx="6">
                  <c:v>Жилищное строительство</c:v>
                </c:pt>
                <c:pt idx="7">
                  <c:v>Коммунальное хозяйство</c:v>
                </c:pt>
                <c:pt idx="8">
                  <c:v>Здравоохранение и соц.обеспечение</c:v>
                </c:pt>
                <c:pt idx="9">
                  <c:v>Образование</c:v>
                </c:pt>
                <c:pt idx="10">
                  <c:v>Прочие</c:v>
                </c:pt>
              </c:strCache>
            </c:strRef>
          </c:cat>
          <c:val>
            <c:numRef>
              <c:f>Лист1!$C$2:$C$12</c:f>
              <c:numCache>
                <c:formatCode>#,##0.0</c:formatCode>
                <c:ptCount val="11"/>
                <c:pt idx="0">
                  <c:v>151.1</c:v>
                </c:pt>
                <c:pt idx="1">
                  <c:v>73</c:v>
                </c:pt>
                <c:pt idx="2">
                  <c:v>16.100000000000001</c:v>
                </c:pt>
                <c:pt idx="3">
                  <c:v>26.8</c:v>
                </c:pt>
                <c:pt idx="4">
                  <c:v>3.9</c:v>
                </c:pt>
                <c:pt idx="5">
                  <c:v>41.2</c:v>
                </c:pt>
                <c:pt idx="6">
                  <c:v>2.4</c:v>
                </c:pt>
                <c:pt idx="7">
                  <c:v>6.2</c:v>
                </c:pt>
                <c:pt idx="8">
                  <c:v>13</c:v>
                </c:pt>
                <c:pt idx="9">
                  <c:v>1.8</c:v>
                </c:pt>
                <c:pt idx="10">
                  <c:v>65.3</c:v>
                </c:pt>
              </c:numCache>
            </c:numRef>
          </c:val>
        </c:ser>
        <c:dLbls>
          <c:showVal val="1"/>
        </c:dLbls>
        <c:axId val="131261568"/>
        <c:axId val="131263104"/>
      </c:barChart>
      <c:catAx>
        <c:axId val="131261568"/>
        <c:scaling>
          <c:orientation val="minMax"/>
        </c:scaling>
        <c:axPos val="b"/>
        <c:numFmt formatCode="@" sourceLinked="0"/>
        <c:tickLblPos val="low"/>
        <c:txPr>
          <a:bodyPr rot="5400000" vert="horz" anchor="ctr" anchorCtr="0"/>
          <a:lstStyle/>
          <a:p>
            <a:pPr>
              <a:defRPr b="1"/>
            </a:pPr>
            <a:endParaRPr lang="ru-RU"/>
          </a:p>
        </c:txPr>
        <c:crossAx val="131263104"/>
        <c:crosses val="autoZero"/>
        <c:lblAlgn val="ctr"/>
        <c:lblOffset val="100"/>
      </c:catAx>
      <c:valAx>
        <c:axId val="131263104"/>
        <c:scaling>
          <c:orientation val="minMax"/>
          <c:max val="300"/>
          <c:min val="0"/>
        </c:scaling>
        <c:axPos val="l"/>
        <c:title>
          <c:tx>
            <c:rich>
              <a:bodyPr rot="0" vert="horz"/>
              <a:lstStyle/>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 уд. вес в</a:t>
                </a:r>
              </a:p>
              <a:p>
                <a:pPr algn="ctr">
                  <a:defRPr sz="900" b="0" i="0" u="none" strike="noStrike" baseline="0">
                    <a:solidFill>
                      <a:srgbClr val="000000"/>
                    </a:solidFill>
                    <a:latin typeface="Calibri"/>
                    <a:ea typeface="Calibri"/>
                    <a:cs typeface="Calibri"/>
                  </a:defRPr>
                </a:pPr>
                <a:r>
                  <a:rPr lang="ru-RU" sz="900" b="1" i="0" strike="noStrike">
                    <a:solidFill>
                      <a:srgbClr val="000000"/>
                    </a:solidFill>
                    <a:latin typeface="Times New Roman"/>
                    <a:cs typeface="Times New Roman"/>
                  </a:rPr>
                  <a:t> общем объеме инвестиций, % </a:t>
                </a:r>
              </a:p>
            </c:rich>
          </c:tx>
          <c:layout>
            <c:manualLayout>
              <c:xMode val="edge"/>
              <c:yMode val="edge"/>
              <c:x val="0.8571116712393998"/>
              <c:y val="0.15486417856304546"/>
            </c:manualLayout>
          </c:layout>
          <c:spPr>
            <a:noFill/>
            <a:ln w="24876">
              <a:noFill/>
            </a:ln>
          </c:spPr>
        </c:title>
        <c:numFmt formatCode="#,##0" sourceLinked="0"/>
        <c:tickLblPos val="nextTo"/>
        <c:txPr>
          <a:bodyPr/>
          <a:lstStyle/>
          <a:p>
            <a:pPr>
              <a:defRPr b="1"/>
            </a:pPr>
            <a:endParaRPr lang="ru-RU"/>
          </a:p>
        </c:txPr>
        <c:crossAx val="131261568"/>
        <c:crosses val="autoZero"/>
        <c:crossBetween val="between"/>
        <c:majorUnit val="50"/>
      </c:valAx>
    </c:plotArea>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pic>
      <cdr:nvPicPr>
        <cdr:cNvPr id="102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032750" y="-2645855"/>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38C9E-B80C-43CF-BF80-3C40B5F8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77</Pages>
  <Words>27124</Words>
  <Characters>154612</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grecha-m</dc:creator>
  <cp:keywords/>
  <dc:description/>
  <cp:lastModifiedBy>grecha-m</cp:lastModifiedBy>
  <cp:revision>48</cp:revision>
  <cp:lastPrinted>2015-09-17T11:07:00Z</cp:lastPrinted>
  <dcterms:created xsi:type="dcterms:W3CDTF">2015-08-25T13:26:00Z</dcterms:created>
  <dcterms:modified xsi:type="dcterms:W3CDTF">2015-09-17T11:08:00Z</dcterms:modified>
</cp:coreProperties>
</file>