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theme/themeOverride3.xml" ContentType="application/vnd.openxmlformats-officedocument.themeOverride+xml"/>
  <Override PartName="/word/charts/chart4.xml" ContentType="application/vnd.openxmlformats-officedocument.drawingml.chart+xml"/>
  <Override PartName="/word/theme/themeOverride4.xml" ContentType="application/vnd.openxmlformats-officedocument.themeOverride+xml"/>
  <Override PartName="/word/drawings/drawing1.xml" ContentType="application/vnd.openxmlformats-officedocument.drawingml.chartshapes+xml"/>
  <Override PartName="/word/charts/chart5.xml" ContentType="application/vnd.openxmlformats-officedocument.drawingml.chart+xml"/>
  <Override PartName="/word/theme/themeOverride5.xml" ContentType="application/vnd.openxmlformats-officedocument.themeOverride+xml"/>
  <Override PartName="/word/charts/chart6.xml" ContentType="application/vnd.openxmlformats-officedocument.drawingml.chart+xml"/>
  <Override PartName="/word/theme/themeOverride6.xml" ContentType="application/vnd.openxmlformats-officedocument.themeOverride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theme/themeOverride7.xml" ContentType="application/vnd.openxmlformats-officedocument.themeOverride+xml"/>
  <Override PartName="/word/charts/chart9.xml" ContentType="application/vnd.openxmlformats-officedocument.drawingml.chart+xml"/>
  <Override PartName="/word/theme/themeOverride8.xml" ContentType="application/vnd.openxmlformats-officedocument.themeOverride+xml"/>
  <Override PartName="/word/charts/chart10.xml" ContentType="application/vnd.openxmlformats-officedocument.drawingml.chart+xml"/>
  <Override PartName="/word/theme/themeOverride9.xml" ContentType="application/vnd.openxmlformats-officedocument.themeOverride+xml"/>
  <Override PartName="/word/charts/chart11.xml" ContentType="application/vnd.openxmlformats-officedocument.drawingml.chart+xml"/>
  <Override PartName="/word/theme/themeOverride10.xml" ContentType="application/vnd.openxmlformats-officedocument.themeOverride+xml"/>
  <Override PartName="/word/charts/chart12.xml" ContentType="application/vnd.openxmlformats-officedocument.drawingml.chart+xml"/>
  <Override PartName="/word/charts/chart13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673E" w:rsidRPr="00E54656" w:rsidRDefault="0011673E" w:rsidP="0011673E">
      <w:pPr>
        <w:pStyle w:val="1"/>
        <w:tabs>
          <w:tab w:val="left" w:pos="993"/>
        </w:tabs>
        <w:spacing w:before="0"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E54656">
        <w:rPr>
          <w:rFonts w:ascii="Times New Roman" w:hAnsi="Times New Roman" w:cs="Times New Roman"/>
          <w:sz w:val="24"/>
          <w:szCs w:val="24"/>
        </w:rPr>
        <w:t>Краткие итоги социально-экономического развития Приднестровской Молдавской Республики в январе 201</w:t>
      </w:r>
      <w:r w:rsidR="000D352A" w:rsidRPr="00E54656">
        <w:rPr>
          <w:rFonts w:ascii="Times New Roman" w:hAnsi="Times New Roman" w:cs="Times New Roman"/>
          <w:sz w:val="24"/>
          <w:szCs w:val="24"/>
        </w:rPr>
        <w:t>6</w:t>
      </w:r>
      <w:r w:rsidRPr="00E54656">
        <w:rPr>
          <w:rFonts w:ascii="Times New Roman" w:hAnsi="Times New Roman" w:cs="Times New Roman"/>
          <w:sz w:val="24"/>
          <w:szCs w:val="24"/>
        </w:rPr>
        <w:t xml:space="preserve"> года </w:t>
      </w:r>
    </w:p>
    <w:p w:rsidR="008727F3" w:rsidRDefault="008727F3" w:rsidP="008727F3">
      <w:pPr>
        <w:pStyle w:val="ab"/>
        <w:spacing w:before="0" w:beforeAutospacing="0" w:after="0" w:afterAutospacing="0"/>
        <w:ind w:firstLine="709"/>
        <w:jc w:val="both"/>
      </w:pPr>
      <w:r>
        <w:t>В</w:t>
      </w:r>
      <w:r w:rsidRPr="00A42CC4">
        <w:t xml:space="preserve"> </w:t>
      </w:r>
      <w:r>
        <w:t xml:space="preserve">январе 2016 года положительных изменений во </w:t>
      </w:r>
      <w:r w:rsidRPr="006E5E01">
        <w:t>внешнеполитической и экономической конъюнктурной ситуаци</w:t>
      </w:r>
      <w:r>
        <w:t>и</w:t>
      </w:r>
      <w:r w:rsidRPr="00DF58EC">
        <w:t xml:space="preserve"> </w:t>
      </w:r>
      <w:r>
        <w:t>не произошло, что усилило риски осуществления внешнеэкономической деятельности хозяйствующими субъектами республики и отразилось на динамике промышленного производства.</w:t>
      </w:r>
      <w:r w:rsidRPr="008727F3">
        <w:t xml:space="preserve"> </w:t>
      </w:r>
      <w:r w:rsidRPr="00E54656">
        <w:t xml:space="preserve">Давление </w:t>
      </w:r>
      <w:r>
        <w:t xml:space="preserve">внешних </w:t>
      </w:r>
      <w:r w:rsidRPr="00E54656">
        <w:t>факторов в совокупности с внутренними проблемами оказывали дестабилизирующее воздействие на динамику основных макроэкономических показателей и развитие экономики в целом.</w:t>
      </w:r>
    </w:p>
    <w:p w:rsidR="0011673E" w:rsidRPr="00E54656" w:rsidRDefault="0011673E" w:rsidP="0011673E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AE0D34" w:rsidRPr="00E54656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 w:rsidRPr="00E54656"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Промышленность</w:t>
      </w:r>
    </w:p>
    <w:p w:rsidR="00BE4CC9" w:rsidRPr="00E54656" w:rsidRDefault="00AE0D34" w:rsidP="00BE4CC9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Ситуация в индустриальном секторе республики в рассматриваемом периоде складывалась под воздействием </w:t>
      </w:r>
      <w:r w:rsidRPr="00E54656">
        <w:rPr>
          <w:rFonts w:ascii="Times New Roman" w:eastAsia="Times New Roman" w:hAnsi="Times New Roman" w:cs="Times New Roman"/>
          <w:color w:val="262626"/>
          <w:sz w:val="24"/>
          <w:szCs w:val="24"/>
          <w:shd w:val="clear" w:color="auto" w:fill="FFFFFF"/>
        </w:rPr>
        <w:t>ограничительных барьеров со стороны соседних государств, а также падения спроса на приднестровскую продукцию как на внутреннем, так и на внешних рынках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Объем п</w:t>
      </w:r>
      <w:r w:rsidRPr="00E54656">
        <w:rPr>
          <w:rFonts w:ascii="Times New Roman" w:eastAsia="Times New Roman" w:hAnsi="Times New Roman" w:cs="Times New Roman"/>
          <w:snapToGrid w:val="0"/>
          <w:sz w:val="24"/>
          <w:szCs w:val="24"/>
        </w:rPr>
        <w:t>ромышленного производства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(без учета субъектов малого предпринимательства) в </w:t>
      </w:r>
      <w:r w:rsidR="00FF5855" w:rsidRPr="00E54656">
        <w:rPr>
          <w:rFonts w:ascii="Times New Roman" w:eastAsia="Times New Roman" w:hAnsi="Times New Roman" w:cs="Times New Roman"/>
          <w:sz w:val="24"/>
          <w:szCs w:val="24"/>
        </w:rPr>
        <w:t>январе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FF5855" w:rsidRPr="00E54656">
        <w:rPr>
          <w:rFonts w:ascii="Times New Roman" w:eastAsia="Times New Roman" w:hAnsi="Times New Roman" w:cs="Times New Roman"/>
          <w:snapToGrid w:val="0"/>
          <w:sz w:val="24"/>
          <w:szCs w:val="24"/>
        </w:rPr>
        <w:t>2016</w:t>
      </w:r>
      <w:r w:rsidRPr="00E546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год</w:t>
      </w:r>
      <w:r w:rsidR="00FF5855" w:rsidRPr="00E54656">
        <w:rPr>
          <w:rFonts w:ascii="Times New Roman" w:eastAsia="Times New Roman" w:hAnsi="Times New Roman" w:cs="Times New Roman"/>
          <w:snapToGrid w:val="0"/>
          <w:sz w:val="24"/>
          <w:szCs w:val="24"/>
        </w:rPr>
        <w:t>а</w:t>
      </w:r>
      <w:r w:rsidRPr="00E54656">
        <w:rPr>
          <w:rFonts w:ascii="Times New Roman" w:eastAsia="Times New Roman" w:hAnsi="Times New Roman" w:cs="Times New Roman"/>
          <w:snapToGrid w:val="0"/>
          <w:sz w:val="24"/>
          <w:szCs w:val="24"/>
        </w:rPr>
        <w:t xml:space="preserve">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составил в абсолютной величине </w:t>
      </w:r>
      <w:r w:rsidR="008727F3">
        <w:rPr>
          <w:rFonts w:ascii="Times New Roman" w:eastAsia="Times New Roman" w:hAnsi="Times New Roman" w:cs="Times New Roman"/>
          <w:sz w:val="24"/>
          <w:szCs w:val="24"/>
        </w:rPr>
        <w:br/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613,3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млн. руб., что 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выш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е аналогичного показателя прошлого года на 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1,9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%. В долларовом эквиваленте объем промышленного производства составил 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55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млн. долл. или 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92,4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% к уровню показателя 201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 xml:space="preserve">5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года.</w:t>
      </w:r>
      <w:r w:rsidR="00BE4CC9" w:rsidRPr="00E54656">
        <w:rPr>
          <w:rFonts w:ascii="Times New Roman" w:eastAsia="Times New Roman" w:hAnsi="Times New Roman" w:cs="Times New Roman"/>
          <w:sz w:val="24"/>
          <w:szCs w:val="24"/>
        </w:rPr>
        <w:t xml:space="preserve"> Доход от реализации в </w:t>
      </w:r>
      <w:r w:rsidR="008727F3">
        <w:rPr>
          <w:rFonts w:ascii="Times New Roman" w:eastAsia="Times New Roman" w:hAnsi="Times New Roman" w:cs="Times New Roman"/>
          <w:sz w:val="24"/>
          <w:szCs w:val="24"/>
        </w:rPr>
        <w:t>рассматриваемом периоде</w:t>
      </w:r>
      <w:r w:rsidR="00BE4CC9" w:rsidRPr="00E54656">
        <w:rPr>
          <w:rFonts w:ascii="Times New Roman" w:eastAsia="Times New Roman" w:hAnsi="Times New Roman" w:cs="Times New Roman"/>
          <w:sz w:val="24"/>
          <w:szCs w:val="24"/>
        </w:rPr>
        <w:t xml:space="preserve"> сложился ниже показателя 201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BE4CC9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5,6</w:t>
      </w:r>
      <w:r w:rsidR="00BE4CC9" w:rsidRPr="00E54656">
        <w:rPr>
          <w:rFonts w:ascii="Times New Roman" w:eastAsia="Times New Roman" w:hAnsi="Times New Roman" w:cs="Times New Roman"/>
          <w:sz w:val="24"/>
          <w:szCs w:val="24"/>
        </w:rPr>
        <w:t xml:space="preserve">% и составил 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611</w:t>
      </w:r>
      <w:r w:rsidR="00BE4CC9" w:rsidRPr="00E546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7</w:t>
      </w:r>
      <w:r w:rsidR="00BE4CC9" w:rsidRPr="00E54656">
        <w:rPr>
          <w:rFonts w:ascii="Times New Roman" w:eastAsia="Times New Roman" w:hAnsi="Times New Roman" w:cs="Times New Roman"/>
          <w:sz w:val="24"/>
          <w:szCs w:val="24"/>
        </w:rPr>
        <w:t xml:space="preserve"> млн. руб.</w:t>
      </w:r>
      <w:r w:rsidR="00C35210" w:rsidRPr="00E54656">
        <w:rPr>
          <w:rFonts w:ascii="Times New Roman" w:eastAsia="Times New Roman" w:hAnsi="Times New Roman" w:cs="Times New Roman"/>
          <w:sz w:val="24"/>
          <w:szCs w:val="24"/>
        </w:rPr>
        <w:t xml:space="preserve"> или 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55,1</w:t>
      </w:r>
      <w:r w:rsidR="00C35210" w:rsidRPr="00E54656">
        <w:rPr>
          <w:rFonts w:ascii="Times New Roman" w:eastAsia="Times New Roman" w:hAnsi="Times New Roman" w:cs="Times New Roman"/>
          <w:sz w:val="24"/>
          <w:szCs w:val="24"/>
        </w:rPr>
        <w:t xml:space="preserve"> млн. долл.</w:t>
      </w:r>
      <w:r w:rsidR="007A0520" w:rsidRPr="00E54656">
        <w:rPr>
          <w:rFonts w:ascii="Times New Roman" w:eastAsia="Times New Roman" w:hAnsi="Times New Roman" w:cs="Times New Roman"/>
          <w:sz w:val="24"/>
          <w:szCs w:val="24"/>
        </w:rPr>
        <w:t xml:space="preserve"> Доля экспорта в общем объеме промышленного производства составила 61,0%</w:t>
      </w:r>
      <w:r w:rsidR="00B367D5">
        <w:rPr>
          <w:rFonts w:ascii="Times New Roman" w:eastAsia="Times New Roman" w:hAnsi="Times New Roman" w:cs="Times New Roman"/>
          <w:sz w:val="24"/>
          <w:szCs w:val="24"/>
        </w:rPr>
        <w:t>, против 65,5% в базовом периоде 2015 года.</w:t>
      </w:r>
    </w:p>
    <w:p w:rsidR="00AE0D34" w:rsidRPr="00E54656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3625215</wp:posOffset>
            </wp:positionH>
            <wp:positionV relativeFrom="paragraph">
              <wp:posOffset>383540</wp:posOffset>
            </wp:positionV>
            <wp:extent cx="2571750" cy="2038350"/>
            <wp:effectExtent l="19050" t="0" r="0" b="0"/>
            <wp:wrapTight wrapText="bothSides">
              <wp:wrapPolygon edited="0">
                <wp:start x="-160" y="0"/>
                <wp:lineTo x="-160" y="21398"/>
                <wp:lineTo x="21600" y="21398"/>
                <wp:lineTo x="21600" y="0"/>
                <wp:lineTo x="-160" y="0"/>
              </wp:wrapPolygon>
            </wp:wrapTight>
            <wp:docPr id="4" name="Диаграмма 1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anchor>
        </w:drawing>
      </w:r>
      <w:r w:rsidRPr="00E54656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-60960</wp:posOffset>
            </wp:positionH>
            <wp:positionV relativeFrom="paragraph">
              <wp:posOffset>383540</wp:posOffset>
            </wp:positionV>
            <wp:extent cx="3743325" cy="1981200"/>
            <wp:effectExtent l="19050" t="0" r="0" b="0"/>
            <wp:wrapTight wrapText="bothSides">
              <wp:wrapPolygon edited="0">
                <wp:start x="-110" y="0"/>
                <wp:lineTo x="-110" y="21392"/>
                <wp:lineTo x="21545" y="21392"/>
                <wp:lineTo x="21545" y="0"/>
                <wp:lineTo x="-110" y="0"/>
              </wp:wrapPolygon>
            </wp:wrapTight>
            <wp:docPr id="7" name="Диаграмма 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anchor>
        </w:drawing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Отраслевая структура промышленного производства 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в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январе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E72F78" w:rsidRPr="00E5465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выглядела следующим образом:</w:t>
      </w:r>
    </w:p>
    <w:p w:rsidR="00AE0D34" w:rsidRPr="00E54656" w:rsidRDefault="00665821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Незначительное уменьшение 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объемов производства в электроэнергетике позволило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ей 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сохранить лидирующую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позицию в структуре выпуска – 51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,3% (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52,5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% в </w:t>
      </w:r>
      <w:r w:rsidR="00523F1E">
        <w:rPr>
          <w:rFonts w:ascii="Times New Roman" w:eastAsia="Times New Roman" w:hAnsi="Times New Roman" w:cs="Times New Roman"/>
          <w:sz w:val="24"/>
          <w:szCs w:val="24"/>
        </w:rPr>
        <w:t xml:space="preserve">январе              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23F1E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). На металлургию в результате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увеличения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объемов товарного выпуска в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январе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соответствующему периоду 2015 года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, в рассматриваемом периоде приходилось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19,2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% выпуска в промышленности против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13,5% в январе 2015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года. Предприятия легкой и пищевой промышленности сформировали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по 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1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,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% товарного выпуска соответственно против 1</w:t>
      </w:r>
      <w:r w:rsidR="007A0520" w:rsidRPr="00E546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7A0520" w:rsidRPr="00E546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% и 1</w:t>
      </w:r>
      <w:r w:rsidR="007A0520" w:rsidRPr="00E54656">
        <w:rPr>
          <w:rFonts w:ascii="Times New Roman" w:eastAsia="Times New Roman" w:hAnsi="Times New Roman" w:cs="Times New Roman"/>
          <w:sz w:val="24"/>
          <w:szCs w:val="24"/>
        </w:rPr>
        <w:t>1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266D0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% в аналогичном периоде 201</w:t>
      </w:r>
      <w:r w:rsidR="007A0520" w:rsidRPr="00E546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E0D34" w:rsidRPr="00E54656" w:rsidRDefault="007057D2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A82">
        <w:rPr>
          <w:rFonts w:ascii="Times New Roman" w:eastAsia="Times New Roman" w:hAnsi="Times New Roman" w:cs="Times New Roman"/>
          <w:sz w:val="24"/>
          <w:szCs w:val="24"/>
        </w:rPr>
        <w:t>Объем</w:t>
      </w:r>
      <w:r w:rsidRPr="007057D2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7057D2">
        <w:rPr>
          <w:rFonts w:ascii="Times New Roman" w:eastAsia="Times New Roman" w:hAnsi="Times New Roman" w:cs="Times New Roman"/>
          <w:sz w:val="24"/>
          <w:szCs w:val="24"/>
        </w:rPr>
        <w:t xml:space="preserve">промышленного производства в </w:t>
      </w:r>
      <w:r w:rsidR="007A0520" w:rsidRPr="007057D2">
        <w:rPr>
          <w:rFonts w:ascii="Times New Roman" w:eastAsia="Times New Roman" w:hAnsi="Times New Roman" w:cs="Times New Roman"/>
          <w:sz w:val="24"/>
          <w:szCs w:val="24"/>
        </w:rPr>
        <w:t>январе 2016</w:t>
      </w:r>
      <w:r w:rsidR="00AE0D34" w:rsidRPr="007057D2">
        <w:rPr>
          <w:rFonts w:ascii="Times New Roman" w:eastAsia="Times New Roman" w:hAnsi="Times New Roman" w:cs="Times New Roman"/>
          <w:sz w:val="24"/>
          <w:szCs w:val="24"/>
        </w:rPr>
        <w:t xml:space="preserve"> года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сложился </w:t>
      </w:r>
      <w:r w:rsidR="00817C24" w:rsidRPr="007057D2">
        <w:rPr>
          <w:rFonts w:ascii="Times New Roman" w:eastAsia="Times New Roman" w:hAnsi="Times New Roman" w:cs="Times New Roman"/>
          <w:sz w:val="24"/>
          <w:szCs w:val="24"/>
        </w:rPr>
        <w:t>ниж</w:t>
      </w:r>
      <w:r w:rsidR="00AE0D34" w:rsidRPr="007057D2">
        <w:rPr>
          <w:rFonts w:ascii="Times New Roman" w:eastAsia="Times New Roman" w:hAnsi="Times New Roman" w:cs="Times New Roman"/>
          <w:sz w:val="24"/>
          <w:szCs w:val="24"/>
        </w:rPr>
        <w:t xml:space="preserve">е показателя </w:t>
      </w:r>
      <w:r w:rsidR="00817C24" w:rsidRPr="007057D2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AE0D34" w:rsidRPr="007057D2">
        <w:rPr>
          <w:rFonts w:ascii="Times New Roman" w:eastAsia="Times New Roman" w:hAnsi="Times New Roman" w:cs="Times New Roman"/>
          <w:sz w:val="24"/>
          <w:szCs w:val="24"/>
        </w:rPr>
        <w:t xml:space="preserve">бря 2015 года на </w:t>
      </w:r>
      <w:r w:rsidR="00817C24" w:rsidRPr="007057D2">
        <w:rPr>
          <w:rFonts w:ascii="Times New Roman" w:eastAsia="Times New Roman" w:hAnsi="Times New Roman" w:cs="Times New Roman"/>
          <w:sz w:val="24"/>
          <w:szCs w:val="24"/>
        </w:rPr>
        <w:t>25</w:t>
      </w:r>
      <w:r w:rsidR="00AE0D34" w:rsidRPr="007057D2">
        <w:rPr>
          <w:rFonts w:ascii="Times New Roman" w:eastAsia="Times New Roman" w:hAnsi="Times New Roman" w:cs="Times New Roman"/>
          <w:sz w:val="24"/>
          <w:szCs w:val="24"/>
        </w:rPr>
        <w:t>,</w:t>
      </w:r>
      <w:r w:rsidR="00817C24" w:rsidRPr="007057D2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0D34" w:rsidRPr="007057D2">
        <w:rPr>
          <w:rFonts w:ascii="Times New Roman" w:eastAsia="Times New Roman" w:hAnsi="Times New Roman" w:cs="Times New Roman"/>
          <w:sz w:val="24"/>
          <w:szCs w:val="24"/>
        </w:rPr>
        <w:t>%.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Достигнутые значения показателей промышленного производства свидетельствуют о нестабильной ситуации на предприятиях реального сектора экономики. Неблагоприятная конъюнктурная ситуация на мировых </w:t>
      </w:r>
      <w:r w:rsidR="00817C24" w:rsidRPr="00E54656">
        <w:rPr>
          <w:rFonts w:ascii="Times New Roman" w:eastAsia="Times New Roman" w:hAnsi="Times New Roman" w:cs="Times New Roman"/>
          <w:sz w:val="24"/>
          <w:szCs w:val="24"/>
        </w:rPr>
        <w:t xml:space="preserve">товарных и сырьевых 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рынках, трудности с выходом на внешние рынки, а также снижение покупательной активности населения продолжали оказывать дестабилизирующее воздействие на результаты деятельности предприятий индустрии в </w:t>
      </w:r>
      <w:r w:rsidR="00817C24" w:rsidRPr="00E54656">
        <w:rPr>
          <w:rFonts w:ascii="Times New Roman" w:eastAsia="Times New Roman" w:hAnsi="Times New Roman" w:cs="Times New Roman"/>
          <w:sz w:val="24"/>
          <w:szCs w:val="24"/>
        </w:rPr>
        <w:t>январе 2016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года.</w:t>
      </w:r>
    </w:p>
    <w:p w:rsidR="00AE0D34" w:rsidRPr="00E54656" w:rsidRDefault="00AE0D34" w:rsidP="00CD64CB">
      <w:pPr>
        <w:shd w:val="clear" w:color="auto" w:fill="FFFFFF"/>
        <w:spacing w:after="0" w:line="240" w:lineRule="auto"/>
        <w:ind w:firstLine="1276"/>
        <w:jc w:val="both"/>
        <w:rPr>
          <w:rFonts w:ascii="Times New Roman" w:hAnsi="Times New Roman"/>
          <w:color w:val="000000"/>
          <w:sz w:val="24"/>
          <w:szCs w:val="24"/>
        </w:rPr>
      </w:pPr>
      <w:r w:rsidRPr="00E54656">
        <w:rPr>
          <w:rFonts w:ascii="Times New Roman" w:hAnsi="Times New Roman"/>
          <w:noProof/>
          <w:color w:val="000000"/>
          <w:sz w:val="24"/>
          <w:szCs w:val="24"/>
        </w:rPr>
        <w:lastRenderedPageBreak/>
        <w:drawing>
          <wp:inline distT="0" distB="0" distL="0" distR="0">
            <wp:extent cx="4410075" cy="2066925"/>
            <wp:effectExtent l="19050" t="0" r="0" b="0"/>
            <wp:docPr id="9" name="Диаграмма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AE0D34" w:rsidRPr="00E54656" w:rsidRDefault="00AE0D34" w:rsidP="00AE0D3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</w:p>
    <w:p w:rsidR="00AE0D34" w:rsidRPr="00E54656" w:rsidRDefault="00817C2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A82">
        <w:rPr>
          <w:rFonts w:ascii="Times New Roman" w:eastAsia="Times New Roman" w:hAnsi="Times New Roman" w:cs="Times New Roman"/>
          <w:sz w:val="24"/>
          <w:szCs w:val="24"/>
        </w:rPr>
        <w:t>Д</w:t>
      </w:r>
      <w:r w:rsidR="00AE0D34" w:rsidRPr="00C77A82">
        <w:rPr>
          <w:rFonts w:ascii="Times New Roman" w:eastAsia="Times New Roman" w:hAnsi="Times New Roman" w:cs="Times New Roman"/>
          <w:sz w:val="24"/>
          <w:szCs w:val="24"/>
        </w:rPr>
        <w:t xml:space="preserve">инамика промышленного производства в </w:t>
      </w:r>
      <w:r w:rsidRPr="00C77A82">
        <w:rPr>
          <w:rFonts w:ascii="Times New Roman" w:eastAsia="Times New Roman" w:hAnsi="Times New Roman" w:cs="Times New Roman"/>
          <w:sz w:val="24"/>
          <w:szCs w:val="24"/>
        </w:rPr>
        <w:t xml:space="preserve">январе </w:t>
      </w:r>
      <w:r w:rsidR="00AE0D34" w:rsidRPr="00C77A82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C77A82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C77A82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Pr="00C77A82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0D34" w:rsidRPr="00C77A82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базов</w:t>
      </w:r>
      <w:r w:rsidR="00D61F2F" w:rsidRPr="00C77A82">
        <w:rPr>
          <w:rFonts w:ascii="Times New Roman" w:eastAsia="Times New Roman" w:hAnsi="Times New Roman" w:cs="Times New Roman"/>
          <w:sz w:val="24"/>
          <w:szCs w:val="24"/>
        </w:rPr>
        <w:t xml:space="preserve">ому </w:t>
      </w:r>
      <w:r w:rsidR="00AE0D34" w:rsidRPr="00C77A82">
        <w:rPr>
          <w:rFonts w:ascii="Times New Roman" w:eastAsia="Times New Roman" w:hAnsi="Times New Roman" w:cs="Times New Roman"/>
          <w:sz w:val="24"/>
          <w:szCs w:val="24"/>
        </w:rPr>
        <w:t>показател</w:t>
      </w:r>
      <w:r w:rsidR="00D61F2F" w:rsidRPr="00C77A82">
        <w:rPr>
          <w:rFonts w:ascii="Times New Roman" w:eastAsia="Times New Roman" w:hAnsi="Times New Roman" w:cs="Times New Roman"/>
          <w:sz w:val="24"/>
          <w:szCs w:val="24"/>
        </w:rPr>
        <w:t>ю</w:t>
      </w:r>
      <w:r w:rsidR="00AE0D34" w:rsidRPr="00C77A82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Pr="00C77A82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C77A82">
        <w:rPr>
          <w:rFonts w:ascii="Times New Roman" w:eastAsia="Times New Roman" w:hAnsi="Times New Roman" w:cs="Times New Roman"/>
          <w:sz w:val="24"/>
          <w:szCs w:val="24"/>
        </w:rPr>
        <w:t xml:space="preserve"> года </w:t>
      </w:r>
      <w:r w:rsidR="00D61F2F" w:rsidRPr="00C77A82">
        <w:rPr>
          <w:rFonts w:ascii="Times New Roman" w:eastAsia="Times New Roman" w:hAnsi="Times New Roman" w:cs="Times New Roman"/>
          <w:sz w:val="24"/>
          <w:szCs w:val="24"/>
        </w:rPr>
        <w:t>свидетельствует о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снижени</w:t>
      </w:r>
      <w:r w:rsidR="00D61F2F">
        <w:rPr>
          <w:rFonts w:ascii="Times New Roman" w:eastAsia="Times New Roman" w:hAnsi="Times New Roman" w:cs="Times New Roman"/>
          <w:sz w:val="24"/>
          <w:szCs w:val="24"/>
        </w:rPr>
        <w:t>и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объемов производства по отдельным отраслям промышленности и промышленным предприятиям.</w:t>
      </w:r>
    </w:p>
    <w:p w:rsidR="00AE0D34" w:rsidRPr="00E54656" w:rsidRDefault="00AE0D34" w:rsidP="00AE0D34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В разрезе </w:t>
      </w:r>
      <w:proofErr w:type="spellStart"/>
      <w:r w:rsidR="00235883" w:rsidRPr="00E54656">
        <w:rPr>
          <w:rFonts w:ascii="Times New Roman" w:eastAsia="Times New Roman" w:hAnsi="Times New Roman" w:cs="Times New Roman"/>
          <w:sz w:val="24"/>
          <w:szCs w:val="24"/>
        </w:rPr>
        <w:t>под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отраслей</w:t>
      </w:r>
      <w:proofErr w:type="spellEnd"/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динамика промышленного производства в </w:t>
      </w:r>
      <w:r w:rsidR="00817C24" w:rsidRPr="00E54656">
        <w:rPr>
          <w:rFonts w:ascii="Times New Roman" w:eastAsia="Times New Roman" w:hAnsi="Times New Roman" w:cs="Times New Roman"/>
          <w:sz w:val="24"/>
          <w:szCs w:val="24"/>
        </w:rPr>
        <w:t>январе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817C24" w:rsidRPr="00E5465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выглядит следующим образом:</w:t>
      </w:r>
    </w:p>
    <w:p w:rsidR="00AE0D34" w:rsidRPr="00E54656" w:rsidRDefault="00AE0D34" w:rsidP="00AE0D34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E54656">
        <w:rPr>
          <w:rFonts w:ascii="Times New Roman" w:eastAsia="Times New Roman" w:hAnsi="Times New Roman" w:cs="Times New Roman"/>
          <w:b/>
          <w:sz w:val="24"/>
          <w:szCs w:val="24"/>
        </w:rPr>
        <w:t xml:space="preserve">Динамика промышленной продукции в разрезе </w:t>
      </w:r>
      <w:proofErr w:type="spellStart"/>
      <w:r w:rsidR="00235883" w:rsidRPr="00E54656">
        <w:rPr>
          <w:rFonts w:ascii="Times New Roman" w:eastAsia="Times New Roman" w:hAnsi="Times New Roman" w:cs="Times New Roman"/>
          <w:b/>
          <w:sz w:val="24"/>
          <w:szCs w:val="24"/>
        </w:rPr>
        <w:t>под</w:t>
      </w:r>
      <w:r w:rsidRPr="00E54656">
        <w:rPr>
          <w:rFonts w:ascii="Times New Roman" w:eastAsia="Times New Roman" w:hAnsi="Times New Roman" w:cs="Times New Roman"/>
          <w:b/>
          <w:sz w:val="24"/>
          <w:szCs w:val="24"/>
        </w:rPr>
        <w:t>отраслей</w:t>
      </w:r>
      <w:proofErr w:type="spellEnd"/>
      <w:r w:rsidRPr="00E54656">
        <w:rPr>
          <w:rFonts w:ascii="Times New Roman" w:eastAsia="Times New Roman" w:hAnsi="Times New Roman" w:cs="Times New Roman"/>
          <w:b/>
          <w:sz w:val="24"/>
          <w:szCs w:val="24"/>
        </w:rPr>
        <w:t>, млн. руб.</w:t>
      </w:r>
    </w:p>
    <w:p w:rsidR="00AE0D34" w:rsidRPr="00E54656" w:rsidRDefault="00AE0D34" w:rsidP="00AE0D34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u w:val="single"/>
        </w:rPr>
      </w:pPr>
      <w:r w:rsidRPr="00E54656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051550" cy="3086100"/>
            <wp:effectExtent l="19050" t="0" r="25400" b="0"/>
            <wp:docPr id="11" name="Объект 3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E0D34" w:rsidRPr="00E54656" w:rsidRDefault="00D61F2F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77A82">
        <w:rPr>
          <w:rFonts w:ascii="Times New Roman" w:eastAsia="Times New Roman" w:hAnsi="Times New Roman" w:cs="Times New Roman"/>
          <w:sz w:val="24"/>
          <w:szCs w:val="24"/>
        </w:rPr>
        <w:t>У</w:t>
      </w:r>
      <w:r w:rsidR="00AE0D34" w:rsidRPr="00C77A82">
        <w:rPr>
          <w:rFonts w:ascii="Times New Roman" w:eastAsia="Times New Roman" w:hAnsi="Times New Roman" w:cs="Times New Roman"/>
          <w:sz w:val="24"/>
          <w:szCs w:val="24"/>
        </w:rPr>
        <w:t>ве</w:t>
      </w:r>
      <w:r w:rsidR="00AE0D34" w:rsidRPr="00D61F2F">
        <w:rPr>
          <w:rFonts w:ascii="Times New Roman" w:eastAsia="Times New Roman" w:hAnsi="Times New Roman" w:cs="Times New Roman"/>
          <w:sz w:val="24"/>
          <w:szCs w:val="24"/>
        </w:rPr>
        <w:t>личение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промышленного производства по отношению к аналогичному периоду 201</w:t>
      </w:r>
      <w:r w:rsidR="002469D7" w:rsidRPr="00E546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зафиксировано в </w:t>
      </w:r>
      <w:proofErr w:type="gramStart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670822" w:rsidRPr="00E54656" w:rsidRDefault="00670822" w:rsidP="0067082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E54656">
        <w:rPr>
          <w:rFonts w:ascii="Times New Roman" w:hAnsi="Times New Roman"/>
          <w:sz w:val="24"/>
          <w:szCs w:val="24"/>
        </w:rPr>
        <w:t xml:space="preserve">а) в </w:t>
      </w:r>
      <w:r w:rsidRPr="00E54656">
        <w:rPr>
          <w:rFonts w:ascii="Times New Roman" w:hAnsi="Times New Roman"/>
          <w:b/>
          <w:sz w:val="24"/>
          <w:szCs w:val="24"/>
        </w:rPr>
        <w:t xml:space="preserve">черной металлургии </w:t>
      </w:r>
      <w:r w:rsidRPr="00E54656">
        <w:rPr>
          <w:rFonts w:ascii="Times New Roman" w:hAnsi="Times New Roman"/>
          <w:sz w:val="24"/>
          <w:szCs w:val="24"/>
        </w:rPr>
        <w:t xml:space="preserve">по итогам января 2016 года отмечено увеличение производства проката черных металлов на 45,8%. </w:t>
      </w:r>
      <w:r w:rsidRPr="00ED39E0">
        <w:rPr>
          <w:rFonts w:ascii="Times New Roman" w:hAnsi="Times New Roman"/>
          <w:sz w:val="24"/>
          <w:szCs w:val="24"/>
        </w:rPr>
        <w:t>Доходы предприятий отрасли на фоне значительного сокращения цены на готовую продукцию и сырьевой компонент, а также продолжающейся тенденцией снижения разницы между стоимостью готовой продукции (прокат, сталь) и стоимостью лома, являющегося на 70% сырьевой составляющей в стоимости готовой продукции,</w:t>
      </w:r>
      <w:r w:rsidRPr="00E54656">
        <w:rPr>
          <w:rFonts w:ascii="Times New Roman" w:hAnsi="Times New Roman"/>
          <w:sz w:val="24"/>
          <w:szCs w:val="24"/>
        </w:rPr>
        <w:t xml:space="preserve"> в рассматриваемом периоде снизились на</w:t>
      </w:r>
      <w:proofErr w:type="gramEnd"/>
      <w:r w:rsidRPr="00E54656">
        <w:rPr>
          <w:rFonts w:ascii="Times New Roman" w:hAnsi="Times New Roman"/>
          <w:sz w:val="24"/>
          <w:szCs w:val="24"/>
        </w:rPr>
        <w:t xml:space="preserve"> 20,1% по отношению к базовому показателю 2015 года. </w:t>
      </w:r>
      <w:proofErr w:type="gramStart"/>
      <w:r>
        <w:rPr>
          <w:rFonts w:ascii="Times New Roman" w:hAnsi="Times New Roman"/>
          <w:sz w:val="24"/>
          <w:szCs w:val="24"/>
        </w:rPr>
        <w:t>В</w:t>
      </w:r>
      <w:r w:rsidRPr="00E54656">
        <w:rPr>
          <w:rFonts w:ascii="Times New Roman" w:hAnsi="Times New Roman"/>
          <w:sz w:val="24"/>
          <w:szCs w:val="24"/>
        </w:rPr>
        <w:t xml:space="preserve"> январе 2016 года на фоне снижения объема промышленного производства на ОАО «Молдавский металлургический завод» на 63,2% по отношению к декабрю 2015 года, объем производства отрасли в целом по отношению декабрю 2015 года сократился на 37,0%;</w:t>
      </w:r>
      <w:proofErr w:type="gramEnd"/>
    </w:p>
    <w:p w:rsidR="00DC1DCC" w:rsidRPr="00E54656" w:rsidRDefault="00DC1DCC" w:rsidP="00DC1DC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54656">
        <w:rPr>
          <w:rFonts w:ascii="Times New Roman" w:hAnsi="Times New Roman"/>
          <w:sz w:val="24"/>
          <w:szCs w:val="24"/>
        </w:rPr>
        <w:t>б)</w:t>
      </w:r>
      <w:r w:rsidRPr="00E54656">
        <w:rPr>
          <w:rFonts w:ascii="Times New Roman" w:hAnsi="Times New Roman"/>
          <w:b/>
          <w:sz w:val="24"/>
          <w:szCs w:val="24"/>
        </w:rPr>
        <w:t xml:space="preserve"> в химической промышленности </w:t>
      </w:r>
      <w:r w:rsidR="00435822" w:rsidRPr="00E54656">
        <w:rPr>
          <w:rFonts w:ascii="Times New Roman" w:hAnsi="Times New Roman"/>
          <w:sz w:val="24"/>
          <w:szCs w:val="24"/>
        </w:rPr>
        <w:t>в</w:t>
      </w:r>
      <w:r w:rsidRPr="00E54656">
        <w:rPr>
          <w:rFonts w:ascii="Times New Roman" w:hAnsi="Times New Roman"/>
          <w:sz w:val="24"/>
          <w:szCs w:val="24"/>
        </w:rPr>
        <w:t xml:space="preserve"> </w:t>
      </w:r>
      <w:r w:rsidR="00435822" w:rsidRPr="00E54656">
        <w:rPr>
          <w:rFonts w:ascii="Times New Roman" w:hAnsi="Times New Roman"/>
          <w:sz w:val="24"/>
          <w:szCs w:val="24"/>
        </w:rPr>
        <w:t>январе</w:t>
      </w:r>
      <w:r w:rsidRPr="00E54656">
        <w:rPr>
          <w:rFonts w:ascii="Times New Roman" w:hAnsi="Times New Roman"/>
          <w:sz w:val="24"/>
          <w:szCs w:val="24"/>
        </w:rPr>
        <w:t xml:space="preserve"> 201</w:t>
      </w:r>
      <w:r w:rsidR="00435822" w:rsidRPr="00E54656">
        <w:rPr>
          <w:rFonts w:ascii="Times New Roman" w:hAnsi="Times New Roman"/>
          <w:sz w:val="24"/>
          <w:szCs w:val="24"/>
        </w:rPr>
        <w:t>6</w:t>
      </w:r>
      <w:r w:rsidRPr="00E54656">
        <w:rPr>
          <w:rFonts w:ascii="Times New Roman" w:hAnsi="Times New Roman"/>
          <w:sz w:val="24"/>
          <w:szCs w:val="24"/>
        </w:rPr>
        <w:t xml:space="preserve"> года наблюдается </w:t>
      </w:r>
      <w:r w:rsidR="00B367D5">
        <w:rPr>
          <w:rFonts w:ascii="Times New Roman" w:hAnsi="Times New Roman"/>
          <w:sz w:val="24"/>
          <w:szCs w:val="24"/>
        </w:rPr>
        <w:t>при</w:t>
      </w:r>
      <w:r w:rsidR="00435822" w:rsidRPr="00E54656">
        <w:rPr>
          <w:rFonts w:ascii="Times New Roman" w:hAnsi="Times New Roman"/>
          <w:sz w:val="24"/>
          <w:szCs w:val="24"/>
        </w:rPr>
        <w:t xml:space="preserve">рост </w:t>
      </w:r>
      <w:r w:rsidRPr="00E54656">
        <w:rPr>
          <w:rFonts w:ascii="Times New Roman" w:hAnsi="Times New Roman"/>
          <w:sz w:val="24"/>
          <w:szCs w:val="24"/>
        </w:rPr>
        <w:t xml:space="preserve">производства на </w:t>
      </w:r>
      <w:r w:rsidR="00435822" w:rsidRPr="00E54656">
        <w:rPr>
          <w:rFonts w:ascii="Times New Roman" w:hAnsi="Times New Roman"/>
          <w:sz w:val="24"/>
          <w:szCs w:val="24"/>
        </w:rPr>
        <w:t>6,7</w:t>
      </w:r>
      <w:r w:rsidRPr="00E54656">
        <w:rPr>
          <w:rFonts w:ascii="Times New Roman" w:hAnsi="Times New Roman"/>
          <w:sz w:val="24"/>
          <w:szCs w:val="24"/>
        </w:rPr>
        <w:t>% к базовому показателю 201</w:t>
      </w:r>
      <w:r w:rsidR="00435822" w:rsidRPr="00E54656">
        <w:rPr>
          <w:rFonts w:ascii="Times New Roman" w:hAnsi="Times New Roman"/>
          <w:sz w:val="24"/>
          <w:szCs w:val="24"/>
        </w:rPr>
        <w:t>5</w:t>
      </w:r>
      <w:r w:rsidRPr="00E54656">
        <w:rPr>
          <w:rFonts w:ascii="Times New Roman" w:hAnsi="Times New Roman"/>
          <w:sz w:val="24"/>
          <w:szCs w:val="24"/>
        </w:rPr>
        <w:t xml:space="preserve"> года. Основное влияние на </w:t>
      </w:r>
      <w:r w:rsidR="00435822" w:rsidRPr="00E54656">
        <w:rPr>
          <w:rFonts w:ascii="Times New Roman" w:hAnsi="Times New Roman"/>
          <w:sz w:val="24"/>
          <w:szCs w:val="24"/>
        </w:rPr>
        <w:t>положительную</w:t>
      </w:r>
      <w:r w:rsidRPr="00E54656">
        <w:rPr>
          <w:rFonts w:ascii="Times New Roman" w:hAnsi="Times New Roman"/>
          <w:sz w:val="24"/>
          <w:szCs w:val="24"/>
        </w:rPr>
        <w:t xml:space="preserve"> динамику </w:t>
      </w:r>
      <w:r w:rsidR="00B367D5">
        <w:rPr>
          <w:rFonts w:ascii="Times New Roman" w:hAnsi="Times New Roman"/>
          <w:sz w:val="24"/>
          <w:szCs w:val="24"/>
        </w:rPr>
        <w:t xml:space="preserve">в </w:t>
      </w:r>
      <w:r w:rsidRPr="00E54656">
        <w:rPr>
          <w:rFonts w:ascii="Times New Roman" w:hAnsi="Times New Roman"/>
          <w:sz w:val="24"/>
          <w:szCs w:val="24"/>
        </w:rPr>
        <w:t xml:space="preserve">отрасли в </w:t>
      </w:r>
      <w:r w:rsidR="00435822" w:rsidRPr="00E54656">
        <w:rPr>
          <w:rFonts w:ascii="Times New Roman" w:hAnsi="Times New Roman"/>
          <w:sz w:val="24"/>
          <w:szCs w:val="24"/>
        </w:rPr>
        <w:t>январе 2016</w:t>
      </w:r>
      <w:r w:rsidRPr="00E54656">
        <w:rPr>
          <w:rFonts w:ascii="Times New Roman" w:hAnsi="Times New Roman"/>
          <w:sz w:val="24"/>
          <w:szCs w:val="24"/>
        </w:rPr>
        <w:t xml:space="preserve"> год</w:t>
      </w:r>
      <w:r w:rsidR="00435822" w:rsidRPr="00E54656">
        <w:rPr>
          <w:rFonts w:ascii="Times New Roman" w:hAnsi="Times New Roman"/>
          <w:sz w:val="24"/>
          <w:szCs w:val="24"/>
        </w:rPr>
        <w:t>а</w:t>
      </w:r>
      <w:r w:rsidRPr="00E54656">
        <w:rPr>
          <w:rFonts w:ascii="Times New Roman" w:hAnsi="Times New Roman"/>
          <w:sz w:val="24"/>
          <w:szCs w:val="24"/>
        </w:rPr>
        <w:t xml:space="preserve"> оказало </w:t>
      </w:r>
      <w:r w:rsidR="00435822" w:rsidRPr="00E54656">
        <w:rPr>
          <w:rFonts w:ascii="Times New Roman" w:hAnsi="Times New Roman"/>
          <w:sz w:val="24"/>
          <w:szCs w:val="24"/>
        </w:rPr>
        <w:t>увеличение</w:t>
      </w:r>
      <w:r w:rsidRPr="00E54656">
        <w:rPr>
          <w:rFonts w:ascii="Times New Roman" w:hAnsi="Times New Roman"/>
          <w:sz w:val="24"/>
          <w:szCs w:val="24"/>
        </w:rPr>
        <w:t xml:space="preserve"> объемов производства крупнейшего предприятия отрасли ЗАО «Завод «</w:t>
      </w:r>
      <w:proofErr w:type="spellStart"/>
      <w:r w:rsidRPr="00E54656">
        <w:rPr>
          <w:rFonts w:ascii="Times New Roman" w:hAnsi="Times New Roman"/>
          <w:sz w:val="24"/>
          <w:szCs w:val="24"/>
        </w:rPr>
        <w:t>Молдавизолит</w:t>
      </w:r>
      <w:proofErr w:type="spellEnd"/>
      <w:r w:rsidRPr="00E54656">
        <w:rPr>
          <w:rFonts w:ascii="Times New Roman" w:hAnsi="Times New Roman"/>
          <w:sz w:val="24"/>
          <w:szCs w:val="24"/>
        </w:rPr>
        <w:t xml:space="preserve">» (на </w:t>
      </w:r>
      <w:r w:rsidR="00435822" w:rsidRPr="00E54656">
        <w:rPr>
          <w:rFonts w:ascii="Times New Roman" w:hAnsi="Times New Roman"/>
          <w:sz w:val="24"/>
          <w:szCs w:val="24"/>
        </w:rPr>
        <w:t>9,3</w:t>
      </w:r>
      <w:r w:rsidRPr="00E54656">
        <w:rPr>
          <w:rFonts w:ascii="Times New Roman" w:hAnsi="Times New Roman"/>
          <w:sz w:val="24"/>
          <w:szCs w:val="24"/>
        </w:rPr>
        <w:t xml:space="preserve">%). </w:t>
      </w:r>
      <w:r w:rsidRPr="00E54656">
        <w:rPr>
          <w:rFonts w:ascii="Times New Roman" w:hAnsi="Times New Roman"/>
          <w:sz w:val="24"/>
          <w:szCs w:val="24"/>
        </w:rPr>
        <w:lastRenderedPageBreak/>
        <w:t>При этом</w:t>
      </w:r>
      <w:proofErr w:type="gramStart"/>
      <w:r w:rsidRPr="00E54656">
        <w:rPr>
          <w:rFonts w:ascii="Times New Roman" w:hAnsi="Times New Roman"/>
          <w:sz w:val="24"/>
          <w:szCs w:val="24"/>
        </w:rPr>
        <w:t>,</w:t>
      </w:r>
      <w:proofErr w:type="gramEnd"/>
      <w:r w:rsidRPr="00E54656">
        <w:rPr>
          <w:rFonts w:ascii="Times New Roman" w:hAnsi="Times New Roman"/>
          <w:sz w:val="24"/>
          <w:szCs w:val="24"/>
        </w:rPr>
        <w:t xml:space="preserve"> в </w:t>
      </w:r>
      <w:r w:rsidR="00435822" w:rsidRPr="00E54656">
        <w:rPr>
          <w:rFonts w:ascii="Times New Roman" w:hAnsi="Times New Roman"/>
          <w:sz w:val="24"/>
          <w:szCs w:val="24"/>
        </w:rPr>
        <w:t>январе</w:t>
      </w:r>
      <w:r w:rsidRPr="00E54656">
        <w:rPr>
          <w:rFonts w:ascii="Times New Roman" w:hAnsi="Times New Roman"/>
          <w:sz w:val="24"/>
          <w:szCs w:val="24"/>
        </w:rPr>
        <w:t xml:space="preserve"> 201</w:t>
      </w:r>
      <w:r w:rsidR="00B367D5">
        <w:rPr>
          <w:rFonts w:ascii="Times New Roman" w:hAnsi="Times New Roman"/>
          <w:sz w:val="24"/>
          <w:szCs w:val="24"/>
        </w:rPr>
        <w:t>6</w:t>
      </w:r>
      <w:r w:rsidRPr="00E54656">
        <w:rPr>
          <w:rFonts w:ascii="Times New Roman" w:hAnsi="Times New Roman"/>
          <w:sz w:val="24"/>
          <w:szCs w:val="24"/>
        </w:rPr>
        <w:t xml:space="preserve"> года на фоне сложной внешнеторговой конъюнктуры по предприятиям отрасли отмечается спад объема производства на </w:t>
      </w:r>
      <w:r w:rsidR="00435822" w:rsidRPr="00E54656">
        <w:rPr>
          <w:rFonts w:ascii="Times New Roman" w:hAnsi="Times New Roman"/>
          <w:sz w:val="24"/>
          <w:szCs w:val="24"/>
        </w:rPr>
        <w:t>10,8</w:t>
      </w:r>
      <w:r w:rsidRPr="00E54656">
        <w:rPr>
          <w:rFonts w:ascii="Times New Roman" w:hAnsi="Times New Roman"/>
          <w:sz w:val="24"/>
          <w:szCs w:val="24"/>
        </w:rPr>
        <w:t>%</w:t>
      </w:r>
      <w:r w:rsidR="00266D06">
        <w:rPr>
          <w:rFonts w:ascii="Times New Roman" w:hAnsi="Times New Roman"/>
          <w:sz w:val="24"/>
          <w:szCs w:val="24"/>
        </w:rPr>
        <w:t xml:space="preserve"> по отношению к декабрю 2015 года</w:t>
      </w:r>
      <w:r w:rsidRPr="00E54656">
        <w:rPr>
          <w:rFonts w:ascii="Times New Roman" w:hAnsi="Times New Roman"/>
          <w:sz w:val="24"/>
          <w:szCs w:val="24"/>
        </w:rPr>
        <w:t>;</w:t>
      </w:r>
    </w:p>
    <w:p w:rsidR="00DC1DCC" w:rsidRPr="00E54656" w:rsidRDefault="009619EC" w:rsidP="00DC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65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DC1DCC" w:rsidRPr="00E54656">
        <w:rPr>
          <w:rFonts w:ascii="Times New Roman" w:eastAsia="Times New Roman" w:hAnsi="Times New Roman" w:cs="Times New Roman"/>
          <w:b/>
          <w:snapToGrid w:val="0"/>
          <w:sz w:val="24"/>
          <w:szCs w:val="24"/>
        </w:rPr>
        <w:t xml:space="preserve">пищевой промышленности </w:t>
      </w:r>
      <w:r w:rsidR="00DC1DCC" w:rsidRPr="00E54656">
        <w:rPr>
          <w:rFonts w:ascii="Times New Roman" w:eastAsia="Times New Roman" w:hAnsi="Times New Roman" w:cs="Times New Roman"/>
          <w:snapToGrid w:val="0"/>
          <w:sz w:val="24"/>
          <w:szCs w:val="24"/>
        </w:rPr>
        <w:t>в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 xml:space="preserve"> рассматриваемом периоде </w:t>
      </w:r>
      <w:r w:rsidR="00DC1DCC" w:rsidRPr="00E54656">
        <w:rPr>
          <w:rFonts w:ascii="Times New Roman" w:eastAsia="Times New Roman" w:hAnsi="Times New Roman" w:cs="Times New Roman"/>
          <w:snapToGrid w:val="0"/>
          <w:sz w:val="24"/>
          <w:szCs w:val="24"/>
        </w:rPr>
        <w:t>наблюдал</w:t>
      </w:r>
      <w:r w:rsidR="00B367D5">
        <w:rPr>
          <w:rFonts w:ascii="Times New Roman" w:eastAsia="Times New Roman" w:hAnsi="Times New Roman" w:cs="Times New Roman"/>
          <w:snapToGrid w:val="0"/>
          <w:sz w:val="24"/>
          <w:szCs w:val="24"/>
        </w:rPr>
        <w:t>ось увеличение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 сопоставимых ценах на </w:t>
      </w:r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4,8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 xml:space="preserve">%, что вызвано </w:t>
      </w:r>
      <w:r w:rsidR="00276DCC">
        <w:rPr>
          <w:rFonts w:ascii="Times New Roman" w:eastAsia="Times New Roman" w:hAnsi="Times New Roman" w:cs="Times New Roman"/>
          <w:sz w:val="24"/>
          <w:szCs w:val="24"/>
        </w:rPr>
        <w:t xml:space="preserve">расширением 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 xml:space="preserve">объемов производства на </w:t>
      </w:r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ГУП «</w:t>
      </w:r>
      <w:proofErr w:type="spellStart"/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Биохим</w:t>
      </w:r>
      <w:proofErr w:type="spellEnd"/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 xml:space="preserve">» (в 89,6 р.), ЗАО «Тираспольский мясокомбинат» («+»50,4%), 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>ЗАО «Букет Молдавии («</w:t>
      </w:r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+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>»</w:t>
      </w:r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49,7%)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 xml:space="preserve"> и др. При этом, в </w:t>
      </w:r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январе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по отношению к </w:t>
      </w:r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 xml:space="preserve">брю отмечается </w:t>
      </w:r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спад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 xml:space="preserve"> объема промышленного производства на </w:t>
      </w:r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18,9</w:t>
      </w:r>
      <w:r w:rsidR="00DC1DCC" w:rsidRPr="00E54656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DC1DCC" w:rsidRPr="00E54656" w:rsidRDefault="00DC1DCC" w:rsidP="00DC1DC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Падение объемов производства было характерно для ведущего предприятия отрасли ЗАО «Тираспольский винно-коньячный завод «KVINT», сократившего объем производства на </w:t>
      </w:r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21,3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%, что обусловлено снижением объемов реализации продукции как на местном рынке, так и за его пределами;</w:t>
      </w:r>
    </w:p>
    <w:p w:rsidR="00AE0D34" w:rsidRPr="00E54656" w:rsidRDefault="00BE4CC9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56">
        <w:rPr>
          <w:rFonts w:ascii="Times New Roman" w:eastAsia="Times New Roman" w:hAnsi="Times New Roman" w:cs="Times New Roman"/>
          <w:sz w:val="24"/>
          <w:szCs w:val="24"/>
        </w:rPr>
        <w:t>С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пад промышленного производства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в 201</w:t>
      </w:r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году 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по отношению к 201</w:t>
      </w:r>
      <w:r w:rsidR="00CB1111" w:rsidRPr="00E546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году наблюдается в </w:t>
      </w:r>
      <w:proofErr w:type="gramStart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следующих</w:t>
      </w:r>
      <w:proofErr w:type="gramEnd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подотраслях</w:t>
      </w:r>
      <w:proofErr w:type="spellEnd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промышленности:</w:t>
      </w:r>
    </w:p>
    <w:p w:rsidR="00DC1DCC" w:rsidRPr="00E54656" w:rsidRDefault="00DC1DCC" w:rsidP="003C49C7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а) в </w:t>
      </w:r>
      <w:r w:rsidRPr="00E54656">
        <w:rPr>
          <w:rFonts w:ascii="Times New Roman" w:eastAsia="Times New Roman" w:hAnsi="Times New Roman" w:cs="Times New Roman"/>
          <w:b/>
          <w:sz w:val="24"/>
          <w:szCs w:val="24"/>
        </w:rPr>
        <w:t>электроэнергетическом комплексе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республики в </w:t>
      </w:r>
      <w:r w:rsidR="003C49C7" w:rsidRPr="00E54656">
        <w:rPr>
          <w:rFonts w:ascii="Times New Roman" w:eastAsia="Times New Roman" w:hAnsi="Times New Roman" w:cs="Times New Roman"/>
          <w:sz w:val="24"/>
          <w:szCs w:val="24"/>
        </w:rPr>
        <w:t>январе 2016 года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отмечается </w:t>
      </w:r>
      <w:r w:rsidR="003C49C7" w:rsidRPr="00E54656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выработки электроэнергии в натуральном в</w:t>
      </w:r>
      <w:r w:rsidR="003C49C7" w:rsidRPr="00E54656">
        <w:rPr>
          <w:rFonts w:ascii="Times New Roman" w:eastAsia="Times New Roman" w:hAnsi="Times New Roman" w:cs="Times New Roman"/>
          <w:sz w:val="24"/>
          <w:szCs w:val="24"/>
        </w:rPr>
        <w:t xml:space="preserve">ыражении в целом по отрасли на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6,3% по сравнению с соответствующим периодом 201</w:t>
      </w:r>
      <w:r w:rsidR="003C49C7" w:rsidRPr="00E546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года, в стоимостном выражении товарный выпуск отрасли </w:t>
      </w:r>
      <w:r w:rsidR="003C49C7" w:rsidRPr="00E54656">
        <w:rPr>
          <w:rFonts w:ascii="Times New Roman" w:eastAsia="Times New Roman" w:hAnsi="Times New Roman" w:cs="Times New Roman"/>
          <w:sz w:val="24"/>
          <w:szCs w:val="24"/>
        </w:rPr>
        <w:t>снизился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на </w:t>
      </w:r>
      <w:r w:rsidR="003C49C7" w:rsidRPr="00E54656">
        <w:rPr>
          <w:rFonts w:ascii="Times New Roman" w:eastAsia="Times New Roman" w:hAnsi="Times New Roman" w:cs="Times New Roman"/>
          <w:sz w:val="24"/>
          <w:szCs w:val="24"/>
        </w:rPr>
        <w:t>0,5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%. В </w:t>
      </w:r>
      <w:r w:rsidR="003C49C7" w:rsidRPr="00E54656">
        <w:rPr>
          <w:rFonts w:ascii="Times New Roman" w:eastAsia="Times New Roman" w:hAnsi="Times New Roman" w:cs="Times New Roman"/>
          <w:sz w:val="24"/>
          <w:szCs w:val="24"/>
        </w:rPr>
        <w:t>январе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3C49C7" w:rsidRPr="00E54656">
        <w:rPr>
          <w:rFonts w:ascii="Times New Roman" w:eastAsia="Times New Roman" w:hAnsi="Times New Roman" w:cs="Times New Roman"/>
          <w:sz w:val="24"/>
          <w:szCs w:val="24"/>
        </w:rPr>
        <w:t>6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по отношению к </w:t>
      </w:r>
      <w:r w:rsidR="003C49C7" w:rsidRPr="00E54656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брю 201</w:t>
      </w:r>
      <w:r w:rsidR="003C49C7" w:rsidRPr="00E54656">
        <w:rPr>
          <w:rFonts w:ascii="Times New Roman" w:eastAsia="Times New Roman" w:hAnsi="Times New Roman" w:cs="Times New Roman"/>
          <w:sz w:val="24"/>
          <w:szCs w:val="24"/>
        </w:rPr>
        <w:t>5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отмечается </w:t>
      </w:r>
      <w:r w:rsidR="003C49C7" w:rsidRPr="00E54656">
        <w:rPr>
          <w:rFonts w:ascii="Times New Roman" w:eastAsia="Times New Roman" w:hAnsi="Times New Roman" w:cs="Times New Roman"/>
          <w:sz w:val="24"/>
          <w:szCs w:val="24"/>
        </w:rPr>
        <w:t>спад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объема промышленного производства на </w:t>
      </w:r>
      <w:r w:rsidR="003C49C7" w:rsidRPr="00E54656">
        <w:rPr>
          <w:rFonts w:ascii="Times New Roman" w:eastAsia="Times New Roman" w:hAnsi="Times New Roman" w:cs="Times New Roman"/>
          <w:sz w:val="24"/>
          <w:szCs w:val="24"/>
        </w:rPr>
        <w:t>7,9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%.</w:t>
      </w:r>
      <w:proofErr w:type="gramEnd"/>
    </w:p>
    <w:p w:rsidR="00DC1DCC" w:rsidRPr="00E54656" w:rsidRDefault="00DC1DCC" w:rsidP="00DC1DCC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E54656">
        <w:rPr>
          <w:rFonts w:ascii="Times New Roman" w:hAnsi="Times New Roman"/>
          <w:noProof/>
          <w:color w:val="000000"/>
          <w:sz w:val="24"/>
          <w:szCs w:val="24"/>
        </w:rPr>
        <w:drawing>
          <wp:inline distT="0" distB="0" distL="0" distR="0">
            <wp:extent cx="6124575" cy="1981200"/>
            <wp:effectExtent l="19050" t="0" r="0" b="0"/>
            <wp:docPr id="15" name="Объект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AE0D34" w:rsidRPr="00E54656" w:rsidRDefault="005A630C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56">
        <w:rPr>
          <w:rFonts w:ascii="Times New Roman" w:eastAsia="Times New Roman" w:hAnsi="Times New Roman" w:cs="Times New Roman"/>
          <w:sz w:val="24"/>
          <w:szCs w:val="24"/>
        </w:rPr>
        <w:t>б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) предприятия </w:t>
      </w:r>
      <w:r w:rsidR="00AE0D34" w:rsidRPr="00E54656">
        <w:rPr>
          <w:rFonts w:ascii="Times New Roman" w:eastAsia="Times New Roman" w:hAnsi="Times New Roman" w:cs="Times New Roman"/>
          <w:b/>
          <w:sz w:val="24"/>
          <w:szCs w:val="24"/>
        </w:rPr>
        <w:t>машиностроения и металлообработки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38" w:rsidRPr="00E54656">
        <w:rPr>
          <w:rFonts w:ascii="Times New Roman" w:eastAsia="Times New Roman" w:hAnsi="Times New Roman" w:cs="Times New Roman"/>
          <w:sz w:val="24"/>
          <w:szCs w:val="24"/>
        </w:rPr>
        <w:t xml:space="preserve">по итогам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января                </w:t>
      </w:r>
      <w:r w:rsidR="000D2338" w:rsidRPr="00E54656">
        <w:rPr>
          <w:rFonts w:ascii="Times New Roman" w:eastAsia="Times New Roman" w:hAnsi="Times New Roman" w:cs="Times New Roman"/>
          <w:sz w:val="24"/>
          <w:szCs w:val="24"/>
        </w:rPr>
        <w:t>201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0D2338" w:rsidRPr="00E546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демонстрируют снижение объема производства по отношению к </w:t>
      </w:r>
      <w:r w:rsidR="000D2338" w:rsidRPr="00E54656">
        <w:rPr>
          <w:rFonts w:ascii="Times New Roman" w:eastAsia="Times New Roman" w:hAnsi="Times New Roman" w:cs="Times New Roman"/>
          <w:sz w:val="24"/>
          <w:szCs w:val="24"/>
        </w:rPr>
        <w:t>базовым параметрам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0D2338" w:rsidRPr="00E5465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5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32,8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%. Данная динамика показателя вызвана снижением объема производства на ОАО «</w:t>
      </w:r>
      <w:proofErr w:type="spellStart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Литмаш</w:t>
      </w:r>
      <w:proofErr w:type="spellEnd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» («-»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63,3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%). В 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январ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е </w:t>
      </w:r>
      <w:r w:rsidR="000D2338" w:rsidRPr="00E5465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0D2338" w:rsidRPr="00E54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года по отношению к 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брю месяцу </w:t>
      </w:r>
      <w:r w:rsidR="000D2338" w:rsidRPr="00E5465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объем производства по отрасли сократился на 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37,6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%;</w:t>
      </w:r>
    </w:p>
    <w:p w:rsidR="00AE0D34" w:rsidRPr="00E54656" w:rsidRDefault="005A630C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656">
        <w:rPr>
          <w:rFonts w:ascii="Times New Roman" w:eastAsia="Times New Roman" w:hAnsi="Times New Roman" w:cs="Times New Roman"/>
          <w:sz w:val="24"/>
          <w:szCs w:val="24"/>
        </w:rPr>
        <w:t>в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) </w:t>
      </w:r>
      <w:r w:rsidR="00AE0D34" w:rsidRPr="00E54656">
        <w:rPr>
          <w:rFonts w:ascii="Times New Roman" w:eastAsia="Times New Roman" w:hAnsi="Times New Roman" w:cs="Times New Roman"/>
          <w:b/>
          <w:sz w:val="24"/>
          <w:szCs w:val="24"/>
        </w:rPr>
        <w:t>в электротехнической промышленности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 xml:space="preserve">января 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2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016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отмечено падение отраслевого выпуска на 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53,6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%. Между тем, если рассматривать показатели отрасли в 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январе 2016 года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брю </w:t>
      </w:r>
      <w:r w:rsidR="000D2338" w:rsidRPr="00E54656">
        <w:rPr>
          <w:rFonts w:ascii="Times New Roman" w:eastAsia="Times New Roman" w:hAnsi="Times New Roman" w:cs="Times New Roman"/>
          <w:sz w:val="24"/>
          <w:szCs w:val="24"/>
        </w:rPr>
        <w:t>2015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года, то отрасль демонстрирует 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спад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объема производства 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на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66,7%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. При этом на НП ЗАО «</w:t>
      </w:r>
      <w:proofErr w:type="spellStart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Электромаш</w:t>
      </w:r>
      <w:proofErr w:type="spellEnd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A16ACE" w:rsidRPr="00E54656">
        <w:rPr>
          <w:rFonts w:ascii="Times New Roman" w:eastAsia="Times New Roman" w:hAnsi="Times New Roman" w:cs="Times New Roman"/>
          <w:sz w:val="24"/>
          <w:szCs w:val="24"/>
        </w:rPr>
        <w:t>77,8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 </w:t>
      </w:r>
      <w:r w:rsidR="00B3764E">
        <w:rPr>
          <w:rFonts w:ascii="Times New Roman" w:eastAsia="Times New Roman" w:hAnsi="Times New Roman" w:cs="Times New Roman"/>
          <w:sz w:val="24"/>
          <w:szCs w:val="24"/>
        </w:rPr>
        <w:t>по отношению к аналогичному периоду 2015 года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наблюдается 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>снижение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товарного выпуска в</w:t>
      </w:r>
      <w:proofErr w:type="gramEnd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сопоставимой оценке на 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>47,8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%; а на втором ведущем предприятии отрасли ЗАО «</w:t>
      </w:r>
      <w:proofErr w:type="spellStart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Молдавкабель</w:t>
      </w:r>
      <w:proofErr w:type="spellEnd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>22,2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 в 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 xml:space="preserve">январе 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201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>6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>а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отмечено снижение объемов производства на 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>66,7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%, что вызвано сложной внешнеторговой конъюнктурой;</w:t>
      </w:r>
    </w:p>
    <w:p w:rsidR="00AE0D34" w:rsidRPr="00E54656" w:rsidRDefault="005A630C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656">
        <w:rPr>
          <w:rFonts w:ascii="Times New Roman" w:eastAsia="Times New Roman" w:hAnsi="Times New Roman" w:cs="Times New Roman"/>
          <w:sz w:val="24"/>
          <w:szCs w:val="24"/>
        </w:rPr>
        <w:t>г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AE0D34" w:rsidRPr="00E54656">
        <w:rPr>
          <w:rFonts w:ascii="Times New Roman" w:eastAsia="Times New Roman" w:hAnsi="Times New Roman" w:cs="Times New Roman"/>
          <w:b/>
          <w:sz w:val="24"/>
          <w:szCs w:val="24"/>
        </w:rPr>
        <w:t>промышленности строительных материалов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по итогам 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>января 2016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зафиксировано снижение производственных показателей 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 xml:space="preserve">по отрасли в целом 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на 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>88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>0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% до 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>0,6 млн. руб. Данная отрицательная динамика вызвана тем, что на крупнейше</w:t>
      </w:r>
      <w:r w:rsidR="00B3764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предприяти</w:t>
      </w:r>
      <w:r w:rsidR="00B3764E">
        <w:rPr>
          <w:rFonts w:ascii="Times New Roman" w:eastAsia="Times New Roman" w:hAnsi="Times New Roman" w:cs="Times New Roman"/>
          <w:sz w:val="24"/>
          <w:szCs w:val="24"/>
        </w:rPr>
        <w:t>и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отрасли (ЗАО «</w:t>
      </w:r>
      <w:proofErr w:type="spellStart"/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>Рыбницкий</w:t>
      </w:r>
      <w:proofErr w:type="spellEnd"/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 xml:space="preserve"> цементный комбинат»), занимающе</w:t>
      </w:r>
      <w:r w:rsidR="00B3764E">
        <w:rPr>
          <w:rFonts w:ascii="Times New Roman" w:eastAsia="Times New Roman" w:hAnsi="Times New Roman" w:cs="Times New Roman"/>
          <w:sz w:val="24"/>
          <w:szCs w:val="24"/>
        </w:rPr>
        <w:t>м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порядка 40,0% в общем объеме производства отрасли</w:t>
      </w:r>
      <w:r w:rsidR="00B3764E">
        <w:rPr>
          <w:rFonts w:ascii="Times New Roman" w:eastAsia="Times New Roman" w:hAnsi="Times New Roman" w:cs="Times New Roman"/>
          <w:sz w:val="24"/>
          <w:szCs w:val="24"/>
        </w:rPr>
        <w:t>,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провод</w:t>
      </w:r>
      <w:r w:rsidR="00B3764E">
        <w:rPr>
          <w:rFonts w:ascii="Times New Roman" w:eastAsia="Times New Roman" w:hAnsi="Times New Roman" w:cs="Times New Roman"/>
          <w:sz w:val="24"/>
          <w:szCs w:val="24"/>
        </w:rPr>
        <w:t>я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 xml:space="preserve">тся </w:t>
      </w:r>
      <w:r w:rsidR="004238ED" w:rsidRPr="00E54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работы по модернизации производства, </w:t>
      </w:r>
      <w:r w:rsidR="001B08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направленные на</w:t>
      </w:r>
      <w:r w:rsidR="00276DCC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снижение </w:t>
      </w:r>
      <w:r w:rsidR="004238ED" w:rsidRPr="00E54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себестоимости продукции</w:t>
      </w:r>
      <w:r w:rsidR="001B08F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, кроме того,</w:t>
      </w:r>
      <w:r w:rsidR="004238ED" w:rsidRPr="00E54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</w:t>
      </w:r>
      <w:r w:rsidR="00B376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предпринимается ряд</w:t>
      </w:r>
      <w:proofErr w:type="gramEnd"/>
      <w:r w:rsidR="00B376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мер по улучшению </w:t>
      </w:r>
      <w:r w:rsidR="004238ED" w:rsidRPr="00E54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экологическ</w:t>
      </w:r>
      <w:r w:rsidR="00B376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ой</w:t>
      </w:r>
      <w:r w:rsidR="004238ED" w:rsidRPr="00E54656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составляющ</w:t>
      </w:r>
      <w:r w:rsidR="00B3764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ей</w:t>
      </w:r>
      <w:r w:rsidR="00585414" w:rsidRPr="00E54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84FD8" w:rsidRPr="00E54656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56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д) по итогам </w:t>
      </w:r>
      <w:r w:rsidR="004238ED" w:rsidRPr="00E54656">
        <w:rPr>
          <w:rFonts w:ascii="Times New Roman" w:eastAsia="Times New Roman" w:hAnsi="Times New Roman" w:cs="Times New Roman"/>
          <w:sz w:val="24"/>
          <w:szCs w:val="24"/>
        </w:rPr>
        <w:t>января 2016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на предприятиях </w:t>
      </w:r>
      <w:r w:rsidRPr="00E54656">
        <w:rPr>
          <w:rFonts w:ascii="Times New Roman" w:eastAsia="Times New Roman" w:hAnsi="Times New Roman" w:cs="Times New Roman"/>
          <w:b/>
          <w:sz w:val="24"/>
          <w:szCs w:val="24"/>
        </w:rPr>
        <w:t xml:space="preserve">легкой промышленности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объем отраслевого выпуска в сопоставимых ценах сложился на </w:t>
      </w:r>
      <w:r w:rsidR="004238ED" w:rsidRPr="00E54656">
        <w:rPr>
          <w:rFonts w:ascii="Times New Roman" w:eastAsia="Times New Roman" w:hAnsi="Times New Roman" w:cs="Times New Roman"/>
          <w:sz w:val="24"/>
          <w:szCs w:val="24"/>
        </w:rPr>
        <w:t>7,1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% ниже уровня </w:t>
      </w:r>
      <w:r w:rsidR="004238ED" w:rsidRPr="00E54656">
        <w:rPr>
          <w:rFonts w:ascii="Times New Roman" w:eastAsia="Times New Roman" w:hAnsi="Times New Roman" w:cs="Times New Roman"/>
          <w:sz w:val="24"/>
          <w:szCs w:val="24"/>
        </w:rPr>
        <w:t>января                2015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года. </w:t>
      </w:r>
      <w:r w:rsidR="004238ED" w:rsidRPr="00E54656">
        <w:rPr>
          <w:rFonts w:ascii="Times New Roman" w:eastAsia="Times New Roman" w:hAnsi="Times New Roman" w:cs="Times New Roman"/>
          <w:sz w:val="24"/>
          <w:szCs w:val="24"/>
        </w:rPr>
        <w:t>Между тем, на ряде предприятий отрасли в январе 2016 года наблюдается положительная динамика объема промышленного производства. Так о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пределяющее влияние на отраслевой показатель оказывает работа крупнейшего предприятия отрасли ЗАО «</w:t>
      </w:r>
      <w:proofErr w:type="spellStart"/>
      <w:r w:rsidRPr="00E54656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Pr="00E54656">
        <w:rPr>
          <w:rFonts w:ascii="Times New Roman" w:eastAsia="Times New Roman" w:hAnsi="Times New Roman" w:cs="Times New Roman"/>
          <w:sz w:val="24"/>
          <w:szCs w:val="24"/>
        </w:rPr>
        <w:t>» (</w:t>
      </w:r>
      <w:r w:rsidR="004238ED" w:rsidRPr="00E54656">
        <w:rPr>
          <w:rFonts w:ascii="Times New Roman" w:eastAsia="Times New Roman" w:hAnsi="Times New Roman" w:cs="Times New Roman"/>
          <w:sz w:val="24"/>
          <w:szCs w:val="24"/>
        </w:rPr>
        <w:t>52,2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% отраслевого выпуска), </w:t>
      </w:r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увеличившего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 свой товарный выпуск за рассматриваемый период на </w:t>
      </w:r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6,9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%. </w:t>
      </w:r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Также увеличение товарного выпуска отмечено на   ЗАО «Швейная фирма «</w:t>
      </w:r>
      <w:proofErr w:type="spellStart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» - на 36,0%, ЗАО «</w:t>
      </w:r>
      <w:proofErr w:type="spellStart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 xml:space="preserve">» им. В.Соловьевой – на 23,9% </w:t>
      </w:r>
      <w:proofErr w:type="spellStart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итд</w:t>
      </w:r>
      <w:proofErr w:type="spellEnd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. Достигнутые результаты в значительной мере обусловлены оказанием государственной поддержки 4 предприятиям легкой промышленности (ЗАО «</w:t>
      </w:r>
      <w:proofErr w:type="spellStart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Тиротекс</w:t>
      </w:r>
      <w:proofErr w:type="spellEnd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», ЗАО «</w:t>
      </w:r>
      <w:proofErr w:type="spellStart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Одема</w:t>
      </w:r>
      <w:proofErr w:type="spellEnd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 xml:space="preserve">» им. В.Соловьевой, ЗАО «Швейная фирма» </w:t>
      </w:r>
      <w:proofErr w:type="spellStart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Вестра</w:t>
      </w:r>
      <w:proofErr w:type="spellEnd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», ООО «</w:t>
      </w:r>
      <w:proofErr w:type="spellStart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Софтшуз</w:t>
      </w:r>
      <w:proofErr w:type="spellEnd"/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») в виде льготных тарифов на энергоносители и льгот по налогу на доходы.</w:t>
      </w:r>
    </w:p>
    <w:p w:rsidR="00AE0D34" w:rsidRPr="00E54656" w:rsidRDefault="00AE0D34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В </w:t>
      </w:r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янва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ре </w:t>
      </w:r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 xml:space="preserve">2016 года 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по отношению к </w:t>
      </w:r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декаб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рю 2015 года предприятия отрасли демонстрируют снижение объема промышленного производства на </w:t>
      </w:r>
      <w:r w:rsidR="00084FD8" w:rsidRPr="00E54656">
        <w:rPr>
          <w:rFonts w:ascii="Times New Roman" w:eastAsia="Times New Roman" w:hAnsi="Times New Roman" w:cs="Times New Roman"/>
          <w:sz w:val="24"/>
          <w:szCs w:val="24"/>
        </w:rPr>
        <w:t>21,7</w:t>
      </w:r>
      <w:r w:rsidR="00D0124A" w:rsidRPr="00E54656">
        <w:rPr>
          <w:rFonts w:ascii="Times New Roman" w:eastAsia="Times New Roman" w:hAnsi="Times New Roman" w:cs="Times New Roman"/>
          <w:sz w:val="24"/>
          <w:szCs w:val="24"/>
        </w:rPr>
        <w:t>%.</w:t>
      </w:r>
    </w:p>
    <w:p w:rsidR="00AE0D34" w:rsidRPr="00E54656" w:rsidRDefault="00AE0D34" w:rsidP="00AE0D3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56">
        <w:rPr>
          <w:rFonts w:ascii="Calibri" w:eastAsia="Times New Roman" w:hAnsi="Calibri" w:cs="Times New Roman"/>
          <w:noProof/>
        </w:rPr>
        <w:drawing>
          <wp:inline distT="0" distB="0" distL="0" distR="0">
            <wp:extent cx="6181725" cy="1857375"/>
            <wp:effectExtent l="19050" t="0" r="0" b="0"/>
            <wp:docPr id="14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AE0D34" w:rsidRPr="00E54656" w:rsidRDefault="005A630C" w:rsidP="00AE0D3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E54656">
        <w:rPr>
          <w:rFonts w:ascii="Times New Roman" w:eastAsia="Times New Roman" w:hAnsi="Times New Roman" w:cs="Times New Roman"/>
          <w:sz w:val="24"/>
          <w:szCs w:val="24"/>
        </w:rPr>
        <w:t>е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) в </w:t>
      </w:r>
      <w:r w:rsidR="00AE0D34" w:rsidRPr="00E54656">
        <w:rPr>
          <w:rFonts w:ascii="Times New Roman" w:eastAsia="Times New Roman" w:hAnsi="Times New Roman" w:cs="Times New Roman"/>
          <w:b/>
          <w:sz w:val="24"/>
          <w:szCs w:val="24"/>
        </w:rPr>
        <w:t>мукомольно-крупяной и комбикормовой промышленности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по итогам       </w:t>
      </w:r>
      <w:r w:rsidR="00434C99" w:rsidRPr="00E54656">
        <w:rPr>
          <w:rFonts w:ascii="Times New Roman" w:eastAsia="Times New Roman" w:hAnsi="Times New Roman" w:cs="Times New Roman"/>
          <w:sz w:val="24"/>
          <w:szCs w:val="24"/>
        </w:rPr>
        <w:t>января 2016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года отмечается снижение выпуска готовой продукции в сопоставимых ценах на </w:t>
      </w:r>
      <w:r w:rsidR="00434C99" w:rsidRPr="00E54656">
        <w:rPr>
          <w:rFonts w:ascii="Times New Roman" w:eastAsia="Times New Roman" w:hAnsi="Times New Roman" w:cs="Times New Roman"/>
          <w:sz w:val="24"/>
          <w:szCs w:val="24"/>
        </w:rPr>
        <w:t>22,5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%, </w:t>
      </w:r>
      <w:r w:rsidR="00AE0D34" w:rsidRPr="00C77A82">
        <w:rPr>
          <w:rFonts w:ascii="Times New Roman" w:eastAsia="Times New Roman" w:hAnsi="Times New Roman" w:cs="Times New Roman"/>
          <w:sz w:val="24"/>
          <w:szCs w:val="24"/>
        </w:rPr>
        <w:t xml:space="preserve">что вызвано в основном сокращением объемов производства на </w:t>
      </w:r>
      <w:r w:rsidR="00434C99" w:rsidRPr="00C77A82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</w:t>
      </w:r>
      <w:r w:rsidR="00AE0D34" w:rsidRPr="00C77A82">
        <w:rPr>
          <w:rFonts w:ascii="Times New Roman" w:eastAsia="Times New Roman" w:hAnsi="Times New Roman" w:cs="Times New Roman"/>
          <w:sz w:val="24"/>
          <w:szCs w:val="24"/>
        </w:rPr>
        <w:t xml:space="preserve">ЗАО «Бендерский комбинат хлебопродуктов» на </w:t>
      </w:r>
      <w:r w:rsidR="00434C99" w:rsidRPr="00C77A82">
        <w:rPr>
          <w:rFonts w:ascii="Times New Roman" w:eastAsia="Times New Roman" w:hAnsi="Times New Roman" w:cs="Times New Roman"/>
          <w:sz w:val="24"/>
          <w:szCs w:val="24"/>
        </w:rPr>
        <w:t>60,2</w:t>
      </w:r>
      <w:r w:rsidR="00AE0D34" w:rsidRPr="00C77A82">
        <w:rPr>
          <w:rFonts w:ascii="Times New Roman" w:eastAsia="Times New Roman" w:hAnsi="Times New Roman" w:cs="Times New Roman"/>
          <w:sz w:val="24"/>
          <w:szCs w:val="24"/>
        </w:rPr>
        <w:t xml:space="preserve">%, ввиду </w:t>
      </w:r>
      <w:r w:rsidR="00EF77F9" w:rsidRPr="00C77A82">
        <w:rPr>
          <w:rFonts w:ascii="Times New Roman" w:hAnsi="Times New Roman"/>
          <w:sz w:val="24"/>
          <w:szCs w:val="24"/>
        </w:rPr>
        <w:t xml:space="preserve">жесткой конкуренции на </w:t>
      </w:r>
      <w:r w:rsidR="006E4DD2" w:rsidRPr="00C77A82">
        <w:rPr>
          <w:rFonts w:ascii="Times New Roman" w:hAnsi="Times New Roman"/>
          <w:sz w:val="24"/>
          <w:szCs w:val="24"/>
        </w:rPr>
        <w:t xml:space="preserve">отраслевом </w:t>
      </w:r>
      <w:r w:rsidR="00EF77F9" w:rsidRPr="00C77A82">
        <w:rPr>
          <w:rFonts w:ascii="Times New Roman" w:hAnsi="Times New Roman"/>
          <w:sz w:val="24"/>
          <w:szCs w:val="24"/>
        </w:rPr>
        <w:t xml:space="preserve">рынке, </w:t>
      </w:r>
      <w:r w:rsidR="006E4DD2" w:rsidRPr="00C77A82">
        <w:rPr>
          <w:rFonts w:ascii="Times New Roman" w:hAnsi="Times New Roman"/>
          <w:sz w:val="24"/>
          <w:szCs w:val="24"/>
        </w:rPr>
        <w:t xml:space="preserve">из-за </w:t>
      </w:r>
      <w:r w:rsidR="00EF77F9" w:rsidRPr="00C77A82">
        <w:rPr>
          <w:rFonts w:ascii="Times New Roman" w:hAnsi="Times New Roman"/>
          <w:color w:val="262626"/>
          <w:sz w:val="24"/>
          <w:szCs w:val="24"/>
        </w:rPr>
        <w:t xml:space="preserve">импорта товаров </w:t>
      </w:r>
      <w:r w:rsidR="006E4DD2" w:rsidRPr="00C77A82">
        <w:rPr>
          <w:rFonts w:ascii="Times New Roman" w:hAnsi="Times New Roman"/>
          <w:color w:val="262626"/>
          <w:sz w:val="24"/>
          <w:szCs w:val="24"/>
        </w:rPr>
        <w:t xml:space="preserve">по более низким ценам </w:t>
      </w:r>
      <w:r w:rsidR="00EF77F9" w:rsidRPr="00C77A82">
        <w:rPr>
          <w:rFonts w:ascii="Times New Roman" w:hAnsi="Times New Roman"/>
          <w:color w:val="262626"/>
          <w:sz w:val="24"/>
          <w:szCs w:val="24"/>
        </w:rPr>
        <w:t>из сопредельных государств</w:t>
      </w:r>
      <w:r w:rsidR="00AE0D34" w:rsidRPr="00C77A82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При этом в </w:t>
      </w:r>
      <w:r w:rsidR="00E54656" w:rsidRPr="00E54656">
        <w:rPr>
          <w:rFonts w:ascii="Times New Roman" w:eastAsia="Times New Roman" w:hAnsi="Times New Roman" w:cs="Times New Roman"/>
          <w:sz w:val="24"/>
          <w:szCs w:val="24"/>
        </w:rPr>
        <w:t>январе 2016 года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по отношению к </w:t>
      </w:r>
      <w:r w:rsidR="00E54656" w:rsidRPr="00E54656">
        <w:rPr>
          <w:rFonts w:ascii="Times New Roman" w:eastAsia="Times New Roman" w:hAnsi="Times New Roman" w:cs="Times New Roman"/>
          <w:sz w:val="24"/>
          <w:szCs w:val="24"/>
        </w:rPr>
        <w:t>дека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брю 2015 года на фоне </w:t>
      </w:r>
      <w:r w:rsidR="00E54656" w:rsidRPr="00E54656">
        <w:rPr>
          <w:rFonts w:ascii="Times New Roman" w:eastAsia="Times New Roman" w:hAnsi="Times New Roman" w:cs="Times New Roman"/>
          <w:sz w:val="24"/>
          <w:szCs w:val="24"/>
        </w:rPr>
        <w:t>снижения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объемов производства круп </w:t>
      </w:r>
      <w:r w:rsidR="00E54656" w:rsidRPr="00E54656">
        <w:rPr>
          <w:rFonts w:ascii="Times New Roman" w:eastAsia="Times New Roman" w:hAnsi="Times New Roman" w:cs="Times New Roman"/>
          <w:sz w:val="24"/>
          <w:szCs w:val="24"/>
        </w:rPr>
        <w:t xml:space="preserve">и муки 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отмечен </w:t>
      </w:r>
      <w:r w:rsidR="00E54656" w:rsidRPr="00E54656">
        <w:rPr>
          <w:rFonts w:ascii="Times New Roman" w:eastAsia="Times New Roman" w:hAnsi="Times New Roman" w:cs="Times New Roman"/>
          <w:sz w:val="24"/>
          <w:szCs w:val="24"/>
        </w:rPr>
        <w:t>спад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 xml:space="preserve"> объема производства по отрасли на </w:t>
      </w:r>
      <w:r w:rsidR="00E54656" w:rsidRPr="00E54656">
        <w:rPr>
          <w:rFonts w:ascii="Times New Roman" w:eastAsia="Times New Roman" w:hAnsi="Times New Roman" w:cs="Times New Roman"/>
          <w:sz w:val="24"/>
          <w:szCs w:val="24"/>
        </w:rPr>
        <w:t>45,4</w:t>
      </w:r>
      <w:r w:rsidR="00AE0D34" w:rsidRPr="00E54656">
        <w:rPr>
          <w:rFonts w:ascii="Times New Roman" w:eastAsia="Times New Roman" w:hAnsi="Times New Roman" w:cs="Times New Roman"/>
          <w:sz w:val="24"/>
          <w:szCs w:val="24"/>
        </w:rPr>
        <w:t>%.</w:t>
      </w:r>
      <w:r w:rsidR="00EF77F9" w:rsidRPr="00EF77F9">
        <w:rPr>
          <w:rFonts w:ascii="Times New Roman" w:hAnsi="Times New Roman"/>
          <w:sz w:val="24"/>
          <w:szCs w:val="24"/>
        </w:rPr>
        <w:t xml:space="preserve"> </w:t>
      </w:r>
      <w:r w:rsidR="00EF77F9">
        <w:rPr>
          <w:rFonts w:ascii="Times New Roman" w:hAnsi="Times New Roman"/>
          <w:sz w:val="24"/>
          <w:szCs w:val="24"/>
        </w:rPr>
        <w:t>в условиях</w:t>
      </w:r>
      <w:r w:rsidR="00EF77F9">
        <w:rPr>
          <w:rFonts w:ascii="Times New Roman" w:hAnsi="Times New Roman"/>
          <w:color w:val="262626"/>
          <w:sz w:val="24"/>
          <w:szCs w:val="24"/>
        </w:rPr>
        <w:t>,</w:t>
      </w:r>
      <w:r w:rsidR="00EF77F9" w:rsidRPr="00497C5F">
        <w:rPr>
          <w:rFonts w:ascii="Times New Roman" w:hAnsi="Times New Roman"/>
          <w:sz w:val="24"/>
          <w:szCs w:val="24"/>
        </w:rPr>
        <w:t xml:space="preserve"> отрасль демонстрирует рост объема производства</w:t>
      </w:r>
    </w:p>
    <w:p w:rsidR="00AE0D34" w:rsidRPr="00E54656" w:rsidRDefault="00AE0D34" w:rsidP="001E38E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54656">
        <w:rPr>
          <w:rFonts w:ascii="Times New Roman" w:eastAsia="Times New Roman" w:hAnsi="Times New Roman" w:cs="Times New Roman"/>
          <w:sz w:val="24"/>
          <w:szCs w:val="24"/>
        </w:rPr>
        <w:t xml:space="preserve">В натуральном выражении в рассматриваемом периоде отмечено снижение объема производства муки на </w:t>
      </w:r>
      <w:r w:rsidR="00E54656" w:rsidRPr="00E54656">
        <w:rPr>
          <w:rFonts w:ascii="Times New Roman" w:eastAsia="Times New Roman" w:hAnsi="Times New Roman" w:cs="Times New Roman"/>
          <w:sz w:val="24"/>
          <w:szCs w:val="24"/>
        </w:rPr>
        <w:t>21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,</w:t>
      </w:r>
      <w:r w:rsidR="00E54656" w:rsidRPr="00E54656">
        <w:rPr>
          <w:rFonts w:ascii="Times New Roman" w:eastAsia="Times New Roman" w:hAnsi="Times New Roman" w:cs="Times New Roman"/>
          <w:sz w:val="24"/>
          <w:szCs w:val="24"/>
        </w:rPr>
        <w:t>0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%</w:t>
      </w:r>
      <w:r w:rsidR="00E54656" w:rsidRPr="00E54656">
        <w:rPr>
          <w:rFonts w:ascii="Times New Roman" w:eastAsia="Times New Roman" w:hAnsi="Times New Roman" w:cs="Times New Roman"/>
          <w:sz w:val="24"/>
          <w:szCs w:val="24"/>
        </w:rPr>
        <w:t xml:space="preserve"> и круп на 63,3%</w:t>
      </w:r>
      <w:r w:rsidRPr="00E54656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E0D34" w:rsidRDefault="005A630C" w:rsidP="005A63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  <w:proofErr w:type="gramStart"/>
      <w:r w:rsidRPr="00E54656">
        <w:rPr>
          <w:rFonts w:ascii="Times New Roman" w:hAnsi="Times New Roman"/>
          <w:color w:val="000000"/>
          <w:sz w:val="24"/>
          <w:szCs w:val="24"/>
        </w:rPr>
        <w:t xml:space="preserve">ж) в </w:t>
      </w:r>
      <w:r w:rsidRPr="00E54656">
        <w:rPr>
          <w:rFonts w:ascii="Times New Roman" w:hAnsi="Times New Roman"/>
          <w:b/>
          <w:color w:val="000000"/>
          <w:sz w:val="24"/>
          <w:szCs w:val="24"/>
        </w:rPr>
        <w:t>полиграфической промышленности</w:t>
      </w:r>
      <w:r w:rsidRPr="00E54656">
        <w:rPr>
          <w:rFonts w:ascii="Times New Roman" w:hAnsi="Times New Roman"/>
          <w:color w:val="000000"/>
          <w:sz w:val="24"/>
          <w:szCs w:val="24"/>
        </w:rPr>
        <w:t xml:space="preserve"> на фоне падения потребительского спроса на такие виды продукции как </w:t>
      </w:r>
      <w:proofErr w:type="spellStart"/>
      <w:r w:rsidRPr="00E54656">
        <w:rPr>
          <w:rFonts w:ascii="Times New Roman" w:hAnsi="Times New Roman"/>
          <w:color w:val="000000"/>
          <w:sz w:val="24"/>
          <w:szCs w:val="24"/>
        </w:rPr>
        <w:t>изоиздания</w:t>
      </w:r>
      <w:proofErr w:type="spellEnd"/>
      <w:r w:rsidRPr="00E54656">
        <w:rPr>
          <w:rFonts w:ascii="Times New Roman" w:hAnsi="Times New Roman"/>
          <w:color w:val="000000"/>
          <w:sz w:val="24"/>
          <w:szCs w:val="24"/>
        </w:rPr>
        <w:t xml:space="preserve"> («-»72,7%), книги («-»71,2%) и этикеточные обертки печатные («-»62,0%) совокупная стоимостная величина товарного выпуска отрасли в январе 2016 года сократилась по отношению к базисному значению 2015 года на 57,9%. При этом 76,1% общего </w:t>
      </w:r>
      <w:r w:rsidR="00DB7CE2">
        <w:rPr>
          <w:rFonts w:ascii="Times New Roman" w:hAnsi="Times New Roman"/>
          <w:color w:val="000000"/>
          <w:sz w:val="24"/>
          <w:szCs w:val="24"/>
        </w:rPr>
        <w:t>объема производства</w:t>
      </w:r>
      <w:r w:rsidRPr="00E54656">
        <w:rPr>
          <w:rFonts w:ascii="Times New Roman" w:hAnsi="Times New Roman"/>
          <w:color w:val="000000"/>
          <w:sz w:val="24"/>
          <w:szCs w:val="24"/>
        </w:rPr>
        <w:t xml:space="preserve"> по </w:t>
      </w:r>
      <w:proofErr w:type="spellStart"/>
      <w:r w:rsidRPr="00E54656">
        <w:rPr>
          <w:rFonts w:ascii="Times New Roman" w:hAnsi="Times New Roman"/>
          <w:color w:val="000000"/>
          <w:sz w:val="24"/>
          <w:szCs w:val="24"/>
        </w:rPr>
        <w:t>подотрасли</w:t>
      </w:r>
      <w:proofErr w:type="spellEnd"/>
      <w:r w:rsidRPr="00E54656">
        <w:rPr>
          <w:rFonts w:ascii="Times New Roman" w:hAnsi="Times New Roman"/>
          <w:color w:val="000000"/>
          <w:sz w:val="24"/>
          <w:szCs w:val="24"/>
        </w:rPr>
        <w:t xml:space="preserve"> обеспечено ГУИП Типография «Полиграфист», объем промышленного производства которого, на</w:t>
      </w:r>
      <w:proofErr w:type="gramEnd"/>
      <w:r w:rsidRPr="00E54656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E54656">
        <w:rPr>
          <w:rFonts w:ascii="Times New Roman" w:hAnsi="Times New Roman"/>
          <w:color w:val="000000"/>
          <w:sz w:val="24"/>
          <w:szCs w:val="24"/>
        </w:rPr>
        <w:t>фоне</w:t>
      </w:r>
      <w:proofErr w:type="gramEnd"/>
      <w:r w:rsidRPr="00E54656">
        <w:rPr>
          <w:rFonts w:ascii="Times New Roman" w:hAnsi="Times New Roman"/>
          <w:color w:val="000000"/>
          <w:sz w:val="24"/>
          <w:szCs w:val="24"/>
        </w:rPr>
        <w:t xml:space="preserve"> сокращения заказов по изданию учебной литературы для общеобразовательных учреждений, в январе 2016 года снизился на 58,9% относительно соответствующего периода прошлого года.</w:t>
      </w:r>
    </w:p>
    <w:p w:rsidR="00CD64CB" w:rsidRDefault="00CD64CB" w:rsidP="00CD6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u w:val="single"/>
        </w:rPr>
      </w:pPr>
    </w:p>
    <w:p w:rsidR="00CD64CB" w:rsidRPr="006E4F3B" w:rsidRDefault="00CD64CB" w:rsidP="00CD6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b/>
          <w:color w:val="000000"/>
          <w:sz w:val="24"/>
          <w:szCs w:val="24"/>
          <w:u w:val="single"/>
        </w:rPr>
      </w:pPr>
      <w:r w:rsidRPr="006E4F3B">
        <w:rPr>
          <w:rFonts w:ascii="Times New Roman" w:hAnsi="Times New Roman"/>
          <w:b/>
          <w:sz w:val="24"/>
          <w:szCs w:val="24"/>
          <w:u w:val="single"/>
        </w:rPr>
        <w:t>В</w:t>
      </w:r>
      <w:r w:rsidRPr="006E4F3B">
        <w:rPr>
          <w:rFonts w:ascii="Times New Roman" w:hAnsi="Times New Roman"/>
          <w:b/>
          <w:color w:val="000000"/>
          <w:sz w:val="24"/>
          <w:szCs w:val="24"/>
          <w:u w:val="single"/>
        </w:rPr>
        <w:t>нешнеэкономическая деятельность</w:t>
      </w:r>
    </w:p>
    <w:p w:rsidR="00CD64CB" w:rsidRDefault="00CD64CB" w:rsidP="00CD64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046024">
        <w:rPr>
          <w:rFonts w:ascii="Times New Roman" w:hAnsi="Times New Roman"/>
          <w:sz w:val="24"/>
          <w:szCs w:val="24"/>
        </w:rPr>
        <w:t xml:space="preserve">В январе 2016 года </w:t>
      </w:r>
      <w:r>
        <w:rPr>
          <w:rFonts w:ascii="Times New Roman" w:hAnsi="Times New Roman"/>
          <w:sz w:val="24"/>
          <w:szCs w:val="24"/>
        </w:rPr>
        <w:t>на</w:t>
      </w:r>
      <w:r w:rsidRPr="00046024">
        <w:rPr>
          <w:rFonts w:ascii="Times New Roman" w:hAnsi="Times New Roman"/>
          <w:sz w:val="24"/>
          <w:szCs w:val="24"/>
        </w:rPr>
        <w:t xml:space="preserve"> фоне слабой внешнеэкономической конъюнктуры, дефицита оборотных средств и неустойчивой позиции отечественных предприятий на мировых рынках отмечается тенденция </w:t>
      </w:r>
      <w:proofErr w:type="gramStart"/>
      <w:r w:rsidRPr="00046024">
        <w:rPr>
          <w:rFonts w:ascii="Times New Roman" w:hAnsi="Times New Roman"/>
          <w:sz w:val="24"/>
          <w:szCs w:val="24"/>
        </w:rPr>
        <w:t>снижения объемных показателей внешне</w:t>
      </w:r>
      <w:r>
        <w:rPr>
          <w:rFonts w:ascii="Times New Roman" w:hAnsi="Times New Roman"/>
          <w:sz w:val="24"/>
          <w:szCs w:val="24"/>
        </w:rPr>
        <w:t>экономической деятельности хозяйствующих субъектов республики</w:t>
      </w:r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046024">
        <w:rPr>
          <w:rFonts w:ascii="Times New Roman" w:hAnsi="Times New Roman"/>
          <w:sz w:val="24"/>
          <w:szCs w:val="24"/>
        </w:rPr>
        <w:t xml:space="preserve">с динамикой углубления. Так совокупный объем внешнеторгового оборота в январе текущего года по отношению к базовому показателю 2015 года снизился на 39,2% до 60,8 млн. долл., при этом объем экспортных и импортных поставок сократился на 13,9% до 33,6 млн. долл. и на 48,2% </w:t>
      </w:r>
      <w:proofErr w:type="gramStart"/>
      <w:r w:rsidRPr="00046024">
        <w:rPr>
          <w:rFonts w:ascii="Times New Roman" w:hAnsi="Times New Roman"/>
          <w:sz w:val="24"/>
          <w:szCs w:val="24"/>
        </w:rPr>
        <w:t>до</w:t>
      </w:r>
      <w:proofErr w:type="gramEnd"/>
      <w:r w:rsidRPr="00046024">
        <w:rPr>
          <w:rFonts w:ascii="Times New Roman" w:hAnsi="Times New Roman"/>
          <w:sz w:val="24"/>
          <w:szCs w:val="24"/>
        </w:rPr>
        <w:t xml:space="preserve"> </w:t>
      </w:r>
      <w:r w:rsidRPr="00046024">
        <w:rPr>
          <w:rFonts w:ascii="Times New Roman" w:hAnsi="Times New Roman"/>
          <w:sz w:val="24"/>
          <w:szCs w:val="24"/>
        </w:rPr>
        <w:lastRenderedPageBreak/>
        <w:t>57,2 млн. долл. соответственно. На этом фоне сальдо внешнеторгового оборота составило 23,5 млн. долл., против 71,2 млн. долл. в январе минувшего года.</w:t>
      </w:r>
    </w:p>
    <w:p w:rsidR="00CD64CB" w:rsidRPr="00F47EFD" w:rsidRDefault="00CD64CB" w:rsidP="00CD6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47EFD">
        <w:rPr>
          <w:rFonts w:ascii="Times New Roman" w:hAnsi="Times New Roman"/>
          <w:sz w:val="24"/>
          <w:szCs w:val="24"/>
        </w:rPr>
        <w:t xml:space="preserve">Фиксируемая динамика внешнеэкономической деятельности хозяйствующих субъектов в </w:t>
      </w:r>
      <w:r>
        <w:rPr>
          <w:rFonts w:ascii="Times New Roman" w:hAnsi="Times New Roman"/>
          <w:sz w:val="24"/>
          <w:szCs w:val="24"/>
        </w:rPr>
        <w:t>январе</w:t>
      </w:r>
      <w:r w:rsidRPr="00F47EFD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6</w:t>
      </w:r>
      <w:r w:rsidRPr="00F47EFD">
        <w:rPr>
          <w:rFonts w:ascii="Times New Roman" w:hAnsi="Times New Roman"/>
          <w:sz w:val="24"/>
          <w:szCs w:val="24"/>
        </w:rPr>
        <w:t xml:space="preserve"> года обеспечила покрытие </w:t>
      </w:r>
      <w:r>
        <w:rPr>
          <w:rFonts w:ascii="Times New Roman" w:hAnsi="Times New Roman"/>
          <w:sz w:val="24"/>
          <w:szCs w:val="24"/>
        </w:rPr>
        <w:t xml:space="preserve">базовых </w:t>
      </w:r>
      <w:r w:rsidRPr="00F47EFD">
        <w:rPr>
          <w:rFonts w:ascii="Times New Roman" w:hAnsi="Times New Roman"/>
          <w:sz w:val="24"/>
          <w:szCs w:val="24"/>
        </w:rPr>
        <w:t xml:space="preserve">параметров </w:t>
      </w:r>
      <w:r>
        <w:rPr>
          <w:rFonts w:ascii="Times New Roman" w:hAnsi="Times New Roman"/>
          <w:sz w:val="24"/>
          <w:szCs w:val="24"/>
        </w:rPr>
        <w:t xml:space="preserve">декабря месяца </w:t>
      </w:r>
      <w:r w:rsidRPr="00F47EFD">
        <w:rPr>
          <w:rFonts w:ascii="Times New Roman" w:hAnsi="Times New Roman"/>
          <w:sz w:val="24"/>
          <w:szCs w:val="24"/>
        </w:rPr>
        <w:t>201</w:t>
      </w:r>
      <w:r>
        <w:rPr>
          <w:rFonts w:ascii="Times New Roman" w:hAnsi="Times New Roman"/>
          <w:sz w:val="24"/>
          <w:szCs w:val="24"/>
        </w:rPr>
        <w:t>5</w:t>
      </w:r>
      <w:r w:rsidRPr="00F47EFD">
        <w:rPr>
          <w:rFonts w:ascii="Times New Roman" w:hAnsi="Times New Roman"/>
          <w:sz w:val="24"/>
          <w:szCs w:val="24"/>
        </w:rPr>
        <w:t xml:space="preserve"> года </w:t>
      </w:r>
      <w:r>
        <w:rPr>
          <w:rFonts w:ascii="Times New Roman" w:hAnsi="Times New Roman"/>
          <w:sz w:val="24"/>
          <w:szCs w:val="24"/>
        </w:rPr>
        <w:t xml:space="preserve">по </w:t>
      </w:r>
      <w:r w:rsidRPr="00F47EFD">
        <w:rPr>
          <w:rFonts w:ascii="Times New Roman" w:hAnsi="Times New Roman"/>
          <w:sz w:val="24"/>
          <w:szCs w:val="24"/>
        </w:rPr>
        <w:t>экспорт</w:t>
      </w:r>
      <w:r>
        <w:rPr>
          <w:rFonts w:ascii="Times New Roman" w:hAnsi="Times New Roman"/>
          <w:sz w:val="24"/>
          <w:szCs w:val="24"/>
        </w:rPr>
        <w:t>ным поставкам</w:t>
      </w:r>
      <w:r w:rsidRPr="00F47EFD">
        <w:rPr>
          <w:rFonts w:ascii="Times New Roman" w:hAnsi="Times New Roman"/>
          <w:sz w:val="24"/>
          <w:szCs w:val="24"/>
        </w:rPr>
        <w:t xml:space="preserve"> на </w:t>
      </w:r>
      <w:r>
        <w:rPr>
          <w:rFonts w:ascii="Times New Roman" w:hAnsi="Times New Roman"/>
          <w:sz w:val="24"/>
          <w:szCs w:val="24"/>
        </w:rPr>
        <w:t>68,6</w:t>
      </w:r>
      <w:r w:rsidRPr="00F47EFD">
        <w:rPr>
          <w:rFonts w:ascii="Times New Roman" w:hAnsi="Times New Roman"/>
          <w:sz w:val="24"/>
          <w:szCs w:val="24"/>
        </w:rPr>
        <w:t xml:space="preserve">%, а импорта на </w:t>
      </w:r>
      <w:r>
        <w:rPr>
          <w:rFonts w:ascii="Times New Roman" w:hAnsi="Times New Roman"/>
          <w:sz w:val="24"/>
          <w:szCs w:val="24"/>
        </w:rPr>
        <w:t>59,3</w:t>
      </w:r>
      <w:r w:rsidRPr="00F47EFD">
        <w:rPr>
          <w:rFonts w:ascii="Times New Roman" w:hAnsi="Times New Roman"/>
          <w:sz w:val="24"/>
          <w:szCs w:val="24"/>
        </w:rPr>
        <w:t xml:space="preserve">%. </w:t>
      </w:r>
    </w:p>
    <w:p w:rsidR="00CD64CB" w:rsidRPr="006E4F3B" w:rsidRDefault="00CD64CB" w:rsidP="00CD64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CD64CB" w:rsidRPr="006E4F3B" w:rsidRDefault="00CD64CB" w:rsidP="00CD64CB">
      <w:pPr>
        <w:pStyle w:val="2"/>
        <w:tabs>
          <w:tab w:val="left" w:pos="7920"/>
        </w:tabs>
        <w:ind w:firstLine="709"/>
        <w:jc w:val="center"/>
        <w:rPr>
          <w:b/>
          <w:sz w:val="24"/>
          <w:szCs w:val="24"/>
        </w:rPr>
      </w:pPr>
      <w:r w:rsidRPr="006E4F3B">
        <w:rPr>
          <w:b/>
          <w:sz w:val="24"/>
          <w:szCs w:val="24"/>
        </w:rPr>
        <w:t>Динамика внешнеторгового оборота в январе 2015 – 2016 г.г.</w:t>
      </w:r>
    </w:p>
    <w:p w:rsidR="00CD64CB" w:rsidRPr="006E4F3B" w:rsidRDefault="00CD64CB" w:rsidP="00CD6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E4F3B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5534025" cy="1752600"/>
            <wp:effectExtent l="0" t="0" r="0" b="0"/>
            <wp:docPr id="2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D64CB" w:rsidRPr="003D5D84" w:rsidRDefault="00CD64CB" w:rsidP="00CD64CB">
      <w:pPr>
        <w:pStyle w:val="a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046024">
        <w:rPr>
          <w:rFonts w:ascii="Times New Roman" w:hAnsi="Times New Roman"/>
          <w:sz w:val="24"/>
          <w:szCs w:val="24"/>
        </w:rPr>
        <w:t xml:space="preserve">На фоне слабой внешнеэкономической </w:t>
      </w:r>
      <w:r>
        <w:rPr>
          <w:rFonts w:ascii="Times New Roman" w:hAnsi="Times New Roman"/>
          <w:sz w:val="24"/>
          <w:szCs w:val="24"/>
        </w:rPr>
        <w:t xml:space="preserve">ценовой </w:t>
      </w:r>
      <w:r w:rsidRPr="00046024">
        <w:rPr>
          <w:rFonts w:ascii="Times New Roman" w:hAnsi="Times New Roman"/>
          <w:sz w:val="24"/>
          <w:szCs w:val="24"/>
        </w:rPr>
        <w:t>конъюнктуры</w:t>
      </w:r>
      <w:r>
        <w:rPr>
          <w:rFonts w:ascii="Times New Roman" w:hAnsi="Times New Roman"/>
          <w:sz w:val="24"/>
          <w:szCs w:val="24"/>
        </w:rPr>
        <w:t xml:space="preserve"> </w:t>
      </w:r>
      <w:r w:rsidRPr="00046024">
        <w:rPr>
          <w:rFonts w:ascii="Times New Roman" w:hAnsi="Times New Roman"/>
          <w:sz w:val="24"/>
          <w:szCs w:val="24"/>
        </w:rPr>
        <w:t xml:space="preserve">на мировых рынках </w:t>
      </w:r>
      <w:r>
        <w:rPr>
          <w:rFonts w:ascii="Times New Roman" w:hAnsi="Times New Roman"/>
          <w:sz w:val="24"/>
          <w:szCs w:val="24"/>
        </w:rPr>
        <w:t>в совокупности с падением спроса на продукцию</w:t>
      </w:r>
      <w:proofErr w:type="gramEnd"/>
      <w:r>
        <w:rPr>
          <w:rFonts w:ascii="Times New Roman" w:hAnsi="Times New Roman"/>
          <w:sz w:val="24"/>
          <w:szCs w:val="24"/>
        </w:rPr>
        <w:t xml:space="preserve"> отечественных производителей т</w:t>
      </w:r>
      <w:r w:rsidRPr="00046024">
        <w:rPr>
          <w:rFonts w:ascii="Times New Roman" w:hAnsi="Times New Roman"/>
          <w:sz w:val="24"/>
          <w:szCs w:val="24"/>
        </w:rPr>
        <w:t>оварная структура экспорта в январе месяце текущего года, характеризовалась следующим образом:</w:t>
      </w:r>
    </w:p>
    <w:p w:rsidR="00CD64CB" w:rsidRPr="006E4F3B" w:rsidRDefault="00CD64CB" w:rsidP="00CD64CB">
      <w:pPr>
        <w:pStyle w:val="a5"/>
        <w:jc w:val="center"/>
        <w:rPr>
          <w:b/>
        </w:rPr>
      </w:pPr>
    </w:p>
    <w:p w:rsidR="00CD64CB" w:rsidRPr="006E4F3B" w:rsidRDefault="00CD64CB" w:rsidP="00CD64CB">
      <w:pPr>
        <w:pStyle w:val="a5"/>
        <w:jc w:val="center"/>
        <w:rPr>
          <w:b/>
        </w:rPr>
      </w:pPr>
      <w:r w:rsidRPr="006E4F3B">
        <w:rPr>
          <w:b/>
        </w:rPr>
        <w:t>Товарная структура экспорта, млн. долл. США</w:t>
      </w:r>
    </w:p>
    <w:p w:rsidR="00CD64CB" w:rsidRPr="006E4F3B" w:rsidRDefault="00CD64CB" w:rsidP="00CD64CB">
      <w:pPr>
        <w:pStyle w:val="a5"/>
        <w:ind w:firstLine="0"/>
        <w:jc w:val="center"/>
        <w:rPr>
          <w:b/>
        </w:rPr>
      </w:pPr>
      <w:r w:rsidRPr="006E4F3B">
        <w:rPr>
          <w:b/>
          <w:noProof/>
        </w:rPr>
        <w:drawing>
          <wp:inline distT="0" distB="0" distL="0" distR="0">
            <wp:extent cx="5934075" cy="2809875"/>
            <wp:effectExtent l="0" t="0" r="0" b="0"/>
            <wp:docPr id="3" name="Объект 4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CD64CB" w:rsidRPr="006E4F3B" w:rsidRDefault="00CD64CB" w:rsidP="00CD64CB">
      <w:pPr>
        <w:pStyle w:val="a5"/>
        <w:ind w:firstLine="0"/>
        <w:rPr>
          <w:b/>
          <w:noProof/>
        </w:rPr>
      </w:pPr>
    </w:p>
    <w:p w:rsidR="00CD64CB" w:rsidRPr="006E4F3B" w:rsidRDefault="00CD64CB" w:rsidP="00CD64CB">
      <w:pPr>
        <w:pStyle w:val="a5"/>
      </w:pPr>
      <w:r>
        <w:t>Ведущей статьей в</w:t>
      </w:r>
      <w:r w:rsidRPr="006E4F3B">
        <w:t xml:space="preserve"> товарной структуре экспорта в обозначенном периоде при сокращении объема поставок на 1,7% </w:t>
      </w:r>
      <w:r>
        <w:t>продолжали выступать</w:t>
      </w:r>
      <w:r w:rsidRPr="006E4F3B">
        <w:t xml:space="preserve"> топливно-энергетические товары, их доля составила 54,8% от совокупного объема экспорта, расширившись на 6,8 процентных пункта.</w:t>
      </w:r>
    </w:p>
    <w:p w:rsidR="00CD64CB" w:rsidRPr="006E4F3B" w:rsidRDefault="00CD64CB" w:rsidP="00CD64CB">
      <w:pPr>
        <w:pStyle w:val="a5"/>
      </w:pPr>
      <w:proofErr w:type="gramStart"/>
      <w:r w:rsidRPr="0082479F">
        <w:t>Второй составляющей по величине долевого участия в формировании совокупного объема экспорта в январе текущего года выступили товары легкой промышленности (текстильные материалы, одежда, текстильные изделия, обувь)</w:t>
      </w:r>
      <w:r>
        <w:t>,</w:t>
      </w:r>
      <w:r w:rsidRPr="0082479F">
        <w:t xml:space="preserve"> удельный вес которых на фоне неблагоприятной ситуации на внешних рынках, выразившейся в падении спроса на продукцию отрасли</w:t>
      </w:r>
      <w:r>
        <w:t>,</w:t>
      </w:r>
      <w:r w:rsidRPr="0082479F">
        <w:t xml:space="preserve"> при сокращении объема реализации ее за рубеж на 21,7% по отношению к январю месяцу 2015 года сузился на</w:t>
      </w:r>
      <w:proofErr w:type="gramEnd"/>
      <w:r w:rsidRPr="0082479F">
        <w:t xml:space="preserve"> 1,8 </w:t>
      </w:r>
      <w:proofErr w:type="gramStart"/>
      <w:r w:rsidRPr="0082479F">
        <w:t>процентных</w:t>
      </w:r>
      <w:proofErr w:type="gramEnd"/>
      <w:r w:rsidRPr="0082479F">
        <w:t xml:space="preserve"> пункта до 18,7%.</w:t>
      </w:r>
      <w:r w:rsidRPr="006E4F3B">
        <w:t xml:space="preserve"> </w:t>
      </w:r>
    </w:p>
    <w:p w:rsidR="00CD64CB" w:rsidRPr="006E4F3B" w:rsidRDefault="00CD64CB" w:rsidP="00CD64CB">
      <w:pPr>
        <w:pStyle w:val="a5"/>
      </w:pPr>
      <w:proofErr w:type="gramStart"/>
      <w:r w:rsidRPr="00D013BC">
        <w:t>Падение мировых цен на рынке металлов, обусловившее уменьшение реализации за рубеж продукции черной металлургии</w:t>
      </w:r>
      <w:r>
        <w:t xml:space="preserve"> предопределило </w:t>
      </w:r>
      <w:r w:rsidRPr="006E4F3B">
        <w:t>сокращени</w:t>
      </w:r>
      <w:r>
        <w:t xml:space="preserve">е объема экспортных </w:t>
      </w:r>
      <w:r>
        <w:lastRenderedPageBreak/>
        <w:t>поставок металлов и изделий из них</w:t>
      </w:r>
      <w:r w:rsidRPr="006E4F3B">
        <w:t xml:space="preserve"> на 15,4%</w:t>
      </w:r>
      <w:r>
        <w:t xml:space="preserve">, в результате вклад данной компоненты в структуре </w:t>
      </w:r>
      <w:r w:rsidRPr="006E4F3B">
        <w:t>совокупного экспорта</w:t>
      </w:r>
      <w:r>
        <w:t xml:space="preserve"> в январе текущего года</w:t>
      </w:r>
      <w:r w:rsidRPr="006E4F3B">
        <w:t xml:space="preserve"> сложился на уровне 15,3%, сократив долевое участие </w:t>
      </w:r>
      <w:r>
        <w:t xml:space="preserve">по отношению к уровню базового показателя минувшего года </w:t>
      </w:r>
      <w:r w:rsidRPr="006E4F3B">
        <w:t>на 0,3 процентных пункта.</w:t>
      </w:r>
      <w:proofErr w:type="gramEnd"/>
    </w:p>
    <w:p w:rsidR="00CD64CB" w:rsidRPr="006E4F3B" w:rsidRDefault="00CD64CB" w:rsidP="00CD64CB">
      <w:pPr>
        <w:pStyle w:val="a5"/>
      </w:pPr>
      <w:r>
        <w:t xml:space="preserve">Существенное сокращение экспорта такой товарной позиции как «злак» («-»76,1%) обусловило снижение экспортных поставок продовольствия </w:t>
      </w:r>
      <w:r w:rsidRPr="006E4F3B">
        <w:t xml:space="preserve">в рассматриваемом периоде на 41,7%, </w:t>
      </w:r>
      <w:r>
        <w:t xml:space="preserve">долевое участие которых </w:t>
      </w:r>
      <w:r w:rsidRPr="006E4F3B">
        <w:t xml:space="preserve">в товарной структуре </w:t>
      </w:r>
      <w:r>
        <w:t>сократилось на</w:t>
      </w:r>
      <w:r w:rsidRPr="006E4F3B">
        <w:t xml:space="preserve"> 3,0 процентных пункта </w:t>
      </w:r>
      <w:r>
        <w:t xml:space="preserve">до </w:t>
      </w:r>
      <w:r w:rsidRPr="006E4F3B">
        <w:t xml:space="preserve">6,3%. </w:t>
      </w:r>
    </w:p>
    <w:p w:rsidR="00CD64CB" w:rsidRPr="006E4F3B" w:rsidRDefault="00CD64CB" w:rsidP="00CD64CB">
      <w:pPr>
        <w:pStyle w:val="a5"/>
      </w:pPr>
      <w:proofErr w:type="gramStart"/>
      <w:r w:rsidRPr="006E4F3B">
        <w:t>Основными торговыми партнерами Приднестровья по экспортным поставкам в  январе 2016 года были Республика Молдова (56,3% совокупного экспорта, «-» 14,5% к уровню января 2015 года), Румыния (14,3%, рост в 2,2 раза к уровню января 2015 года), Италия (8,3%, «-» 27,7% к уровню января 2015 года), Российская Федерация (3,6%,          «-» 37,4% к уровню января 2015 года), Украина (4,5%, «-» 42,0% к уровню января              2015 года).</w:t>
      </w:r>
      <w:proofErr w:type="gramEnd"/>
    </w:p>
    <w:p w:rsidR="00CD64CB" w:rsidRPr="006E4F3B" w:rsidRDefault="00CD64CB" w:rsidP="00CD64CB">
      <w:pPr>
        <w:pStyle w:val="a5"/>
      </w:pPr>
    </w:p>
    <w:p w:rsidR="00CD64CB" w:rsidRPr="006E4F3B" w:rsidRDefault="00CD64CB" w:rsidP="00CD64CB">
      <w:pPr>
        <w:pStyle w:val="a5"/>
        <w:ind w:hanging="142"/>
      </w:pPr>
      <w:r w:rsidRPr="006E4F3B">
        <w:rPr>
          <w:noProof/>
        </w:rPr>
        <w:drawing>
          <wp:inline distT="0" distB="0" distL="0" distR="0">
            <wp:extent cx="5940425" cy="3077247"/>
            <wp:effectExtent l="0" t="0" r="0" b="0"/>
            <wp:docPr id="1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CD64CB" w:rsidRPr="00435F36" w:rsidRDefault="00CD64CB" w:rsidP="00CD64CB">
      <w:pPr>
        <w:pStyle w:val="2"/>
        <w:ind w:firstLine="709"/>
        <w:rPr>
          <w:sz w:val="24"/>
          <w:szCs w:val="24"/>
        </w:rPr>
      </w:pPr>
      <w:r w:rsidRPr="00435F36">
        <w:rPr>
          <w:sz w:val="24"/>
          <w:szCs w:val="24"/>
        </w:rPr>
        <w:t xml:space="preserve">Товарная структура импортных поставок в республику в январе 2016 году зависела от складывающейся ситуации на глобальных товарных рынках, обуславливалась </w:t>
      </w:r>
      <w:proofErr w:type="spellStart"/>
      <w:r w:rsidRPr="00435F36">
        <w:rPr>
          <w:sz w:val="24"/>
          <w:szCs w:val="24"/>
        </w:rPr>
        <w:t>востребованостью</w:t>
      </w:r>
      <w:proofErr w:type="spellEnd"/>
      <w:r w:rsidRPr="00435F36">
        <w:rPr>
          <w:sz w:val="24"/>
          <w:szCs w:val="24"/>
        </w:rPr>
        <w:t xml:space="preserve"> крупных предприятий индустрии в сырьевых материалах и ресурсах.</w:t>
      </w:r>
    </w:p>
    <w:p w:rsidR="00CD64CB" w:rsidRPr="006E4F3B" w:rsidRDefault="00CD64CB" w:rsidP="00CD64CB">
      <w:pPr>
        <w:pStyle w:val="a5"/>
      </w:pPr>
      <w:r w:rsidRPr="006E4F3B">
        <w:t xml:space="preserve">Между тем, в товарной структуре импорта, по-прежнему, преобладал ввоз топливно-энергетических товаров, при этом их доля в общей структуре импорта сократилась до 67,5% против 75,2% в январе 2015 года, в абсолютной величине их объем сократился на 53,7%. </w:t>
      </w:r>
    </w:p>
    <w:p w:rsidR="00CD64CB" w:rsidRPr="006E4F3B" w:rsidRDefault="00CD64CB" w:rsidP="00CD64CB">
      <w:pPr>
        <w:pStyle w:val="a5"/>
      </w:pPr>
      <w:proofErr w:type="gramStart"/>
      <w:r w:rsidRPr="006E4F3B">
        <w:rPr>
          <w:rFonts w:eastAsia="Times New Roman"/>
          <w:szCs w:val="24"/>
        </w:rPr>
        <w:t>На фоне снижения производственной активности и экспортной деятельности                        ОАО «Молдавский металлургический завод», что привело к сокращению потребности предприятия в сырьевых материалах</w:t>
      </w:r>
      <w:r w:rsidRPr="006E4F3B">
        <w:t>, импорт металлов и изделий из них по итогам января 2016 года сократился на 53,7% от фактического базового показателя, сузив долевое представительство в товарной структуре до 1,8% против 3,5% в январе 2015 года.</w:t>
      </w:r>
      <w:proofErr w:type="gramEnd"/>
    </w:p>
    <w:p w:rsidR="00CD64CB" w:rsidRPr="006E4F3B" w:rsidRDefault="00CD64CB" w:rsidP="00CD64CB">
      <w:pPr>
        <w:pStyle w:val="a5"/>
      </w:pPr>
      <w:r w:rsidRPr="006E4F3B">
        <w:t>Импортные поставки товаров легкой промышленности в январе 2016 года составили 7,8% от ввезенных товаров против 2,5% в январе 2015 года, в абсолютной величине их объем вырос на 59,4%.</w:t>
      </w:r>
    </w:p>
    <w:p w:rsidR="00CD64CB" w:rsidRPr="006E4F3B" w:rsidRDefault="00CD64CB" w:rsidP="00CD64CB">
      <w:pPr>
        <w:pStyle w:val="a5"/>
      </w:pPr>
      <w:r>
        <w:t>Н</w:t>
      </w:r>
      <w:r w:rsidRPr="006E4F3B">
        <w:t>а продовольственные товары (сырье)</w:t>
      </w:r>
      <w:r w:rsidRPr="00435F36">
        <w:t xml:space="preserve"> </w:t>
      </w:r>
      <w:r>
        <w:t>в</w:t>
      </w:r>
      <w:r w:rsidRPr="006E4F3B">
        <w:t xml:space="preserve"> январе 2016 года</w:t>
      </w:r>
      <w:r>
        <w:t xml:space="preserve"> в товарной структуре импорта </w:t>
      </w:r>
      <w:r w:rsidRPr="006E4F3B">
        <w:t>приходилось 5,9% импортных поставок в общем объеме импорта против 4,0% в базовом периоде минувшего года, при этом в денежном эквиваленте ввоз данных товаров сократился на 76,2%.</w:t>
      </w:r>
    </w:p>
    <w:p w:rsidR="00CD64CB" w:rsidRPr="006E4F3B" w:rsidRDefault="00CD64CB" w:rsidP="00CD64CB">
      <w:pPr>
        <w:pStyle w:val="a5"/>
      </w:pPr>
      <w:r w:rsidRPr="00057B1F">
        <w:rPr>
          <w:szCs w:val="24"/>
        </w:rPr>
        <w:lastRenderedPageBreak/>
        <w:t>В числе статей импорта, уступивших параметрам января 2015 года, отмечается и машиностроительная продукция, на импортные</w:t>
      </w:r>
      <w:r w:rsidRPr="006E4F3B">
        <w:t xml:space="preserve"> поставки </w:t>
      </w:r>
      <w:r>
        <w:t>которой</w:t>
      </w:r>
      <w:r w:rsidRPr="006E4F3B">
        <w:t xml:space="preserve"> январе 2016 года приходилось 5,9% ввезенных товаров против 9,2% в январе 2015 года, в абсолютной величине их объем сократился на 66,9%.</w:t>
      </w:r>
    </w:p>
    <w:p w:rsidR="00CD64CB" w:rsidRPr="006E4F3B" w:rsidRDefault="00CD64CB" w:rsidP="00CD64CB">
      <w:pPr>
        <w:pStyle w:val="a5"/>
        <w:ind w:firstLine="0"/>
      </w:pPr>
      <w:r w:rsidRPr="006E4F3B">
        <w:rPr>
          <w:noProof/>
        </w:rPr>
        <w:drawing>
          <wp:inline distT="0" distB="0" distL="0" distR="0">
            <wp:extent cx="5940425" cy="2789334"/>
            <wp:effectExtent l="0" t="0" r="0" b="0"/>
            <wp:docPr id="5" name="Объект 6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CD64CB" w:rsidRPr="006E4F3B" w:rsidRDefault="00CD64CB" w:rsidP="00CD64CB">
      <w:pPr>
        <w:pStyle w:val="a5"/>
        <w:rPr>
          <w:color w:val="000000"/>
        </w:rPr>
      </w:pPr>
    </w:p>
    <w:p w:rsidR="00CD64CB" w:rsidRPr="006E4F3B" w:rsidRDefault="00CD64CB" w:rsidP="00CD64CB">
      <w:pPr>
        <w:pStyle w:val="a5"/>
      </w:pPr>
      <w:r w:rsidRPr="006E4F3B">
        <w:rPr>
          <w:color w:val="000000"/>
        </w:rPr>
        <w:t xml:space="preserve">Главными представителями в сфере импортных операций в обозначенном периоде выступали контрагенты </w:t>
      </w:r>
      <w:r w:rsidRPr="006E4F3B">
        <w:t>Российской Федерации (68,7% совокупного импорта, «-» 54,6% к уровню базового показателя 2015 года), Украины (4,0%, «-»52,3%), Республики Молдова (3,2%, «-»49,6%), Германии (2,5%, «-»39,8%), Республики Беларусь (1,6%, «-» 54,1%).</w:t>
      </w:r>
    </w:p>
    <w:p w:rsidR="00CD64CB" w:rsidRPr="006E4F3B" w:rsidRDefault="00CD64CB" w:rsidP="00CD64CB">
      <w:pPr>
        <w:pStyle w:val="a5"/>
      </w:pPr>
    </w:p>
    <w:p w:rsidR="00CD64CB" w:rsidRPr="00327932" w:rsidRDefault="00CD64CB" w:rsidP="00CD64CB">
      <w:pPr>
        <w:pStyle w:val="a5"/>
        <w:ind w:firstLine="0"/>
      </w:pPr>
      <w:r w:rsidRPr="006E4F3B">
        <w:rPr>
          <w:noProof/>
        </w:rPr>
        <w:drawing>
          <wp:inline distT="0" distB="0" distL="0" distR="0">
            <wp:extent cx="5940425" cy="2638248"/>
            <wp:effectExtent l="0" t="0" r="0" b="0"/>
            <wp:docPr id="6" name="Объект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CD64CB" w:rsidRDefault="00CD64CB" w:rsidP="00CD64CB">
      <w:pPr>
        <w:pStyle w:val="a5"/>
        <w:ind w:hanging="709"/>
      </w:pPr>
    </w:p>
    <w:p w:rsidR="00CD64CB" w:rsidRPr="00057B1F" w:rsidRDefault="00CD64CB" w:rsidP="00CD6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057B1F">
        <w:rPr>
          <w:rFonts w:ascii="Times New Roman" w:hAnsi="Times New Roman"/>
          <w:sz w:val="24"/>
          <w:szCs w:val="24"/>
        </w:rPr>
        <w:t xml:space="preserve">Таким образом, активное участие государства в сфере внешнеторговых отношений, направленное на </w:t>
      </w:r>
      <w:r>
        <w:rPr>
          <w:rFonts w:ascii="Times New Roman" w:hAnsi="Times New Roman"/>
          <w:sz w:val="24"/>
          <w:szCs w:val="24"/>
        </w:rPr>
        <w:t xml:space="preserve">создание оптимальных условий и минимизацию негативных внешних факторов, влияющих </w:t>
      </w:r>
      <w:r w:rsidR="000E0E9A">
        <w:rPr>
          <w:rFonts w:ascii="Times New Roman" w:hAnsi="Times New Roman"/>
          <w:sz w:val="24"/>
          <w:szCs w:val="24"/>
        </w:rPr>
        <w:t xml:space="preserve">на </w:t>
      </w:r>
      <w:r w:rsidRPr="00DD053B">
        <w:rPr>
          <w:rFonts w:ascii="Times New Roman" w:hAnsi="Times New Roman"/>
          <w:sz w:val="24"/>
          <w:szCs w:val="24"/>
        </w:rPr>
        <w:t>деятельност</w:t>
      </w:r>
      <w:r w:rsidR="000E0E9A">
        <w:rPr>
          <w:rFonts w:ascii="Times New Roman" w:hAnsi="Times New Roman"/>
          <w:sz w:val="24"/>
          <w:szCs w:val="24"/>
        </w:rPr>
        <w:t>ь</w:t>
      </w:r>
      <w:r w:rsidRPr="00DD053B">
        <w:rPr>
          <w:rFonts w:ascii="Times New Roman" w:hAnsi="Times New Roman"/>
          <w:sz w:val="24"/>
          <w:szCs w:val="24"/>
        </w:rPr>
        <w:t xml:space="preserve"> резидентов республики</w:t>
      </w:r>
      <w:r>
        <w:rPr>
          <w:rFonts w:ascii="Times New Roman" w:hAnsi="Times New Roman"/>
          <w:sz w:val="24"/>
          <w:szCs w:val="24"/>
        </w:rPr>
        <w:t xml:space="preserve">, </w:t>
      </w:r>
      <w:r w:rsidRPr="00057B1F">
        <w:rPr>
          <w:rFonts w:ascii="Times New Roman" w:hAnsi="Times New Roman"/>
          <w:sz w:val="24"/>
          <w:szCs w:val="24"/>
        </w:rPr>
        <w:t>на фоне высокой зависимости экономики от складывающейся ситуации на внешних рынках не позволили кардинально изменить ситуацию в сфере внешнеэкономической деятельности</w:t>
      </w:r>
      <w:r>
        <w:rPr>
          <w:rFonts w:ascii="Times New Roman" w:hAnsi="Times New Roman"/>
          <w:sz w:val="24"/>
          <w:szCs w:val="24"/>
        </w:rPr>
        <w:t>.</w:t>
      </w:r>
      <w:r w:rsidRPr="00057B1F">
        <w:rPr>
          <w:rFonts w:ascii="Times New Roman" w:hAnsi="Times New Roman"/>
          <w:sz w:val="24"/>
          <w:szCs w:val="24"/>
        </w:rPr>
        <w:t xml:space="preserve"> </w:t>
      </w:r>
    </w:p>
    <w:p w:rsidR="00CD64CB" w:rsidRDefault="00CD64CB" w:rsidP="00CD6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64CB" w:rsidRDefault="00CD64CB" w:rsidP="00CD6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</w:p>
    <w:p w:rsidR="00CD64CB" w:rsidRPr="005B4013" w:rsidRDefault="00CD64CB" w:rsidP="00CD6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</w:rPr>
      </w:pPr>
      <w:r w:rsidRPr="005B4013">
        <w:rPr>
          <w:rFonts w:ascii="Times New Roman" w:hAnsi="Times New Roman"/>
          <w:sz w:val="24"/>
          <w:szCs w:val="24"/>
          <w:u w:val="single"/>
        </w:rPr>
        <w:t>Инфляционные процессы</w:t>
      </w:r>
    </w:p>
    <w:p w:rsidR="00CD64CB" w:rsidRPr="006E4DD2" w:rsidRDefault="00CD64CB" w:rsidP="00CD6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6E4DD2">
        <w:rPr>
          <w:rFonts w:ascii="Times New Roman" w:hAnsi="Times New Roman"/>
          <w:sz w:val="24"/>
          <w:szCs w:val="24"/>
        </w:rPr>
        <w:t xml:space="preserve">На потребительском рынке республики дефляционные процессы конца 2015 года в январе 2016 года сменились незначительным повышением стоимости цен на товары и </w:t>
      </w:r>
      <w:r w:rsidRPr="006E4DD2">
        <w:rPr>
          <w:rFonts w:ascii="Times New Roman" w:hAnsi="Times New Roman"/>
          <w:sz w:val="24"/>
          <w:szCs w:val="24"/>
        </w:rPr>
        <w:lastRenderedPageBreak/>
        <w:t xml:space="preserve">услуги. </w:t>
      </w:r>
      <w:r w:rsidRPr="006E4DD2">
        <w:rPr>
          <w:rStyle w:val="aa"/>
          <w:sz w:val="24"/>
          <w:szCs w:val="24"/>
        </w:rPr>
        <w:t xml:space="preserve">В целом сводный индекс потребительских цен (инфляция) в январе 2016 года по отношению к уровню декабря 2015 года </w:t>
      </w:r>
      <w:r w:rsidRPr="006E4DD2">
        <w:rPr>
          <w:rFonts w:ascii="Times New Roman" w:hAnsi="Times New Roman"/>
          <w:sz w:val="24"/>
          <w:szCs w:val="24"/>
        </w:rPr>
        <w:t xml:space="preserve">сложился на уровне 100,20% против 100,91% в январе 2015 года к декабрю 2014 года. </w:t>
      </w:r>
    </w:p>
    <w:p w:rsidR="00CD64CB" w:rsidRPr="00BF5056" w:rsidRDefault="00CD64CB" w:rsidP="00CD64CB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CD64CB" w:rsidRPr="00BF5056" w:rsidRDefault="00CD64CB" w:rsidP="00CD64CB">
      <w:pPr>
        <w:shd w:val="clear" w:color="auto" w:fill="FFFFFF"/>
        <w:tabs>
          <w:tab w:val="left" w:pos="9356"/>
          <w:tab w:val="left" w:pos="9498"/>
        </w:tabs>
        <w:spacing w:after="0" w:line="240" w:lineRule="auto"/>
        <w:ind w:left="426" w:right="-143" w:hanging="710"/>
        <w:jc w:val="both"/>
        <w:rPr>
          <w:rFonts w:ascii="Times New Roman" w:hAnsi="Times New Roman"/>
          <w:sz w:val="24"/>
          <w:szCs w:val="24"/>
        </w:rPr>
      </w:pPr>
      <w:r w:rsidRPr="00BF5056">
        <w:rPr>
          <w:rFonts w:ascii="Times New Roman" w:hAnsi="Times New Roman"/>
          <w:noProof/>
          <w:sz w:val="24"/>
          <w:szCs w:val="24"/>
        </w:rPr>
        <w:drawing>
          <wp:inline distT="0" distB="0" distL="0" distR="0">
            <wp:extent cx="6347460" cy="2263140"/>
            <wp:effectExtent l="0" t="0" r="0" b="0"/>
            <wp:docPr id="8" name="Объект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CD64CB" w:rsidRPr="00BF5056" w:rsidRDefault="00CD64CB" w:rsidP="00CD6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056">
        <w:rPr>
          <w:rFonts w:ascii="Times New Roman" w:hAnsi="Times New Roman"/>
          <w:sz w:val="24"/>
          <w:szCs w:val="24"/>
        </w:rPr>
        <w:t>Динамика сводного индекса потребительских цен (инфляции) за предыдущие годы представлена в следующем виде:</w:t>
      </w:r>
    </w:p>
    <w:p w:rsidR="00CD64CB" w:rsidRPr="00BF5056" w:rsidRDefault="00CD64CB" w:rsidP="00CD64CB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D64CB" w:rsidRPr="00BF5056" w:rsidRDefault="00CD64CB" w:rsidP="00CD64CB">
      <w:pPr>
        <w:spacing w:after="0" w:line="240" w:lineRule="auto"/>
        <w:jc w:val="both"/>
        <w:rPr>
          <w:rStyle w:val="a8"/>
          <w:rFonts w:ascii="Times New Roman" w:hAnsi="Times New Roman"/>
          <w:b w:val="0"/>
          <w:color w:val="000000"/>
          <w:sz w:val="24"/>
          <w:szCs w:val="24"/>
        </w:rPr>
      </w:pPr>
      <w:r w:rsidRPr="00BF5056">
        <w:rPr>
          <w:rStyle w:val="a8"/>
          <w:rFonts w:ascii="Times New Roman" w:hAnsi="Times New Roman"/>
          <w:b w:val="0"/>
          <w:noProof/>
          <w:color w:val="FFC000"/>
          <w:sz w:val="24"/>
          <w:szCs w:val="24"/>
        </w:rPr>
        <w:drawing>
          <wp:inline distT="0" distB="0" distL="0" distR="0">
            <wp:extent cx="6031230" cy="1943100"/>
            <wp:effectExtent l="19050" t="0" r="7620" b="0"/>
            <wp:docPr id="10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CD64CB" w:rsidRPr="00BF5056" w:rsidRDefault="00CD64CB" w:rsidP="00CD64CB">
      <w:pPr>
        <w:spacing w:after="0" w:line="240" w:lineRule="auto"/>
        <w:ind w:firstLine="709"/>
        <w:jc w:val="both"/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</w:pPr>
      <w:proofErr w:type="gramStart"/>
      <w:r w:rsidRPr="00BF505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В то же время, 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снижение стоимости</w:t>
      </w:r>
      <w:r w:rsidRPr="00BF505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по </w:t>
      </w:r>
      <w:r w:rsidRPr="00BF5056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большинств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у</w:t>
      </w:r>
      <w:r w:rsidRPr="00BF505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вид</w:t>
      </w:r>
      <w:r>
        <w:rPr>
          <w:rStyle w:val="a8"/>
          <w:rFonts w:ascii="Times New Roman" w:hAnsi="Times New Roman"/>
          <w:b w:val="0"/>
          <w:color w:val="000000"/>
          <w:sz w:val="24"/>
          <w:szCs w:val="24"/>
        </w:rPr>
        <w:t>ов</w:t>
      </w:r>
      <w:r w:rsidRPr="00BF5056">
        <w:rPr>
          <w:rStyle w:val="a8"/>
          <w:rFonts w:ascii="Times New Roman" w:hAnsi="Times New Roman"/>
          <w:b w:val="0"/>
          <w:color w:val="000000"/>
          <w:sz w:val="24"/>
          <w:szCs w:val="24"/>
        </w:rPr>
        <w:t xml:space="preserve"> товаров в продовольственном сегменте потребительского рынка (удешевление яиц – на 5,61%, сахара – на 0,19%, маргарина и маргариновой продукции – на 0,70%, мясопродуктов – на 1,09%, </w:t>
      </w:r>
      <w:r w:rsidRPr="00BF505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консервов овощных – на 1,04%), в совокупности с </w:t>
      </w:r>
      <w:r w:rsidRPr="00BF5056">
        <w:rPr>
          <w:rStyle w:val="a8"/>
          <w:rFonts w:ascii="Times New Roman" w:hAnsi="Times New Roman"/>
          <w:b w:val="0"/>
          <w:color w:val="000000"/>
          <w:sz w:val="24"/>
          <w:szCs w:val="24"/>
        </w:rPr>
        <w:t>повышением цен на плодоовощную продукцию, включая картофель на 3,49%, а также на рыбопродукты на 1,81%,</w:t>
      </w:r>
      <w:r w:rsidRPr="00BF505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обусловили в продовольственном секторе потребительского рынка в</w:t>
      </w:r>
      <w:proofErr w:type="gramEnd"/>
      <w:r w:rsidRPr="00BF505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</w:t>
      </w:r>
      <w:proofErr w:type="gramStart"/>
      <w:r w:rsidRPr="00BF505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>январе</w:t>
      </w:r>
      <w:proofErr w:type="gramEnd"/>
      <w:r w:rsidRPr="00BF505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 2016 года к уровню декабря 2015 года выраженный инфляционный тренд – «+»0,32% (в январе 2015 года к декабрю  2014 года – «-»0,07%). </w:t>
      </w:r>
    </w:p>
    <w:p w:rsidR="00CD64CB" w:rsidRPr="00BF5056" w:rsidRDefault="00CD64CB" w:rsidP="00CD64C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F5056">
        <w:rPr>
          <w:rStyle w:val="a8"/>
          <w:rFonts w:ascii="Times New Roman" w:hAnsi="Times New Roman" w:cs="Times New Roman"/>
          <w:b w:val="0"/>
          <w:color w:val="000000"/>
          <w:sz w:val="24"/>
          <w:szCs w:val="24"/>
        </w:rPr>
        <w:t xml:space="preserve">По группе непродовольственных товаров фиксируется устойчивая дефляция            </w:t>
      </w:r>
      <w:r w:rsidRPr="00BF5056">
        <w:rPr>
          <w:rFonts w:ascii="Times New Roman" w:hAnsi="Times New Roman" w:cs="Times New Roman"/>
          <w:sz w:val="24"/>
          <w:szCs w:val="24"/>
        </w:rPr>
        <w:t>«-»0,37% (в январе 2015 года к декабрю 2014 года «+»0,01%). Понижательный ценовой тренд в данном сегменте потребительского рынка установлен по следующим товарным позициям: строительные материалы («-»0,06%), товары бытовой химии («-»1,01%), топливо (бензин) («-»2,60%), медикаменты («-»0,23%) и др.</w:t>
      </w:r>
    </w:p>
    <w:p w:rsidR="00CD64CB" w:rsidRDefault="00CD64CB" w:rsidP="00CD64CB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BF5056">
        <w:rPr>
          <w:rFonts w:ascii="Times New Roman" w:hAnsi="Times New Roman" w:cs="Times New Roman"/>
          <w:sz w:val="24"/>
          <w:szCs w:val="24"/>
        </w:rPr>
        <w:t xml:space="preserve">В то же время, несмотря на корректировку государственных подходов в области тарифного регулирования, </w:t>
      </w:r>
      <w:r w:rsidRPr="00BF5056">
        <w:rPr>
          <w:rStyle w:val="FontStyle183"/>
          <w:rFonts w:ascii="Times New Roman" w:hAnsi="Times New Roman" w:cs="Times New Roman"/>
          <w:sz w:val="24"/>
          <w:szCs w:val="24"/>
        </w:rPr>
        <w:t xml:space="preserve">основной инфляционный фон на потребительском рынке формировался в сегменте административно-регулируемых услуг. В январе 2016 года к декабрю 2015 года </w:t>
      </w:r>
      <w:r w:rsidRPr="00BF5056">
        <w:rPr>
          <w:rFonts w:ascii="Times New Roman" w:hAnsi="Times New Roman" w:cs="Times New Roman"/>
          <w:sz w:val="24"/>
          <w:szCs w:val="24"/>
        </w:rPr>
        <w:t xml:space="preserve">инфляционная нагрузка в данном сегменте </w:t>
      </w:r>
      <w:r>
        <w:rPr>
          <w:rFonts w:ascii="Times New Roman" w:hAnsi="Times New Roman" w:cs="Times New Roman"/>
          <w:sz w:val="24"/>
          <w:szCs w:val="24"/>
        </w:rPr>
        <w:t>составила</w:t>
      </w:r>
      <w:r w:rsidRPr="00BF5056">
        <w:rPr>
          <w:rFonts w:ascii="Times New Roman" w:hAnsi="Times New Roman" w:cs="Times New Roman"/>
          <w:sz w:val="24"/>
          <w:szCs w:val="24"/>
        </w:rPr>
        <w:t xml:space="preserve"> 0,94%, снизившись на 3,33 </w:t>
      </w:r>
      <w:proofErr w:type="gramStart"/>
      <w:r w:rsidRPr="00BF5056">
        <w:rPr>
          <w:rFonts w:ascii="Times New Roman" w:hAnsi="Times New Roman" w:cs="Times New Roman"/>
          <w:sz w:val="24"/>
          <w:szCs w:val="24"/>
        </w:rPr>
        <w:t>процентных</w:t>
      </w:r>
      <w:proofErr w:type="gramEnd"/>
      <w:r w:rsidRPr="00BF5056">
        <w:rPr>
          <w:rFonts w:ascii="Times New Roman" w:hAnsi="Times New Roman" w:cs="Times New Roman"/>
          <w:sz w:val="24"/>
          <w:szCs w:val="24"/>
        </w:rPr>
        <w:t xml:space="preserve"> пункта</w:t>
      </w:r>
      <w:r w:rsidRPr="00BF5056">
        <w:rPr>
          <w:rFonts w:ascii="Times New Roman" w:hAnsi="Times New Roman"/>
          <w:sz w:val="24"/>
          <w:szCs w:val="24"/>
        </w:rPr>
        <w:t xml:space="preserve"> в январе 2015 года к декабрю 2014 года. Данная тенденция обусловлена принятием на государственном уровне решения о</w:t>
      </w:r>
      <w:r>
        <w:rPr>
          <w:rFonts w:ascii="Times New Roman" w:hAnsi="Times New Roman"/>
          <w:sz w:val="24"/>
          <w:szCs w:val="24"/>
        </w:rPr>
        <w:t xml:space="preserve"> сохранении действия в </w:t>
      </w:r>
      <w:r w:rsidRPr="00BF5056">
        <w:rPr>
          <w:rFonts w:ascii="Times New Roman" w:hAnsi="Times New Roman"/>
          <w:sz w:val="24"/>
          <w:szCs w:val="24"/>
          <w:lang w:val="en-US"/>
        </w:rPr>
        <w:t>I</w:t>
      </w:r>
      <w:r w:rsidRPr="00BF5056">
        <w:rPr>
          <w:rFonts w:ascii="Times New Roman" w:hAnsi="Times New Roman"/>
          <w:sz w:val="24"/>
          <w:szCs w:val="24"/>
        </w:rPr>
        <w:t xml:space="preserve"> квартал</w:t>
      </w:r>
      <w:r>
        <w:rPr>
          <w:rFonts w:ascii="Times New Roman" w:hAnsi="Times New Roman"/>
          <w:sz w:val="24"/>
          <w:szCs w:val="24"/>
        </w:rPr>
        <w:t>е</w:t>
      </w:r>
      <w:r w:rsidRPr="00BF5056">
        <w:rPr>
          <w:rFonts w:ascii="Times New Roman" w:hAnsi="Times New Roman"/>
          <w:sz w:val="24"/>
          <w:szCs w:val="24"/>
        </w:rPr>
        <w:t xml:space="preserve"> 2016 года предельных уровней тарифов в сфере услуг по </w:t>
      </w:r>
      <w:r w:rsidRPr="00BF5056">
        <w:rPr>
          <w:rFonts w:ascii="Times New Roman" w:hAnsi="Times New Roman"/>
          <w:sz w:val="24"/>
          <w:szCs w:val="24"/>
        </w:rPr>
        <w:lastRenderedPageBreak/>
        <w:t>газоснабжению, электроэнергетике, а также снабжению тепловой энергии</w:t>
      </w:r>
      <w:r>
        <w:rPr>
          <w:rFonts w:ascii="Times New Roman" w:hAnsi="Times New Roman"/>
          <w:sz w:val="24"/>
          <w:szCs w:val="24"/>
        </w:rPr>
        <w:t xml:space="preserve"> на уровне тарифов, действовавших с</w:t>
      </w:r>
      <w:r w:rsidRPr="00BF5056">
        <w:rPr>
          <w:rFonts w:ascii="Times New Roman" w:hAnsi="Times New Roman"/>
          <w:sz w:val="24"/>
          <w:szCs w:val="24"/>
        </w:rPr>
        <w:t xml:space="preserve"> марта 2015 года</w:t>
      </w:r>
      <w:r>
        <w:rPr>
          <w:rFonts w:ascii="Times New Roman" w:hAnsi="Times New Roman"/>
          <w:sz w:val="24"/>
          <w:szCs w:val="24"/>
        </w:rPr>
        <w:t>.</w:t>
      </w:r>
    </w:p>
    <w:p w:rsidR="00CD64CB" w:rsidRPr="00BF5056" w:rsidRDefault="00CD64CB" w:rsidP="00CD64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Вместе с этим, г</w:t>
      </w:r>
      <w:r w:rsidRPr="00BF5056">
        <w:rPr>
          <w:rFonts w:ascii="Times New Roman" w:hAnsi="Times New Roman" w:cs="Times New Roman"/>
          <w:sz w:val="24"/>
          <w:szCs w:val="24"/>
        </w:rPr>
        <w:t xml:space="preserve">енератором определившегося инфляционного фона в сфере тарифов на услуги в январе 2016 года к декабрю 2015 года выступило плановое </w:t>
      </w:r>
      <w:r w:rsidRPr="00BF5056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повышение стоимости медицинских услуг («+»13,34%), услуг дошкольного воспитания («+»5,35%), услуг правового характера («+»8,21%). 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>В</w:t>
      </w:r>
      <w:r w:rsidRPr="00BF5056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есомое инфляционное давление в сфере услуг в обозначенном периоде создало </w:t>
      </w:r>
      <w:r w:rsidRPr="00BF5056">
        <w:rPr>
          <w:rFonts w:ascii="Times New Roman" w:hAnsi="Times New Roman" w:cs="Times New Roman"/>
          <w:sz w:val="24"/>
          <w:szCs w:val="24"/>
        </w:rPr>
        <w:t xml:space="preserve">повышение </w:t>
      </w:r>
      <w:r>
        <w:rPr>
          <w:rFonts w:ascii="Times New Roman" w:hAnsi="Times New Roman" w:cs="Times New Roman"/>
          <w:sz w:val="24"/>
          <w:szCs w:val="24"/>
        </w:rPr>
        <w:t>стоимости</w:t>
      </w:r>
      <w:r w:rsidRPr="00BF5056">
        <w:rPr>
          <w:rFonts w:ascii="Times New Roman" w:hAnsi="Times New Roman" w:cs="Times New Roman"/>
          <w:sz w:val="24"/>
          <w:szCs w:val="24"/>
        </w:rPr>
        <w:t xml:space="preserve"> тарифов на услуги связи – на 0,80%, ремонт бытовых электротоваров – на 1,23%, ритуальные услуги –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F5056">
        <w:rPr>
          <w:rFonts w:ascii="Times New Roman" w:hAnsi="Times New Roman" w:cs="Times New Roman"/>
          <w:sz w:val="24"/>
          <w:szCs w:val="24"/>
        </w:rPr>
        <w:t xml:space="preserve">на 3,34%. </w:t>
      </w:r>
      <w:r>
        <w:rPr>
          <w:rFonts w:ascii="Times New Roman" w:hAnsi="Times New Roman" w:cs="Times New Roman"/>
          <w:sz w:val="24"/>
          <w:szCs w:val="24"/>
        </w:rPr>
        <w:t>Стоимость</w:t>
      </w:r>
      <w:r w:rsidRPr="00BF5056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 санаторно-оздоровительны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>х</w:t>
      </w:r>
      <w:r w:rsidRPr="00BF5056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 услуг</w:t>
      </w:r>
      <w:r w:rsidRPr="00E53B45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 </w:t>
      </w:r>
      <w:r w:rsidRPr="00BF5056">
        <w:rPr>
          <w:rStyle w:val="FontStyle183"/>
          <w:rFonts w:ascii="Times New Roman" w:eastAsia="Calibri" w:hAnsi="Times New Roman" w:cs="Times New Roman"/>
          <w:sz w:val="24"/>
          <w:szCs w:val="24"/>
        </w:rPr>
        <w:t>сохранил</w:t>
      </w:r>
      <w:r>
        <w:rPr>
          <w:rStyle w:val="FontStyle183"/>
          <w:rFonts w:ascii="Times New Roman" w:eastAsia="Calibri" w:hAnsi="Times New Roman" w:cs="Times New Roman"/>
          <w:sz w:val="24"/>
          <w:szCs w:val="24"/>
        </w:rPr>
        <w:t>ась на базовом уровне</w:t>
      </w:r>
      <w:r w:rsidRPr="00BF5056">
        <w:rPr>
          <w:rStyle w:val="FontStyle183"/>
          <w:rFonts w:ascii="Times New Roman" w:eastAsia="Calibri" w:hAnsi="Times New Roman" w:cs="Times New Roman"/>
          <w:sz w:val="24"/>
          <w:szCs w:val="24"/>
        </w:rPr>
        <w:t xml:space="preserve">.  </w:t>
      </w:r>
    </w:p>
    <w:p w:rsidR="00CD64CB" w:rsidRPr="00BF5056" w:rsidRDefault="00CD64CB" w:rsidP="00CD64CB">
      <w:pPr>
        <w:widowControl w:val="0"/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BF5056">
        <w:rPr>
          <w:rFonts w:ascii="Times New Roman" w:hAnsi="Times New Roman"/>
          <w:sz w:val="24"/>
          <w:szCs w:val="24"/>
        </w:rPr>
        <w:t xml:space="preserve">Сравнивая </w:t>
      </w:r>
      <w:r>
        <w:rPr>
          <w:rFonts w:ascii="Times New Roman" w:hAnsi="Times New Roman"/>
          <w:sz w:val="24"/>
          <w:szCs w:val="24"/>
        </w:rPr>
        <w:t xml:space="preserve">сводный </w:t>
      </w:r>
      <w:r w:rsidRPr="00BF5056">
        <w:rPr>
          <w:rFonts w:ascii="Times New Roman" w:hAnsi="Times New Roman"/>
          <w:sz w:val="24"/>
          <w:szCs w:val="24"/>
        </w:rPr>
        <w:t>индекс потребительских цен</w:t>
      </w:r>
      <w:r>
        <w:rPr>
          <w:rFonts w:ascii="Times New Roman" w:hAnsi="Times New Roman"/>
          <w:sz w:val="24"/>
          <w:szCs w:val="24"/>
        </w:rPr>
        <w:t xml:space="preserve"> (инфляция)</w:t>
      </w:r>
      <w:r w:rsidRPr="00BF5056">
        <w:rPr>
          <w:rFonts w:ascii="Times New Roman" w:hAnsi="Times New Roman"/>
          <w:sz w:val="24"/>
          <w:szCs w:val="24"/>
        </w:rPr>
        <w:t xml:space="preserve"> Приднестровской Молдавской Республики в январе 2016 года с аналогичным показателем Российской Федерации, Украины, Республики Молдова необходимо отметить</w:t>
      </w:r>
      <w:r>
        <w:rPr>
          <w:rFonts w:ascii="Times New Roman" w:hAnsi="Times New Roman"/>
          <w:sz w:val="24"/>
          <w:szCs w:val="24"/>
        </w:rPr>
        <w:t>,</w:t>
      </w:r>
      <w:r w:rsidRPr="00BF5056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что его уровень сложился ниже уровня данного показателя сопредельных государств. Данная тенденция</w:t>
      </w:r>
      <w:r w:rsidRPr="00BF5056">
        <w:rPr>
          <w:rFonts w:ascii="Times New Roman" w:hAnsi="Times New Roman"/>
          <w:sz w:val="24"/>
          <w:szCs w:val="24"/>
        </w:rPr>
        <w:t xml:space="preserve"> обусловлен</w:t>
      </w:r>
      <w:r>
        <w:rPr>
          <w:rFonts w:ascii="Times New Roman" w:hAnsi="Times New Roman"/>
          <w:sz w:val="24"/>
          <w:szCs w:val="24"/>
        </w:rPr>
        <w:t>а</w:t>
      </w:r>
      <w:r w:rsidRPr="00BF5056">
        <w:rPr>
          <w:rFonts w:ascii="Times New Roman" w:hAnsi="Times New Roman"/>
          <w:sz w:val="24"/>
          <w:szCs w:val="24"/>
        </w:rPr>
        <w:t xml:space="preserve"> стабильностью валютного курса, а также проводимыми антиинфляционными мерами со стороны государства и бизнеса. В результате чего, инфляция в январе 2016 года к декабрю 2015 года в Приднестровской Молдавской Республике составила 100,2%, в </w:t>
      </w:r>
      <w:r>
        <w:rPr>
          <w:rFonts w:ascii="Times New Roman" w:hAnsi="Times New Roman"/>
          <w:sz w:val="24"/>
          <w:szCs w:val="24"/>
        </w:rPr>
        <w:t>Республике Молдова</w:t>
      </w:r>
      <w:r w:rsidRPr="00BF5056">
        <w:rPr>
          <w:rFonts w:ascii="Times New Roman" w:hAnsi="Times New Roman"/>
          <w:sz w:val="24"/>
          <w:szCs w:val="24"/>
        </w:rPr>
        <w:t xml:space="preserve"> –100,7%, в Украине – 100,9%, в Российской Федерации – 101,0%.</w:t>
      </w:r>
    </w:p>
    <w:p w:rsidR="00CD64CB" w:rsidRPr="00BF5056" w:rsidRDefault="00CD64CB" w:rsidP="00CD64CB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BF5056">
        <w:rPr>
          <w:rFonts w:ascii="Times New Roman" w:hAnsi="Times New Roman"/>
          <w:sz w:val="24"/>
          <w:szCs w:val="24"/>
        </w:rPr>
        <w:t>Таблица №</w:t>
      </w:r>
    </w:p>
    <w:p w:rsidR="00CD64CB" w:rsidRPr="00BF5056" w:rsidRDefault="00CD64CB" w:rsidP="00CD64CB">
      <w:pPr>
        <w:spacing w:after="0" w:line="240" w:lineRule="auto"/>
        <w:jc w:val="center"/>
        <w:rPr>
          <w:rFonts w:ascii="Times New Roman" w:hAnsi="Times New Roman"/>
          <w:b/>
        </w:rPr>
      </w:pPr>
      <w:r w:rsidRPr="00BF5056">
        <w:rPr>
          <w:rFonts w:ascii="Times New Roman" w:hAnsi="Times New Roman"/>
          <w:b/>
        </w:rPr>
        <w:t xml:space="preserve">Сравнительный анализ индекса потребительских цен на товары и услуги </w:t>
      </w:r>
    </w:p>
    <w:p w:rsidR="00CD64CB" w:rsidRPr="00BF5056" w:rsidRDefault="00CD64CB" w:rsidP="00CD64CB">
      <w:pPr>
        <w:spacing w:after="0" w:line="240" w:lineRule="auto"/>
        <w:jc w:val="center"/>
        <w:rPr>
          <w:rFonts w:ascii="Times New Roman" w:hAnsi="Times New Roman"/>
        </w:rPr>
      </w:pPr>
      <w:r w:rsidRPr="00BF5056">
        <w:rPr>
          <w:rFonts w:ascii="Times New Roman" w:hAnsi="Times New Roman"/>
          <w:b/>
        </w:rPr>
        <w:t>в январе 2016 года к декабрю 2015 года (в процентах)</w:t>
      </w:r>
      <w:r w:rsidRPr="00BF5056">
        <w:rPr>
          <w:rFonts w:ascii="Times New Roman" w:hAnsi="Times New Roman"/>
        </w:rPr>
        <w:tab/>
      </w:r>
    </w:p>
    <w:p w:rsidR="00CD64CB" w:rsidRPr="00BF5056" w:rsidRDefault="00CD64CB" w:rsidP="00CD64CB">
      <w:pPr>
        <w:spacing w:after="0" w:line="240" w:lineRule="auto"/>
        <w:jc w:val="center"/>
        <w:rPr>
          <w:rFonts w:ascii="Times New Roman" w:hAnsi="Times New Roman"/>
        </w:rPr>
      </w:pP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56"/>
        <w:gridCol w:w="1467"/>
        <w:gridCol w:w="1681"/>
        <w:gridCol w:w="1577"/>
        <w:gridCol w:w="1966"/>
      </w:tblGrid>
      <w:tr w:rsidR="00CD64CB" w:rsidRPr="00BF5056" w:rsidTr="00317F0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ПМР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Молдова 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Украина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Российская</w:t>
            </w:r>
          </w:p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 xml:space="preserve">Федерация </w:t>
            </w:r>
          </w:p>
        </w:tc>
      </w:tr>
      <w:tr w:rsidR="00CD64CB" w:rsidRPr="00BF5056" w:rsidTr="00317F0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B" w:rsidRPr="00BF5056" w:rsidRDefault="00CD64CB" w:rsidP="00317F08">
            <w:pPr>
              <w:spacing w:after="0" w:line="240" w:lineRule="auto"/>
              <w:rPr>
                <w:rFonts w:ascii="Times New Roman" w:eastAsia="Calibri" w:hAnsi="Times New Roman"/>
                <w:b/>
                <w:lang w:eastAsia="en-US"/>
              </w:rPr>
            </w:pPr>
            <w:r w:rsidRPr="00BF5056">
              <w:rPr>
                <w:rFonts w:ascii="Times New Roman" w:eastAsia="Calibri" w:hAnsi="Times New Roman"/>
                <w:b/>
                <w:lang w:eastAsia="en-US"/>
              </w:rPr>
              <w:t>Сводный индекс потребительских цен (инфляция)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100,20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100,7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100,9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b/>
                <w:sz w:val="24"/>
                <w:szCs w:val="24"/>
                <w:lang w:eastAsia="en-US"/>
              </w:rPr>
              <w:t>101,0</w:t>
            </w:r>
          </w:p>
        </w:tc>
      </w:tr>
      <w:tr w:rsidR="00CD64CB" w:rsidRPr="00BF5056" w:rsidTr="00317F0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B" w:rsidRPr="00BF5056" w:rsidRDefault="00CD64CB" w:rsidP="00317F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F5056">
              <w:rPr>
                <w:rFonts w:ascii="Times New Roman" w:eastAsia="Calibri" w:hAnsi="Times New Roman"/>
                <w:lang w:eastAsia="en-US"/>
              </w:rPr>
              <w:t>в том числе: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</w:p>
        </w:tc>
      </w:tr>
      <w:tr w:rsidR="00CD64CB" w:rsidRPr="00BF5056" w:rsidTr="00317F0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B" w:rsidRPr="00BF5056" w:rsidRDefault="00CD64CB" w:rsidP="00317F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F5056">
              <w:rPr>
                <w:rFonts w:ascii="Times New Roman" w:eastAsia="Calibri" w:hAnsi="Times New Roman"/>
                <w:lang w:eastAsia="en-US"/>
              </w:rPr>
              <w:t>индекс цен на продовольственные товары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100,32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102,2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101,2</w:t>
            </w:r>
          </w:p>
        </w:tc>
      </w:tr>
      <w:tr w:rsidR="00CD64CB" w:rsidRPr="00BF5056" w:rsidTr="00317F0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B" w:rsidRPr="00BF5056" w:rsidRDefault="00CD64CB" w:rsidP="00317F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F5056">
              <w:rPr>
                <w:rFonts w:ascii="Times New Roman" w:eastAsia="Calibri" w:hAnsi="Times New Roman"/>
                <w:lang w:eastAsia="en-US"/>
              </w:rPr>
              <w:t>индекс цен на непродовольственные товары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99,63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5056">
              <w:rPr>
                <w:rFonts w:ascii="Times New Roman" w:eastAsia="Calibri" w:hAnsi="Times New Roman"/>
                <w:lang w:eastAsia="en-US"/>
              </w:rPr>
              <w:t>100,2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5056">
              <w:rPr>
                <w:rFonts w:ascii="Times New Roman" w:eastAsia="Calibri" w:hAnsi="Times New Roman"/>
                <w:lang w:eastAsia="en-US"/>
              </w:rPr>
              <w:t>*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100,7</w:t>
            </w:r>
          </w:p>
        </w:tc>
      </w:tr>
      <w:tr w:rsidR="00CD64CB" w:rsidRPr="00BF5056" w:rsidTr="00317F08">
        <w:tc>
          <w:tcPr>
            <w:tcW w:w="30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D64CB" w:rsidRPr="00BF5056" w:rsidRDefault="00CD64CB" w:rsidP="00317F08">
            <w:pPr>
              <w:spacing w:after="0" w:line="240" w:lineRule="auto"/>
              <w:rPr>
                <w:rFonts w:ascii="Times New Roman" w:eastAsia="Calibri" w:hAnsi="Times New Roman"/>
                <w:lang w:eastAsia="en-US"/>
              </w:rPr>
            </w:pPr>
            <w:r w:rsidRPr="00BF5056">
              <w:rPr>
                <w:rFonts w:ascii="Times New Roman" w:eastAsia="Calibri" w:hAnsi="Times New Roman"/>
                <w:lang w:eastAsia="en-US"/>
              </w:rPr>
              <w:t>индекс тарифов на услуги</w:t>
            </w:r>
          </w:p>
        </w:tc>
        <w:tc>
          <w:tcPr>
            <w:tcW w:w="14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100,94</w:t>
            </w:r>
          </w:p>
        </w:tc>
        <w:tc>
          <w:tcPr>
            <w:tcW w:w="16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r w:rsidRPr="00BF5056">
              <w:rPr>
                <w:rFonts w:ascii="Times New Roman" w:eastAsia="Calibri" w:hAnsi="Times New Roman"/>
                <w:lang w:eastAsia="en-US"/>
              </w:rPr>
              <w:t>100,4</w:t>
            </w:r>
          </w:p>
        </w:tc>
        <w:tc>
          <w:tcPr>
            <w:tcW w:w="15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lang w:eastAsia="en-US"/>
              </w:rPr>
            </w:pPr>
            <w:bookmarkStart w:id="0" w:name="_GoBack"/>
            <w:bookmarkEnd w:id="0"/>
            <w:r w:rsidRPr="00BF5056">
              <w:rPr>
                <w:rFonts w:ascii="Times New Roman" w:eastAsia="Calibri" w:hAnsi="Times New Roman"/>
                <w:lang w:eastAsia="en-US"/>
              </w:rPr>
              <w:t>*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D64CB" w:rsidRPr="00BF5056" w:rsidRDefault="00CD64CB" w:rsidP="00317F08">
            <w:pPr>
              <w:spacing w:after="0" w:line="240" w:lineRule="auto"/>
              <w:jc w:val="center"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BF5056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101,0</w:t>
            </w:r>
          </w:p>
        </w:tc>
      </w:tr>
    </w:tbl>
    <w:p w:rsidR="00CD64CB" w:rsidRDefault="00CD64CB" w:rsidP="00CD64CB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BF5056">
        <w:rPr>
          <w:rFonts w:ascii="Times New Roman" w:hAnsi="Times New Roman"/>
          <w:sz w:val="20"/>
          <w:szCs w:val="20"/>
        </w:rPr>
        <w:t>* - данные отсутствуют</w:t>
      </w:r>
    </w:p>
    <w:p w:rsidR="00CD64CB" w:rsidRDefault="00CD64CB" w:rsidP="00CD64C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D64CB" w:rsidRPr="005A630C" w:rsidRDefault="00CD64CB" w:rsidP="005A630C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  <w:szCs w:val="24"/>
        </w:rPr>
      </w:pPr>
    </w:p>
    <w:sectPr w:rsidR="00CD64CB" w:rsidRPr="005A630C" w:rsidSect="0043518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1673E"/>
    <w:rsid w:val="000053C5"/>
    <w:rsid w:val="0004130A"/>
    <w:rsid w:val="00047393"/>
    <w:rsid w:val="00053023"/>
    <w:rsid w:val="00084FD8"/>
    <w:rsid w:val="000D2338"/>
    <w:rsid w:val="000D352A"/>
    <w:rsid w:val="000E0E9A"/>
    <w:rsid w:val="00103FAC"/>
    <w:rsid w:val="0011673E"/>
    <w:rsid w:val="00166AA4"/>
    <w:rsid w:val="00197975"/>
    <w:rsid w:val="001A0843"/>
    <w:rsid w:val="001B08F6"/>
    <w:rsid w:val="001B341E"/>
    <w:rsid w:val="001C1C5B"/>
    <w:rsid w:val="001E38E2"/>
    <w:rsid w:val="001F77E9"/>
    <w:rsid w:val="001F7829"/>
    <w:rsid w:val="00235883"/>
    <w:rsid w:val="0024271A"/>
    <w:rsid w:val="002469D7"/>
    <w:rsid w:val="00266D06"/>
    <w:rsid w:val="00276DCC"/>
    <w:rsid w:val="003026F4"/>
    <w:rsid w:val="003419E7"/>
    <w:rsid w:val="003830EE"/>
    <w:rsid w:val="0039758C"/>
    <w:rsid w:val="003B1024"/>
    <w:rsid w:val="003C49C7"/>
    <w:rsid w:val="003F1851"/>
    <w:rsid w:val="00416B3B"/>
    <w:rsid w:val="004238ED"/>
    <w:rsid w:val="00434C99"/>
    <w:rsid w:val="00435188"/>
    <w:rsid w:val="00435822"/>
    <w:rsid w:val="00443F5D"/>
    <w:rsid w:val="00455DEA"/>
    <w:rsid w:val="004869A6"/>
    <w:rsid w:val="00491874"/>
    <w:rsid w:val="004E1A74"/>
    <w:rsid w:val="004F55C0"/>
    <w:rsid w:val="005119B2"/>
    <w:rsid w:val="00523F1E"/>
    <w:rsid w:val="00585414"/>
    <w:rsid w:val="005A630C"/>
    <w:rsid w:val="005B4013"/>
    <w:rsid w:val="00604D34"/>
    <w:rsid w:val="00626126"/>
    <w:rsid w:val="00657B11"/>
    <w:rsid w:val="00665821"/>
    <w:rsid w:val="00670102"/>
    <w:rsid w:val="00670822"/>
    <w:rsid w:val="0068575D"/>
    <w:rsid w:val="006E4DD2"/>
    <w:rsid w:val="006F58DA"/>
    <w:rsid w:val="007057D2"/>
    <w:rsid w:val="007116F7"/>
    <w:rsid w:val="00736B1E"/>
    <w:rsid w:val="007902A1"/>
    <w:rsid w:val="007A0520"/>
    <w:rsid w:val="007D6856"/>
    <w:rsid w:val="00817C24"/>
    <w:rsid w:val="00820ABD"/>
    <w:rsid w:val="0083211A"/>
    <w:rsid w:val="008508E3"/>
    <w:rsid w:val="008727F3"/>
    <w:rsid w:val="008D70E8"/>
    <w:rsid w:val="008F1698"/>
    <w:rsid w:val="008F50E9"/>
    <w:rsid w:val="009619EC"/>
    <w:rsid w:val="00964CFF"/>
    <w:rsid w:val="0097562F"/>
    <w:rsid w:val="00975B52"/>
    <w:rsid w:val="009A66F0"/>
    <w:rsid w:val="009B23CA"/>
    <w:rsid w:val="009C42F1"/>
    <w:rsid w:val="009E0BD2"/>
    <w:rsid w:val="00A16ACE"/>
    <w:rsid w:val="00A3017A"/>
    <w:rsid w:val="00A350AF"/>
    <w:rsid w:val="00A4323A"/>
    <w:rsid w:val="00A5550A"/>
    <w:rsid w:val="00A7244D"/>
    <w:rsid w:val="00A81F86"/>
    <w:rsid w:val="00AB301E"/>
    <w:rsid w:val="00AD5E5E"/>
    <w:rsid w:val="00AE006E"/>
    <w:rsid w:val="00AE0D34"/>
    <w:rsid w:val="00AE4032"/>
    <w:rsid w:val="00AE4799"/>
    <w:rsid w:val="00B00831"/>
    <w:rsid w:val="00B02078"/>
    <w:rsid w:val="00B367D5"/>
    <w:rsid w:val="00B3764E"/>
    <w:rsid w:val="00B620EF"/>
    <w:rsid w:val="00B739AD"/>
    <w:rsid w:val="00B74E74"/>
    <w:rsid w:val="00B81BA3"/>
    <w:rsid w:val="00BB1C34"/>
    <w:rsid w:val="00BC2898"/>
    <w:rsid w:val="00BE1FED"/>
    <w:rsid w:val="00BE4CC9"/>
    <w:rsid w:val="00C23D37"/>
    <w:rsid w:val="00C35210"/>
    <w:rsid w:val="00C72639"/>
    <w:rsid w:val="00C76C66"/>
    <w:rsid w:val="00C77A82"/>
    <w:rsid w:val="00CA4F34"/>
    <w:rsid w:val="00CB1111"/>
    <w:rsid w:val="00CB2822"/>
    <w:rsid w:val="00CB45E2"/>
    <w:rsid w:val="00CD22DE"/>
    <w:rsid w:val="00CD64CB"/>
    <w:rsid w:val="00CF408E"/>
    <w:rsid w:val="00D0124A"/>
    <w:rsid w:val="00D02A30"/>
    <w:rsid w:val="00D25BDD"/>
    <w:rsid w:val="00D61F2F"/>
    <w:rsid w:val="00D74175"/>
    <w:rsid w:val="00DB7CE2"/>
    <w:rsid w:val="00DC1DCC"/>
    <w:rsid w:val="00DD053B"/>
    <w:rsid w:val="00E00CED"/>
    <w:rsid w:val="00E128AB"/>
    <w:rsid w:val="00E54656"/>
    <w:rsid w:val="00E71101"/>
    <w:rsid w:val="00E72F78"/>
    <w:rsid w:val="00E80738"/>
    <w:rsid w:val="00EF77F9"/>
    <w:rsid w:val="00F47EFD"/>
    <w:rsid w:val="00F503C5"/>
    <w:rsid w:val="00FF5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5188"/>
  </w:style>
  <w:style w:type="paragraph" w:styleId="1">
    <w:name w:val="heading 1"/>
    <w:basedOn w:val="a"/>
    <w:next w:val="a"/>
    <w:link w:val="10"/>
    <w:uiPriority w:val="99"/>
    <w:qFormat/>
    <w:rsid w:val="0011673E"/>
    <w:pPr>
      <w:keepNext/>
      <w:spacing w:before="240" w:after="60"/>
      <w:outlineLvl w:val="0"/>
    </w:pPr>
    <w:rPr>
      <w:rFonts w:ascii="Arial" w:eastAsia="Times New Roman" w:hAnsi="Arial" w:cs="Arial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1673E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List Paragraph"/>
    <w:basedOn w:val="a"/>
    <w:uiPriority w:val="99"/>
    <w:qFormat/>
    <w:rsid w:val="0011673E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4">
    <w:name w:val="Без интервала Знак"/>
    <w:link w:val="a5"/>
    <w:uiPriority w:val="1"/>
    <w:locked/>
    <w:rsid w:val="00B00831"/>
    <w:rPr>
      <w:rFonts w:ascii="Times New Roman" w:hAnsi="Times New Roman" w:cs="Times New Roman"/>
      <w:sz w:val="24"/>
    </w:rPr>
  </w:style>
  <w:style w:type="paragraph" w:styleId="a5">
    <w:name w:val="No Spacing"/>
    <w:link w:val="a4"/>
    <w:uiPriority w:val="1"/>
    <w:qFormat/>
    <w:rsid w:val="00B00831"/>
    <w:pPr>
      <w:spacing w:after="0" w:line="240" w:lineRule="auto"/>
      <w:ind w:firstLine="709"/>
      <w:jc w:val="both"/>
    </w:pPr>
    <w:rPr>
      <w:rFonts w:ascii="Times New Roman" w:hAnsi="Times New Roman" w:cs="Times New Roman"/>
      <w:sz w:val="24"/>
    </w:rPr>
  </w:style>
  <w:style w:type="paragraph" w:customStyle="1" w:styleId="2">
    <w:name w:val="сновной текст с отступом 2"/>
    <w:basedOn w:val="a"/>
    <w:rsid w:val="007116F7"/>
    <w:pPr>
      <w:widowControl w:val="0"/>
      <w:spacing w:after="0" w:line="240" w:lineRule="auto"/>
      <w:ind w:firstLine="720"/>
      <w:jc w:val="both"/>
    </w:pPr>
    <w:rPr>
      <w:rFonts w:ascii="Times New Roman" w:eastAsia="Times New Roman" w:hAnsi="Times New Roman" w:cs="Times New Roman"/>
      <w:sz w:val="26"/>
      <w:szCs w:val="20"/>
    </w:rPr>
  </w:style>
  <w:style w:type="paragraph" w:styleId="a6">
    <w:name w:val="Balloon Text"/>
    <w:basedOn w:val="a"/>
    <w:link w:val="a7"/>
    <w:uiPriority w:val="99"/>
    <w:semiHidden/>
    <w:unhideWhenUsed/>
    <w:rsid w:val="007116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116F7"/>
    <w:rPr>
      <w:rFonts w:ascii="Tahoma" w:hAnsi="Tahoma" w:cs="Tahoma"/>
      <w:sz w:val="16"/>
      <w:szCs w:val="16"/>
    </w:rPr>
  </w:style>
  <w:style w:type="character" w:customStyle="1" w:styleId="a8">
    <w:name w:val="Подпись к таблице_"/>
    <w:basedOn w:val="a0"/>
    <w:link w:val="a9"/>
    <w:uiPriority w:val="99"/>
    <w:locked/>
    <w:rsid w:val="00E71101"/>
    <w:rPr>
      <w:b/>
      <w:bCs/>
      <w:sz w:val="27"/>
      <w:szCs w:val="27"/>
      <w:shd w:val="clear" w:color="auto" w:fill="FFFFFF"/>
    </w:rPr>
  </w:style>
  <w:style w:type="paragraph" w:customStyle="1" w:styleId="a9">
    <w:name w:val="Подпись к таблице"/>
    <w:basedOn w:val="a"/>
    <w:link w:val="a8"/>
    <w:uiPriority w:val="99"/>
    <w:rsid w:val="00E71101"/>
    <w:pPr>
      <w:widowControl w:val="0"/>
      <w:shd w:val="clear" w:color="auto" w:fill="FFFFFF"/>
      <w:spacing w:after="0" w:line="240" w:lineRule="atLeast"/>
    </w:pPr>
    <w:rPr>
      <w:b/>
      <w:bCs/>
      <w:sz w:val="27"/>
      <w:szCs w:val="27"/>
    </w:rPr>
  </w:style>
  <w:style w:type="character" w:customStyle="1" w:styleId="aa">
    <w:name w:val="Основной текст_"/>
    <w:basedOn w:val="a0"/>
    <w:rsid w:val="00E71101"/>
    <w:rPr>
      <w:rFonts w:ascii="Times New Roman" w:hAnsi="Times New Roman" w:cs="Times New Roman" w:hint="default"/>
      <w:strike w:val="0"/>
      <w:dstrike w:val="0"/>
      <w:sz w:val="27"/>
      <w:szCs w:val="27"/>
      <w:u w:val="none"/>
      <w:effect w:val="none"/>
    </w:rPr>
  </w:style>
  <w:style w:type="character" w:customStyle="1" w:styleId="FontStyle183">
    <w:name w:val="Font Style183"/>
    <w:basedOn w:val="a0"/>
    <w:rsid w:val="00E71101"/>
    <w:rPr>
      <w:rFonts w:ascii="Sylfaen" w:hAnsi="Sylfaen" w:cs="Sylfaen" w:hint="default"/>
      <w:sz w:val="20"/>
      <w:szCs w:val="20"/>
    </w:rPr>
  </w:style>
  <w:style w:type="paragraph" w:styleId="ab">
    <w:name w:val="Normal (Web)"/>
    <w:basedOn w:val="a"/>
    <w:uiPriority w:val="99"/>
    <w:rsid w:val="008727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7623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610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439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249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877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177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732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6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87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622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729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505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956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0399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22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737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985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7565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299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1492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365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396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8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99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11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211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86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79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833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4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721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944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34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531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24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13" Type="http://schemas.openxmlformats.org/officeDocument/2006/relationships/chart" Target="charts/chart9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12" Type="http://schemas.openxmlformats.org/officeDocument/2006/relationships/chart" Target="charts/chart8.xml"/><Relationship Id="rId17" Type="http://schemas.openxmlformats.org/officeDocument/2006/relationships/chart" Target="charts/chart13.xml"/><Relationship Id="rId2" Type="http://schemas.microsoft.com/office/2007/relationships/stylesWithEffects" Target="stylesWithEffects.xml"/><Relationship Id="rId16" Type="http://schemas.openxmlformats.org/officeDocument/2006/relationships/chart" Target="charts/chart12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11" Type="http://schemas.openxmlformats.org/officeDocument/2006/relationships/chart" Target="charts/chart7.xml"/><Relationship Id="rId5" Type="http://schemas.openxmlformats.org/officeDocument/2006/relationships/chart" Target="charts/chart1.xml"/><Relationship Id="rId15" Type="http://schemas.openxmlformats.org/officeDocument/2006/relationships/chart" Target="charts/chart11.xml"/><Relationship Id="rId10" Type="http://schemas.openxmlformats.org/officeDocument/2006/relationships/chart" Target="charts/chart6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chart" Target="charts/chart5.xml"/><Relationship Id="rId14" Type="http://schemas.openxmlformats.org/officeDocument/2006/relationships/chart" Target="charts/chart10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0.xlsx"/><Relationship Id="rId1" Type="http://schemas.openxmlformats.org/officeDocument/2006/relationships/themeOverride" Target="../theme/themeOverride9.xm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1.xlsx"/><Relationship Id="rId1" Type="http://schemas.openxmlformats.org/officeDocument/2006/relationships/themeOverride" Target="../theme/themeOverride10.xml"/></Relationships>
</file>

<file path=word/charts/_rels/chart1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2.xlsx"/></Relationships>
</file>

<file path=word/charts/_rels/chart13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13.xlsx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3.xlsx"/><Relationship Id="rId1" Type="http://schemas.openxmlformats.org/officeDocument/2006/relationships/themeOverride" Target="../theme/themeOverride3.xml"/></Relationships>
</file>

<file path=word/charts/_rels/chart4.xml.rels><?xml version="1.0" encoding="UTF-8" standalone="yes"?>
<Relationships xmlns="http://schemas.openxmlformats.org/package/2006/relationships"><Relationship Id="rId3" Type="http://schemas.openxmlformats.org/officeDocument/2006/relationships/chartUserShapes" Target="../drawings/drawing1.xml"/><Relationship Id="rId2" Type="http://schemas.openxmlformats.org/officeDocument/2006/relationships/package" Target="../embeddings/Microsoft_Excel_Worksheet4.xlsx"/><Relationship Id="rId1" Type="http://schemas.openxmlformats.org/officeDocument/2006/relationships/themeOverride" Target="../theme/themeOverride4.xml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5.xlsx"/><Relationship Id="rId1" Type="http://schemas.openxmlformats.org/officeDocument/2006/relationships/themeOverride" Target="../theme/themeOverride5.xml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6.xlsx"/><Relationship Id="rId1" Type="http://schemas.openxmlformats.org/officeDocument/2006/relationships/themeOverride" Target="../theme/themeOverride6.xm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7.xlsx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8.xlsx"/><Relationship Id="rId1" Type="http://schemas.openxmlformats.org/officeDocument/2006/relationships/themeOverride" Target="../theme/themeOverride7.xm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9.xlsx"/><Relationship Id="rId1" Type="http://schemas.openxmlformats.org/officeDocument/2006/relationships/themeOverride" Target="../theme/themeOverride8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2016 год</a:t>
            </a:r>
          </a:p>
        </c:rich>
      </c:tx>
      <c:layout>
        <c:manualLayout>
          <c:xMode val="edge"/>
          <c:yMode val="edge"/>
          <c:x val="1.8335763585107443E-2"/>
          <c:y val="0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7.8355205599300093E-2"/>
          <c:y val="8.5540200332101343E-2"/>
          <c:w val="0.92164479440070202"/>
          <c:h val="0.82846370839159134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2016 год</c:v>
                </c:pt>
              </c:strCache>
            </c:strRef>
          </c:tx>
          <c:explosion val="27"/>
          <c:dPt>
            <c:idx val="1"/>
            <c:bubble3D val="0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4.1946419419466092E-2"/>
                  <c:y val="6.8723098124688034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19,2%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1219220388970728E-2"/>
                  <c:y val="-4.3494563179602734E-3"/>
                </c:manualLayout>
              </c:layout>
              <c:tx>
                <c:rich>
                  <a:bodyPr/>
                  <a:lstStyle/>
                  <a:p>
                    <a:r>
                      <a:rPr lang="ru-RU" sz="900">
                        <a:latin typeface="Times New Roman" pitchFamily="18" charset="0"/>
                        <a:cs typeface="Times New Roman" pitchFamily="18" charset="0"/>
                      </a:rPr>
                      <a:t>51,3%</a:t>
                    </a:r>
                    <a:endParaRPr lang="en-US" sz="900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874599008457282E-2"/>
                  <c:y val="0.21018765177717291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2209973753280893E-2"/>
                  <c:y val="1.26411067775406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4.3034509575191976E-2"/>
                  <c:y val="1.257967754030746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0,1%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0.16074174160183116"/>
                  <c:y val="-3.6108767051767056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6,4%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General</c:formatCode>
                <c:ptCount val="6"/>
                <c:pt idx="0">
                  <c:v>117.9</c:v>
                </c:pt>
                <c:pt idx="1">
                  <c:v>314.5</c:v>
                </c:pt>
                <c:pt idx="2" formatCode="0.0">
                  <c:v>70.7</c:v>
                </c:pt>
                <c:pt idx="3">
                  <c:v>70.3</c:v>
                </c:pt>
                <c:pt idx="4" formatCode="0.0">
                  <c:v>0.60000000000000064</c:v>
                </c:pt>
                <c:pt idx="5">
                  <c:v>39.300000000000004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28"/>
            </a:pPr>
            <a:r>
              <a:rPr lang="ru-RU" sz="1128"/>
              <a:t>Товарная структура импорта ПМР, млн. долл. США</a:t>
            </a:r>
          </a:p>
        </c:rich>
      </c:tx>
      <c:layout>
        <c:manualLayout>
          <c:xMode val="edge"/>
          <c:yMode val="edge"/>
          <c:x val="0.27361567668119124"/>
          <c:y val="1.8605110258653901E-2"/>
        </c:manualLayout>
      </c:layout>
      <c:overlay val="0"/>
      <c:spPr>
        <a:solidFill>
          <a:sysClr val="window" lastClr="FFFFFF"/>
        </a:solidFill>
        <a:ln w="2336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6.4072688401924122E-2"/>
          <c:y val="9.1213463917280663E-2"/>
          <c:w val="0.96291208791208749"/>
          <c:h val="0.3868374337025303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5.146938139947899E-3"/>
                  <c:y val="2.306033678653444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75,2*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5731287177619545E-3"/>
                  <c:y val="2.02908652811841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3,5*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3042837844093689E-3"/>
                  <c:y val="1.083627848081298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4,0*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6.2825471241536026E-3"/>
                  <c:y val="9.979801630066564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9,2*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2039404165388417E-3"/>
                  <c:y val="3.98735141042524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2,5*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1.5628511428054401E-3"/>
                  <c:y val="1.6254776229738068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5,6*</a:t>
                    </a:r>
                    <a:endParaRPr lang="en-US" b="1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5617342090612003E-4"/>
                  <c:y val="1.6455402091132061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8</a:t>
                    </a:r>
                    <a:r>
                      <a:rPr lang="en-US" b="1"/>
                      <a:t>,2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72802197802197965"/>
                  <c:y val="0.43750000000000488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365">
                <a:noFill/>
              </a:ln>
            </c:spPr>
            <c:txPr>
              <a:bodyPr rot="0" vert="horz" anchor="ctr" anchorCtr="0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Sheet1!$B$2:$G$2</c:f>
              <c:numCache>
                <c:formatCode>0.0</c:formatCode>
                <c:ptCount val="6"/>
                <c:pt idx="0" formatCode="General">
                  <c:v>82.9</c:v>
                </c:pt>
                <c:pt idx="1">
                  <c:v>3.8309999999999977</c:v>
                </c:pt>
                <c:pt idx="2">
                  <c:v>4.4589999999999996</c:v>
                </c:pt>
                <c:pt idx="3">
                  <c:v>10.155000000000006</c:v>
                </c:pt>
                <c:pt idx="4">
                  <c:v>2.8009999999999997</c:v>
                </c:pt>
                <c:pt idx="5">
                  <c:v>6.1609999999999845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5.2558529061472684E-3"/>
                  <c:y val="6.018877462952942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67,5*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9.1876075299203073E-4"/>
                  <c:y val="1.6703670237941701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1,8*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7.8852944023365523E-3"/>
                  <c:y val="8.9476556052448357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5,9*</a:t>
                    </a:r>
                    <a:endParaRPr lang="en-US" b="1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797816540875134E-3"/>
                  <c:y val="1.7186868034938303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5,9*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924639230358243E-2"/>
                  <c:y val="4.8544624769320784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7,8*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6322401175000143E-2"/>
                  <c:y val="-8.9551842841338238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11,0*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0251667106205027E-3"/>
                  <c:y val="1.0088636461425918E-2"/>
                </c:manualLayout>
              </c:layout>
              <c:tx>
                <c:rich>
                  <a:bodyPr/>
                  <a:lstStyle/>
                  <a:p>
                    <a:r>
                      <a:rPr lang="en-US" b="1"/>
                      <a:t>9,</a:t>
                    </a:r>
                    <a:r>
                      <a:rPr lang="ru-RU" b="1"/>
                      <a:t>6</a:t>
                    </a:r>
                    <a:endParaRPr lang="en-US" b="1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Mode val="edge"/>
                  <c:yMode val="edge"/>
                  <c:x val="0.75274725274725274"/>
                  <c:y val="0.48214285714288585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3365">
                <a:noFill/>
              </a:ln>
            </c:spPr>
            <c:txPr>
              <a:bodyPr rot="0" vert="horz"/>
              <a:lstStyle/>
              <a:p>
                <a:pPr>
                  <a:defRPr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Sheet1!$B$1:$G$1</c:f>
              <c:strCache>
                <c:ptCount val="6"/>
                <c:pt idx="0">
                  <c:v>Топливно-энергетические товары</c:v>
                </c:pt>
                <c:pt idx="1">
                  <c:v>Металлы и изделия из них</c:v>
                </c:pt>
                <c:pt idx="2">
                  <c:v>Продовольственные товары и сырье</c:v>
                </c:pt>
                <c:pt idx="3">
                  <c:v>Машиностроительная продукция</c:v>
                </c:pt>
                <c:pt idx="4">
                  <c:v>Продукция легкой промышленности</c:v>
                </c:pt>
                <c:pt idx="5">
                  <c:v>Прочие товары</c:v>
                </c:pt>
              </c:strCache>
            </c:strRef>
          </c:cat>
          <c:val>
            <c:numRef>
              <c:f>Sheet1!$B$3:$G$3</c:f>
              <c:numCache>
                <c:formatCode>0.0</c:formatCode>
                <c:ptCount val="6"/>
                <c:pt idx="0">
                  <c:v>38.58</c:v>
                </c:pt>
                <c:pt idx="1">
                  <c:v>1.054</c:v>
                </c:pt>
                <c:pt idx="2">
                  <c:v>3.3979999999999997</c:v>
                </c:pt>
                <c:pt idx="3">
                  <c:v>3.3619999999999997</c:v>
                </c:pt>
                <c:pt idx="4">
                  <c:v>4.4639999999999995</c:v>
                </c:pt>
                <c:pt idx="5">
                  <c:v>6.2879999999999967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60"/>
        <c:axId val="167479936"/>
        <c:axId val="174522752"/>
      </c:barChart>
      <c:catAx>
        <c:axId val="167479936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174522752"/>
        <c:crosses val="autoZero"/>
        <c:auto val="0"/>
        <c:lblAlgn val="ctr"/>
        <c:lblOffset val="160"/>
        <c:tickLblSkip val="1"/>
        <c:tickMarkSkip val="1"/>
        <c:noMultiLvlLbl val="0"/>
      </c:catAx>
      <c:valAx>
        <c:axId val="174522752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800"/>
                  <a:t>*-удельный</a:t>
                </a:r>
              </a:p>
              <a:p>
                <a:pPr>
                  <a:defRPr/>
                </a:pPr>
                <a:r>
                  <a:rPr lang="ru-RU" sz="800"/>
                  <a:t> вес в общем </a:t>
                </a:r>
              </a:p>
              <a:p>
                <a:pPr>
                  <a:defRPr/>
                </a:pPr>
                <a:r>
                  <a:rPr lang="ru-RU" sz="800"/>
                  <a:t>объеме импорта,%</a:t>
                </a:r>
              </a:p>
            </c:rich>
          </c:tx>
          <c:layout>
            <c:manualLayout>
              <c:xMode val="edge"/>
              <c:yMode val="edge"/>
              <c:x val="0.80836135461688363"/>
              <c:y val="8.7301603571637965E-2"/>
            </c:manualLayout>
          </c:layout>
          <c:overlay val="0"/>
        </c:title>
        <c:numFmt formatCode="General" sourceLinked="1"/>
        <c:majorTickMark val="out"/>
        <c:minorTickMark val="none"/>
        <c:tickLblPos val="nextTo"/>
        <c:txPr>
          <a:bodyPr rot="0" vert="horz"/>
          <a:lstStyle/>
          <a:p>
            <a:pPr>
              <a:defRPr b="1"/>
            </a:pPr>
            <a:endParaRPr lang="ru-RU"/>
          </a:p>
        </c:txPr>
        <c:crossAx val="167479936"/>
        <c:crosses val="autoZero"/>
        <c:crossBetween val="between"/>
        <c:majorUnit val="10"/>
      </c:valAx>
    </c:plotArea>
    <c:legend>
      <c:legendPos val="r"/>
      <c:layout>
        <c:manualLayout>
          <c:xMode val="edge"/>
          <c:yMode val="edge"/>
          <c:x val="0"/>
          <c:y val="0.93448173927064559"/>
          <c:w val="0.87457380934179363"/>
          <c:h val="6.5518260729354211E-2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97">
                <a:latin typeface="Times New Roman" pitchFamily="18" charset="0"/>
                <a:cs typeface="Times New Roman" pitchFamily="18" charset="0"/>
              </a:defRPr>
            </a:pPr>
            <a:r>
              <a:rPr lang="ru-RU" sz="1197">
                <a:latin typeface="Times New Roman" pitchFamily="18" charset="0"/>
                <a:cs typeface="Times New Roman" pitchFamily="18" charset="0"/>
              </a:rPr>
              <a:t>Импорт товаров в разрезе стран, млн. долл. США</a:t>
            </a:r>
          </a:p>
        </c:rich>
      </c:tx>
      <c:layout>
        <c:manualLayout>
          <c:xMode val="edge"/>
          <c:yMode val="edge"/>
          <c:x val="0.28778462820421197"/>
          <c:y val="3.5633496168669663E-3"/>
        </c:manualLayout>
      </c:layout>
      <c:overlay val="0"/>
      <c:spPr>
        <a:noFill/>
        <a:ln w="25335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8916289659409996"/>
          <c:y val="2.5386313465783957E-2"/>
          <c:w val="0.79907241006638874"/>
          <c:h val="0.56939354435000267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9444187123668434E-3"/>
                  <c:y val="4.241886982670231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78,3*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9444444444446939E-3"/>
                  <c:y val="1.377386650198137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2.1241315423807658E-3"/>
                  <c:y val="1.34226764700770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1.2527404662652556E-3"/>
                  <c:y val="1.8752672472232362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3.5208973683888162E-3"/>
                  <c:y val="1.342270877850316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2,1*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6.9444444444446999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7.4268010433377434E-3"/>
                  <c:y val="1.486988847583644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0,4*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2636096958468426E-2"/>
                  <c:y val="8.948566859606184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8,3*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General</c:formatCode>
                <c:ptCount val="8"/>
                <c:pt idx="0" formatCode="0.0">
                  <c:v>86.4</c:v>
                </c:pt>
                <c:pt idx="1">
                  <c:v>4.8</c:v>
                </c:pt>
                <c:pt idx="2">
                  <c:v>3.6</c:v>
                </c:pt>
                <c:pt idx="3">
                  <c:v>1.9000000000000001</c:v>
                </c:pt>
                <c:pt idx="4">
                  <c:v>2.2999999999999998</c:v>
                </c:pt>
                <c:pt idx="5" formatCode="0.0">
                  <c:v>1.8</c:v>
                </c:pt>
                <c:pt idx="6">
                  <c:v>0.4</c:v>
                </c:pt>
                <c:pt idx="7" formatCode="0.0">
                  <c:v>9.1000000000000014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580978848232322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68,7*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1864597807626987E-2"/>
                  <c:y val="6.5359545288627002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4,0*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1029488960938721E-2"/>
                  <c:y val="1.3131007630668701E-2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3,2*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8794194843292264E-3"/>
                  <c:y val="-4.474109610470901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1,6*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321290721012817E-2"/>
                  <c:y val="8.8296744363908167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2,5*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9.9672687972827047E-3"/>
                  <c:y val="-1.7764335749422206E-4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0,7*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157407407407408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0951829550718007E-2"/>
                  <c:y val="-8.2143540004519303E-3"/>
                </c:manualLayout>
              </c:layout>
              <c:tx>
                <c:rich>
                  <a:bodyPr/>
                  <a:lstStyle/>
                  <a:p>
                    <a:r>
                      <a:rPr lang="ru-RU" sz="898" b="1">
                        <a:latin typeface="Times New Roman" pitchFamily="18" charset="0"/>
                        <a:cs typeface="Times New Roman" pitchFamily="18" charset="0"/>
                      </a:rPr>
                      <a:t>18,2*</a:t>
                    </a:r>
                    <a:endParaRPr lang="en-US" sz="900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35">
                <a:noFill/>
              </a:ln>
            </c:spPr>
            <c:txPr>
              <a:bodyPr/>
              <a:lstStyle/>
              <a:p>
                <a:pPr>
                  <a:defRPr sz="898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Россия</c:v>
                </c:pt>
                <c:pt idx="1">
                  <c:v>Украина</c:v>
                </c:pt>
                <c:pt idx="2">
                  <c:v> Молдова</c:v>
                </c:pt>
                <c:pt idx="3">
                  <c:v>Беларусь</c:v>
                </c:pt>
                <c:pt idx="4">
                  <c:v>Германия</c:v>
                </c:pt>
                <c:pt idx="5">
                  <c:v>Италия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General</c:formatCode>
                <c:ptCount val="8"/>
                <c:pt idx="0">
                  <c:v>39.200000000000003</c:v>
                </c:pt>
                <c:pt idx="1">
                  <c:v>2.2999999999999998</c:v>
                </c:pt>
                <c:pt idx="2">
                  <c:v>1.8</c:v>
                </c:pt>
                <c:pt idx="3">
                  <c:v>0.9</c:v>
                </c:pt>
                <c:pt idx="4">
                  <c:v>1.4</c:v>
                </c:pt>
                <c:pt idx="5">
                  <c:v>0.4</c:v>
                </c:pt>
                <c:pt idx="6">
                  <c:v>0.70000000000000062</c:v>
                </c:pt>
                <c:pt idx="7">
                  <c:v>10.400000000000002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069952"/>
        <c:axId val="167092224"/>
      </c:barChart>
      <c:catAx>
        <c:axId val="167069952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67092224"/>
        <c:crosses val="autoZero"/>
        <c:auto val="1"/>
        <c:lblAlgn val="ctr"/>
        <c:lblOffset val="100"/>
        <c:noMultiLvlLbl val="0"/>
      </c:catAx>
      <c:valAx>
        <c:axId val="167092224"/>
        <c:scaling>
          <c:orientation val="minMax"/>
          <c:max val="90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898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*- удельный вес страны в общем импорте,%</a:t>
                </a:r>
              </a:p>
            </c:rich>
          </c:tx>
          <c:layout>
            <c:manualLayout>
              <c:xMode val="edge"/>
              <c:yMode val="edge"/>
              <c:x val="0.80919422572178479"/>
              <c:y val="0.12238827762423737"/>
            </c:manualLayout>
          </c:layout>
          <c:overlay val="0"/>
          <c:spPr>
            <a:noFill/>
            <a:ln w="25335">
              <a:noFill/>
            </a:ln>
          </c:spPr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069952"/>
        <c:crosses val="autoZero"/>
        <c:crossBetween val="between"/>
        <c:majorUnit val="10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9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r"/>
      <c:layout>
        <c:manualLayout>
          <c:xMode val="edge"/>
          <c:yMode val="edge"/>
          <c:x val="0.23069275346460902"/>
          <c:y val="0.9387882304185754"/>
          <c:w val="0.69277602191761956"/>
          <c:h val="6.1211769581433886E-2"/>
        </c:manualLayout>
      </c:layout>
      <c:overlay val="0"/>
      <c:txPr>
        <a:bodyPr/>
        <a:lstStyle/>
        <a:p>
          <a:pPr>
            <a:defRPr sz="898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Динамика основных составляющих инфляции,%</a:t>
            </a:r>
          </a:p>
        </c:rich>
      </c:tx>
      <c:layout>
        <c:manualLayout>
          <c:xMode val="edge"/>
          <c:yMode val="edge"/>
          <c:x val="0.26733190308049032"/>
          <c:y val="5.0812267793400832E-3"/>
        </c:manualLayout>
      </c:layout>
      <c:overlay val="0"/>
    </c:title>
    <c:autoTitleDeleted val="0"/>
    <c:plotArea>
      <c:layout>
        <c:manualLayout>
          <c:layoutTarget val="inner"/>
          <c:xMode val="edge"/>
          <c:yMode val="edge"/>
          <c:x val="0.22829254815549058"/>
          <c:y val="0.13873823027366344"/>
          <c:w val="0.7725366258056322"/>
          <c:h val="0.4166771653543454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2015 г. к декабрю 2014 г.</c:v>
                </c:pt>
              </c:strCache>
            </c:strRef>
          </c:tx>
          <c:spPr>
            <a:solidFill>
              <a:schemeClr val="accent6">
                <a:lumMod val="75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2.5966155620178702E-3"/>
                  <c:y val="1.905799928339766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+0,91*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4.5454402233334424E-3"/>
                  <c:y val="1.776469860459362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- 0,07*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5.4190508795096534E-3"/>
                  <c:y val="1.906077124974861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+0,01*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5.7719150652387084E-3"/>
                  <c:y val="9.9989395264985896E-3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+4,27*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Лист1!$B$2:$B$5</c:f>
              <c:numCache>
                <c:formatCode>0.00</c:formatCode>
                <c:ptCount val="4"/>
                <c:pt idx="0">
                  <c:v>100.91000000000012</c:v>
                </c:pt>
                <c:pt idx="1">
                  <c:v>99.93</c:v>
                </c:pt>
                <c:pt idx="2">
                  <c:v>100.01</c:v>
                </c:pt>
                <c:pt idx="3">
                  <c:v>104.27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2016 г. к декабрю 2015 г.</c:v>
                </c:pt>
              </c:strCache>
            </c:strRef>
          </c:tx>
          <c:spPr>
            <a:solidFill>
              <a:schemeClr val="accent5">
                <a:lumMod val="60000"/>
                <a:lumOff val="40000"/>
              </a:schemeClr>
            </a:solidFill>
          </c:spPr>
          <c:invertIfNegative val="0"/>
          <c:dLbls>
            <c:dLbl>
              <c:idx val="0"/>
              <c:layout>
                <c:manualLayout>
                  <c:x val="3.5867792366552284E-3"/>
                  <c:y val="2.7515739454136889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+0,20*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3731773565664896E-3"/>
                  <c:y val="2.5444736074657442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+0,32*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7334618886925119E-3"/>
                  <c:y val="2.8067640534832138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-0,37*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6.095509069769643E-3"/>
                  <c:y val="2.1990685507745876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+0,94*</a:t>
                    </a:r>
                    <a:endParaRPr lang="en-US" b="1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Лист1!$A$2:$A$5</c:f>
              <c:strCache>
                <c:ptCount val="4"/>
                <c:pt idx="0">
                  <c:v>Сводный индекс потребительских цен  (инфляция)</c:v>
                </c:pt>
                <c:pt idx="1">
                  <c:v>Индекс цен на продовольственные товары</c:v>
                </c:pt>
                <c:pt idx="2">
                  <c:v>Индекс цен на непродовольственные товары</c:v>
                </c:pt>
                <c:pt idx="3">
                  <c:v>Индекс  тарифов на услуги</c:v>
                </c:pt>
              </c:strCache>
            </c:strRef>
          </c:cat>
          <c:val>
            <c:numRef>
              <c:f>Лист1!$C$2:$C$5</c:f>
              <c:numCache>
                <c:formatCode>0.00</c:formatCode>
                <c:ptCount val="4"/>
                <c:pt idx="0">
                  <c:v>100.2</c:v>
                </c:pt>
                <c:pt idx="1">
                  <c:v>100.32</c:v>
                </c:pt>
                <c:pt idx="2">
                  <c:v>99.63</c:v>
                </c:pt>
                <c:pt idx="3">
                  <c:v>100.94000000000027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67497088"/>
        <c:axId val="179082368"/>
      </c:barChart>
      <c:catAx>
        <c:axId val="167497088"/>
        <c:scaling>
          <c:orientation val="minMax"/>
        </c:scaling>
        <c:delete val="0"/>
        <c:axPos val="b"/>
        <c:majorTickMark val="out"/>
        <c:minorTickMark val="none"/>
        <c:tickLblPos val="nextTo"/>
        <c:crossAx val="179082368"/>
        <c:crosses val="autoZero"/>
        <c:auto val="1"/>
        <c:lblAlgn val="ctr"/>
        <c:lblOffset val="100"/>
        <c:noMultiLvlLbl val="0"/>
      </c:catAx>
      <c:valAx>
        <c:axId val="179082368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* -прирост (снижение)  индекса цен,%</a:t>
                </a:r>
              </a:p>
            </c:rich>
          </c:tx>
          <c:layout>
            <c:manualLayout>
              <c:xMode val="edge"/>
              <c:yMode val="edge"/>
              <c:x val="2.5188844027823447E-2"/>
              <c:y val="0.60074427527259555"/>
            </c:manualLayout>
          </c:layout>
          <c:overlay val="0"/>
        </c:title>
        <c:numFmt formatCode="0.00" sourceLinked="1"/>
        <c:majorTickMark val="out"/>
        <c:minorTickMark val="none"/>
        <c:tickLblPos val="nextTo"/>
        <c:crossAx val="167497088"/>
        <c:crosses val="autoZero"/>
        <c:crossBetween val="between"/>
        <c:minorUnit val="4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b="1"/>
            </a:pPr>
            <a:endParaRPr lang="ru-RU"/>
          </a:p>
        </c:txPr>
      </c:dTable>
      <c:spPr>
        <a:noFill/>
        <a:ln w="25400">
          <a:noFill/>
        </a:ln>
      </c:spPr>
    </c:plotArea>
    <c:plotVisOnly val="1"/>
    <c:dispBlanksAs val="gap"/>
    <c:showDLblsOverMax val="0"/>
  </c:chart>
  <c:spPr>
    <a:noFill/>
    <a:ln>
      <a:noFill/>
    </a:ln>
  </c:spPr>
  <c:txPr>
    <a:bodyPr/>
    <a:lstStyle/>
    <a:p>
      <a:pPr>
        <a:defRPr sz="800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1"/>
    </mc:Choice>
    <mc:Fallback>
      <c:style val="31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Сводный индекс потребительских цен (инфляция) в ПМР </a:t>
            </a:r>
          </a:p>
          <a:p>
            <a:pPr>
              <a:defRPr sz="1200"/>
            </a:pPr>
            <a:r>
              <a:rPr lang="ru-RU" sz="1200"/>
              <a:t>в январе к декабрю, %</a:t>
            </a:r>
          </a:p>
        </c:rich>
      </c:tx>
      <c:layout>
        <c:manualLayout>
          <c:xMode val="edge"/>
          <c:yMode val="edge"/>
          <c:x val="0.21013093514921499"/>
          <c:y val="3.0392811068108002E-3"/>
        </c:manualLayout>
      </c:layout>
      <c:overlay val="0"/>
      <c:spPr>
        <a:ln>
          <a:noFill/>
        </a:ln>
      </c:spPr>
    </c:title>
    <c:autoTitleDeleted val="0"/>
    <c:view3D>
      <c:rotX val="10"/>
      <c:rotY val="10"/>
      <c:rAngAx val="0"/>
      <c:perspective val="0"/>
    </c:view3D>
    <c:floor>
      <c:thickness val="0"/>
    </c:floor>
    <c:sideWall>
      <c:thickness val="0"/>
      <c:spPr>
        <a:noFill/>
        <a:ln w="25400">
          <a:noFill/>
        </a:ln>
      </c:spPr>
    </c:sideWall>
    <c:backWall>
      <c:thickness val="0"/>
      <c:spPr>
        <a:noFill/>
        <a:ln w="25400">
          <a:noFill/>
        </a:ln>
      </c:spPr>
    </c:backWall>
    <c:plotArea>
      <c:layout>
        <c:manualLayout>
          <c:layoutTarget val="inner"/>
          <c:xMode val="edge"/>
          <c:yMode val="edge"/>
          <c:x val="9.0196123284963264E-2"/>
          <c:y val="3.4690799396681744E-2"/>
          <c:w val="0.90861868228012066"/>
          <c:h val="0.69677224736048371"/>
        </c:manualLayout>
      </c:layout>
      <c:bar3DChart>
        <c:barDir val="col"/>
        <c:grouping val="standar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Столбец3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Pt>
            <c:idx val="4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1.2340934447414261E-2"/>
                  <c:y val="9.22924800604910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2557266682672756E-2"/>
                  <c:y val="4.61202323113867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374520178441746E-2"/>
                  <c:y val="9.224911328263748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2485565937736321E-2"/>
                  <c:y val="9.8557826548281314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410717008997728E-2"/>
                  <c:y val="1.38416908412764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2450123883861125E-2"/>
                  <c:y val="9.2247445133188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1.037390550201138E-2"/>
                  <c:y val="9.0453453956553295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523075716966895E-2"/>
                  <c:y val="9.2247445133188267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37390550201138E-2"/>
                  <c:y val="1.3477620483609759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1.033831780201786E-2"/>
                  <c:y val="9.2336103416435829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42712248087844E-2"/>
                  <c:y val="4.4326241134752123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1"/>
              <c:layout>
                <c:manualLayout>
                  <c:x val="8.4228258580754268E-3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Лист1!$B$2:$B$15</c:f>
              <c:numCache>
                <c:formatCode>#,##0.00</c:formatCode>
                <c:ptCount val="12"/>
                <c:pt idx="0">
                  <c:v>101.23</c:v>
                </c:pt>
                <c:pt idx="1">
                  <c:v>102.51</c:v>
                </c:pt>
                <c:pt idx="2">
                  <c:v>102.64999999999999</c:v>
                </c:pt>
                <c:pt idx="3">
                  <c:v>104.28</c:v>
                </c:pt>
                <c:pt idx="4">
                  <c:v>99.490000000000023</c:v>
                </c:pt>
                <c:pt idx="5">
                  <c:v>102.56</c:v>
                </c:pt>
                <c:pt idx="6">
                  <c:v>102.93</c:v>
                </c:pt>
                <c:pt idx="7">
                  <c:v>102.26</c:v>
                </c:pt>
                <c:pt idx="8">
                  <c:v>101.36</c:v>
                </c:pt>
                <c:pt idx="9">
                  <c:v>100.63</c:v>
                </c:pt>
                <c:pt idx="10">
                  <c:v>100.91000000000012</c:v>
                </c:pt>
                <c:pt idx="11">
                  <c:v>100.2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Лист1!$C$2:$C$15</c:f>
            </c:numRef>
          </c:val>
          <c:shape val="box"/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invertIfNegative val="0"/>
          <c:cat>
            <c:strRef>
              <c:f>Лист1!$A$2:$A$15</c:f>
              <c:strCache>
                <c:ptCount val="12"/>
                <c:pt idx="0">
                  <c:v>2005 г.</c:v>
                </c:pt>
                <c:pt idx="1">
                  <c:v>2006 г.</c:v>
                </c:pt>
                <c:pt idx="2">
                  <c:v>2007 г.</c:v>
                </c:pt>
                <c:pt idx="3">
                  <c:v>2008 г.</c:v>
                </c:pt>
                <c:pt idx="4">
                  <c:v>2009 г.</c:v>
                </c:pt>
                <c:pt idx="5">
                  <c:v>2010 г.</c:v>
                </c:pt>
                <c:pt idx="6">
                  <c:v>2011 г.</c:v>
                </c:pt>
                <c:pt idx="7">
                  <c:v>2012 г.</c:v>
                </c:pt>
                <c:pt idx="8">
                  <c:v>2013 г.</c:v>
                </c:pt>
                <c:pt idx="9">
                  <c:v>2014 г.</c:v>
                </c:pt>
                <c:pt idx="10">
                  <c:v>2015 г.</c:v>
                </c:pt>
                <c:pt idx="11">
                  <c:v>2016 г.</c:v>
                </c:pt>
              </c:strCache>
            </c:strRef>
          </c:cat>
          <c:val>
            <c:numRef>
              <c:f>Лист1!$D$2:$D$15</c:f>
            </c:numRef>
          </c:val>
          <c:shape val="box"/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shape val="cylinder"/>
        <c:axId val="167434880"/>
        <c:axId val="178864512"/>
        <c:axId val="174610176"/>
      </c:bar3DChart>
      <c:catAx>
        <c:axId val="1674348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-5400000" vert="horz"/>
          <a:lstStyle/>
          <a:p>
            <a:pPr>
              <a:defRPr b="1"/>
            </a:pPr>
            <a:endParaRPr lang="ru-RU"/>
          </a:p>
        </c:txPr>
        <c:crossAx val="178864512"/>
        <c:crossesAt val="0"/>
        <c:auto val="1"/>
        <c:lblAlgn val="ctr"/>
        <c:lblOffset val="100"/>
        <c:noMultiLvlLbl val="0"/>
      </c:catAx>
      <c:valAx>
        <c:axId val="178864512"/>
        <c:scaling>
          <c:orientation val="minMax"/>
          <c:max val="140"/>
          <c:min val="80"/>
        </c:scaling>
        <c:delete val="0"/>
        <c:axPos val="l"/>
        <c:numFmt formatCode="#,##0.0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7434880"/>
        <c:crosses val="autoZero"/>
        <c:crossBetween val="between"/>
        <c:majorUnit val="20"/>
        <c:minorUnit val="20"/>
      </c:valAx>
      <c:serAx>
        <c:axId val="174610176"/>
        <c:scaling>
          <c:orientation val="minMax"/>
        </c:scaling>
        <c:delete val="1"/>
        <c:axPos val="b"/>
        <c:majorTickMark val="out"/>
        <c:minorTickMark val="none"/>
        <c:tickLblPos val="none"/>
        <c:crossAx val="178864512"/>
        <c:crosses val="autoZero"/>
      </c:serAx>
    </c:plotArea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200">
                <a:latin typeface="Times New Roman" pitchFamily="18" charset="0"/>
                <a:cs typeface="Times New Roman" pitchFamily="18" charset="0"/>
              </a:defRPr>
            </a:pPr>
            <a:r>
              <a:rPr lang="ru-RU"/>
              <a:t>2015 год</a:t>
            </a:r>
          </a:p>
        </c:rich>
      </c:tx>
      <c:layout>
        <c:manualLayout>
          <c:xMode val="edge"/>
          <c:yMode val="edge"/>
          <c:x val="0.43883339010104688"/>
          <c:y val="4.1062781590804004E-3"/>
        </c:manualLayout>
      </c:layout>
      <c:overlay val="0"/>
    </c:title>
    <c:autoTitleDeleted val="0"/>
    <c:view3D>
      <c:rotX val="30"/>
      <c:rotY val="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"/>
          <c:y val="0.10054672990437602"/>
          <c:w val="0.68946084029572641"/>
          <c:h val="0.84470876236624282"/>
        </c:manualLayout>
      </c:layout>
      <c:pie3DChart>
        <c:varyColors val="1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explosion val="29"/>
          <c:dPt>
            <c:idx val="0"/>
            <c:bubble3D val="0"/>
            <c:explosion val="16"/>
          </c:dPt>
          <c:dPt>
            <c:idx val="1"/>
            <c:bubble3D val="0"/>
            <c:explosion val="16"/>
            <c:spPr>
              <a:solidFill>
                <a:schemeClr val="accent2">
                  <a:lumMod val="60000"/>
                  <a:lumOff val="40000"/>
                </a:schemeClr>
              </a:solidFill>
            </c:spPr>
          </c:dPt>
          <c:dPt>
            <c:idx val="2"/>
            <c:bubble3D val="0"/>
            <c:explosion val="17"/>
          </c:dPt>
          <c:dPt>
            <c:idx val="3"/>
            <c:bubble3D val="0"/>
            <c:explosion val="24"/>
          </c:dPt>
          <c:dPt>
            <c:idx val="5"/>
            <c:bubble3D val="0"/>
            <c:spPr>
              <a:solidFill>
                <a:schemeClr val="accent6">
                  <a:lumMod val="60000"/>
                  <a:lumOff val="40000"/>
                </a:schemeClr>
              </a:solidFill>
            </c:spPr>
          </c:dPt>
          <c:dLbls>
            <c:dLbl>
              <c:idx val="0"/>
              <c:layout>
                <c:manualLayout>
                  <c:x val="5.1977052486759427E-2"/>
                  <c:y val="8.998586715122216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13,5%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2.1723467772635289E-2"/>
                  <c:y val="0.10259943468604886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52,5%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102169012373508E-2"/>
                  <c:y val="0.15985449487226117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12,6%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8277867938263461E-3"/>
                  <c:y val="-8.316027341502102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11,2%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5.1578140174097275E-3"/>
                  <c:y val="-4.6564319124913864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0,9%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4189724376056047E-3"/>
                  <c:y val="-3.759388249545729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9,3%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1"/>
          </c:dLbls>
          <c:cat>
            <c:strRef>
              <c:f>Лист1!$A$2:$A$7</c:f>
              <c:strCache>
                <c:ptCount val="6"/>
                <c:pt idx="0">
                  <c:v>черная металлургия</c:v>
                </c:pt>
                <c:pt idx="1">
                  <c:v>электроэнергетика</c:v>
                </c:pt>
                <c:pt idx="2">
                  <c:v>легкая промышленность</c:v>
                </c:pt>
                <c:pt idx="3">
                  <c:v>пищевая промышленность</c:v>
                </c:pt>
                <c:pt idx="4">
                  <c:v>промышленность строительных материалов</c:v>
                </c:pt>
                <c:pt idx="5">
                  <c:v>прочие</c:v>
                </c:pt>
              </c:strCache>
            </c:strRef>
          </c:cat>
          <c:val>
            <c:numRef>
              <c:f>Лист1!$B$2:$B$7</c:f>
              <c:numCache>
                <c:formatCode>0.0</c:formatCode>
                <c:ptCount val="6"/>
                <c:pt idx="0">
                  <c:v>81.400000000000006</c:v>
                </c:pt>
                <c:pt idx="1">
                  <c:v>316</c:v>
                </c:pt>
                <c:pt idx="2">
                  <c:v>76.099999999999994</c:v>
                </c:pt>
                <c:pt idx="3" formatCode="General">
                  <c:v>67.099999999999994</c:v>
                </c:pt>
                <c:pt idx="4" formatCode="General">
                  <c:v>5.0999999999999996</c:v>
                </c:pt>
                <c:pt idx="5">
                  <c:v>56.20000000000001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  <c:showLeaderLines val="1"/>
        </c:dLbls>
      </c:pie3DChart>
    </c:plotArea>
    <c:legend>
      <c:legendPos val="r"/>
      <c:layout>
        <c:manualLayout>
          <c:xMode val="edge"/>
          <c:yMode val="edge"/>
          <c:x val="0.62238384324096896"/>
          <c:y val="0.22293542184232945"/>
          <c:w val="0.37344660161755694"/>
          <c:h val="0.77601583224560111"/>
        </c:manualLayout>
      </c:layout>
      <c:overlay val="0"/>
      <c:txPr>
        <a:bodyPr/>
        <a:lstStyle/>
        <a:p>
          <a:pPr>
            <a:defRPr sz="850"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1100">
                <a:latin typeface="Times New Roman" pitchFamily="18" charset="0"/>
                <a:cs typeface="Times New Roman" pitchFamily="18" charset="0"/>
              </a:defRPr>
            </a:pPr>
            <a:r>
              <a:rPr lang="ru-RU" sz="1100">
                <a:latin typeface="Times New Roman" pitchFamily="18" charset="0"/>
                <a:cs typeface="Times New Roman" pitchFamily="18" charset="0"/>
              </a:rPr>
              <a:t>Динамина промышленного производства </a:t>
            </a:r>
            <a:r>
              <a:rPr lang="ru-RU" sz="1100" b="0">
                <a:latin typeface="Times New Roman" pitchFamily="18" charset="0"/>
                <a:cs typeface="Times New Roman" pitchFamily="18" charset="0"/>
              </a:rPr>
              <a:t>(в сопоставимых ценах), млн. руб.</a:t>
            </a:r>
          </a:p>
        </c:rich>
      </c:tx>
      <c:layout>
        <c:manualLayout>
          <c:xMode val="edge"/>
          <c:yMode val="edge"/>
          <c:x val="0.1520109436869875"/>
          <c:y val="2.7023407788313108E-3"/>
        </c:manualLayout>
      </c:layout>
      <c:overlay val="0"/>
      <c:spPr>
        <a:noFill/>
        <a:ln w="24917">
          <a:noFill/>
        </a:ln>
      </c:spPr>
    </c:title>
    <c:autoTitleDeleted val="0"/>
    <c:view3D>
      <c:rotX val="10"/>
      <c:rotY val="0"/>
      <c:rAngAx val="0"/>
      <c:perspective val="10"/>
    </c:view3D>
    <c:floor>
      <c:thickness val="0"/>
    </c:floor>
    <c:sideWall>
      <c:thickness val="0"/>
      <c:spPr>
        <a:noFill/>
      </c:spPr>
    </c:sideWall>
    <c:backWall>
      <c:thickness val="0"/>
      <c:spPr>
        <a:noFill/>
      </c:spPr>
    </c:backWall>
    <c:plotArea>
      <c:layout>
        <c:manualLayout>
          <c:layoutTarget val="inner"/>
          <c:xMode val="edge"/>
          <c:yMode val="edge"/>
          <c:x val="8.114706681757515E-2"/>
          <c:y val="0.15664287291191406"/>
          <c:w val="0.88889372629717278"/>
          <c:h val="0.54455870435550391"/>
        </c:manualLayout>
      </c:layout>
      <c:bar3DChart>
        <c:barDir val="col"/>
        <c:grouping val="clustered"/>
        <c:varyColors val="0"/>
        <c:ser>
          <c:idx val="1"/>
          <c:order val="0"/>
          <c:tx>
            <c:strRef>
              <c:f>Лист1!$C$1</c:f>
              <c:strCache>
                <c:ptCount val="1"/>
                <c:pt idx="0">
                  <c:v>2015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2.5348775247587018E-3"/>
                  <c:y val="-4.0353665469235724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82,0%*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showLegendKey val="0"/>
            <c:showVal val="0"/>
            <c:showCatName val="0"/>
            <c:showSerName val="0"/>
            <c:showPercent val="0"/>
            <c:showBubbleSize val="0"/>
          </c:dLbls>
          <c:cat>
            <c:strRef>
              <c:f>Лист1!$A$2</c:f>
              <c:strCache>
                <c:ptCount val="1"/>
                <c:pt idx="0">
                  <c:v>январь</c:v>
                </c:pt>
              </c:strCache>
            </c:strRef>
          </c:cat>
          <c:val>
            <c:numRef>
              <c:f>Лист1!$C$2</c:f>
              <c:numCache>
                <c:formatCode>General</c:formatCode>
                <c:ptCount val="1"/>
                <c:pt idx="0">
                  <c:v>601.9</c:v>
                </c:pt>
              </c:numCache>
            </c:numRef>
          </c:val>
        </c:ser>
        <c:ser>
          <c:idx val="2"/>
          <c:order val="1"/>
          <c:tx>
            <c:strRef>
              <c:f>Лист1!$B$1</c:f>
              <c:strCache>
                <c:ptCount val="1"/>
                <c:pt idx="0">
                  <c:v>2016</c:v>
                </c:pt>
              </c:strCache>
            </c:strRef>
          </c:tx>
          <c:spPr>
            <a:ln>
              <a:solidFill>
                <a:schemeClr val="accent3">
                  <a:lumMod val="75000"/>
                </a:schemeClr>
              </a:solidFill>
            </a:ln>
          </c:spPr>
          <c:invertIfNegative val="0"/>
          <c:dLbls>
            <c:dLbl>
              <c:idx val="0"/>
              <c:layout>
                <c:manualLayout>
                  <c:x val="-2.4185529724551182E-3"/>
                  <c:y val="-3.6202087642270585E-2"/>
                </c:manualLayout>
              </c:layout>
              <c:tx>
                <c:rich>
                  <a:bodyPr/>
                  <a:lstStyle/>
                  <a:p>
                    <a:r>
                      <a:rPr lang="ru-RU" b="1"/>
                      <a:t>101,9%*</a:t>
                    </a:r>
                    <a:endParaRPr lang="en-US" b="1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</c:f>
              <c:strCache>
                <c:ptCount val="1"/>
                <c:pt idx="0">
                  <c:v>январь</c:v>
                </c:pt>
              </c:strCache>
            </c:strRef>
          </c:cat>
          <c:val>
            <c:numRef>
              <c:f>Лист1!$B$2</c:f>
              <c:numCache>
                <c:formatCode>General</c:formatCode>
                <c:ptCount val="1"/>
                <c:pt idx="0">
                  <c:v>613.29999999999995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1720576"/>
        <c:axId val="161728000"/>
        <c:axId val="0"/>
      </c:bar3DChart>
      <c:catAx>
        <c:axId val="161720576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 sz="800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 sz="800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5.9146393408707123E-4"/>
              <c:y val="0.85038459478279449"/>
            </c:manualLayout>
          </c:layout>
          <c:overlay val="0"/>
          <c:spPr>
            <a:noFill/>
            <a:ln w="24917">
              <a:noFill/>
            </a:ln>
          </c:spPr>
        </c:title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728000"/>
        <c:crosses val="autoZero"/>
        <c:auto val="1"/>
        <c:lblAlgn val="ctr"/>
        <c:lblOffset val="100"/>
        <c:noMultiLvlLbl val="0"/>
      </c:catAx>
      <c:valAx>
        <c:axId val="161728000"/>
        <c:scaling>
          <c:orientation val="minMax"/>
          <c:min val="300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1000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1720576"/>
        <c:crosses val="autoZero"/>
        <c:crossBetween val="between"/>
      </c:valAx>
    </c:plotArea>
    <c:legend>
      <c:legendPos val="r"/>
      <c:legendEntry>
        <c:idx val="0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67483458035863764"/>
          <c:y val="0.90022639062009135"/>
          <c:w val="0.31041370217525416"/>
          <c:h val="8.0014187415762217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9"/>
    </mc:Choice>
    <mc:Fallback>
      <c:style val="29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view3D>
      <c:rotX val="0"/>
      <c:rotY val="0"/>
      <c:depthPercent val="100"/>
      <c:rAngAx val="0"/>
      <c:perspective val="30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8.0304018651864206E-2"/>
          <c:y val="5.784938919672078E-2"/>
          <c:w val="0.91969598134815811"/>
          <c:h val="0.45779235928842227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2015 года</c:v>
                </c:pt>
              </c:strCache>
            </c:strRef>
          </c:tx>
          <c:spPr>
            <a:solidFill>
              <a:srgbClr val="8064A2">
                <a:lumMod val="40000"/>
                <a:lumOff val="6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-2.2186051507465032E-3"/>
                  <c:y val="1.857596083317867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113,2*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8.1032132263635023E-3"/>
                  <c:y val="1.0255986520203425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47,0*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5467874773271565E-3"/>
                  <c:y val="1.285068133606636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89,2*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2.1378941742383802E-3"/>
                  <c:y val="1.232686339739448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113,6*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6.1068021227440421E-3"/>
                  <c:y val="8.189933705095374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123,0*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3.068803999713825E-4"/>
                  <c:y val="2.8534731030961553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148,5*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8616552783997489E-3"/>
                  <c:y val="5.754188133890691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67,9*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1.9696199392399152E-3"/>
                  <c:y val="7.8520603175553632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71,0*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442093347985242E-3"/>
                  <c:y val="1.4539710313988529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59,0*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5.8299113450273072E-4"/>
                  <c:y val="7.952137295969382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71,2*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3.5751171187547092E-3"/>
                  <c:y val="-6.0959551773200069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в 2,1р.*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Лист1!$B$2:$B$12</c:f>
              <c:numCache>
                <c:formatCode>#,##0.0</c:formatCode>
                <c:ptCount val="11"/>
                <c:pt idx="0">
                  <c:v>316</c:v>
                </c:pt>
                <c:pt idx="1">
                  <c:v>81.400000000000006</c:v>
                </c:pt>
                <c:pt idx="2">
                  <c:v>14.1</c:v>
                </c:pt>
                <c:pt idx="3">
                  <c:v>13</c:v>
                </c:pt>
                <c:pt idx="4">
                  <c:v>15.8</c:v>
                </c:pt>
                <c:pt idx="5">
                  <c:v>1.9000000000000001</c:v>
                </c:pt>
                <c:pt idx="6">
                  <c:v>5.0999999999999996</c:v>
                </c:pt>
                <c:pt idx="7">
                  <c:v>76.099999999999994</c:v>
                </c:pt>
                <c:pt idx="8">
                  <c:v>67.099999999999994</c:v>
                </c:pt>
                <c:pt idx="9">
                  <c:v>9.2000000000000011</c:v>
                </c:pt>
                <c:pt idx="10">
                  <c:v>2.2000000000000002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2016 года</c:v>
                </c:pt>
              </c:strCache>
            </c:strRef>
          </c:tx>
          <c:spPr>
            <a:solidFill>
              <a:srgbClr val="9BBB59">
                <a:lumMod val="60000"/>
                <a:lumOff val="40000"/>
              </a:srgbClr>
            </a:solidFill>
          </c:spPr>
          <c:invertIfNegative val="0"/>
          <c:dLbls>
            <c:dLbl>
              <c:idx val="0"/>
              <c:layout>
                <c:manualLayout>
                  <c:x val="2.4835124885360098E-2"/>
                  <c:y val="1.472862188522732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99,5*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852847617552528E-2"/>
                  <c:y val="5.3601633129192194E-3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144,9* 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0671150366435275E-2"/>
                  <c:y val="-2.735499122212385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106,7*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0178059650614225E-2"/>
                  <c:y val="-3.706760792832110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67,2*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0178059650614225E-2"/>
                  <c:y val="-4.0951317866875836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46,4*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6.4136234939139109E-3"/>
                  <c:y val="-4.4552757901460113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8,2*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6.4462823574125963E-3"/>
                  <c:y val="-4.6333560156832508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12,0*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6.5943435979212124E-3"/>
                  <c:y val="-4.1080975989112471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92,9*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0791119630507948E-2"/>
                  <c:y val="-2.1596513398788052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104,8*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2.1379600999795602E-3"/>
                  <c:y val="-3.4962157003101887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/>
                      <a:t>77,5*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1.3816129751881802E-2"/>
                  <c:y val="-4.3185249991899155E-2"/>
                </c:manualLayout>
              </c:layout>
              <c:tx>
                <c:rich>
                  <a:bodyPr/>
                  <a:lstStyle/>
                  <a:p>
                    <a:r>
                      <a:rPr lang="ru-RU" sz="750" b="1" baseline="0"/>
                      <a:t>42,1*</a:t>
                    </a:r>
                    <a:endParaRPr lang="en-US" sz="750" b="1"/>
                  </a:p>
                </c:rich>
              </c:tx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5393">
                <a:noFill/>
              </a:ln>
            </c:spPr>
            <c:txPr>
              <a:bodyPr/>
              <a:lstStyle/>
              <a:p>
                <a:pPr>
                  <a:defRPr sz="750" b="1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Электроэнергетика</c:v>
                </c:pt>
                <c:pt idx="1">
                  <c:v>Черная металлургия</c:v>
                </c:pt>
                <c:pt idx="2">
                  <c:v>Химическая промышленность</c:v>
                </c:pt>
                <c:pt idx="3">
                  <c:v>Машиностроение и металлообработка</c:v>
                </c:pt>
                <c:pt idx="4">
                  <c:v>Электротехническая промышленность</c:v>
                </c:pt>
                <c:pt idx="5">
                  <c:v>Лесная и деревообрабатывающая промышленность</c:v>
                </c:pt>
                <c:pt idx="6">
                  <c:v>Промышленность строительных материалов</c:v>
                </c:pt>
                <c:pt idx="7">
                  <c:v>Легкая промышленность</c:v>
                </c:pt>
                <c:pt idx="8">
                  <c:v>Пищевая промышленность</c:v>
                </c:pt>
                <c:pt idx="9">
                  <c:v>Мукомольно-крупянная и комбикормовая</c:v>
                </c:pt>
                <c:pt idx="10">
                  <c:v>Полиграфическая промышленность</c:v>
                </c:pt>
              </c:strCache>
            </c:strRef>
          </c:cat>
          <c:val>
            <c:numRef>
              <c:f>Лист1!$C$2:$C$12</c:f>
              <c:numCache>
                <c:formatCode>#,##0.0</c:formatCode>
                <c:ptCount val="11"/>
                <c:pt idx="0">
                  <c:v>314.5</c:v>
                </c:pt>
                <c:pt idx="1">
                  <c:v>117.9</c:v>
                </c:pt>
                <c:pt idx="2">
                  <c:v>15</c:v>
                </c:pt>
                <c:pt idx="3">
                  <c:v>8.7000000000000011</c:v>
                </c:pt>
                <c:pt idx="4">
                  <c:v>7.3</c:v>
                </c:pt>
                <c:pt idx="5">
                  <c:v>0.2</c:v>
                </c:pt>
                <c:pt idx="6">
                  <c:v>0.60000000000000064</c:v>
                </c:pt>
                <c:pt idx="7">
                  <c:v>70.7</c:v>
                </c:pt>
                <c:pt idx="8">
                  <c:v>70.3</c:v>
                </c:pt>
                <c:pt idx="9">
                  <c:v>7.1</c:v>
                </c:pt>
                <c:pt idx="10">
                  <c:v>0.9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67121280"/>
        <c:axId val="167122816"/>
        <c:axId val="0"/>
      </c:bar3DChart>
      <c:catAx>
        <c:axId val="167121280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 rot="5400000" vert="horz"/>
          <a:lstStyle/>
          <a:p>
            <a:pPr>
              <a:defRPr sz="800" b="1"/>
            </a:pPr>
            <a:endParaRPr lang="ru-RU"/>
          </a:p>
        </c:txPr>
        <c:crossAx val="167122816"/>
        <c:crosses val="autoZero"/>
        <c:auto val="1"/>
        <c:lblAlgn val="ctr"/>
        <c:lblOffset val="100"/>
        <c:noMultiLvlLbl val="0"/>
      </c:catAx>
      <c:valAx>
        <c:axId val="167122816"/>
        <c:scaling>
          <c:orientation val="minMax"/>
        </c:scaling>
        <c:delete val="0"/>
        <c:axPos val="l"/>
        <c:numFmt formatCode="#,##0.0" sourceLinked="1"/>
        <c:majorTickMark val="out"/>
        <c:minorTickMark val="none"/>
        <c:tickLblPos val="nextTo"/>
        <c:txPr>
          <a:bodyPr/>
          <a:lstStyle/>
          <a:p>
            <a:pPr>
              <a:defRPr b="1"/>
            </a:pPr>
            <a:endParaRPr lang="ru-RU"/>
          </a:p>
        </c:txPr>
        <c:crossAx val="167121280"/>
        <c:crosses val="autoZero"/>
        <c:crossBetween val="between"/>
        <c:majorUnit val="50"/>
      </c:valAx>
      <c:spPr>
        <a:noFill/>
        <a:ln w="25393">
          <a:noFill/>
        </a:ln>
      </c:spPr>
    </c:plotArea>
    <c:legend>
      <c:legendPos val="r"/>
      <c:legendEntry>
        <c:idx val="0"/>
        <c:txPr>
          <a:bodyPr/>
          <a:lstStyle/>
          <a:p>
            <a:pPr>
              <a:defRPr sz="900"/>
            </a:pPr>
            <a:endParaRPr lang="ru-RU"/>
          </a:p>
        </c:txPr>
      </c:legendEntry>
      <c:legendEntry>
        <c:idx val="1"/>
        <c:txPr>
          <a:bodyPr/>
          <a:lstStyle/>
          <a:p>
            <a:pPr>
              <a:defRPr sz="900"/>
            </a:pPr>
            <a:endParaRPr lang="ru-RU"/>
          </a:p>
        </c:txPr>
      </c:legendEntry>
      <c:layout>
        <c:manualLayout>
          <c:xMode val="edge"/>
          <c:yMode val="edge"/>
          <c:x val="3.2109120218240479E-2"/>
          <c:y val="0.93975903614461698"/>
          <c:w val="0.43969925806518279"/>
          <c:h val="6.4257028112449793E-2"/>
        </c:manualLayout>
      </c:layout>
      <c:overlay val="0"/>
      <c:txPr>
        <a:bodyPr/>
        <a:lstStyle/>
        <a:p>
          <a:pPr>
            <a:defRPr sz="105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  <c:userShapes r:id="rId3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 algn="ctr">
              <a:defRPr sz="1000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в отрасли электроэнергетика,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1939632545931972"/>
          <c:y val="0"/>
        </c:manualLayout>
      </c:layout>
      <c:overlay val="0"/>
      <c:spPr>
        <a:noFill/>
        <a:ln w="21571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41592156862746638"/>
          <c:y val="0.21069898520750024"/>
          <c:w val="0.50840161891985969"/>
          <c:h val="0.61962144155058008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DDEBCF"/>
                </a:gs>
                <a:gs pos="50000">
                  <a:srgbClr val="9CB86E"/>
                </a:gs>
                <a:gs pos="100000">
                  <a:srgbClr val="156B13"/>
                </a:gs>
              </a:gsLst>
              <a:lin ang="5400000" scaled="0"/>
            </a:gradFill>
            <a:ln w="21571">
              <a:noFill/>
            </a:ln>
          </c:spPr>
          <c:invertIfNegative val="0"/>
          <c:dLbls>
            <c:dLbl>
              <c:idx val="0"/>
              <c:layout>
                <c:manualLayout>
                  <c:x val="-4.0443585348677313E-3"/>
                  <c:y val="1.1699753689396021E-2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113,2%*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7.3553993134133121E-3"/>
                  <c:y val="8.795136476659032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120,1%*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826462868612141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98,2%*</a:t>
                    </a:r>
                    <a:endParaRPr lang="en-US" sz="9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Лист1!$B$2:$B$3</c:f>
              <c:numCache>
                <c:formatCode>0.0</c:formatCode>
                <c:ptCount val="2"/>
                <c:pt idx="0">
                  <c:v>316</c:v>
                </c:pt>
                <c:pt idx="1">
                  <c:v>236.1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F200"/>
                </a:gs>
                <a:gs pos="45000">
                  <a:srgbClr val="FF7A00"/>
                </a:gs>
                <a:gs pos="70000">
                  <a:srgbClr val="FF0300"/>
                </a:gs>
                <a:gs pos="100000">
                  <a:srgbClr val="4D0808"/>
                </a:gs>
              </a:gsLst>
              <a:lin ang="5400000" scaled="0"/>
            </a:gradFill>
            <a:ln w="21571">
              <a:noFill/>
            </a:ln>
          </c:spPr>
          <c:invertIfNegative val="0"/>
          <c:dLbls>
            <c:dLbl>
              <c:idx val="0"/>
              <c:layout>
                <c:manualLayout>
                  <c:x val="-2.40517766779465E-3"/>
                  <c:y val="3.3689349230075502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99,5</a:t>
                    </a:r>
                    <a:r>
                      <a:rPr lang="ru-RU" sz="900" baseline="0"/>
                      <a:t>%*</a:t>
                    </a:r>
                    <a:endParaRPr lang="en-US" sz="9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1724603889133393E-3"/>
                  <c:y val="-1.1759986339468885E-2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94,8% *</a:t>
                    </a:r>
                  </a:p>
                </c:rich>
              </c:tx>
              <c:spPr>
                <a:noFill/>
                <a:ln w="21571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6.4717254906693682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95,2%*</a:t>
                    </a:r>
                    <a:endParaRPr lang="en-US" sz="9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1571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"Молдавская ГРЭС"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314.5</c:v>
                </c:pt>
                <c:pt idx="1">
                  <c:v>223.8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7351424"/>
        <c:axId val="167352960"/>
      </c:barChart>
      <c:catAx>
        <c:axId val="16735142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crossAx val="167352960"/>
        <c:crosses val="autoZero"/>
        <c:auto val="1"/>
        <c:lblAlgn val="ctr"/>
        <c:lblOffset val="100"/>
        <c:noMultiLvlLbl val="0"/>
      </c:catAx>
      <c:valAx>
        <c:axId val="16735296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84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9219445395"/>
            </c:manualLayout>
          </c:layout>
          <c:overlay val="0"/>
          <c:spPr>
            <a:noFill/>
            <a:ln w="21571">
              <a:noFill/>
            </a:ln>
          </c:spPr>
        </c:title>
        <c:numFmt formatCode="0.0" sourceLinked="1"/>
        <c:majorTickMark val="out"/>
        <c:minorTickMark val="none"/>
        <c:tickLblPos val="nextTo"/>
        <c:crossAx val="167351424"/>
        <c:crosses val="autoZero"/>
        <c:crossBetween val="between"/>
        <c:majorUnit val="100"/>
      </c:valAx>
    </c:plotArea>
    <c:legend>
      <c:legendPos val="r"/>
      <c:layout>
        <c:manualLayout>
          <c:xMode val="edge"/>
          <c:yMode val="edge"/>
          <c:x val="0.91442195460861564"/>
          <c:y val="6.0715797622072104E-2"/>
          <c:w val="7.0720256982802404E-2"/>
          <c:h val="0.45184136474319825"/>
        </c:manualLayout>
      </c:layout>
      <c:overlay val="0"/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 sz="832" b="1" i="0" u="none" strike="noStrike" baseline="0">
                <a:solidFill>
                  <a:srgbClr val="000000"/>
                </a:solidFill>
                <a:latin typeface="Times New Roman"/>
                <a:ea typeface="Times New Roman"/>
                <a:cs typeface="Times New Roman"/>
              </a:defRPr>
            </a:pPr>
            <a:r>
              <a:rPr lang="ru-RU" sz="1000"/>
              <a:t>Обьем производства по отрасли легкая промышленность,</a:t>
            </a:r>
            <a:r>
              <a:rPr lang="ru-RU" sz="1000" baseline="0"/>
              <a:t> </a:t>
            </a:r>
            <a:r>
              <a:rPr lang="ru-RU" sz="1000"/>
              <a:t>млн. руб.</a:t>
            </a:r>
          </a:p>
        </c:rich>
      </c:tx>
      <c:layout>
        <c:manualLayout>
          <c:xMode val="edge"/>
          <c:yMode val="edge"/>
          <c:x val="0.23817983860886777"/>
          <c:y val="4.6192253431798024E-2"/>
        </c:manualLayout>
      </c:layout>
      <c:overlay val="0"/>
      <c:spPr>
        <a:noFill/>
        <a:ln w="19217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32546695094707068"/>
          <c:y val="0.18870710605620075"/>
          <c:w val="0.57282457566456202"/>
          <c:h val="0.64172485756359321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2015 год</c:v>
                </c:pt>
              </c:strCache>
            </c:strRef>
          </c:tx>
          <c:spPr>
            <a:gradFill>
              <a:gsLst>
                <a:gs pos="0">
                  <a:srgbClr val="8488C4"/>
                </a:gs>
                <a:gs pos="53000">
                  <a:srgbClr val="D4DEFF"/>
                </a:gs>
                <a:gs pos="83000">
                  <a:srgbClr val="D4DEFF"/>
                </a:gs>
                <a:gs pos="100000">
                  <a:srgbClr val="96AB94"/>
                </a:gs>
              </a:gsLst>
              <a:lin ang="5400000" scaled="0"/>
            </a:gradFill>
            <a:ln w="19217">
              <a:gradFill>
                <a:gsLst>
                  <a:gs pos="0">
                    <a:srgbClr val="4F81BD">
                      <a:tint val="66000"/>
                      <a:satMod val="160000"/>
                    </a:srgbClr>
                  </a:gs>
                  <a:gs pos="50000">
                    <a:srgbClr val="4F81BD">
                      <a:tint val="44500"/>
                      <a:satMod val="160000"/>
                    </a:srgbClr>
                  </a:gs>
                  <a:gs pos="100000">
                    <a:srgbClr val="4F81BD">
                      <a:tint val="23500"/>
                      <a:satMod val="160000"/>
                    </a:srgbClr>
                  </a:gs>
                </a:gsLst>
                <a:lin ang="5400000" scaled="0"/>
              </a:gradFill>
            </a:ln>
          </c:spPr>
          <c:invertIfNegative val="0"/>
          <c:dLbls>
            <c:dLbl>
              <c:idx val="0"/>
              <c:layout>
                <c:manualLayout>
                  <c:x val="3.2375718923074796E-6"/>
                  <c:y val="-7.017732724359202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71,0%*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9.2207272241218026E-6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58,7%*</a:t>
                    </a: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413682522715202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100,3%*</a:t>
                    </a:r>
                    <a:endParaRPr lang="en-US" sz="9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 b="0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Лист1!$B$2:$B$3</c:f>
              <c:numCache>
                <c:formatCode>General</c:formatCode>
                <c:ptCount val="2"/>
                <c:pt idx="0">
                  <c:v>76.099999999999994</c:v>
                </c:pt>
                <c:pt idx="1">
                  <c:v>34.6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2016 год</c:v>
                </c:pt>
              </c:strCache>
            </c:strRef>
          </c:tx>
          <c:spPr>
            <a:gradFill>
              <a:gsLst>
                <a:gs pos="0">
                  <a:srgbClr val="FFEFD1"/>
                </a:gs>
                <a:gs pos="64999">
                  <a:srgbClr val="F0EBD5"/>
                </a:gs>
                <a:gs pos="100000">
                  <a:srgbClr val="D1C39F"/>
                </a:gs>
              </a:gsLst>
              <a:lin ang="5400000" scaled="0"/>
            </a:gradFill>
            <a:ln w="19217">
              <a:noFill/>
            </a:ln>
          </c:spPr>
          <c:invertIfNegative val="0"/>
          <c:dLbls>
            <c:dLbl>
              <c:idx val="0"/>
              <c:layout>
                <c:manualLayout>
                  <c:x val="-4.6703230866784124E-3"/>
                  <c:y val="-9.5803461054611207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92,9%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1088126696026814E-3"/>
                  <c:y val="2.8707180833165398E-3"/>
                </c:manualLayout>
              </c:layout>
              <c:tx>
                <c:rich>
                  <a:bodyPr/>
                  <a:lstStyle/>
                  <a:p>
                    <a:pPr>
                      <a:defRPr sz="900" b="0" i="0" u="none" strike="noStrike" baseline="0">
                        <a:solidFill>
                          <a:srgbClr val="000000"/>
                        </a:solidFill>
                        <a:latin typeface="Times New Roman"/>
                        <a:ea typeface="Times New Roman"/>
                        <a:cs typeface="Times New Roman"/>
                      </a:defRPr>
                    </a:pPr>
                    <a:r>
                      <a:rPr lang="ru-RU" sz="900"/>
                      <a:t>106,9% *</a:t>
                    </a:r>
                  </a:p>
                </c:rich>
              </c:tx>
              <c:spPr>
                <a:noFill/>
                <a:ln w="19217">
                  <a:noFill/>
                </a:ln>
              </c:spPr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1.6055863387446961E-4"/>
                  <c:y val="-6.3642532488316734E-3"/>
                </c:manualLayout>
              </c:layout>
              <c:tx>
                <c:rich>
                  <a:bodyPr/>
                  <a:lstStyle/>
                  <a:p>
                    <a:r>
                      <a:rPr lang="ru-RU" sz="900"/>
                      <a:t>89,3%*</a:t>
                    </a:r>
                    <a:endParaRPr lang="en-US" sz="900"/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19217">
                <a:noFill/>
              </a:ln>
            </c:spPr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Лист1!$A$2:$A$3</c:f>
              <c:strCache>
                <c:ptCount val="2"/>
                <c:pt idx="0">
                  <c:v>обьем производства подотрасли</c:v>
                </c:pt>
                <c:pt idx="1">
                  <c:v>объем производства ЗАО "Тиротекс"</c:v>
                </c:pt>
              </c:strCache>
            </c:strRef>
          </c:cat>
          <c:val>
            <c:numRef>
              <c:f>Лист1!$C$2:$C$3</c:f>
              <c:numCache>
                <c:formatCode>General</c:formatCode>
                <c:ptCount val="2"/>
                <c:pt idx="0">
                  <c:v>70.7</c:v>
                </c:pt>
                <c:pt idx="1">
                  <c:v>36.9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61990144"/>
        <c:axId val="161991680"/>
      </c:barChart>
      <c:catAx>
        <c:axId val="161990144"/>
        <c:scaling>
          <c:orientation val="minMax"/>
        </c:scaling>
        <c:delete val="0"/>
        <c:axPos val="l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900" kern="0" baseline="0"/>
            </a:pPr>
            <a:endParaRPr lang="ru-RU"/>
          </a:p>
        </c:txPr>
        <c:crossAx val="161991680"/>
        <c:crosses val="autoZero"/>
        <c:auto val="1"/>
        <c:lblAlgn val="ctr"/>
        <c:lblOffset val="100"/>
        <c:noMultiLvlLbl val="0"/>
      </c:catAx>
      <c:valAx>
        <c:axId val="161991680"/>
        <c:scaling>
          <c:orientation val="minMax"/>
        </c:scaling>
        <c:delete val="0"/>
        <c:axPos val="b"/>
        <c:majorGridlines/>
        <c:title>
          <c:tx>
            <c:rich>
              <a:bodyPr/>
              <a:lstStyle/>
              <a:p>
                <a:pPr>
                  <a:defRPr sz="755" b="1" i="0" u="none" strike="noStrike" baseline="0">
                    <a:solidFill>
                      <a:srgbClr val="000000"/>
                    </a:solidFill>
                    <a:latin typeface="Times New Roman"/>
                    <a:ea typeface="Times New Roman"/>
                    <a:cs typeface="Times New Roman"/>
                  </a:defRPr>
                </a:pPr>
                <a:r>
                  <a:rPr lang="ru-RU"/>
                  <a:t>* - темп роста 
к предыдущему году</a:t>
                </a:r>
              </a:p>
            </c:rich>
          </c:tx>
          <c:layout>
            <c:manualLayout>
              <c:xMode val="edge"/>
              <c:yMode val="edge"/>
              <c:x val="0"/>
              <c:y val="0.78966767615586564"/>
            </c:manualLayout>
          </c:layout>
          <c:overlay val="0"/>
          <c:spPr>
            <a:noFill/>
            <a:ln w="19217">
              <a:noFill/>
            </a:ln>
          </c:spPr>
        </c:title>
        <c:numFmt formatCode="General" sourceLinked="1"/>
        <c:majorTickMark val="out"/>
        <c:minorTickMark val="none"/>
        <c:tickLblPos val="nextTo"/>
        <c:crossAx val="161990144"/>
        <c:crosses val="autoZero"/>
        <c:crossBetween val="between"/>
        <c:majorUnit val="30"/>
      </c:valAx>
    </c:plotArea>
    <c:legend>
      <c:legendPos val="r"/>
      <c:layout>
        <c:manualLayout>
          <c:xMode val="edge"/>
          <c:yMode val="edge"/>
          <c:x val="0.8993047706824896"/>
          <c:y val="0.20889827795915755"/>
          <c:w val="9.8429775297274744E-2"/>
          <c:h val="0.30439103742981938"/>
        </c:manualLayout>
      </c:layout>
      <c:overlay val="0"/>
      <c:txPr>
        <a:bodyPr/>
        <a:lstStyle/>
        <a:p>
          <a:pPr>
            <a:defRPr sz="900"/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txPr>
    <a:bodyPr/>
    <a:lstStyle/>
    <a:p>
      <a:pPr>
        <a:defRPr>
          <a:latin typeface="Times New Roman" pitchFamily="18" charset="0"/>
          <a:cs typeface="Times New Roman" pitchFamily="18" charset="0"/>
        </a:defRPr>
      </a:pPr>
      <a:endParaRPr lang="ru-RU"/>
    </a:p>
  </c:txPr>
  <c:externalData r:id="rId2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32"/>
    </mc:Choice>
    <mc:Fallback>
      <c:style val="32"/>
    </mc:Fallback>
  </mc:AlternateContent>
  <c:chart>
    <c:autoTitleDeleted val="1"/>
    <c:plotArea>
      <c:layout>
        <c:manualLayout>
          <c:layoutTarget val="inner"/>
          <c:xMode val="edge"/>
          <c:yMode val="edge"/>
          <c:x val="0.32387258821563547"/>
          <c:y val="8.2281182243522932E-2"/>
          <c:w val="0.65776826089509965"/>
          <c:h val="0.48587470044505754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январь 2015 года</c:v>
                </c:pt>
              </c:strCache>
            </c:strRef>
          </c:tx>
          <c:invertIfNegative val="0"/>
          <c:dLbls>
            <c:dLbl>
              <c:idx val="0"/>
              <c:tx>
                <c:rich>
                  <a:bodyPr/>
                  <a:lstStyle/>
                  <a:p>
                    <a:r>
                      <a:rPr lang="ru-RU"/>
                      <a:t>-6,3*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1.6064257028112521E-2"/>
                  <c:y val="-7.2463768115942377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-27,6*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tx>
                <c:rich>
                  <a:bodyPr/>
                  <a:lstStyle/>
                  <a:p>
                    <a:r>
                      <a:rPr lang="ru-RU"/>
                      <a:t>+4,6*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Sheet1!$B$2:$B$5</c:f>
              <c:numCache>
                <c:formatCode>#,##0.0</c:formatCode>
                <c:ptCount val="4"/>
                <c:pt idx="0">
                  <c:v>149.4</c:v>
                </c:pt>
                <c:pt idx="1">
                  <c:v>39.1</c:v>
                </c:pt>
                <c:pt idx="2">
                  <c:v>110.3</c:v>
                </c:pt>
                <c:pt idx="3">
                  <c:v>-71.2</c:v>
                </c:pt>
              </c:numCache>
            </c:numRef>
          </c:val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январь 2016 года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4.1308089500860568E-2"/>
                  <c:y val="2.8985507246376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-39,2*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3.4423407917383859E-2"/>
                  <c:y val="2.898550724637681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-13,9*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3602802661715366E-2"/>
                  <c:y val="3.6231884057971092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-48,2*</a:t>
                    </a:r>
                    <a:endParaRPr lang="en-US"/>
                  </a:p>
                </c:rich>
              </c:tx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delete val="1"/>
            </c:dLbl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Sheet1!$A$2:$A$5</c:f>
              <c:strCache>
                <c:ptCount val="4"/>
                <c:pt idx="0">
                  <c:v>ВТО</c:v>
                </c:pt>
                <c:pt idx="1">
                  <c:v>Экспорт</c:v>
                </c:pt>
                <c:pt idx="2">
                  <c:v>Импорт</c:v>
                </c:pt>
                <c:pt idx="3">
                  <c:v>Сальдо</c:v>
                </c:pt>
              </c:strCache>
            </c:strRef>
          </c:cat>
          <c:val>
            <c:numRef>
              <c:f>Sheet1!$C$2:$C$5</c:f>
              <c:numCache>
                <c:formatCode>#,##0.0</c:formatCode>
                <c:ptCount val="4"/>
                <c:pt idx="0">
                  <c:v>90.8</c:v>
                </c:pt>
                <c:pt idx="1">
                  <c:v>33.6</c:v>
                </c:pt>
                <c:pt idx="2">
                  <c:v>57.1</c:v>
                </c:pt>
                <c:pt idx="3">
                  <c:v>-23.5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50"/>
        <c:overlap val="60"/>
        <c:axId val="167240832"/>
        <c:axId val="167242368"/>
      </c:barChart>
      <c:catAx>
        <c:axId val="167240832"/>
        <c:scaling>
          <c:orientation val="minMax"/>
        </c:scaling>
        <c:delete val="0"/>
        <c:axPos val="b"/>
        <c:numFmt formatCode="General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7242368"/>
        <c:crosses val="autoZero"/>
        <c:auto val="0"/>
        <c:lblAlgn val="ctr"/>
        <c:lblOffset val="20"/>
        <c:tickMarkSkip val="1"/>
        <c:noMultiLvlLbl val="0"/>
      </c:catAx>
      <c:valAx>
        <c:axId val="167242368"/>
        <c:scaling>
          <c:orientation val="minMax"/>
          <c:max val="160"/>
          <c:min val="-100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endParaRPr lang="ru-RU"/>
              </a:p>
              <a:p>
                <a:pPr>
                  <a:defRPr/>
                </a:pPr>
                <a:r>
                  <a:rPr lang="ru-RU"/>
                  <a:t>* - темп прироста (спада) в % к </a:t>
                </a:r>
              </a:p>
              <a:p>
                <a:pPr>
                  <a:defRPr/>
                </a:pPr>
                <a:r>
                  <a:rPr lang="ru-RU"/>
                  <a:t>предыдущему </a:t>
                </a:r>
              </a:p>
              <a:p>
                <a:pPr>
                  <a:defRPr/>
                </a:pPr>
                <a:r>
                  <a:rPr lang="ru-RU"/>
                  <a:t>году</a:t>
                </a:r>
              </a:p>
            </c:rich>
          </c:tx>
          <c:layout>
            <c:manualLayout>
              <c:xMode val="edge"/>
              <c:yMode val="edge"/>
              <c:x val="1.6593003594758265E-3"/>
              <c:y val="2.5053910514707834E-3"/>
            </c:manualLayout>
          </c:layout>
          <c:overlay val="0"/>
        </c:title>
        <c:numFmt formatCode="#,##0.0" sourceLinked="1"/>
        <c:majorTickMark val="cross"/>
        <c:minorTickMark val="none"/>
        <c:tickLblPos val="nextTo"/>
        <c:txPr>
          <a:bodyPr rot="0" vert="horz"/>
          <a:lstStyle/>
          <a:p>
            <a:pPr>
              <a:defRPr/>
            </a:pPr>
            <a:endParaRPr lang="ru-RU"/>
          </a:p>
        </c:txPr>
        <c:crossAx val="167240832"/>
        <c:crosses val="autoZero"/>
        <c:crossBetween val="between"/>
      </c:valAx>
      <c:dTable>
        <c:showHorzBorder val="1"/>
        <c:showVertBorder val="1"/>
        <c:showOutline val="1"/>
        <c:showKeys val="1"/>
      </c:dTable>
    </c:plotArea>
    <c:plotVisOnly val="1"/>
    <c:dispBlanksAs val="gap"/>
    <c:showDLblsOverMax val="0"/>
  </c:chart>
  <c:spPr>
    <a:ln>
      <a:noFill/>
    </a:ln>
  </c:spPr>
  <c:txPr>
    <a:bodyPr/>
    <a:lstStyle/>
    <a:p>
      <a:pPr>
        <a:defRPr b="1">
          <a:latin typeface="Times New Roman" pitchFamily="18" charset="0"/>
          <a:cs typeface="Times New Roman" pitchFamily="18" charset="0"/>
        </a:defRPr>
      </a:pPr>
      <a:endParaRPr lang="ru-RU"/>
    </a:p>
  </c:txPr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6"/>
    </mc:Choice>
    <mc:Fallback>
      <c:style val="26"/>
    </mc:Fallback>
  </mc:AlternateContent>
  <c:clrMapOvr bg1="lt1" tx1="dk1" bg2="lt2" tx2="dk2" accent1="accent1" accent2="accent2" accent3="accent3" accent4="accent4" accent5="accent5" accent6="accent6" hlink="hlink" folHlink="folHlink"/>
  <c:chart>
    <c:autoTitleDeleted val="0"/>
    <c:plotArea>
      <c:layout>
        <c:manualLayout>
          <c:layoutTarget val="inner"/>
          <c:xMode val="edge"/>
          <c:yMode val="edge"/>
          <c:x val="8.0192616372391654E-2"/>
          <c:y val="3.05444887118194E-2"/>
          <c:w val="0.92836811128945951"/>
          <c:h val="0.42640106241699866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Sheet1!$A$2</c:f>
              <c:strCache>
                <c:ptCount val="1"/>
                <c:pt idx="0">
                  <c:v>январь 2015 год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6.4205457463884395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15,6*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6.4205457463884395E-3"/>
                  <c:y val="3.7506464108343611E-4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48,0*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8.5607276618512567E-3"/>
                  <c:y val="2.525252525252524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20,5*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tx>
                <c:rich>
                  <a:bodyPr/>
                  <a:lstStyle/>
                  <a:p>
                    <a:r>
                      <a:rPr lang="ru-RU"/>
                      <a:t>9,3*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2.140181915462864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2,3*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tx>
                <c:rich>
                  <a:bodyPr/>
                  <a:lstStyle/>
                  <a:p>
                    <a:r>
                      <a:rPr lang="ru-RU"/>
                      <a:t>2,3*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4.2803638309256847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2,2*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3">
                <a:noFill/>
              </a:ln>
            </c:spPr>
            <c:txPr>
              <a:bodyPr rot="0" vert="horz"/>
              <a:lstStyle/>
              <a:p>
                <a:pPr>
                  <a:defRPr sz="8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Sheet1!$B$2:$H$2</c:f>
              <c:numCache>
                <c:formatCode>0.0</c:formatCode>
                <c:ptCount val="7"/>
                <c:pt idx="0">
                  <c:v>6.0810000000000004</c:v>
                </c:pt>
                <c:pt idx="1">
                  <c:v>18.75</c:v>
                </c:pt>
                <c:pt idx="2">
                  <c:v>8.0220900000000004</c:v>
                </c:pt>
                <c:pt idx="3">
                  <c:v>3.6219999999999999</c:v>
                </c:pt>
                <c:pt idx="4">
                  <c:v>0.88700000000000001</c:v>
                </c:pt>
                <c:pt idx="5">
                  <c:v>0.88800000000000001</c:v>
                </c:pt>
                <c:pt idx="6">
                  <c:v>0.84991000000000394</c:v>
                </c:pt>
              </c:numCache>
            </c:numRef>
          </c:val>
        </c:ser>
        <c:ser>
          <c:idx val="1"/>
          <c:order val="1"/>
          <c:tx>
            <c:strRef>
              <c:f>Sheet1!$A$3</c:f>
              <c:strCache>
                <c:ptCount val="1"/>
                <c:pt idx="0">
                  <c:v>январь 2016 год</c:v>
                </c:pt>
              </c:strCache>
            </c:strRef>
          </c:tx>
          <c:spPr>
            <a:scene3d>
              <a:camera prst="orthographicFront"/>
              <a:lightRig rig="threePt" dir="t">
                <a:rot lat="0" lon="0" rev="1800000"/>
              </a:lightRig>
            </a:scene3d>
            <a:sp3d>
              <a:bevelT w="63500" h="25400"/>
            </a:sp3d>
          </c:spPr>
          <c:invertIfNegative val="0"/>
          <c:dLbls>
            <c:dLbl>
              <c:idx val="0"/>
              <c:layout>
                <c:manualLayout>
                  <c:x val="8.5607276618512567E-3"/>
                  <c:y val="4.0041409166483672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15,3*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6.4205457463884395E-3"/>
                  <c:y val="5.0505050505050475E-3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54,8*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8.5607276618512567E-3"/>
                  <c:y val="6.0606060606060629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18,7*</a:t>
                    </a:r>
                  </a:p>
                  <a:p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8.5607276618512567E-3"/>
                  <c:y val="1.0101010101010105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6,3*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4.2803638309255763E-3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1,3*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0700909577314071E-2"/>
                  <c:y val="0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0,2*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4.2803638309256847E-3"/>
                  <c:y val="1.5936254980079678E-2"/>
                </c:manualLayout>
              </c:layout>
              <c:tx>
                <c:rich>
                  <a:bodyPr/>
                  <a:lstStyle/>
                  <a:p>
                    <a:r>
                      <a:rPr lang="ru-RU"/>
                      <a:t>3,5*</a:t>
                    </a:r>
                    <a:endParaRPr lang="en-US"/>
                  </a:p>
                </c:rich>
              </c:tx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 w="25363">
                <a:noFill/>
              </a:ln>
            </c:spPr>
            <c:txPr>
              <a:bodyPr rot="0" vert="horz"/>
              <a:lstStyle/>
              <a:p>
                <a:pPr>
                  <a:defRPr sz="899"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Sheet1!$B$1:$H$1</c:f>
              <c:strCache>
                <c:ptCount val="7"/>
                <c:pt idx="0">
                  <c:v>Металлы и изделия из них</c:v>
                </c:pt>
                <c:pt idx="1">
                  <c:v>Топливно-энергетические товары</c:v>
                </c:pt>
                <c:pt idx="2">
                  <c:v>Продукция легкой промышленности</c:v>
                </c:pt>
                <c:pt idx="3">
                  <c:v>Продовольственные товары и сырье</c:v>
                </c:pt>
                <c:pt idx="4">
                  <c:v>Машиностроительная продукция</c:v>
                </c:pt>
                <c:pt idx="5">
                  <c:v>Минеральные продукты</c:v>
                </c:pt>
                <c:pt idx="6">
                  <c:v>Прочие товары</c:v>
                </c:pt>
              </c:strCache>
            </c:strRef>
          </c:cat>
          <c:val>
            <c:numRef>
              <c:f>Sheet1!$B$3:$H$3</c:f>
              <c:numCache>
                <c:formatCode>0.0</c:formatCode>
                <c:ptCount val="7"/>
                <c:pt idx="0">
                  <c:v>5.1469999999999985</c:v>
                </c:pt>
                <c:pt idx="1">
                  <c:v>18.399999999999999</c:v>
                </c:pt>
                <c:pt idx="2">
                  <c:v>6.28</c:v>
                </c:pt>
                <c:pt idx="3">
                  <c:v>2.1</c:v>
                </c:pt>
                <c:pt idx="4">
                  <c:v>0.43200000000000038</c:v>
                </c:pt>
                <c:pt idx="5">
                  <c:v>8.0000000000000043E-2</c:v>
                </c:pt>
                <c:pt idx="6">
                  <c:v>1.1609999999999996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60"/>
        <c:axId val="167212928"/>
        <c:axId val="167214080"/>
      </c:barChart>
      <c:catAx>
        <c:axId val="16721292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low"/>
        <c:txPr>
          <a:bodyPr rot="-540000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214080"/>
        <c:crosses val="autoZero"/>
        <c:auto val="0"/>
        <c:lblAlgn val="ctr"/>
        <c:lblOffset val="160"/>
        <c:tickLblSkip val="1"/>
        <c:tickMarkSkip val="1"/>
        <c:noMultiLvlLbl val="0"/>
      </c:catAx>
      <c:valAx>
        <c:axId val="167214080"/>
        <c:scaling>
          <c:orientation val="minMax"/>
        </c:scaling>
        <c:delete val="0"/>
        <c:axPos val="l"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 sz="800">
                    <a:latin typeface="Times New Roman" pitchFamily="18" charset="0"/>
                    <a:cs typeface="Times New Roman" pitchFamily="18" charset="0"/>
                  </a:rPr>
                  <a:t>*- удельный вес в общем объеме экспорта,%</a:t>
                </a:r>
              </a:p>
            </c:rich>
          </c:tx>
          <c:layout>
            <c:manualLayout>
              <c:xMode val="edge"/>
              <c:yMode val="edge"/>
              <c:x val="0.78116639914391617"/>
              <c:y val="4.7138312256422531E-2"/>
            </c:manualLayout>
          </c:layout>
          <c:overlay val="0"/>
        </c:title>
        <c:numFmt formatCode="0.0" sourceLinked="1"/>
        <c:majorTickMark val="out"/>
        <c:minorTickMark val="none"/>
        <c:tickLblPos val="nextTo"/>
        <c:txPr>
          <a:bodyPr rot="0" vert="horz"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67212928"/>
        <c:crosses val="autoZero"/>
        <c:crossBetween val="between"/>
      </c:valAx>
    </c:plotArea>
    <c:legend>
      <c:legendPos val="r"/>
      <c:legendEntry>
        <c:idx val="1"/>
        <c:txPr>
          <a:bodyPr/>
          <a:lstStyle/>
          <a:p>
            <a:pPr>
              <a:defRPr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legendEntry>
      <c:layout>
        <c:manualLayout>
          <c:xMode val="edge"/>
          <c:yMode val="edge"/>
          <c:x val="0.13141034369073024"/>
          <c:y val="0.90813400293467261"/>
          <c:w val="0.73615633282381365"/>
          <c:h val="6.9151631636597904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27"/>
    </mc:Choice>
    <mc:Fallback>
      <c:style val="27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/>
          <a:lstStyle/>
          <a:p>
            <a:pPr>
              <a:defRPr/>
            </a:pPr>
            <a:r>
              <a:rPr lang="ru-RU" sz="1176">
                <a:latin typeface="Times New Roman" pitchFamily="18" charset="0"/>
                <a:cs typeface="Times New Roman" pitchFamily="18" charset="0"/>
              </a:rPr>
              <a:t>Экспорт товаров в разрезе основных стран, млн. долл. США</a:t>
            </a:r>
          </a:p>
        </c:rich>
      </c:tx>
      <c:layout>
        <c:manualLayout>
          <c:xMode val="edge"/>
          <c:yMode val="edge"/>
          <c:x val="0.24426007724644191"/>
          <c:y val="0"/>
        </c:manualLayout>
      </c:layout>
      <c:overlay val="0"/>
      <c:spPr>
        <a:solidFill>
          <a:sysClr val="window" lastClr="FFFFFF"/>
        </a:solidFill>
        <a:ln w="24889">
          <a:noFill/>
        </a:ln>
      </c:spPr>
    </c:title>
    <c:autoTitleDeleted val="0"/>
    <c:plotArea>
      <c:layout>
        <c:manualLayout>
          <c:layoutTarget val="inner"/>
          <c:xMode val="edge"/>
          <c:yMode val="edge"/>
          <c:x val="0.16854326594755592"/>
          <c:y val="8.2857142857143046E-2"/>
          <c:w val="0.81143679112182765"/>
          <c:h val="0.55495763029621292"/>
        </c:manualLayout>
      </c:layout>
      <c:bar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январь 2015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-2.113048071843615E-3"/>
                  <c:y val="1.8115942028985508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56,5*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-4.2906021033849578E-3"/>
                  <c:y val="1.3442448764611889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5,1*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-6.3840218170926914E-3"/>
                  <c:y val="1.183978089695310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6,4*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-7.5040394725434103E-3"/>
                  <c:y val="1.008573928258970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10,0*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-1.0091052406087941E-3"/>
                  <c:y val="9.9600593404085766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5,9*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8.4156597542424782E-3"/>
                  <c:y val="1.221195176689870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5,6*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-3.3236415970983252E-3"/>
                  <c:y val="1.5872988702499143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4,6*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6173653968929561E-4"/>
                  <c:y val="3.10517707025755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5,9*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488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Лист1!$B$2:$B$9</c:f>
              <c:numCache>
                <c:formatCode>0.0</c:formatCode>
                <c:ptCount val="8"/>
                <c:pt idx="0">
                  <c:v>22.1</c:v>
                </c:pt>
                <c:pt idx="1">
                  <c:v>2</c:v>
                </c:pt>
                <c:pt idx="2" formatCode="General">
                  <c:v>2.5</c:v>
                </c:pt>
                <c:pt idx="3" formatCode="General">
                  <c:v>3.9</c:v>
                </c:pt>
                <c:pt idx="4">
                  <c:v>2.2999999999999998</c:v>
                </c:pt>
                <c:pt idx="5" formatCode="General">
                  <c:v>2.2000000000000002</c:v>
                </c:pt>
                <c:pt idx="6" formatCode="General">
                  <c:v>1.8</c:v>
                </c:pt>
                <c:pt idx="7">
                  <c:v>2.3000000000000043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январь 2016 г.</c:v>
                </c:pt>
              </c:strCache>
            </c:strRef>
          </c:tx>
          <c:invertIfNegative val="0"/>
          <c:dLbls>
            <c:dLbl>
              <c:idx val="0"/>
              <c:layout>
                <c:manualLayout>
                  <c:x val="1.0286665386338907E-2"/>
                  <c:y val="1.6604999617766666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56,3*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9383E-2"/>
                  <c:y val="1.1904761904761921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3,6*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4.9796100447359196E-3"/>
                  <c:y val="4.383980368964817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4,5*</a:t>
                    </a:r>
                  </a:p>
                  <a:p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7.6435608563360374E-3"/>
                  <c:y val="1.0963299889331866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8,3*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3888888888889383E-2"/>
                  <c:y val="7.9365079365078823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6,0*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1.1984310202112779E-2"/>
                  <c:y val="3.9444254250827352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14,3*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6.4095591654647387E-3"/>
                  <c:y val="1.4009509680855185E-2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0,6*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415226249871919E-2"/>
                  <c:y val="7.8058503556620914E-3"/>
                </c:manualLayout>
              </c:layout>
              <c:tx>
                <c:rich>
                  <a:bodyPr/>
                  <a:lstStyle/>
                  <a:p>
                    <a:r>
                      <a:rPr lang="ru-RU" b="1">
                        <a:latin typeface="Times New Roman" pitchFamily="18" charset="0"/>
                        <a:cs typeface="Times New Roman" pitchFamily="18" charset="0"/>
                      </a:rPr>
                      <a:t>6,5*</a:t>
                    </a:r>
                    <a:endParaRPr lang="en-US" b="1">
                      <a:latin typeface="Times New Roman" pitchFamily="18" charset="0"/>
                      <a:cs typeface="Times New Roman" pitchFamily="18" charset="0"/>
                    </a:endParaRPr>
                  </a:p>
                </c:rich>
              </c:tx>
              <c:dLblPos val="outEnd"/>
              <c:showLegendKey val="0"/>
              <c:showVal val="0"/>
              <c:showCatName val="0"/>
              <c:showSerName val="0"/>
              <c:showPercent val="0"/>
              <c:showBubbleSize val="0"/>
            </c:dLbl>
            <c:spPr>
              <a:noFill/>
              <a:ln w="24889">
                <a:noFill/>
              </a:ln>
            </c:spPr>
            <c:txPr>
              <a:bodyPr/>
              <a:lstStyle/>
              <a:p>
                <a:pPr>
                  <a:defRPr b="1">
                    <a:latin typeface="Times New Roman" pitchFamily="18" charset="0"/>
                    <a:cs typeface="Times New Roman" pitchFamily="18" charset="0"/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Лист1!$A$2:$A$9</c:f>
              <c:strCache>
                <c:ptCount val="8"/>
                <c:pt idx="0">
                  <c:v>Молдова</c:v>
                </c:pt>
                <c:pt idx="1">
                  <c:v>Россия</c:v>
                </c:pt>
                <c:pt idx="2">
                  <c:v>Украина</c:v>
                </c:pt>
                <c:pt idx="3">
                  <c:v>Италия</c:v>
                </c:pt>
                <c:pt idx="4">
                  <c:v>Германия</c:v>
                </c:pt>
                <c:pt idx="5">
                  <c:v>Румыния</c:v>
                </c:pt>
                <c:pt idx="6">
                  <c:v>Польша</c:v>
                </c:pt>
                <c:pt idx="7">
                  <c:v>Прочие страны</c:v>
                </c:pt>
              </c:strCache>
            </c:strRef>
          </c:cat>
          <c:val>
            <c:numRef>
              <c:f>Лист1!$C$2:$C$9</c:f>
              <c:numCache>
                <c:formatCode>0.0</c:formatCode>
                <c:ptCount val="8"/>
                <c:pt idx="0" formatCode="General">
                  <c:v>18.899999999999999</c:v>
                </c:pt>
                <c:pt idx="1">
                  <c:v>1.2</c:v>
                </c:pt>
                <c:pt idx="2" formatCode="General">
                  <c:v>1.5</c:v>
                </c:pt>
                <c:pt idx="3">
                  <c:v>2.8</c:v>
                </c:pt>
                <c:pt idx="4">
                  <c:v>2</c:v>
                </c:pt>
                <c:pt idx="5">
                  <c:v>4.8</c:v>
                </c:pt>
                <c:pt idx="6" formatCode="General">
                  <c:v>0.2</c:v>
                </c:pt>
                <c:pt idx="7">
                  <c:v>2.1999999999999993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74556288"/>
        <c:axId val="174557824"/>
      </c:barChart>
      <c:catAx>
        <c:axId val="17455628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crossAx val="174557824"/>
        <c:crosses val="autoZero"/>
        <c:auto val="1"/>
        <c:lblAlgn val="ctr"/>
        <c:lblOffset val="100"/>
        <c:noMultiLvlLbl val="0"/>
      </c:catAx>
      <c:valAx>
        <c:axId val="174557824"/>
        <c:scaling>
          <c:orientation val="minMax"/>
          <c:max val="25"/>
          <c:min val="0"/>
        </c:scaling>
        <c:delete val="0"/>
        <c:axPos val="l"/>
        <c:title>
          <c:tx>
            <c:rich>
              <a:bodyPr rot="0" vert="horz"/>
              <a:lstStyle/>
              <a:p>
                <a:pPr algn="ctr">
                  <a:defRPr sz="1078" b="0" i="0" u="none" strike="noStrike" baseline="0">
                    <a:solidFill>
                      <a:srgbClr val="000000"/>
                    </a:solidFill>
                    <a:latin typeface="Calibri"/>
                    <a:ea typeface="Calibri"/>
                    <a:cs typeface="Calibri"/>
                  </a:defRPr>
                </a:pPr>
                <a:r>
                  <a:rPr lang="ru-RU" sz="882" b="1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*- </a:t>
                </a:r>
                <a:r>
                  <a:rPr lang="ru-RU" sz="882" b="0" i="0" strike="noStrike">
                    <a:solidFill>
                      <a:srgbClr val="000000"/>
                    </a:solidFill>
                    <a:latin typeface="Times New Roman"/>
                    <a:cs typeface="Times New Roman"/>
                  </a:rPr>
                  <a:t>удельный вес в общем объеме экспорта, %</a:t>
                </a:r>
              </a:p>
            </c:rich>
          </c:tx>
          <c:layout>
            <c:manualLayout>
              <c:xMode val="edge"/>
              <c:yMode val="edge"/>
              <c:x val="0.80935313037561118"/>
              <c:y val="0.11114159510548986"/>
            </c:manualLayout>
          </c:layout>
          <c:overlay val="0"/>
          <c:spPr>
            <a:noFill/>
            <a:ln w="24889">
              <a:noFill/>
            </a:ln>
          </c:spPr>
        </c:title>
        <c:numFmt formatCode="0.0" sourceLinked="1"/>
        <c:majorTickMark val="out"/>
        <c:minorTickMark val="none"/>
        <c:tickLblPos val="nextTo"/>
        <c:txPr>
          <a:bodyPr/>
          <a:lstStyle/>
          <a:p>
            <a:pPr>
              <a:defRPr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  <c:crossAx val="174556288"/>
        <c:crosses val="autoZero"/>
        <c:crossBetween val="between"/>
        <c:majorUnit val="5"/>
      </c:valAx>
      <c:dTable>
        <c:showHorzBorder val="1"/>
        <c:showVertBorder val="1"/>
        <c:showOutline val="1"/>
        <c:showKeys val="1"/>
        <c:txPr>
          <a:bodyPr/>
          <a:lstStyle/>
          <a:p>
            <a:pPr rtl="0">
              <a:defRPr sz="882" b="1">
                <a:latin typeface="Times New Roman" pitchFamily="18" charset="0"/>
                <a:cs typeface="Times New Roman" pitchFamily="18" charset="0"/>
              </a:defRPr>
            </a:pPr>
            <a:endParaRPr lang="ru-RU"/>
          </a:p>
        </c:txPr>
      </c:dTable>
    </c:plotArea>
    <c:legend>
      <c:legendPos val="b"/>
      <c:layout>
        <c:manualLayout>
          <c:xMode val="edge"/>
          <c:yMode val="edge"/>
          <c:x val="0.18355016686516587"/>
          <c:y val="0.93583453001985262"/>
          <c:w val="0.71545891128933969"/>
          <c:h val="4.8739096292208794E-2"/>
        </c:manualLayout>
      </c:layout>
      <c:overlay val="0"/>
      <c:txPr>
        <a:bodyPr/>
        <a:lstStyle/>
        <a:p>
          <a:pPr>
            <a:defRPr>
              <a:latin typeface="Times New Roman" pitchFamily="18" charset="0"/>
              <a:cs typeface="Times New Roman" pitchFamily="18" charset="0"/>
            </a:defRPr>
          </a:pPr>
          <a:endParaRPr lang="ru-RU"/>
        </a:p>
      </c:txPr>
    </c:legend>
    <c:plotVisOnly val="1"/>
    <c:dispBlanksAs val="gap"/>
    <c:showDLblsOverMax val="0"/>
  </c:chart>
  <c:spPr>
    <a:ln>
      <a:noFill/>
    </a:ln>
  </c:spPr>
  <c:externalData r:id="rId2">
    <c:autoUpdate val="0"/>
  </c:externalData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</cdr:x>
      <cdr:y>0.92717</cdr:y>
    </cdr:from>
    <cdr:to>
      <cdr:x>0.1892</cdr:x>
      <cdr:y>1</cdr:y>
    </cdr:to>
    <cdr:sp macro="" textlink="">
      <cdr:nvSpPr>
        <cdr:cNvPr id="2" name="TextBox 1"/>
        <cdr:cNvSpPr txBox="1"/>
      </cdr:nvSpPr>
      <cdr:spPr>
        <a:xfrm xmlns:a="http://schemas.openxmlformats.org/drawingml/2006/main">
          <a:off x="0" y="3152775"/>
          <a:ext cx="1123950" cy="24764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endParaRPr lang="ru-RU" sz="1100"/>
        </a:p>
      </cdr:txBody>
    </cdr:sp>
  </cdr:relSizeAnchor>
  <cdr:relSizeAnchor xmlns:cdr="http://schemas.openxmlformats.org/drawingml/2006/chartDrawing">
    <cdr:from>
      <cdr:x>0.7675</cdr:x>
      <cdr:y>0.03636</cdr:y>
    </cdr:from>
    <cdr:to>
      <cdr:x>1</cdr:x>
      <cdr:y>0.17081</cdr:y>
    </cdr:to>
    <cdr:sp macro="" textlink="">
      <cdr:nvSpPr>
        <cdr:cNvPr id="3" name="TextBox 2"/>
        <cdr:cNvSpPr txBox="1"/>
      </cdr:nvSpPr>
      <cdr:spPr>
        <a:xfrm xmlns:a="http://schemas.openxmlformats.org/drawingml/2006/main">
          <a:off x="4598265" y="95250"/>
          <a:ext cx="1392960" cy="3521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non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*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- </a:t>
          </a:r>
          <a:r>
            <a:rPr lang="ru-RU" sz="900" baseline="0">
              <a:latin typeface="Times New Roman" pitchFamily="18" charset="0"/>
              <a:cs typeface="Times New Roman" pitchFamily="18" charset="0"/>
            </a:rPr>
            <a:t>темп роста к 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соответствующему</a:t>
          </a:r>
        </a:p>
        <a:p xmlns:a="http://schemas.openxmlformats.org/drawingml/2006/main">
          <a:r>
            <a:rPr lang="ru-RU" sz="900" baseline="0">
              <a:latin typeface="Times New Roman" pitchFamily="18" charset="0"/>
              <a:cs typeface="Times New Roman" pitchFamily="18" charset="0"/>
            </a:rPr>
            <a:t> периоду прошлого года,%</a:t>
          </a:r>
          <a:endParaRPr lang="ru-RU" sz="900">
            <a:latin typeface="Times New Roman" pitchFamily="18" charset="0"/>
            <a:cs typeface="Times New Roman" pitchFamily="18" charset="0"/>
          </a:endParaRPr>
        </a:p>
      </cdr:txBody>
    </cdr:sp>
  </cdr:relSizeAnchor>
</c:userShape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10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3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4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5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6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7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8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9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2825</Words>
  <Characters>16109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podsevalnikova-a</dc:creator>
  <cp:keywords/>
  <dc:description/>
  <cp:lastModifiedBy>Слинченко</cp:lastModifiedBy>
  <cp:revision>11</cp:revision>
  <cp:lastPrinted>2016-01-25T12:39:00Z</cp:lastPrinted>
  <dcterms:created xsi:type="dcterms:W3CDTF">2016-02-19T09:35:00Z</dcterms:created>
  <dcterms:modified xsi:type="dcterms:W3CDTF">2016-03-21T12:11:00Z</dcterms:modified>
</cp:coreProperties>
</file>