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3E" w:rsidRPr="00950176" w:rsidRDefault="0011673E" w:rsidP="0011673E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176">
        <w:rPr>
          <w:rFonts w:ascii="Times New Roman" w:hAnsi="Times New Roman" w:cs="Times New Roman"/>
          <w:sz w:val="24"/>
          <w:szCs w:val="24"/>
        </w:rPr>
        <w:t xml:space="preserve">Краткие итоги социально-экономического развития Приднестровской Молдавской Республики в январе - </w:t>
      </w:r>
      <w:r>
        <w:rPr>
          <w:rFonts w:ascii="Times New Roman" w:hAnsi="Times New Roman" w:cs="Times New Roman"/>
          <w:sz w:val="24"/>
          <w:szCs w:val="24"/>
        </w:rPr>
        <w:t>декабре</w:t>
      </w:r>
      <w:r w:rsidRPr="00950176">
        <w:rPr>
          <w:rFonts w:ascii="Times New Roman" w:hAnsi="Times New Roman" w:cs="Times New Roman"/>
          <w:sz w:val="24"/>
          <w:szCs w:val="24"/>
        </w:rPr>
        <w:t xml:space="preserve"> 2015 года </w:t>
      </w:r>
    </w:p>
    <w:p w:rsidR="0011673E" w:rsidRPr="00950176" w:rsidRDefault="0011673E" w:rsidP="001167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0176">
        <w:rPr>
          <w:rFonts w:ascii="Times New Roman" w:hAnsi="Times New Roman"/>
          <w:sz w:val="24"/>
          <w:szCs w:val="24"/>
        </w:rPr>
        <w:t>Макроэкономическая ситуация в республике в январе-</w:t>
      </w:r>
      <w:r w:rsidR="00E00CED">
        <w:rPr>
          <w:rFonts w:ascii="Times New Roman" w:hAnsi="Times New Roman"/>
          <w:sz w:val="24"/>
          <w:szCs w:val="24"/>
        </w:rPr>
        <w:t>декабре</w:t>
      </w:r>
      <w:r w:rsidRPr="00950176">
        <w:rPr>
          <w:rFonts w:ascii="Times New Roman" w:hAnsi="Times New Roman"/>
          <w:sz w:val="24"/>
          <w:szCs w:val="24"/>
        </w:rPr>
        <w:t xml:space="preserve"> 2015 года формировалась в условиях международной </w:t>
      </w:r>
      <w:r w:rsidR="00E00CED">
        <w:rPr>
          <w:rFonts w:ascii="Times New Roman" w:hAnsi="Times New Roman"/>
          <w:sz w:val="24"/>
          <w:szCs w:val="24"/>
        </w:rPr>
        <w:t xml:space="preserve">политической и экономической </w:t>
      </w:r>
      <w:r w:rsidRPr="00950176">
        <w:rPr>
          <w:rFonts w:ascii="Times New Roman" w:hAnsi="Times New Roman"/>
          <w:sz w:val="24"/>
          <w:szCs w:val="24"/>
        </w:rPr>
        <w:t xml:space="preserve">турбулентности в совокупности с ухудшением внешнеторговой конъюнктуры для хозяйствующих субъектов республики. Давление данных факторов в совокупности с внутренними проблемами </w:t>
      </w:r>
      <w:r w:rsidR="00AE0D34">
        <w:rPr>
          <w:rFonts w:ascii="Times New Roman" w:hAnsi="Times New Roman"/>
          <w:sz w:val="24"/>
          <w:szCs w:val="24"/>
        </w:rPr>
        <w:t xml:space="preserve">оказывали </w:t>
      </w:r>
      <w:r w:rsidR="00AE0D34" w:rsidRPr="00173522">
        <w:rPr>
          <w:rFonts w:ascii="Times New Roman" w:hAnsi="Times New Roman"/>
          <w:sz w:val="24"/>
          <w:szCs w:val="24"/>
        </w:rPr>
        <w:t xml:space="preserve">дестабилизирующее воздействие </w:t>
      </w:r>
      <w:r w:rsidR="004869A6">
        <w:rPr>
          <w:rFonts w:ascii="Times New Roman" w:hAnsi="Times New Roman"/>
          <w:sz w:val="24"/>
          <w:szCs w:val="24"/>
        </w:rPr>
        <w:t xml:space="preserve">на </w:t>
      </w:r>
      <w:r w:rsidRPr="00950176">
        <w:rPr>
          <w:rFonts w:ascii="Times New Roman" w:hAnsi="Times New Roman"/>
          <w:sz w:val="24"/>
          <w:szCs w:val="24"/>
        </w:rPr>
        <w:t>динамик</w:t>
      </w:r>
      <w:r w:rsidR="00AE0D34">
        <w:rPr>
          <w:rFonts w:ascii="Times New Roman" w:hAnsi="Times New Roman"/>
          <w:sz w:val="24"/>
          <w:szCs w:val="24"/>
        </w:rPr>
        <w:t>у</w:t>
      </w:r>
      <w:r w:rsidRPr="00950176">
        <w:rPr>
          <w:rFonts w:ascii="Times New Roman" w:hAnsi="Times New Roman"/>
          <w:sz w:val="24"/>
          <w:szCs w:val="24"/>
        </w:rPr>
        <w:t xml:space="preserve"> основных макроэкономических показателей и развити</w:t>
      </w:r>
      <w:r w:rsidR="00736B1E">
        <w:rPr>
          <w:rFonts w:ascii="Times New Roman" w:hAnsi="Times New Roman"/>
          <w:sz w:val="24"/>
          <w:szCs w:val="24"/>
        </w:rPr>
        <w:t>е</w:t>
      </w:r>
      <w:r w:rsidRPr="00950176">
        <w:rPr>
          <w:rFonts w:ascii="Times New Roman" w:hAnsi="Times New Roman"/>
          <w:sz w:val="24"/>
          <w:szCs w:val="24"/>
        </w:rPr>
        <w:t xml:space="preserve"> экономики в целом. </w:t>
      </w:r>
    </w:p>
    <w:p w:rsidR="00AE0D34" w:rsidRDefault="00AE0D34" w:rsidP="00AE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E0D34" w:rsidRPr="00173522" w:rsidRDefault="00AE0D34" w:rsidP="00AE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7352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Промышленность</w:t>
      </w:r>
    </w:p>
    <w:p w:rsidR="00BE4CC9" w:rsidRPr="00F503C5" w:rsidRDefault="00AE0D34" w:rsidP="00BE4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Ситуация в индустриальном секторе республики в рассматриваемом периоде складывалась под воздействием </w:t>
      </w:r>
      <w:r w:rsidRPr="00173522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ограничительных барьеров со стороны соседних государств, а также падения спроса на приднестровскую продукцию как на внутреннем, так и на внешних рынках</w:t>
      </w:r>
      <w:r w:rsidRPr="0017352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Объем п</w:t>
      </w:r>
      <w:r w:rsidRPr="00173522">
        <w:rPr>
          <w:rFonts w:ascii="Times New Roman" w:eastAsia="Times New Roman" w:hAnsi="Times New Roman" w:cs="Times New Roman"/>
          <w:snapToGrid w:val="0"/>
          <w:sz w:val="24"/>
          <w:szCs w:val="24"/>
        </w:rPr>
        <w:t>ромышленного производства</w:t>
      </w: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(без учета субъектов малого предпринимательства) в целом за </w:t>
      </w:r>
      <w:r w:rsidRPr="001735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2015 год </w:t>
      </w:r>
      <w:r w:rsidRPr="00173522">
        <w:rPr>
          <w:rFonts w:ascii="Times New Roman" w:eastAsia="Times New Roman" w:hAnsi="Times New Roman" w:cs="Times New Roman"/>
          <w:sz w:val="24"/>
          <w:szCs w:val="24"/>
        </w:rPr>
        <w:t>составил в абсолютной величине 8 963,4 млн. руб., что ниже аналогичного показателя прошлого года на 7,8%. В долларовом эквиваленте объем промышленного производства составил 767,0 млн. долл. или 84,5% к уровню показателя 2014 года.</w:t>
      </w:r>
      <w:r w:rsidR="00BE4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CC9" w:rsidRPr="00F503C5">
        <w:rPr>
          <w:rFonts w:ascii="Times New Roman" w:eastAsia="Times New Roman" w:hAnsi="Times New Roman" w:cs="Times New Roman"/>
          <w:sz w:val="24"/>
          <w:szCs w:val="24"/>
        </w:rPr>
        <w:t>Доход от реализации в 2015 году сложился ниже показателя 2014 года на 12,0% и составил 8 769,3 млн. руб.</w:t>
      </w:r>
      <w:r w:rsidR="00C35210" w:rsidRPr="00F503C5">
        <w:rPr>
          <w:rFonts w:ascii="Times New Roman" w:eastAsia="Times New Roman" w:hAnsi="Times New Roman" w:cs="Times New Roman"/>
          <w:sz w:val="24"/>
          <w:szCs w:val="24"/>
        </w:rPr>
        <w:t xml:space="preserve"> или 790,0 млн. долл.</w:t>
      </w:r>
    </w:p>
    <w:p w:rsidR="00AE0D34" w:rsidRPr="00173522" w:rsidRDefault="00AE0D34" w:rsidP="00AE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3C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383540</wp:posOffset>
            </wp:positionV>
            <wp:extent cx="2571750" cy="2038350"/>
            <wp:effectExtent l="19050" t="0" r="0" b="0"/>
            <wp:wrapTight wrapText="bothSides">
              <wp:wrapPolygon edited="0">
                <wp:start x="-160" y="0"/>
                <wp:lineTo x="-160" y="21398"/>
                <wp:lineTo x="21600" y="21398"/>
                <wp:lineTo x="21600" y="0"/>
                <wp:lineTo x="-160" y="0"/>
              </wp:wrapPolygon>
            </wp:wrapTight>
            <wp:docPr id="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F503C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383540</wp:posOffset>
            </wp:positionV>
            <wp:extent cx="3743325" cy="1981200"/>
            <wp:effectExtent l="19050" t="0" r="0" b="0"/>
            <wp:wrapTight wrapText="bothSides">
              <wp:wrapPolygon edited="0">
                <wp:start x="-110" y="0"/>
                <wp:lineTo x="-110" y="21392"/>
                <wp:lineTo x="21545" y="21392"/>
                <wp:lineTo x="21545" y="0"/>
                <wp:lineTo x="-110" y="0"/>
              </wp:wrapPolygon>
            </wp:wrapTight>
            <wp:docPr id="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F503C5">
        <w:rPr>
          <w:rFonts w:ascii="Times New Roman" w:eastAsia="Times New Roman" w:hAnsi="Times New Roman" w:cs="Times New Roman"/>
          <w:sz w:val="24"/>
          <w:szCs w:val="24"/>
        </w:rPr>
        <w:t>Отраслевая структура промышленного производства по итогам 2015</w:t>
      </w: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года выглядела следующим образом:</w:t>
      </w:r>
    </w:p>
    <w:p w:rsidR="00AE0D34" w:rsidRPr="00173522" w:rsidRDefault="00AE0D34" w:rsidP="00AE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522">
        <w:rPr>
          <w:rFonts w:ascii="Times New Roman" w:eastAsia="Times New Roman" w:hAnsi="Times New Roman" w:cs="Times New Roman"/>
          <w:sz w:val="24"/>
          <w:szCs w:val="24"/>
        </w:rPr>
        <w:t>Увеличение объемов производства в электроэнергетике позволило сохранить лидирующую позицию в структуре выпуска – 40,3% (32,1% в 2014 года). На металлургию в результате действия понижательного тренда объемов товарного выпуска в августе-октябре 2015 года, в рассматриваемом периоде приходилось 24,1% выпуска в промышленности против 27,2% в январе-декабре 2014 года. Предприятия легкой и пищевой промышленности сформировали 12,2% и 10,8% товарного выпуска соответственно против 13,2% и 12,6% в аналогичном периоде 2014 года.</w:t>
      </w:r>
    </w:p>
    <w:p w:rsidR="00AE0D34" w:rsidRPr="00173522" w:rsidRDefault="00AE0D34" w:rsidP="00AE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3522">
        <w:rPr>
          <w:rFonts w:ascii="Times New Roman" w:eastAsia="Times New Roman" w:hAnsi="Times New Roman" w:cs="Times New Roman"/>
          <w:sz w:val="24"/>
          <w:szCs w:val="24"/>
        </w:rPr>
        <w:t>Анализируя показатели промышленного производства в декабре 2015 года, необходимо отметить, что в обозначенном периоде зафиксирован прирост промышленного производства в целом по отрасли к уровню декабря 2014 года на 0,4% до 817,3 млн. руб. Вместе с этим произведенный объем промышленного производства в декабре 2015 года сложился выше показателя ноября 2015 года на 7,8%. Достигнутые значения показателей промышленного производства свидетельствуют о нестабильной</w:t>
      </w:r>
      <w:proofErr w:type="gramEnd"/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ситуации на предприятиях реального сектора экономики. Неблагоприятная конъюнктурная ситуация на мировых рынках, трудности с выходом на внешние рынки, а также снижение покупательной активности населения продолжали оказывать дестабилизирующее воздействие на результаты деятельности предприятий индустрии в течение 2015 года.</w:t>
      </w:r>
    </w:p>
    <w:p w:rsidR="00AE0D34" w:rsidRPr="00173522" w:rsidRDefault="00AE0D34" w:rsidP="00AE0D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522"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124575" cy="2619375"/>
            <wp:effectExtent l="0" t="0" r="0" b="0"/>
            <wp:docPr id="9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0D34" w:rsidRPr="00173522" w:rsidRDefault="00AE0D34" w:rsidP="00AE0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E0D34" w:rsidRPr="00173522" w:rsidRDefault="00AE0D34" w:rsidP="00AE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522">
        <w:rPr>
          <w:rFonts w:ascii="Times New Roman" w:eastAsia="Times New Roman" w:hAnsi="Times New Roman" w:cs="Times New Roman"/>
          <w:sz w:val="24"/>
          <w:szCs w:val="24"/>
        </w:rPr>
        <w:t>Помесячная динамика промышленного производства в 2015 году по отношению к базовым показателя 2014 года показывает снижение объемов производства по отдельным отраслям промышленности и промышленным предприятиям.</w:t>
      </w:r>
    </w:p>
    <w:p w:rsidR="00AE0D34" w:rsidRPr="00173522" w:rsidRDefault="00AE0D34" w:rsidP="00AE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В разрезе </w:t>
      </w:r>
      <w:proofErr w:type="spellStart"/>
      <w:r w:rsidR="00235883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173522">
        <w:rPr>
          <w:rFonts w:ascii="Times New Roman" w:eastAsia="Times New Roman" w:hAnsi="Times New Roman" w:cs="Times New Roman"/>
          <w:sz w:val="24"/>
          <w:szCs w:val="24"/>
        </w:rPr>
        <w:t>отраслей</w:t>
      </w:r>
      <w:proofErr w:type="spellEnd"/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динамика промышленного производства в декабре 2015 года выглядит следующим образом:</w:t>
      </w:r>
    </w:p>
    <w:p w:rsidR="00AE0D34" w:rsidRPr="00173522" w:rsidRDefault="00AE0D34" w:rsidP="00AE0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522">
        <w:rPr>
          <w:rFonts w:ascii="Times New Roman" w:eastAsia="Times New Roman" w:hAnsi="Times New Roman" w:cs="Times New Roman"/>
          <w:b/>
          <w:sz w:val="24"/>
          <w:szCs w:val="24"/>
        </w:rPr>
        <w:t xml:space="preserve">Динамика промышленной продукции в разрезе </w:t>
      </w:r>
      <w:proofErr w:type="spellStart"/>
      <w:r w:rsidR="00235883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173522">
        <w:rPr>
          <w:rFonts w:ascii="Times New Roman" w:eastAsia="Times New Roman" w:hAnsi="Times New Roman" w:cs="Times New Roman"/>
          <w:b/>
          <w:sz w:val="24"/>
          <w:szCs w:val="24"/>
        </w:rPr>
        <w:t>отраслей</w:t>
      </w:r>
      <w:proofErr w:type="spellEnd"/>
      <w:r w:rsidRPr="00173522">
        <w:rPr>
          <w:rFonts w:ascii="Times New Roman" w:eastAsia="Times New Roman" w:hAnsi="Times New Roman" w:cs="Times New Roman"/>
          <w:b/>
          <w:sz w:val="24"/>
          <w:szCs w:val="24"/>
        </w:rPr>
        <w:t>, млн. руб.</w:t>
      </w:r>
    </w:p>
    <w:p w:rsidR="00AE0D34" w:rsidRPr="00173522" w:rsidRDefault="00AE0D34" w:rsidP="00AE0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E0D34" w:rsidRPr="00173522" w:rsidRDefault="00AE0D34" w:rsidP="00AE0D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73522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051550" cy="3086100"/>
            <wp:effectExtent l="19050" t="0" r="25400" b="0"/>
            <wp:docPr id="1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0D34" w:rsidRPr="00173522" w:rsidRDefault="00AE0D34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В разрезе </w:t>
      </w:r>
      <w:proofErr w:type="spellStart"/>
      <w:r w:rsidRPr="00173522">
        <w:rPr>
          <w:rFonts w:ascii="Times New Roman" w:eastAsia="Times New Roman" w:hAnsi="Times New Roman" w:cs="Times New Roman"/>
          <w:sz w:val="24"/>
          <w:szCs w:val="24"/>
        </w:rPr>
        <w:t>подотраслей</w:t>
      </w:r>
      <w:proofErr w:type="spellEnd"/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 в 2015 году увеличение промышленного производства по отношению к аналогичному периоду 2014 года зафиксировано в </w:t>
      </w:r>
      <w:proofErr w:type="gramStart"/>
      <w:r w:rsidRPr="00173522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3522">
        <w:rPr>
          <w:rFonts w:ascii="Times New Roman" w:eastAsia="Times New Roman" w:hAnsi="Times New Roman" w:cs="Times New Roman"/>
          <w:sz w:val="24"/>
          <w:szCs w:val="24"/>
        </w:rPr>
        <w:t>подотраслях</w:t>
      </w:r>
      <w:proofErr w:type="spellEnd"/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промышленности:</w:t>
      </w:r>
    </w:p>
    <w:p w:rsidR="00AE0D34" w:rsidRPr="00173522" w:rsidRDefault="00AE0D34" w:rsidP="00AE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а) в </w:t>
      </w:r>
      <w:r w:rsidRPr="00173522">
        <w:rPr>
          <w:rFonts w:ascii="Times New Roman" w:eastAsia="Times New Roman" w:hAnsi="Times New Roman" w:cs="Times New Roman"/>
          <w:b/>
          <w:sz w:val="24"/>
          <w:szCs w:val="24"/>
        </w:rPr>
        <w:t>электроэнергетическом комплексе</w:t>
      </w: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республики в 2015 году отмечается увеличение выработки электроэнергии в натуральном выражении в целом по отрасли на 16,3% по сравнению с соответствующим периодом 2014 года, в стоимостном выражении товарный выпуск отрасли вырос на 15,7%. В декабре 2015 года по отношению к ноябрю 2015 года отмечается увеличение объема промышленного производства на 8,4%.</w:t>
      </w:r>
      <w:proofErr w:type="gramEnd"/>
    </w:p>
    <w:p w:rsidR="00AE0D34" w:rsidRPr="00173522" w:rsidRDefault="00AE0D34" w:rsidP="00AE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D34" w:rsidRPr="00173522" w:rsidRDefault="00AE0D34" w:rsidP="00AE0D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3522"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120130" cy="1710036"/>
            <wp:effectExtent l="19050" t="0" r="0" b="0"/>
            <wp:docPr id="1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0D34" w:rsidRPr="00173522" w:rsidRDefault="00AE0D34" w:rsidP="00AE0D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3522">
        <w:rPr>
          <w:rFonts w:ascii="Times New Roman" w:hAnsi="Times New Roman"/>
          <w:color w:val="000000"/>
          <w:sz w:val="24"/>
          <w:szCs w:val="24"/>
        </w:rPr>
        <w:t xml:space="preserve">б) в </w:t>
      </w:r>
      <w:r w:rsidRPr="00173522">
        <w:rPr>
          <w:rFonts w:ascii="Times New Roman" w:hAnsi="Times New Roman"/>
          <w:b/>
          <w:color w:val="000000"/>
          <w:sz w:val="24"/>
          <w:szCs w:val="24"/>
        </w:rPr>
        <w:t>полиграфической промышленности</w:t>
      </w:r>
      <w:r w:rsidRPr="00173522">
        <w:rPr>
          <w:rFonts w:ascii="Times New Roman" w:hAnsi="Times New Roman"/>
          <w:color w:val="000000"/>
          <w:sz w:val="24"/>
          <w:szCs w:val="24"/>
        </w:rPr>
        <w:t xml:space="preserve"> на фоне расширения потребительского спроса на такие виды продукции как книги (в 6,7 раз), </w:t>
      </w:r>
      <w:proofErr w:type="spellStart"/>
      <w:r w:rsidRPr="00173522">
        <w:rPr>
          <w:rFonts w:ascii="Times New Roman" w:hAnsi="Times New Roman"/>
          <w:color w:val="000000"/>
          <w:sz w:val="24"/>
          <w:szCs w:val="24"/>
        </w:rPr>
        <w:t>изоиздания</w:t>
      </w:r>
      <w:proofErr w:type="spellEnd"/>
      <w:r w:rsidRPr="00173522">
        <w:rPr>
          <w:rFonts w:ascii="Times New Roman" w:hAnsi="Times New Roman"/>
          <w:color w:val="000000"/>
          <w:sz w:val="24"/>
          <w:szCs w:val="24"/>
        </w:rPr>
        <w:t xml:space="preserve"> (в 2,9 раза) и альбомы и папки (на 75%) совокупная стоимостная величина товарного выпуска отрасли в 2015 году увеличилась к базисному значению 2014 года в 2,8 раза. При этом 80,2% общего прироста по </w:t>
      </w:r>
      <w:proofErr w:type="spellStart"/>
      <w:r w:rsidRPr="00173522">
        <w:rPr>
          <w:rFonts w:ascii="Times New Roman" w:hAnsi="Times New Roman"/>
          <w:color w:val="000000"/>
          <w:sz w:val="24"/>
          <w:szCs w:val="24"/>
        </w:rPr>
        <w:t>подотрасли</w:t>
      </w:r>
      <w:proofErr w:type="spellEnd"/>
      <w:r w:rsidRPr="00173522">
        <w:rPr>
          <w:rFonts w:ascii="Times New Roman" w:hAnsi="Times New Roman"/>
          <w:color w:val="000000"/>
          <w:sz w:val="24"/>
          <w:szCs w:val="24"/>
        </w:rPr>
        <w:t xml:space="preserve"> обеспечено ГУИП Типография «Полиграфист», объем промышленного производства которого, на фоне обеспечения предприятия заказами по изданию учебной литературы для общеобразовательных учреждений, в январе-</w:t>
      </w:r>
      <w:r w:rsidR="000D2338">
        <w:rPr>
          <w:rFonts w:ascii="Times New Roman" w:hAnsi="Times New Roman"/>
          <w:color w:val="000000"/>
          <w:sz w:val="24"/>
          <w:szCs w:val="24"/>
        </w:rPr>
        <w:t>декабре</w:t>
      </w:r>
      <w:r w:rsidRPr="00173522">
        <w:rPr>
          <w:rFonts w:ascii="Times New Roman" w:hAnsi="Times New Roman"/>
          <w:color w:val="000000"/>
          <w:sz w:val="24"/>
          <w:szCs w:val="24"/>
        </w:rPr>
        <w:t xml:space="preserve"> 2015 года возрос в   3,1 раза относительно соответствующего периода прошлого года.</w:t>
      </w:r>
    </w:p>
    <w:p w:rsidR="00AE0D34" w:rsidRPr="00173522" w:rsidRDefault="00BE4CC9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3C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E0D34" w:rsidRPr="00F503C5">
        <w:rPr>
          <w:rFonts w:ascii="Times New Roman" w:eastAsia="Times New Roman" w:hAnsi="Times New Roman" w:cs="Times New Roman"/>
          <w:sz w:val="24"/>
          <w:szCs w:val="24"/>
        </w:rPr>
        <w:t xml:space="preserve">пад промышленного производства </w:t>
      </w:r>
      <w:r w:rsidRPr="00F503C5">
        <w:rPr>
          <w:rFonts w:ascii="Times New Roman" w:eastAsia="Times New Roman" w:hAnsi="Times New Roman" w:cs="Times New Roman"/>
          <w:sz w:val="24"/>
          <w:szCs w:val="24"/>
        </w:rPr>
        <w:t xml:space="preserve">в 2015 году </w:t>
      </w:r>
      <w:r w:rsidR="00AE0D34" w:rsidRPr="00F503C5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2014 году наблюдается в </w:t>
      </w:r>
      <w:proofErr w:type="gramStart"/>
      <w:r w:rsidR="00AE0D34" w:rsidRPr="00F503C5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="00AE0D34" w:rsidRPr="00F50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34" w:rsidRPr="00F503C5">
        <w:rPr>
          <w:rFonts w:ascii="Times New Roman" w:eastAsia="Times New Roman" w:hAnsi="Times New Roman" w:cs="Times New Roman"/>
          <w:sz w:val="24"/>
          <w:szCs w:val="24"/>
        </w:rPr>
        <w:t>подотраслях</w:t>
      </w:r>
      <w:proofErr w:type="spellEnd"/>
      <w:r w:rsidR="00AE0D34" w:rsidRPr="00F503C5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промышленности:</w:t>
      </w:r>
    </w:p>
    <w:p w:rsidR="00AE0D34" w:rsidRPr="00173522" w:rsidRDefault="00AE0D34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а) в </w:t>
      </w:r>
      <w:r w:rsidRPr="00173522">
        <w:rPr>
          <w:rFonts w:ascii="Times New Roman" w:eastAsia="Times New Roman" w:hAnsi="Times New Roman" w:cs="Times New Roman"/>
          <w:b/>
          <w:sz w:val="24"/>
          <w:szCs w:val="24"/>
        </w:rPr>
        <w:t xml:space="preserve">черной металлургии </w:t>
      </w:r>
      <w:r w:rsidRPr="00173522">
        <w:rPr>
          <w:rFonts w:ascii="Times New Roman" w:eastAsia="Times New Roman" w:hAnsi="Times New Roman" w:cs="Times New Roman"/>
          <w:sz w:val="24"/>
          <w:szCs w:val="24"/>
        </w:rPr>
        <w:t>по итогам 2015 года отмечено снижение производства проката черных металлов на 18,1%. В целом по отрасли объем производства в стоимостном выражении с учетом неблагоприятной ценовой конъюнктуры на мировом рынке металлов в рассматриваемом периоде на 18,1% не достиг базового показателя 2014 года. При этом</w:t>
      </w:r>
      <w:proofErr w:type="gramStart"/>
      <w:r w:rsidRPr="0017352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в декабре 2015 года на фоне низкой базы сравнения, </w:t>
      </w:r>
      <w:r w:rsidR="000D2338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объема промышленного производства на ОАО «Молдавский металлургический завод» на 14,9%, предопределил </w:t>
      </w:r>
      <w:r w:rsidR="000D233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173522">
        <w:rPr>
          <w:rFonts w:ascii="Times New Roman" w:eastAsia="Times New Roman" w:hAnsi="Times New Roman" w:cs="Times New Roman"/>
          <w:sz w:val="24"/>
          <w:szCs w:val="24"/>
        </w:rPr>
        <w:t>рост объема производства отрасли в целом по отношению к ноябрю месяцу на 14,5%;</w:t>
      </w:r>
    </w:p>
    <w:p w:rsidR="00AE0D34" w:rsidRPr="00173522" w:rsidRDefault="00AE0D34" w:rsidP="00AE0D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522">
        <w:rPr>
          <w:rFonts w:ascii="Times New Roman" w:hAnsi="Times New Roman"/>
          <w:sz w:val="24"/>
          <w:szCs w:val="24"/>
        </w:rPr>
        <w:t>б)</w:t>
      </w:r>
      <w:r w:rsidRPr="00173522">
        <w:rPr>
          <w:rFonts w:ascii="Times New Roman" w:hAnsi="Times New Roman"/>
          <w:b/>
          <w:sz w:val="24"/>
          <w:szCs w:val="24"/>
        </w:rPr>
        <w:t xml:space="preserve"> в химической промышленности </w:t>
      </w:r>
      <w:r w:rsidRPr="00173522">
        <w:rPr>
          <w:rFonts w:ascii="Times New Roman" w:hAnsi="Times New Roman"/>
          <w:sz w:val="24"/>
          <w:szCs w:val="24"/>
        </w:rPr>
        <w:t>по итогам 2015 года наблюдается падение уровня производства на 35,8% к базовому показателю 2014 года. Основное негативное влияние на отрицательную динамику отрасли в 2015 году оказало снижение объемов производства крупнейшего предприятия отрасли ЗАО «Завод «</w:t>
      </w:r>
      <w:proofErr w:type="spellStart"/>
      <w:r w:rsidRPr="00173522">
        <w:rPr>
          <w:rFonts w:ascii="Times New Roman" w:hAnsi="Times New Roman"/>
          <w:sz w:val="24"/>
          <w:szCs w:val="24"/>
        </w:rPr>
        <w:t>Молдавизолит</w:t>
      </w:r>
      <w:proofErr w:type="spellEnd"/>
      <w:r w:rsidRPr="00173522">
        <w:rPr>
          <w:rFonts w:ascii="Times New Roman" w:hAnsi="Times New Roman"/>
          <w:sz w:val="24"/>
          <w:szCs w:val="24"/>
        </w:rPr>
        <w:t>» (на 36,1%). При этом</w:t>
      </w:r>
      <w:proofErr w:type="gramStart"/>
      <w:r w:rsidRPr="00173522">
        <w:rPr>
          <w:rFonts w:ascii="Times New Roman" w:hAnsi="Times New Roman"/>
          <w:sz w:val="24"/>
          <w:szCs w:val="24"/>
        </w:rPr>
        <w:t>,</w:t>
      </w:r>
      <w:proofErr w:type="gramEnd"/>
      <w:r w:rsidRPr="00173522">
        <w:rPr>
          <w:rFonts w:ascii="Times New Roman" w:hAnsi="Times New Roman"/>
          <w:sz w:val="24"/>
          <w:szCs w:val="24"/>
        </w:rPr>
        <w:t xml:space="preserve"> в декабре 2015 года на фоне сложной внешнеторговой конъюнктуры по предприятиям отрасли отмечается спад объема производства на 14,7%;</w:t>
      </w:r>
    </w:p>
    <w:p w:rsidR="00AE0D34" w:rsidRPr="00173522" w:rsidRDefault="00AE0D34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в) предприятия </w:t>
      </w:r>
      <w:r w:rsidRPr="00173522">
        <w:rPr>
          <w:rFonts w:ascii="Times New Roman" w:eastAsia="Times New Roman" w:hAnsi="Times New Roman" w:cs="Times New Roman"/>
          <w:b/>
          <w:sz w:val="24"/>
          <w:szCs w:val="24"/>
        </w:rPr>
        <w:t>машиностроения и металлообработки</w:t>
      </w: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338">
        <w:rPr>
          <w:rFonts w:ascii="Times New Roman" w:eastAsia="Times New Roman" w:hAnsi="Times New Roman" w:cs="Times New Roman"/>
          <w:sz w:val="24"/>
          <w:szCs w:val="24"/>
        </w:rPr>
        <w:t>по итогам 2015</w:t>
      </w: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D23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демонстрируют снижение объема производства по отношению к </w:t>
      </w:r>
      <w:r w:rsidR="000D2338">
        <w:rPr>
          <w:rFonts w:ascii="Times New Roman" w:eastAsia="Times New Roman" w:hAnsi="Times New Roman" w:cs="Times New Roman"/>
          <w:sz w:val="24"/>
          <w:szCs w:val="24"/>
        </w:rPr>
        <w:t>базовым параметрам</w:t>
      </w: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338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года на 10,0%. Данная динамика показателя вызвана снижением объема производства на ОАО «</w:t>
      </w:r>
      <w:proofErr w:type="spellStart"/>
      <w:r w:rsidRPr="00173522">
        <w:rPr>
          <w:rFonts w:ascii="Times New Roman" w:eastAsia="Times New Roman" w:hAnsi="Times New Roman" w:cs="Times New Roman"/>
          <w:sz w:val="24"/>
          <w:szCs w:val="24"/>
        </w:rPr>
        <w:t>Литмаш</w:t>
      </w:r>
      <w:proofErr w:type="spellEnd"/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» («-»78,6%). В декабре </w:t>
      </w:r>
      <w:r w:rsidR="000D2338">
        <w:rPr>
          <w:rFonts w:ascii="Times New Roman" w:eastAsia="Times New Roman" w:hAnsi="Times New Roman" w:cs="Times New Roman"/>
          <w:sz w:val="24"/>
          <w:szCs w:val="24"/>
        </w:rPr>
        <w:t xml:space="preserve">2015 </w:t>
      </w: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года по отношению к ноябрю месяцу </w:t>
      </w:r>
      <w:r w:rsidR="000D2338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года объем производства по отрасли сократился на 10,4%;</w:t>
      </w:r>
    </w:p>
    <w:p w:rsidR="00AE0D34" w:rsidRPr="00173522" w:rsidRDefault="00AE0D34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Pr="00173522">
        <w:rPr>
          <w:rFonts w:ascii="Times New Roman" w:eastAsia="Times New Roman" w:hAnsi="Times New Roman" w:cs="Times New Roman"/>
          <w:b/>
          <w:sz w:val="24"/>
          <w:szCs w:val="24"/>
        </w:rPr>
        <w:t>в электротехнической промышленности</w:t>
      </w: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по итогам 2015 года отмечено падение отраслевого выпуска на 9,7%. Между тем, если рассматривать показатели отрасли в декабре по отношению к ноябрю </w:t>
      </w:r>
      <w:r w:rsidR="000D2338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года, то отрасль демонстрирует рост объема производства в 2,2р. При этом на НП ЗАО «</w:t>
      </w:r>
      <w:proofErr w:type="spellStart"/>
      <w:r w:rsidRPr="00173522">
        <w:rPr>
          <w:rFonts w:ascii="Times New Roman" w:eastAsia="Times New Roman" w:hAnsi="Times New Roman" w:cs="Times New Roman"/>
          <w:sz w:val="24"/>
          <w:szCs w:val="24"/>
        </w:rPr>
        <w:t>Электромаш</w:t>
      </w:r>
      <w:proofErr w:type="spellEnd"/>
      <w:r w:rsidRPr="00173522">
        <w:rPr>
          <w:rFonts w:ascii="Times New Roman" w:eastAsia="Times New Roman" w:hAnsi="Times New Roman" w:cs="Times New Roman"/>
          <w:sz w:val="24"/>
          <w:szCs w:val="24"/>
        </w:rPr>
        <w:t>» (53,6% отраслевого выпуска) в анализируемом периоде наблюдается увеличение товарного выпуска в сопоставимой оценке на 20,7% (при этом</w:t>
      </w:r>
      <w:proofErr w:type="gramEnd"/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в долларовом выражении отмечен спад на 15,1%); а на втором ведущем предприятии отрасли ЗАО «</w:t>
      </w:r>
      <w:proofErr w:type="spellStart"/>
      <w:r w:rsidRPr="00173522">
        <w:rPr>
          <w:rFonts w:ascii="Times New Roman" w:eastAsia="Times New Roman" w:hAnsi="Times New Roman" w:cs="Times New Roman"/>
          <w:sz w:val="24"/>
          <w:szCs w:val="24"/>
        </w:rPr>
        <w:t>Молдавкабель</w:t>
      </w:r>
      <w:proofErr w:type="spellEnd"/>
      <w:r w:rsidRPr="00173522">
        <w:rPr>
          <w:rFonts w:ascii="Times New Roman" w:eastAsia="Times New Roman" w:hAnsi="Times New Roman" w:cs="Times New Roman"/>
          <w:sz w:val="24"/>
          <w:szCs w:val="24"/>
        </w:rPr>
        <w:t>» (43,6% отраслевого выпуска) в             2015 году отмечено снижение объемов производства на 29,5%, что вызвано сложной внешнеторговой конъюнктурой;</w:t>
      </w:r>
    </w:p>
    <w:p w:rsidR="00AE0D34" w:rsidRPr="00173522" w:rsidRDefault="00AE0D34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д) в </w:t>
      </w:r>
      <w:r w:rsidRPr="00173522">
        <w:rPr>
          <w:rFonts w:ascii="Times New Roman" w:eastAsia="Times New Roman" w:hAnsi="Times New Roman" w:cs="Times New Roman"/>
          <w:b/>
          <w:sz w:val="24"/>
          <w:szCs w:val="24"/>
        </w:rPr>
        <w:t>промышленности строительных материалов</w:t>
      </w: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по итогам 2015 года зафиксировано снижение производственных показателей как на крупнейшем предприятии отрасли (ЗАО «</w:t>
      </w:r>
      <w:proofErr w:type="spellStart"/>
      <w:r w:rsidRPr="00173522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цементный комбинат» на 31,0% до 320,0 млн. руб.), так и по отрасли в целом (на 32,1% до 432,2 млн. руб.). При этом</w:t>
      </w:r>
      <w:proofErr w:type="gramStart"/>
      <w:r w:rsidRPr="0017352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в декабре по отношению к ноябрю 2015 года на фоне падения спроса на продукцию отрасли под влиянием сезонного </w:t>
      </w:r>
      <w:r w:rsidRPr="0017352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фактора, а также </w:t>
      </w:r>
      <w:r w:rsidRPr="00173522">
        <w:rPr>
          <w:rFonts w:ascii="Times New Roman" w:eastAsia="Times New Roman" w:hAnsi="Times New Roman" w:cs="Times New Roman"/>
          <w:color w:val="262626"/>
          <w:sz w:val="24"/>
          <w:szCs w:val="24"/>
        </w:rPr>
        <w:t>импорта товаров из сопредельных государств по более низким ценам,</w:t>
      </w: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отрасль демонстрирует снижение объема производства на 12,2%.</w:t>
      </w:r>
    </w:p>
    <w:p w:rsidR="00AE0D34" w:rsidRPr="00173522" w:rsidRDefault="00AE0D34" w:rsidP="00AE0D3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noProof/>
        </w:rPr>
      </w:pP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В натуральном выражении в рассматриваемом периоде в </w:t>
      </w:r>
      <w:proofErr w:type="spellStart"/>
      <w:r w:rsidRPr="00173522">
        <w:rPr>
          <w:rFonts w:ascii="Times New Roman" w:eastAsia="Times New Roman" w:hAnsi="Times New Roman" w:cs="Times New Roman"/>
          <w:sz w:val="24"/>
          <w:szCs w:val="24"/>
        </w:rPr>
        <w:t>подотрасли</w:t>
      </w:r>
      <w:proofErr w:type="spellEnd"/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отмечено снижение производства товарного бетона на 22,3%, клинкера на 22,7%, цемента на 32,0%, и.т.д</w:t>
      </w:r>
      <w:r w:rsidRPr="00173522">
        <w:rPr>
          <w:rFonts w:ascii="Calibri" w:eastAsia="Times New Roman" w:hAnsi="Calibri" w:cs="Times New Roman"/>
          <w:noProof/>
        </w:rPr>
        <w:t>.</w:t>
      </w:r>
    </w:p>
    <w:p w:rsidR="00AE0D34" w:rsidRPr="00173522" w:rsidRDefault="00AE0D34" w:rsidP="00AE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522">
        <w:rPr>
          <w:rFonts w:ascii="Calibri" w:eastAsia="Times New Roman" w:hAnsi="Calibri" w:cs="Times New Roman"/>
          <w:noProof/>
        </w:rPr>
        <w:drawing>
          <wp:inline distT="0" distB="0" distL="0" distR="0">
            <wp:extent cx="6089650" cy="1628775"/>
            <wp:effectExtent l="0" t="0" r="6350" b="0"/>
            <wp:docPr id="13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0D34" w:rsidRPr="00173522" w:rsidRDefault="00AE0D34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д) по итогам 2015 года на предприятиях </w:t>
      </w:r>
      <w:r w:rsidRPr="00173522">
        <w:rPr>
          <w:rFonts w:ascii="Times New Roman" w:eastAsia="Times New Roman" w:hAnsi="Times New Roman" w:cs="Times New Roman"/>
          <w:b/>
          <w:sz w:val="24"/>
          <w:szCs w:val="24"/>
        </w:rPr>
        <w:t xml:space="preserve">легкой промышленности </w:t>
      </w: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объем отраслевого выпуска в сопоставимых ценах сложился на 14,9% ниже уровня 2014 года. </w:t>
      </w:r>
      <w:proofErr w:type="gramStart"/>
      <w:r w:rsidRPr="00173522">
        <w:rPr>
          <w:rFonts w:ascii="Times New Roman" w:eastAsia="Times New Roman" w:hAnsi="Times New Roman" w:cs="Times New Roman"/>
          <w:sz w:val="24"/>
          <w:szCs w:val="24"/>
        </w:rPr>
        <w:t>Определяющее влияние на отраслевой показатель оказывает работа крупнейшего предприятия отрасли ЗАО «</w:t>
      </w:r>
      <w:proofErr w:type="spellStart"/>
      <w:r w:rsidRPr="00173522">
        <w:rPr>
          <w:rFonts w:ascii="Times New Roman" w:eastAsia="Times New Roman" w:hAnsi="Times New Roman" w:cs="Times New Roman"/>
          <w:sz w:val="24"/>
          <w:szCs w:val="24"/>
        </w:rPr>
        <w:t>Тиротекс</w:t>
      </w:r>
      <w:proofErr w:type="spellEnd"/>
      <w:r w:rsidRPr="00173522">
        <w:rPr>
          <w:rFonts w:ascii="Times New Roman" w:eastAsia="Times New Roman" w:hAnsi="Times New Roman" w:cs="Times New Roman"/>
          <w:sz w:val="24"/>
          <w:szCs w:val="24"/>
        </w:rPr>
        <w:t>» (45,9% отраслевого выпуска), сократившего свой товарный выпуск за рассматриваемый период на 20,4%. В декабре по отношению к ноябрю 2015 года предприятия отрасли демонстрируют снижение объема промышленного производства на 11,0%. При этом 4 предприятиям легкой промышленности                       (ЗАО «</w:t>
      </w:r>
      <w:proofErr w:type="spellStart"/>
      <w:r w:rsidRPr="00173522">
        <w:rPr>
          <w:rFonts w:ascii="Times New Roman" w:eastAsia="Times New Roman" w:hAnsi="Times New Roman" w:cs="Times New Roman"/>
          <w:sz w:val="24"/>
          <w:szCs w:val="24"/>
        </w:rPr>
        <w:t>Тиротекс</w:t>
      </w:r>
      <w:proofErr w:type="spellEnd"/>
      <w:r w:rsidRPr="00173522">
        <w:rPr>
          <w:rFonts w:ascii="Times New Roman" w:eastAsia="Times New Roman" w:hAnsi="Times New Roman" w:cs="Times New Roman"/>
          <w:sz w:val="24"/>
          <w:szCs w:val="24"/>
        </w:rPr>
        <w:t>», ЗАО «</w:t>
      </w:r>
      <w:proofErr w:type="spellStart"/>
      <w:r w:rsidRPr="00173522">
        <w:rPr>
          <w:rFonts w:ascii="Times New Roman" w:eastAsia="Times New Roman" w:hAnsi="Times New Roman" w:cs="Times New Roman"/>
          <w:sz w:val="24"/>
          <w:szCs w:val="24"/>
        </w:rPr>
        <w:t>Одема</w:t>
      </w:r>
      <w:proofErr w:type="spellEnd"/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» им. В.Соловьевой, ЗАО «Швейная фирма» </w:t>
      </w:r>
      <w:proofErr w:type="spellStart"/>
      <w:r w:rsidRPr="00173522">
        <w:rPr>
          <w:rFonts w:ascii="Times New Roman" w:eastAsia="Times New Roman" w:hAnsi="Times New Roman" w:cs="Times New Roman"/>
          <w:sz w:val="24"/>
          <w:szCs w:val="24"/>
        </w:rPr>
        <w:t>Вестра</w:t>
      </w:r>
      <w:proofErr w:type="spellEnd"/>
      <w:r w:rsidRPr="00173522">
        <w:rPr>
          <w:rFonts w:ascii="Times New Roman" w:eastAsia="Times New Roman" w:hAnsi="Times New Roman" w:cs="Times New Roman"/>
          <w:sz w:val="24"/>
          <w:szCs w:val="24"/>
        </w:rPr>
        <w:t>»,                ООО «</w:t>
      </w:r>
      <w:proofErr w:type="spellStart"/>
      <w:r w:rsidRPr="00173522">
        <w:rPr>
          <w:rFonts w:ascii="Times New Roman" w:eastAsia="Times New Roman" w:hAnsi="Times New Roman" w:cs="Times New Roman"/>
          <w:sz w:val="24"/>
          <w:szCs w:val="24"/>
        </w:rPr>
        <w:t>Софтшуз</w:t>
      </w:r>
      <w:proofErr w:type="spellEnd"/>
      <w:proofErr w:type="gramEnd"/>
      <w:r w:rsidRPr="00173522">
        <w:rPr>
          <w:rFonts w:ascii="Times New Roman" w:eastAsia="Times New Roman" w:hAnsi="Times New Roman" w:cs="Times New Roman"/>
          <w:sz w:val="24"/>
          <w:szCs w:val="24"/>
        </w:rPr>
        <w:t>») оказывается государственная поддержка в виде льготных тарифов на энергоносители и льгот по налогу на доходы.</w:t>
      </w:r>
    </w:p>
    <w:p w:rsidR="00AE0D34" w:rsidRPr="00173522" w:rsidRDefault="00AE0D34" w:rsidP="00AE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522">
        <w:rPr>
          <w:rFonts w:ascii="Calibri" w:eastAsia="Times New Roman" w:hAnsi="Calibri" w:cs="Times New Roman"/>
          <w:noProof/>
        </w:rPr>
        <w:drawing>
          <wp:inline distT="0" distB="0" distL="0" distR="0">
            <wp:extent cx="6181725" cy="1714500"/>
            <wp:effectExtent l="0" t="0" r="0" b="0"/>
            <wp:docPr id="1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E0D34" w:rsidRPr="00173522" w:rsidRDefault="00AE0D34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е) в </w:t>
      </w:r>
      <w:r w:rsidRPr="0017352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пищевой промышленности </w:t>
      </w:r>
      <w:r w:rsidRPr="00173522">
        <w:rPr>
          <w:rFonts w:ascii="Times New Roman" w:eastAsia="Times New Roman" w:hAnsi="Times New Roman" w:cs="Times New Roman"/>
          <w:snapToGrid w:val="0"/>
          <w:sz w:val="24"/>
          <w:szCs w:val="24"/>
        </w:rPr>
        <w:t>в</w:t>
      </w: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рассматриваемом периоде </w:t>
      </w:r>
      <w:r w:rsidRPr="0017352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наблюдалось </w:t>
      </w: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уменьшение товарного выпуска в сопоставимых ценах на 21,4%, что вызвано снижением объемов производства на ЗАО «Букет Молдавии («-»42,7%), ОАО «Тираспольский молочный комбинат» («-»15,1%), ЗАО «Бендерский мясокомбинат» («-»11,9%),                  ЗАО «Тираспольский </w:t>
      </w:r>
      <w:proofErr w:type="spellStart"/>
      <w:r w:rsidRPr="00173522">
        <w:rPr>
          <w:rFonts w:ascii="Times New Roman" w:eastAsia="Times New Roman" w:hAnsi="Times New Roman" w:cs="Times New Roman"/>
          <w:sz w:val="24"/>
          <w:szCs w:val="24"/>
        </w:rPr>
        <w:t>хлебокомбинат</w:t>
      </w:r>
      <w:proofErr w:type="spellEnd"/>
      <w:r w:rsidRPr="00173522">
        <w:rPr>
          <w:rFonts w:ascii="Times New Roman" w:eastAsia="Times New Roman" w:hAnsi="Times New Roman" w:cs="Times New Roman"/>
          <w:sz w:val="24"/>
          <w:szCs w:val="24"/>
        </w:rPr>
        <w:t>» («-»10,3%), и др. При этом, в декабре 2015 года по отношению к ноябрю отмечается прирост объема промышленного производства на 2,0%.</w:t>
      </w:r>
      <w:proofErr w:type="gramEnd"/>
    </w:p>
    <w:p w:rsidR="00AE0D34" w:rsidRPr="00173522" w:rsidRDefault="00AE0D34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522">
        <w:rPr>
          <w:rFonts w:ascii="Times New Roman" w:eastAsia="Times New Roman" w:hAnsi="Times New Roman" w:cs="Times New Roman"/>
          <w:sz w:val="24"/>
          <w:szCs w:val="24"/>
        </w:rPr>
        <w:t>Падение объемов производства было характерно для ведущего предприятия отрасли ЗАО «Тираспольский винно-коньячный завод «KVINT», сократившего объем производства на 34,5%, что обусловлено снижением объемов реализации продукции как на местном рынке, так и за его пределами;</w:t>
      </w:r>
    </w:p>
    <w:p w:rsidR="00AE0D34" w:rsidRPr="00173522" w:rsidRDefault="00AE0D34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ж) в </w:t>
      </w:r>
      <w:r w:rsidRPr="00173522">
        <w:rPr>
          <w:rFonts w:ascii="Times New Roman" w:eastAsia="Times New Roman" w:hAnsi="Times New Roman" w:cs="Times New Roman"/>
          <w:b/>
          <w:sz w:val="24"/>
          <w:szCs w:val="24"/>
        </w:rPr>
        <w:t>мукомольно-крупяной и комбикормовой промышленности</w:t>
      </w:r>
      <w:r w:rsidRPr="00173522">
        <w:rPr>
          <w:rFonts w:ascii="Times New Roman" w:eastAsia="Times New Roman" w:hAnsi="Times New Roman" w:cs="Times New Roman"/>
          <w:sz w:val="24"/>
          <w:szCs w:val="24"/>
        </w:rPr>
        <w:t xml:space="preserve"> по итогам       2015 года отмечается снижение выпуска готовой продукции в сопоставимых ценах на 11,6%, что вызвано в основном сокращением объемов производства на ЗАО «Бендерский комбинат хлебопродуктов» на 18,7%, ввиду неконкурентоспособности отечественной продукции, на фоне </w:t>
      </w:r>
      <w:proofErr w:type="gramStart"/>
      <w:r w:rsidRPr="00173522">
        <w:rPr>
          <w:rFonts w:ascii="Times New Roman" w:eastAsia="Times New Roman" w:hAnsi="Times New Roman" w:cs="Times New Roman"/>
          <w:sz w:val="24"/>
          <w:szCs w:val="24"/>
        </w:rPr>
        <w:t>девальвации валют основных стран партнеров предприятия</w:t>
      </w:r>
      <w:proofErr w:type="gramEnd"/>
      <w:r w:rsidRPr="00173522">
        <w:rPr>
          <w:rFonts w:ascii="Times New Roman" w:eastAsia="Times New Roman" w:hAnsi="Times New Roman" w:cs="Times New Roman"/>
          <w:sz w:val="24"/>
          <w:szCs w:val="24"/>
        </w:rPr>
        <w:t>. При этом в декабре по отношению к ноябрю 2015 года на фоне увеличения объемов производства круп отмечен прирост объема производства по отрасли на 17,6%.</w:t>
      </w:r>
    </w:p>
    <w:p w:rsidR="00AE0D34" w:rsidRPr="00C537CD" w:rsidRDefault="00AE0D34" w:rsidP="001E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522">
        <w:rPr>
          <w:rFonts w:ascii="Times New Roman" w:eastAsia="Times New Roman" w:hAnsi="Times New Roman" w:cs="Times New Roman"/>
          <w:sz w:val="24"/>
          <w:szCs w:val="24"/>
        </w:rPr>
        <w:lastRenderedPageBreak/>
        <w:t>В натуральном выражении в рассматриваемом периоде отмечено снижение объема производства муки на 17,3%.</w:t>
      </w:r>
    </w:p>
    <w:p w:rsidR="00AE0D34" w:rsidRDefault="00AE0D34" w:rsidP="001E38E2">
      <w:pPr>
        <w:spacing w:after="0"/>
        <w:ind w:firstLine="709"/>
      </w:pPr>
    </w:p>
    <w:p w:rsidR="008F1698" w:rsidRPr="0024271A" w:rsidRDefault="008F1698" w:rsidP="008F16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24271A">
        <w:rPr>
          <w:rFonts w:ascii="Times New Roman" w:hAnsi="Times New Roman"/>
          <w:color w:val="000000"/>
          <w:sz w:val="24"/>
          <w:szCs w:val="24"/>
          <w:u w:val="single"/>
        </w:rPr>
        <w:t>Внешнеэкономическая деятельность</w:t>
      </w:r>
    </w:p>
    <w:p w:rsidR="0083211A" w:rsidRDefault="0083211A" w:rsidP="008F1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3C5" w:rsidRPr="00DD053B" w:rsidRDefault="008F1698" w:rsidP="00DD0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53B">
        <w:rPr>
          <w:rFonts w:ascii="Times New Roman" w:eastAsia="Times New Roman" w:hAnsi="Times New Roman" w:cs="Times New Roman"/>
          <w:sz w:val="24"/>
          <w:szCs w:val="24"/>
        </w:rPr>
        <w:t>Динамика показателей внешнеэкономической деятельности резидентов республики в течение января-</w:t>
      </w:r>
      <w:r w:rsidR="00E80738" w:rsidRPr="00DD053B">
        <w:rPr>
          <w:rFonts w:ascii="Times New Roman" w:eastAsia="Times New Roman" w:hAnsi="Times New Roman" w:cs="Times New Roman"/>
          <w:sz w:val="24"/>
          <w:szCs w:val="24"/>
        </w:rPr>
        <w:t>декабря 2015</w:t>
      </w:r>
      <w:r w:rsidRPr="00DD053B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E80738" w:rsidRPr="00DD053B">
        <w:rPr>
          <w:rFonts w:ascii="Times New Roman" w:eastAsia="Times New Roman" w:hAnsi="Times New Roman" w:cs="Times New Roman"/>
          <w:sz w:val="24"/>
          <w:szCs w:val="24"/>
        </w:rPr>
        <w:t xml:space="preserve">на фоне неблагоприятной ценовой конъюнктуры на мировых рынках </w:t>
      </w:r>
      <w:r w:rsidRPr="00DD053B">
        <w:rPr>
          <w:rFonts w:ascii="Times New Roman" w:eastAsia="Times New Roman" w:hAnsi="Times New Roman" w:cs="Times New Roman"/>
          <w:sz w:val="24"/>
          <w:szCs w:val="24"/>
        </w:rPr>
        <w:t xml:space="preserve">определялась влиянием внешних негативных факторов </w:t>
      </w:r>
      <w:r w:rsidR="00E80738" w:rsidRPr="00DD053B">
        <w:rPr>
          <w:rFonts w:ascii="Times New Roman" w:eastAsia="Times New Roman" w:hAnsi="Times New Roman" w:cs="Times New Roman"/>
          <w:sz w:val="24"/>
          <w:szCs w:val="24"/>
        </w:rPr>
        <w:t xml:space="preserve">в совокупности с </w:t>
      </w:r>
      <w:r w:rsidRPr="00DD053B">
        <w:rPr>
          <w:rFonts w:ascii="Times New Roman" w:eastAsia="Times New Roman" w:hAnsi="Times New Roman" w:cs="Times New Roman"/>
          <w:sz w:val="24"/>
          <w:szCs w:val="24"/>
        </w:rPr>
        <w:t>осложнени</w:t>
      </w:r>
      <w:r w:rsidR="00E80738" w:rsidRPr="00DD053B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DD053B">
        <w:rPr>
          <w:rFonts w:ascii="Times New Roman" w:eastAsia="Times New Roman" w:hAnsi="Times New Roman" w:cs="Times New Roman"/>
          <w:sz w:val="24"/>
          <w:szCs w:val="24"/>
        </w:rPr>
        <w:t xml:space="preserve"> внутренних условий функционирования.</w:t>
      </w:r>
      <w:r w:rsidR="00F503C5" w:rsidRPr="00DD053B">
        <w:rPr>
          <w:rFonts w:ascii="Times New Roman" w:hAnsi="Times New Roman" w:cs="Times New Roman"/>
          <w:sz w:val="24"/>
          <w:szCs w:val="24"/>
        </w:rPr>
        <w:t xml:space="preserve"> Так </w:t>
      </w:r>
      <w:r w:rsidR="00F503C5" w:rsidRPr="00DD053B">
        <w:rPr>
          <w:rFonts w:ascii="Times New Roman" w:eastAsia="Times New Roman" w:hAnsi="Times New Roman" w:cs="Times New Roman"/>
          <w:sz w:val="24"/>
          <w:szCs w:val="24"/>
        </w:rPr>
        <w:t>на фоне неблагоприятной конъюнктуры на внешних рынках сокращение объёмов производства промышленной продукции привело к падению показателя экспорта</w:t>
      </w:r>
      <w:r w:rsidR="00DD053B" w:rsidRPr="00DD05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03C5" w:rsidRPr="00DD053B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снижение внутреннего </w:t>
      </w:r>
      <w:proofErr w:type="gramStart"/>
      <w:r w:rsidR="00F503C5" w:rsidRPr="00DD053B">
        <w:rPr>
          <w:rFonts w:ascii="Times New Roman" w:eastAsia="Times New Roman" w:hAnsi="Times New Roman" w:cs="Times New Roman"/>
          <w:sz w:val="24"/>
          <w:szCs w:val="24"/>
        </w:rPr>
        <w:t>спроса</w:t>
      </w:r>
      <w:proofErr w:type="gramEnd"/>
      <w:r w:rsidR="00DD053B" w:rsidRPr="00DD0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03C5" w:rsidRPr="00DD053B">
        <w:rPr>
          <w:rFonts w:ascii="Times New Roman" w:eastAsia="Times New Roman" w:hAnsi="Times New Roman" w:cs="Times New Roman"/>
          <w:sz w:val="24"/>
          <w:szCs w:val="24"/>
        </w:rPr>
        <w:t xml:space="preserve">как со стороны населения, так и предприятий обусловило сужение импорта. </w:t>
      </w:r>
    </w:p>
    <w:p w:rsidR="008F1698" w:rsidRDefault="008F1698" w:rsidP="008F1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6F7" w:rsidRPr="00E92CCC" w:rsidRDefault="007116F7" w:rsidP="007116F7">
      <w:pPr>
        <w:pStyle w:val="2"/>
        <w:tabs>
          <w:tab w:val="left" w:pos="7920"/>
        </w:tabs>
        <w:ind w:firstLine="709"/>
        <w:rPr>
          <w:b/>
          <w:sz w:val="24"/>
          <w:szCs w:val="24"/>
        </w:rPr>
      </w:pPr>
      <w:r w:rsidRPr="00E92CCC">
        <w:rPr>
          <w:b/>
          <w:sz w:val="24"/>
          <w:szCs w:val="24"/>
        </w:rPr>
        <w:t>Динамика внешнеторгового оборота в январе-</w:t>
      </w:r>
      <w:r>
        <w:rPr>
          <w:b/>
          <w:sz w:val="24"/>
          <w:szCs w:val="24"/>
        </w:rPr>
        <w:t>декабре</w:t>
      </w:r>
      <w:r w:rsidRPr="00E92CCC">
        <w:rPr>
          <w:b/>
          <w:sz w:val="24"/>
          <w:szCs w:val="24"/>
        </w:rPr>
        <w:t xml:space="preserve"> 2014 - 2015 г.г., </w:t>
      </w:r>
    </w:p>
    <w:p w:rsidR="007116F7" w:rsidRPr="00411899" w:rsidRDefault="007116F7" w:rsidP="007116F7">
      <w:pPr>
        <w:pStyle w:val="2"/>
        <w:tabs>
          <w:tab w:val="left" w:pos="7920"/>
        </w:tabs>
        <w:ind w:firstLine="709"/>
        <w:jc w:val="center"/>
        <w:rPr>
          <w:b/>
          <w:sz w:val="24"/>
          <w:szCs w:val="24"/>
        </w:rPr>
      </w:pPr>
      <w:r w:rsidRPr="00E92CCC">
        <w:rPr>
          <w:b/>
          <w:sz w:val="24"/>
          <w:szCs w:val="24"/>
        </w:rPr>
        <w:t>млн. долл. США</w:t>
      </w:r>
    </w:p>
    <w:p w:rsidR="00B00831" w:rsidRPr="006A708D" w:rsidRDefault="007116F7" w:rsidP="0071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6F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1818303"/>
            <wp:effectExtent l="19050" t="0" r="22225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00831" w:rsidRPr="00103FAC" w:rsidRDefault="00B00831" w:rsidP="00B00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3FAC">
        <w:rPr>
          <w:rFonts w:ascii="Times New Roman" w:eastAsia="Times New Roman" w:hAnsi="Times New Roman" w:cs="Times New Roman"/>
          <w:sz w:val="24"/>
          <w:szCs w:val="24"/>
        </w:rPr>
        <w:t xml:space="preserve">Объем экспортных поставок из республики </w:t>
      </w:r>
      <w:r w:rsidR="001E38E2">
        <w:rPr>
          <w:rFonts w:ascii="Times New Roman" w:eastAsia="Times New Roman" w:hAnsi="Times New Roman" w:cs="Times New Roman"/>
          <w:sz w:val="24"/>
          <w:szCs w:val="24"/>
        </w:rPr>
        <w:t>под воздействием</w:t>
      </w:r>
      <w:r w:rsidR="009E0BD2" w:rsidRPr="00103FAC">
        <w:rPr>
          <w:rFonts w:ascii="Times New Roman" w:eastAsia="Times New Roman" w:hAnsi="Times New Roman" w:cs="Times New Roman"/>
          <w:sz w:val="24"/>
          <w:szCs w:val="24"/>
        </w:rPr>
        <w:t xml:space="preserve"> ограничительных мер в совокупности с</w:t>
      </w:r>
      <w:r w:rsidR="009E0BD2" w:rsidRPr="00103FAC">
        <w:rPr>
          <w:rFonts w:ascii="Times New Roman" w:hAnsi="Times New Roman" w:cs="Times New Roman"/>
          <w:sz w:val="24"/>
          <w:szCs w:val="24"/>
        </w:rPr>
        <w:t xml:space="preserve"> </w:t>
      </w:r>
      <w:r w:rsidR="00443F5D" w:rsidRPr="00103FA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03FAC">
        <w:rPr>
          <w:rFonts w:ascii="Times New Roman" w:eastAsia="Times New Roman" w:hAnsi="Times New Roman" w:cs="Times New Roman"/>
          <w:sz w:val="24"/>
          <w:szCs w:val="24"/>
        </w:rPr>
        <w:t>еблагоприятн</w:t>
      </w:r>
      <w:r w:rsidR="009E0BD2" w:rsidRPr="00103FA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03FAC">
        <w:rPr>
          <w:rFonts w:ascii="Times New Roman" w:eastAsia="Times New Roman" w:hAnsi="Times New Roman" w:cs="Times New Roman"/>
          <w:sz w:val="24"/>
          <w:szCs w:val="24"/>
        </w:rPr>
        <w:t xml:space="preserve"> конъюнктурн</w:t>
      </w:r>
      <w:r w:rsidR="009E0BD2" w:rsidRPr="00103FAC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03FAC">
        <w:rPr>
          <w:rFonts w:ascii="Times New Roman" w:eastAsia="Times New Roman" w:hAnsi="Times New Roman" w:cs="Times New Roman"/>
          <w:sz w:val="24"/>
          <w:szCs w:val="24"/>
        </w:rPr>
        <w:t xml:space="preserve"> ситуаци</w:t>
      </w:r>
      <w:r w:rsidR="009E0BD2" w:rsidRPr="00103FAC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10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BD2" w:rsidRPr="00103FA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FAC">
        <w:rPr>
          <w:rFonts w:ascii="Times New Roman" w:hAnsi="Times New Roman" w:cs="Times New Roman"/>
          <w:sz w:val="24"/>
          <w:szCs w:val="24"/>
        </w:rPr>
        <w:t xml:space="preserve">падением внешнего спроса на продукцию ключевых отраслей реального сектора </w:t>
      </w:r>
      <w:r w:rsidR="009E0BD2" w:rsidRPr="00103FAC">
        <w:rPr>
          <w:rFonts w:ascii="Times New Roman" w:eastAsia="Times New Roman" w:hAnsi="Times New Roman" w:cs="Times New Roman"/>
          <w:sz w:val="24"/>
          <w:szCs w:val="24"/>
        </w:rPr>
        <w:t xml:space="preserve">по итогам января-декабря 2015 года </w:t>
      </w:r>
      <w:r w:rsidR="009E0BD2" w:rsidRPr="00103FAC">
        <w:rPr>
          <w:rFonts w:ascii="Times New Roman" w:hAnsi="Times New Roman" w:cs="Times New Roman"/>
          <w:sz w:val="24"/>
          <w:szCs w:val="24"/>
        </w:rPr>
        <w:t xml:space="preserve">составил 611,0 млн. долл. и сложился </w:t>
      </w:r>
      <w:r w:rsidRPr="00103FAC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="009E0BD2" w:rsidRPr="00103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FAC">
        <w:rPr>
          <w:rFonts w:ascii="Times New Roman" w:eastAsia="Times New Roman" w:hAnsi="Times New Roman" w:cs="Times New Roman"/>
          <w:sz w:val="24"/>
          <w:szCs w:val="24"/>
        </w:rPr>
        <w:t xml:space="preserve">относительно соответствующего показателя </w:t>
      </w:r>
      <w:r w:rsidR="009E0BD2" w:rsidRPr="00103FAC">
        <w:rPr>
          <w:rFonts w:ascii="Times New Roman" w:eastAsia="Times New Roman" w:hAnsi="Times New Roman" w:cs="Times New Roman"/>
          <w:sz w:val="24"/>
          <w:szCs w:val="24"/>
        </w:rPr>
        <w:t xml:space="preserve">2014 </w:t>
      </w:r>
      <w:r w:rsidRPr="00103FAC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9E0BD2" w:rsidRPr="00103FAC">
        <w:rPr>
          <w:rFonts w:ascii="Times New Roman" w:hAnsi="Times New Roman" w:cs="Times New Roman"/>
          <w:sz w:val="24"/>
          <w:szCs w:val="24"/>
        </w:rPr>
        <w:t>на 14,7%.</w:t>
      </w:r>
      <w:r w:rsidRPr="00103FAC">
        <w:rPr>
          <w:rFonts w:ascii="Times New Roman" w:eastAsia="Times New Roman" w:hAnsi="Times New Roman" w:cs="Times New Roman"/>
          <w:sz w:val="24"/>
          <w:szCs w:val="24"/>
        </w:rPr>
        <w:t xml:space="preserve"> В то же время падение внутреннего </w:t>
      </w:r>
      <w:proofErr w:type="gramStart"/>
      <w:r w:rsidRPr="00103FAC">
        <w:rPr>
          <w:rFonts w:ascii="Times New Roman" w:eastAsia="Times New Roman" w:hAnsi="Times New Roman" w:cs="Times New Roman"/>
          <w:sz w:val="24"/>
          <w:szCs w:val="24"/>
        </w:rPr>
        <w:t>спроса</w:t>
      </w:r>
      <w:proofErr w:type="gramEnd"/>
      <w:r w:rsidRPr="00103FAC">
        <w:rPr>
          <w:rFonts w:ascii="Times New Roman" w:eastAsia="Times New Roman" w:hAnsi="Times New Roman" w:cs="Times New Roman"/>
          <w:sz w:val="24"/>
          <w:szCs w:val="24"/>
        </w:rPr>
        <w:t xml:space="preserve"> как со стороны населения, так и хозяйствующих субъектов республики обусловило сужение </w:t>
      </w:r>
      <w:r w:rsidR="009E0BD2" w:rsidRPr="00103FAC">
        <w:rPr>
          <w:rFonts w:ascii="Times New Roman" w:eastAsia="Times New Roman" w:hAnsi="Times New Roman" w:cs="Times New Roman"/>
          <w:sz w:val="24"/>
          <w:szCs w:val="24"/>
        </w:rPr>
        <w:t xml:space="preserve">объема </w:t>
      </w:r>
      <w:r w:rsidRPr="00103FAC">
        <w:rPr>
          <w:rFonts w:ascii="Times New Roman" w:eastAsia="Times New Roman" w:hAnsi="Times New Roman" w:cs="Times New Roman"/>
          <w:sz w:val="24"/>
          <w:szCs w:val="24"/>
        </w:rPr>
        <w:t xml:space="preserve">импорта </w:t>
      </w:r>
      <w:r w:rsidR="009E0BD2" w:rsidRPr="00103FAC">
        <w:rPr>
          <w:rFonts w:ascii="Times New Roman" w:eastAsia="Times New Roman" w:hAnsi="Times New Roman" w:cs="Times New Roman"/>
          <w:sz w:val="24"/>
          <w:szCs w:val="24"/>
        </w:rPr>
        <w:t>до 1 138,4 млн. долл. или на 30,4%</w:t>
      </w:r>
      <w:r w:rsidRPr="00103FAC">
        <w:rPr>
          <w:rFonts w:ascii="Times New Roman" w:eastAsia="Times New Roman" w:hAnsi="Times New Roman" w:cs="Times New Roman"/>
          <w:sz w:val="24"/>
          <w:szCs w:val="24"/>
        </w:rPr>
        <w:t xml:space="preserve">. В результате </w:t>
      </w:r>
      <w:r w:rsidRPr="00103FAC">
        <w:rPr>
          <w:rFonts w:ascii="Times New Roman" w:hAnsi="Times New Roman"/>
          <w:sz w:val="24"/>
          <w:szCs w:val="24"/>
        </w:rPr>
        <w:t>совокупный объем внешнеторгового оборота резидентов республики в январе-</w:t>
      </w:r>
      <w:r w:rsidR="009E0BD2" w:rsidRPr="00103FAC">
        <w:rPr>
          <w:rFonts w:ascii="Times New Roman" w:hAnsi="Times New Roman"/>
          <w:sz w:val="24"/>
          <w:szCs w:val="24"/>
        </w:rPr>
        <w:t>декабре</w:t>
      </w:r>
      <w:r w:rsidRPr="00103FAC">
        <w:rPr>
          <w:rFonts w:ascii="Times New Roman" w:hAnsi="Times New Roman"/>
          <w:sz w:val="24"/>
          <w:szCs w:val="24"/>
        </w:rPr>
        <w:t xml:space="preserve"> 2015 года по отношению к базовому показателю 2014 года сократился более чем на четверть («-»25,6%)</w:t>
      </w:r>
      <w:r w:rsidR="00455DEA" w:rsidRPr="00103FAC">
        <w:rPr>
          <w:rFonts w:ascii="Times New Roman" w:hAnsi="Times New Roman"/>
          <w:sz w:val="24"/>
          <w:szCs w:val="24"/>
        </w:rPr>
        <w:t xml:space="preserve"> до 1 749,4 млн. долл</w:t>
      </w:r>
      <w:r w:rsidRPr="00103FAC">
        <w:rPr>
          <w:rFonts w:ascii="Times New Roman" w:hAnsi="Times New Roman"/>
          <w:sz w:val="24"/>
          <w:szCs w:val="24"/>
        </w:rPr>
        <w:t>.</w:t>
      </w:r>
    </w:p>
    <w:p w:rsidR="00604D34" w:rsidRPr="00F47EFD" w:rsidRDefault="007D6856" w:rsidP="00B00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EFD">
        <w:rPr>
          <w:rFonts w:ascii="Times New Roman" w:hAnsi="Times New Roman"/>
          <w:sz w:val="24"/>
          <w:szCs w:val="24"/>
        </w:rPr>
        <w:t>В помесячной динамике, н</w:t>
      </w:r>
      <w:r w:rsidR="00B620EF" w:rsidRPr="00F47EFD">
        <w:rPr>
          <w:rFonts w:ascii="Times New Roman" w:hAnsi="Times New Roman"/>
          <w:sz w:val="24"/>
          <w:szCs w:val="24"/>
        </w:rPr>
        <w:t>аметившееся восстановление экспортных поставок во второй половине года</w:t>
      </w:r>
      <w:r w:rsidR="001E38E2">
        <w:rPr>
          <w:rFonts w:ascii="Times New Roman" w:hAnsi="Times New Roman"/>
          <w:sz w:val="24"/>
          <w:szCs w:val="24"/>
        </w:rPr>
        <w:t>,</w:t>
      </w:r>
      <w:r w:rsidR="00B620EF" w:rsidRPr="00F47EFD">
        <w:rPr>
          <w:rFonts w:ascii="Times New Roman" w:hAnsi="Times New Roman"/>
          <w:sz w:val="24"/>
          <w:szCs w:val="24"/>
        </w:rPr>
        <w:t xml:space="preserve"> в</w:t>
      </w:r>
      <w:r w:rsidR="00B00831" w:rsidRPr="00F47EFD">
        <w:rPr>
          <w:rFonts w:ascii="Times New Roman" w:hAnsi="Times New Roman"/>
          <w:sz w:val="24"/>
          <w:szCs w:val="24"/>
        </w:rPr>
        <w:t xml:space="preserve"> </w:t>
      </w:r>
      <w:r w:rsidR="00455DEA" w:rsidRPr="00F47EFD">
        <w:rPr>
          <w:rFonts w:ascii="Times New Roman" w:hAnsi="Times New Roman"/>
          <w:sz w:val="24"/>
          <w:szCs w:val="24"/>
        </w:rPr>
        <w:t>декабр</w:t>
      </w:r>
      <w:r w:rsidR="00B00831" w:rsidRPr="00F47EFD">
        <w:rPr>
          <w:rFonts w:ascii="Times New Roman" w:hAnsi="Times New Roman"/>
          <w:sz w:val="24"/>
          <w:szCs w:val="24"/>
        </w:rPr>
        <w:t xml:space="preserve">е месяце </w:t>
      </w:r>
      <w:r w:rsidRPr="00F47EFD">
        <w:rPr>
          <w:rFonts w:ascii="Times New Roman" w:hAnsi="Times New Roman"/>
          <w:sz w:val="24"/>
          <w:szCs w:val="24"/>
        </w:rPr>
        <w:t>сменилось замедлением до 49,0 млн. долл., сложившись на 3,</w:t>
      </w:r>
      <w:r w:rsidR="00604D34" w:rsidRPr="00F47EFD">
        <w:rPr>
          <w:rFonts w:ascii="Times New Roman" w:hAnsi="Times New Roman"/>
          <w:sz w:val="24"/>
          <w:szCs w:val="24"/>
        </w:rPr>
        <w:t>2</w:t>
      </w:r>
      <w:r w:rsidRPr="00F47EFD">
        <w:rPr>
          <w:rFonts w:ascii="Times New Roman" w:hAnsi="Times New Roman"/>
          <w:sz w:val="24"/>
          <w:szCs w:val="24"/>
        </w:rPr>
        <w:t>% ниже объема экспортных поставок ноября месяца 2015 года</w:t>
      </w:r>
      <w:r w:rsidR="00604D34" w:rsidRPr="00F47EFD">
        <w:rPr>
          <w:rFonts w:ascii="Times New Roman" w:hAnsi="Times New Roman"/>
          <w:sz w:val="24"/>
          <w:szCs w:val="24"/>
        </w:rPr>
        <w:t>. Объемы импортных поставок в республику в декабре, напротив, расширились по отношению к параметрам ноября месяца на 29,8% до 96,4 млн. долл. Совокупный внешнеторговый оборот хозяйствующих субъектов в декабре 2015 года превысил показатель ноября на 16,4%.</w:t>
      </w:r>
    </w:p>
    <w:p w:rsidR="00B00831" w:rsidRPr="00F47EFD" w:rsidRDefault="00604D34" w:rsidP="00B008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EFD">
        <w:rPr>
          <w:rFonts w:ascii="Times New Roman" w:hAnsi="Times New Roman"/>
          <w:sz w:val="24"/>
          <w:szCs w:val="24"/>
        </w:rPr>
        <w:t>Ф</w:t>
      </w:r>
      <w:r w:rsidR="00B00831" w:rsidRPr="00F47EFD">
        <w:rPr>
          <w:rFonts w:ascii="Times New Roman" w:hAnsi="Times New Roman"/>
          <w:sz w:val="24"/>
          <w:szCs w:val="24"/>
        </w:rPr>
        <w:t>иксируем</w:t>
      </w:r>
      <w:r w:rsidRPr="00F47EFD">
        <w:rPr>
          <w:rFonts w:ascii="Times New Roman" w:hAnsi="Times New Roman"/>
          <w:sz w:val="24"/>
          <w:szCs w:val="24"/>
        </w:rPr>
        <w:t xml:space="preserve">ая динамика </w:t>
      </w:r>
      <w:r w:rsidR="00B00831" w:rsidRPr="00F47EFD">
        <w:rPr>
          <w:rFonts w:ascii="Times New Roman" w:hAnsi="Times New Roman"/>
          <w:sz w:val="24"/>
          <w:szCs w:val="24"/>
        </w:rPr>
        <w:t xml:space="preserve">внешнеэкономической деятельности хозяйствующих субъектов в </w:t>
      </w:r>
      <w:r w:rsidRPr="00F47EFD">
        <w:rPr>
          <w:rFonts w:ascii="Times New Roman" w:hAnsi="Times New Roman"/>
          <w:sz w:val="24"/>
          <w:szCs w:val="24"/>
        </w:rPr>
        <w:t>декабре</w:t>
      </w:r>
      <w:r w:rsidR="00B00831" w:rsidRPr="00F47EFD">
        <w:rPr>
          <w:rFonts w:ascii="Times New Roman" w:hAnsi="Times New Roman"/>
          <w:sz w:val="24"/>
          <w:szCs w:val="24"/>
        </w:rPr>
        <w:t xml:space="preserve"> 2015 года обеспечил</w:t>
      </w:r>
      <w:r w:rsidR="00F47EFD" w:rsidRPr="00F47EFD">
        <w:rPr>
          <w:rFonts w:ascii="Times New Roman" w:hAnsi="Times New Roman"/>
          <w:sz w:val="24"/>
          <w:szCs w:val="24"/>
        </w:rPr>
        <w:t>а</w:t>
      </w:r>
      <w:r w:rsidR="00B00831" w:rsidRPr="00F47EFD">
        <w:rPr>
          <w:rFonts w:ascii="Times New Roman" w:hAnsi="Times New Roman"/>
          <w:sz w:val="24"/>
          <w:szCs w:val="24"/>
        </w:rPr>
        <w:t xml:space="preserve"> покрытие параметров базовых показателей 2014 года экспорта на </w:t>
      </w:r>
      <w:r w:rsidR="00F47EFD" w:rsidRPr="00F47EFD">
        <w:rPr>
          <w:rFonts w:ascii="Times New Roman" w:hAnsi="Times New Roman"/>
          <w:sz w:val="24"/>
          <w:szCs w:val="24"/>
        </w:rPr>
        <w:t>22,4</w:t>
      </w:r>
      <w:r w:rsidR="00B00831" w:rsidRPr="00F47EFD">
        <w:rPr>
          <w:rFonts w:ascii="Times New Roman" w:hAnsi="Times New Roman"/>
          <w:sz w:val="24"/>
          <w:szCs w:val="24"/>
        </w:rPr>
        <w:t xml:space="preserve">%, а импорта на </w:t>
      </w:r>
      <w:r w:rsidR="00F47EFD" w:rsidRPr="00F47EFD">
        <w:rPr>
          <w:rFonts w:ascii="Times New Roman" w:hAnsi="Times New Roman"/>
          <w:sz w:val="24"/>
          <w:szCs w:val="24"/>
        </w:rPr>
        <w:t>62,4</w:t>
      </w:r>
      <w:r w:rsidR="00B00831" w:rsidRPr="00F47EFD">
        <w:rPr>
          <w:rFonts w:ascii="Times New Roman" w:hAnsi="Times New Roman"/>
          <w:sz w:val="24"/>
          <w:szCs w:val="24"/>
        </w:rPr>
        <w:t xml:space="preserve">%. В результате совокупный внешнеторговый оборот в </w:t>
      </w:r>
      <w:r w:rsidR="00F47EFD" w:rsidRPr="00F47EFD">
        <w:rPr>
          <w:rFonts w:ascii="Times New Roman" w:hAnsi="Times New Roman"/>
          <w:sz w:val="24"/>
          <w:szCs w:val="24"/>
        </w:rPr>
        <w:t xml:space="preserve">декабре 2015 </w:t>
      </w:r>
      <w:r w:rsidR="00B00831" w:rsidRPr="00F47EFD">
        <w:rPr>
          <w:rFonts w:ascii="Times New Roman" w:hAnsi="Times New Roman"/>
          <w:sz w:val="24"/>
          <w:szCs w:val="24"/>
        </w:rPr>
        <w:t xml:space="preserve">года на </w:t>
      </w:r>
      <w:r w:rsidR="00F47EFD" w:rsidRPr="00F47EFD">
        <w:rPr>
          <w:rFonts w:ascii="Times New Roman" w:hAnsi="Times New Roman"/>
          <w:sz w:val="24"/>
          <w:szCs w:val="24"/>
        </w:rPr>
        <w:t>25,2</w:t>
      </w:r>
      <w:r w:rsidR="00B00831" w:rsidRPr="00F47EFD">
        <w:rPr>
          <w:rFonts w:ascii="Times New Roman" w:hAnsi="Times New Roman"/>
          <w:sz w:val="24"/>
          <w:szCs w:val="24"/>
        </w:rPr>
        <w:t xml:space="preserve">% сложился ниже соответствующего показателя </w:t>
      </w:r>
      <w:r w:rsidR="00F47EFD" w:rsidRPr="00F47EFD">
        <w:rPr>
          <w:rFonts w:ascii="Times New Roman" w:hAnsi="Times New Roman"/>
          <w:sz w:val="24"/>
          <w:szCs w:val="24"/>
        </w:rPr>
        <w:t>2014 года</w:t>
      </w:r>
      <w:r w:rsidR="00B00831" w:rsidRPr="00F47EFD">
        <w:rPr>
          <w:rFonts w:ascii="Times New Roman" w:hAnsi="Times New Roman"/>
          <w:sz w:val="24"/>
          <w:szCs w:val="24"/>
        </w:rPr>
        <w:t>.</w:t>
      </w:r>
      <w:r w:rsidRPr="00F47EFD">
        <w:rPr>
          <w:rFonts w:ascii="Times New Roman" w:hAnsi="Times New Roman"/>
          <w:sz w:val="24"/>
          <w:szCs w:val="24"/>
        </w:rPr>
        <w:t xml:space="preserve"> </w:t>
      </w:r>
    </w:p>
    <w:p w:rsidR="00B00831" w:rsidRDefault="00B00831" w:rsidP="00B00831">
      <w:pPr>
        <w:pStyle w:val="a5"/>
      </w:pPr>
      <w:r w:rsidRPr="00F47EFD">
        <w:t>Товарная структура экспорта в рассматриваемом периоде на фоне неблагоприятной ценовой конъюнктуры на мировых рынках и недостаточном уровне спроса на отечественную продукцию характеризовалась следующим образом:</w:t>
      </w:r>
    </w:p>
    <w:p w:rsidR="005B4013" w:rsidRDefault="005B4013" w:rsidP="007116F7">
      <w:pPr>
        <w:pStyle w:val="a5"/>
        <w:jc w:val="center"/>
        <w:rPr>
          <w:b/>
        </w:rPr>
      </w:pPr>
    </w:p>
    <w:p w:rsidR="005B4013" w:rsidRDefault="005B4013" w:rsidP="007116F7">
      <w:pPr>
        <w:pStyle w:val="a5"/>
        <w:jc w:val="center"/>
        <w:rPr>
          <w:b/>
        </w:rPr>
      </w:pPr>
    </w:p>
    <w:p w:rsidR="007116F7" w:rsidRDefault="007116F7" w:rsidP="007116F7">
      <w:pPr>
        <w:pStyle w:val="a5"/>
        <w:jc w:val="center"/>
      </w:pPr>
      <w:r w:rsidRPr="00BF1D69">
        <w:rPr>
          <w:b/>
        </w:rPr>
        <w:lastRenderedPageBreak/>
        <w:t>Товарная структура экспорта, млн. долл. США</w:t>
      </w:r>
    </w:p>
    <w:p w:rsidR="00F47EFD" w:rsidRDefault="007116F7">
      <w:r w:rsidRPr="007116F7">
        <w:rPr>
          <w:noProof/>
        </w:rPr>
        <w:drawing>
          <wp:inline distT="0" distB="0" distL="0" distR="0">
            <wp:extent cx="5943600" cy="2266950"/>
            <wp:effectExtent l="0" t="0" r="0" b="0"/>
            <wp:docPr id="8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7EFD" w:rsidRPr="00950176" w:rsidRDefault="00F47EFD" w:rsidP="00F47EFD">
      <w:pPr>
        <w:pStyle w:val="a5"/>
      </w:pPr>
      <w:r w:rsidRPr="00950176">
        <w:t xml:space="preserve">В товарной структуре экспорта в обозначенном периоде лидирующую позицию при увеличении объема поставок на </w:t>
      </w:r>
      <w:r>
        <w:t>36,0</w:t>
      </w:r>
      <w:r w:rsidRPr="00950176">
        <w:t>% продолжали сохранять топливно-энергетические товары, их доля составила 37,</w:t>
      </w:r>
      <w:r>
        <w:t>2</w:t>
      </w:r>
      <w:r w:rsidRPr="00950176">
        <w:t>% от совокупного экспорта, расширившись на 13,</w:t>
      </w:r>
      <w:r w:rsidR="007116F7">
        <w:t>9</w:t>
      </w:r>
      <w:r w:rsidRPr="00950176">
        <w:t xml:space="preserve"> процентных пункта.</w:t>
      </w:r>
    </w:p>
    <w:p w:rsidR="00F47EFD" w:rsidRPr="00950176" w:rsidRDefault="00F47EFD" w:rsidP="00F47EFD">
      <w:pPr>
        <w:pStyle w:val="a5"/>
      </w:pPr>
      <w:r w:rsidRPr="00950176">
        <w:t>Второй компонентой по величине долевого участия в формировании совокупного объема экспорта в январе-</w:t>
      </w:r>
      <w:r>
        <w:t>декабре</w:t>
      </w:r>
      <w:r w:rsidRPr="00950176">
        <w:t xml:space="preserve"> </w:t>
      </w:r>
      <w:r>
        <w:t>2015</w:t>
      </w:r>
      <w:r w:rsidRPr="00950176">
        <w:t xml:space="preserve"> года выступ</w:t>
      </w:r>
      <w:r>
        <w:t>а</w:t>
      </w:r>
      <w:r w:rsidRPr="00950176">
        <w:t>ли металлы и изделия из них, удельный вес которых сузился до 21,</w:t>
      </w:r>
      <w:r>
        <w:t>3</w:t>
      </w:r>
      <w:r w:rsidRPr="00950176">
        <w:t>% против 3</w:t>
      </w:r>
      <w:r>
        <w:t>1,8</w:t>
      </w:r>
      <w:r w:rsidRPr="00950176">
        <w:t>% в январе-</w:t>
      </w:r>
      <w:r>
        <w:t>декабре</w:t>
      </w:r>
      <w:r w:rsidRPr="00950176">
        <w:t xml:space="preserve"> </w:t>
      </w:r>
      <w:r>
        <w:t>2014</w:t>
      </w:r>
      <w:r w:rsidRPr="00950176">
        <w:t xml:space="preserve"> года, при этом в денежном выражении </w:t>
      </w:r>
      <w:r>
        <w:t xml:space="preserve">из-за </w:t>
      </w:r>
      <w:r w:rsidR="00AE006E">
        <w:t>падения мировых цен на металлы ее</w:t>
      </w:r>
      <w:r w:rsidRPr="00950176">
        <w:t xml:space="preserve"> объем сократился на </w:t>
      </w:r>
      <w:r>
        <w:t>42,8</w:t>
      </w:r>
      <w:r w:rsidRPr="00950176">
        <w:t>%.</w:t>
      </w:r>
    </w:p>
    <w:p w:rsidR="00F47EFD" w:rsidRPr="00950176" w:rsidRDefault="00F47EFD" w:rsidP="00F47E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176">
        <w:rPr>
          <w:rFonts w:ascii="Times New Roman" w:eastAsia="Times New Roman" w:hAnsi="Times New Roman" w:cs="Times New Roman"/>
          <w:sz w:val="24"/>
          <w:szCs w:val="24"/>
        </w:rPr>
        <w:t>Неблагоприятная ситуация на внешних рынках, выразившаяся в падении спроса на текстильные материалы («-»</w:t>
      </w:r>
      <w:r w:rsidR="00AE006E">
        <w:rPr>
          <w:rFonts w:ascii="Times New Roman" w:eastAsia="Times New Roman" w:hAnsi="Times New Roman" w:cs="Times New Roman"/>
          <w:sz w:val="24"/>
          <w:szCs w:val="24"/>
        </w:rPr>
        <w:t>29,5</w:t>
      </w:r>
      <w:r w:rsidRPr="00950176">
        <w:rPr>
          <w:rFonts w:ascii="Times New Roman" w:eastAsia="Times New Roman" w:hAnsi="Times New Roman" w:cs="Times New Roman"/>
          <w:sz w:val="24"/>
          <w:szCs w:val="24"/>
        </w:rPr>
        <w:t>%), одежду («-»2</w:t>
      </w:r>
      <w:r w:rsidR="00AE006E">
        <w:rPr>
          <w:rFonts w:ascii="Times New Roman" w:eastAsia="Times New Roman" w:hAnsi="Times New Roman" w:cs="Times New Roman"/>
          <w:sz w:val="24"/>
          <w:szCs w:val="24"/>
        </w:rPr>
        <w:t>6,3</w:t>
      </w:r>
      <w:r w:rsidRPr="00950176">
        <w:rPr>
          <w:rFonts w:ascii="Times New Roman" w:eastAsia="Times New Roman" w:hAnsi="Times New Roman" w:cs="Times New Roman"/>
          <w:sz w:val="24"/>
          <w:szCs w:val="24"/>
        </w:rPr>
        <w:t>%), текстильные изделия («-»2</w:t>
      </w:r>
      <w:r w:rsidR="00AE006E">
        <w:rPr>
          <w:rFonts w:ascii="Times New Roman" w:eastAsia="Times New Roman" w:hAnsi="Times New Roman" w:cs="Times New Roman"/>
          <w:sz w:val="24"/>
          <w:szCs w:val="24"/>
        </w:rPr>
        <w:t>7,9</w:t>
      </w:r>
      <w:r w:rsidRPr="00950176">
        <w:rPr>
          <w:rFonts w:ascii="Times New Roman" w:eastAsia="Times New Roman" w:hAnsi="Times New Roman" w:cs="Times New Roman"/>
          <w:sz w:val="24"/>
          <w:szCs w:val="24"/>
        </w:rPr>
        <w:t>%), обувь («-»</w:t>
      </w:r>
      <w:r w:rsidR="00AE006E">
        <w:rPr>
          <w:rFonts w:ascii="Times New Roman" w:eastAsia="Times New Roman" w:hAnsi="Times New Roman" w:cs="Times New Roman"/>
          <w:sz w:val="24"/>
          <w:szCs w:val="24"/>
        </w:rPr>
        <w:t>18,5</w:t>
      </w:r>
      <w:r w:rsidRPr="00950176">
        <w:rPr>
          <w:rFonts w:ascii="Times New Roman" w:eastAsia="Times New Roman" w:hAnsi="Times New Roman" w:cs="Times New Roman"/>
          <w:sz w:val="24"/>
          <w:szCs w:val="24"/>
        </w:rPr>
        <w:t xml:space="preserve">%), обусловила сокращение совокупного объема экспорта товаров легкой промышленности </w:t>
      </w:r>
      <w:r w:rsidRPr="00950176">
        <w:rPr>
          <w:rFonts w:ascii="Times New Roman" w:hAnsi="Times New Roman" w:cs="Times New Roman"/>
          <w:sz w:val="24"/>
          <w:szCs w:val="24"/>
        </w:rPr>
        <w:t xml:space="preserve">на </w:t>
      </w:r>
      <w:r w:rsidR="00AE006E">
        <w:rPr>
          <w:rFonts w:ascii="Times New Roman" w:hAnsi="Times New Roman" w:cs="Times New Roman"/>
          <w:sz w:val="24"/>
          <w:szCs w:val="24"/>
        </w:rPr>
        <w:t>24,9</w:t>
      </w:r>
      <w:r w:rsidRPr="00950176">
        <w:rPr>
          <w:rFonts w:ascii="Times New Roman" w:hAnsi="Times New Roman" w:cs="Times New Roman"/>
          <w:sz w:val="24"/>
          <w:szCs w:val="24"/>
        </w:rPr>
        <w:t xml:space="preserve">% и </w:t>
      </w:r>
      <w:r w:rsidR="00AE006E">
        <w:rPr>
          <w:rFonts w:ascii="Times New Roman" w:hAnsi="Times New Roman" w:cs="Times New Roman"/>
          <w:sz w:val="24"/>
          <w:szCs w:val="24"/>
        </w:rPr>
        <w:t>предопределила</w:t>
      </w:r>
      <w:r w:rsidRPr="00950176">
        <w:rPr>
          <w:rFonts w:ascii="Times New Roman" w:hAnsi="Times New Roman" w:cs="Times New Roman"/>
          <w:sz w:val="24"/>
          <w:szCs w:val="24"/>
        </w:rPr>
        <w:t xml:space="preserve"> сокращение их долевого участия в товарной структуре экспорта на 2,</w:t>
      </w:r>
      <w:r w:rsidR="00AE006E">
        <w:rPr>
          <w:rFonts w:ascii="Times New Roman" w:hAnsi="Times New Roman" w:cs="Times New Roman"/>
          <w:sz w:val="24"/>
          <w:szCs w:val="24"/>
        </w:rPr>
        <w:t xml:space="preserve">3 </w:t>
      </w:r>
      <w:r w:rsidRPr="00950176">
        <w:rPr>
          <w:rFonts w:ascii="Times New Roman" w:hAnsi="Times New Roman" w:cs="Times New Roman"/>
          <w:sz w:val="24"/>
          <w:szCs w:val="24"/>
        </w:rPr>
        <w:t xml:space="preserve">процентных пункта до 16,9%. </w:t>
      </w:r>
    </w:p>
    <w:p w:rsidR="00F47EFD" w:rsidRPr="00950176" w:rsidRDefault="00F47EFD" w:rsidP="00F47EFD">
      <w:pPr>
        <w:pStyle w:val="a5"/>
      </w:pPr>
      <w:r w:rsidRPr="00950176">
        <w:t xml:space="preserve">Экспорт продовольствия в рассматриваемом периоде сократился на </w:t>
      </w:r>
      <w:r w:rsidR="00AE006E">
        <w:t>1</w:t>
      </w:r>
      <w:r w:rsidR="009A66F0">
        <w:t>2</w:t>
      </w:r>
      <w:r w:rsidR="00AE006E">
        <w:t>,8</w:t>
      </w:r>
      <w:r w:rsidRPr="00950176">
        <w:t xml:space="preserve">%, при этом </w:t>
      </w:r>
      <w:r w:rsidR="00AE006E">
        <w:t xml:space="preserve">на фоне более существенного </w:t>
      </w:r>
      <w:r w:rsidR="007902A1">
        <w:t>сужения</w:t>
      </w:r>
      <w:r w:rsidR="00AE006E">
        <w:t xml:space="preserve"> других составляющих отмечается незначительное расширение </w:t>
      </w:r>
      <w:r w:rsidR="007902A1">
        <w:t xml:space="preserve">(«+»0,3 процентных пункта) </w:t>
      </w:r>
      <w:r w:rsidRPr="00950176">
        <w:t>вклад</w:t>
      </w:r>
      <w:r w:rsidR="00AE006E">
        <w:t>а</w:t>
      </w:r>
      <w:r w:rsidRPr="00950176">
        <w:t xml:space="preserve"> данной товарной группы в структуре экспортных поставок до 13,</w:t>
      </w:r>
      <w:r w:rsidR="00AE006E">
        <w:t>8</w:t>
      </w:r>
      <w:r w:rsidR="007902A1">
        <w:t>%</w:t>
      </w:r>
      <w:r w:rsidRPr="00950176">
        <w:t xml:space="preserve"> против 13,</w:t>
      </w:r>
      <w:r w:rsidR="007902A1">
        <w:t>5</w:t>
      </w:r>
      <w:r w:rsidRPr="00950176">
        <w:t xml:space="preserve">% в аналогичном периоде </w:t>
      </w:r>
      <w:r w:rsidR="007902A1">
        <w:t>2014</w:t>
      </w:r>
      <w:r w:rsidRPr="00950176">
        <w:t xml:space="preserve"> года. </w:t>
      </w:r>
    </w:p>
    <w:p w:rsidR="009A66F0" w:rsidRDefault="009A66F0" w:rsidP="009A66F0">
      <w:pPr>
        <w:pStyle w:val="a5"/>
        <w:ind w:left="-567" w:firstLine="141"/>
      </w:pPr>
      <w:r w:rsidRPr="009A66F0">
        <w:rPr>
          <w:rFonts w:asciiTheme="minorHAnsi" w:hAnsiTheme="minorHAnsi" w:cstheme="minorBidi"/>
          <w:noProof/>
          <w:sz w:val="22"/>
        </w:rPr>
        <w:drawing>
          <wp:inline distT="0" distB="0" distL="0" distR="0">
            <wp:extent cx="6400800" cy="3295650"/>
            <wp:effectExtent l="0" t="0" r="0" b="0"/>
            <wp:docPr id="6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902A1" w:rsidRPr="00950176" w:rsidRDefault="007902A1" w:rsidP="009A66F0">
      <w:pPr>
        <w:pStyle w:val="a5"/>
      </w:pPr>
      <w:proofErr w:type="gramStart"/>
      <w:r w:rsidRPr="00950176">
        <w:lastRenderedPageBreak/>
        <w:t>Основными торговыми партнерами Приднестровья по экспортным поставкам в январе-</w:t>
      </w:r>
      <w:r w:rsidR="009A66F0">
        <w:t>декабре</w:t>
      </w:r>
      <w:r w:rsidRPr="00950176">
        <w:t xml:space="preserve"> 2015 года были Республика Молдова (49,</w:t>
      </w:r>
      <w:r w:rsidR="004F55C0">
        <w:t>1</w:t>
      </w:r>
      <w:r w:rsidRPr="00950176">
        <w:t>% совокупного экспорта, «+»</w:t>
      </w:r>
      <w:r w:rsidR="00491874">
        <w:t>7,6</w:t>
      </w:r>
      <w:r w:rsidRPr="00950176">
        <w:t>% к уровню января-</w:t>
      </w:r>
      <w:r w:rsidR="00B739AD">
        <w:t>декабря</w:t>
      </w:r>
      <w:r w:rsidRPr="00950176">
        <w:t xml:space="preserve"> 2014 года), Румыния (15,</w:t>
      </w:r>
      <w:r w:rsidR="00B739AD">
        <w:t>5</w:t>
      </w:r>
      <w:r w:rsidRPr="00950176">
        <w:t>%, «+»</w:t>
      </w:r>
      <w:r w:rsidR="00491874">
        <w:t>16,8</w:t>
      </w:r>
      <w:r w:rsidRPr="00950176">
        <w:t>% к уровню января-</w:t>
      </w:r>
      <w:r w:rsidR="00491874">
        <w:t>декабря</w:t>
      </w:r>
      <w:r w:rsidRPr="00950176">
        <w:t xml:space="preserve"> 2014 года), Российская Федерация (7,</w:t>
      </w:r>
      <w:r w:rsidR="00491874">
        <w:t>8</w:t>
      </w:r>
      <w:r w:rsidRPr="00950176">
        <w:t>%, «-»5</w:t>
      </w:r>
      <w:r w:rsidR="00491874">
        <w:t>2</w:t>
      </w:r>
      <w:r w:rsidRPr="00950176">
        <w:t>,</w:t>
      </w:r>
      <w:r w:rsidR="00491874">
        <w:t>7</w:t>
      </w:r>
      <w:r w:rsidRPr="00950176">
        <w:t>% к уровню января-</w:t>
      </w:r>
      <w:r w:rsidR="00491874">
        <w:t>декабря</w:t>
      </w:r>
      <w:r w:rsidRPr="00950176">
        <w:t xml:space="preserve"> 2014 года), Украина (8,</w:t>
      </w:r>
      <w:r w:rsidR="00491874">
        <w:t>4</w:t>
      </w:r>
      <w:r w:rsidRPr="00950176">
        <w:t>%, «+»</w:t>
      </w:r>
      <w:r w:rsidR="00491874">
        <w:t>8,1</w:t>
      </w:r>
      <w:r w:rsidRPr="00950176">
        <w:t>% к уровню января-</w:t>
      </w:r>
      <w:r w:rsidR="00491874">
        <w:t>декабря</w:t>
      </w:r>
      <w:r w:rsidRPr="00950176">
        <w:t xml:space="preserve"> 2014 года), Италия (6,</w:t>
      </w:r>
      <w:r w:rsidR="001B341E">
        <w:t>5</w:t>
      </w:r>
      <w:r w:rsidRPr="00950176">
        <w:t>%, «-»2</w:t>
      </w:r>
      <w:r w:rsidR="001B341E">
        <w:t>7</w:t>
      </w:r>
      <w:r w:rsidRPr="00950176">
        <w:t>,4% к уровню января-</w:t>
      </w:r>
      <w:r w:rsidR="001B341E">
        <w:t>декабря</w:t>
      </w:r>
      <w:r w:rsidRPr="00950176">
        <w:t xml:space="preserve"> 2014 года), Германия (5,0%, «-»</w:t>
      </w:r>
      <w:r w:rsidR="001B341E">
        <w:t>1</w:t>
      </w:r>
      <w:r w:rsidRPr="00950176">
        <w:t>,6% к</w:t>
      </w:r>
      <w:proofErr w:type="gramEnd"/>
      <w:r w:rsidRPr="00950176">
        <w:t xml:space="preserve"> уровню января-</w:t>
      </w:r>
      <w:r w:rsidR="001B341E">
        <w:t>декабря</w:t>
      </w:r>
      <w:r w:rsidRPr="00950176">
        <w:t xml:space="preserve"> 2014 года).</w:t>
      </w:r>
    </w:p>
    <w:p w:rsidR="007902A1" w:rsidRPr="00950176" w:rsidRDefault="007902A1" w:rsidP="007902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0176">
        <w:rPr>
          <w:rFonts w:ascii="Times New Roman" w:hAnsi="Times New Roman"/>
          <w:sz w:val="24"/>
          <w:szCs w:val="24"/>
        </w:rPr>
        <w:t>Динамика и структурные составляющие импорта товаров в республику в                   январе-</w:t>
      </w:r>
      <w:r w:rsidR="001B341E">
        <w:rPr>
          <w:rFonts w:ascii="Times New Roman" w:hAnsi="Times New Roman"/>
          <w:sz w:val="24"/>
          <w:szCs w:val="24"/>
        </w:rPr>
        <w:t>декабре</w:t>
      </w:r>
      <w:r w:rsidRPr="00950176">
        <w:rPr>
          <w:rFonts w:ascii="Times New Roman" w:hAnsi="Times New Roman"/>
          <w:sz w:val="24"/>
          <w:szCs w:val="24"/>
        </w:rPr>
        <w:t xml:space="preserve"> 2015 года</w:t>
      </w:r>
      <w:r w:rsidRPr="00950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176">
        <w:rPr>
          <w:rFonts w:ascii="Times New Roman" w:hAnsi="Times New Roman"/>
          <w:sz w:val="24"/>
          <w:szCs w:val="24"/>
        </w:rPr>
        <w:t>определялись</w:t>
      </w:r>
      <w:r w:rsidRPr="00950176">
        <w:rPr>
          <w:rFonts w:ascii="Times New Roman" w:eastAsia="Times New Roman" w:hAnsi="Times New Roman" w:cs="Times New Roman"/>
          <w:sz w:val="24"/>
          <w:szCs w:val="24"/>
        </w:rPr>
        <w:t xml:space="preserve"> влиянием внешних негативных факторов и сложными внутренними условиями функционирования</w:t>
      </w:r>
      <w:r w:rsidRPr="00950176">
        <w:rPr>
          <w:rFonts w:ascii="Times New Roman" w:hAnsi="Times New Roman"/>
          <w:sz w:val="24"/>
          <w:szCs w:val="24"/>
        </w:rPr>
        <w:t xml:space="preserve"> хозяйствующих субъектов.</w:t>
      </w:r>
    </w:p>
    <w:p w:rsidR="003B1024" w:rsidRPr="00670102" w:rsidRDefault="00670102" w:rsidP="006701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102">
        <w:rPr>
          <w:rFonts w:ascii="Times New Roman" w:eastAsia="Times New Roman" w:hAnsi="Times New Roman" w:cs="Times New Roman"/>
          <w:sz w:val="24"/>
          <w:szCs w:val="24"/>
        </w:rPr>
        <w:t>Наиболее крупной товарной позицией в</w:t>
      </w:r>
      <w:r w:rsidRPr="00670102">
        <w:rPr>
          <w:rFonts w:ascii="Times New Roman" w:hAnsi="Times New Roman" w:cs="Times New Roman"/>
          <w:sz w:val="24"/>
          <w:szCs w:val="24"/>
        </w:rPr>
        <w:t xml:space="preserve"> структуре импорта</w:t>
      </w:r>
      <w:r w:rsidRPr="00670102">
        <w:rPr>
          <w:rFonts w:ascii="Times New Roman" w:eastAsia="Times New Roman" w:hAnsi="Times New Roman" w:cs="Times New Roman"/>
          <w:sz w:val="24"/>
          <w:szCs w:val="24"/>
        </w:rPr>
        <w:t xml:space="preserve"> в рассматриваемом периоде традиционно оставались топливно-энергетические товары</w:t>
      </w:r>
      <w:r w:rsidR="003B1024" w:rsidRPr="00670102">
        <w:rPr>
          <w:rFonts w:ascii="Times New Roman" w:hAnsi="Times New Roman" w:cs="Times New Roman"/>
          <w:sz w:val="24"/>
          <w:szCs w:val="24"/>
        </w:rPr>
        <w:t xml:space="preserve">, </w:t>
      </w:r>
      <w:r w:rsidRPr="00670102">
        <w:rPr>
          <w:rFonts w:ascii="Times New Roman" w:hAnsi="Times New Roman" w:cs="Times New Roman"/>
          <w:sz w:val="24"/>
          <w:szCs w:val="24"/>
        </w:rPr>
        <w:t xml:space="preserve">расширив долевое представительство </w:t>
      </w:r>
      <w:r w:rsidR="003B1024" w:rsidRPr="00670102">
        <w:rPr>
          <w:rFonts w:ascii="Times New Roman" w:hAnsi="Times New Roman" w:cs="Times New Roman"/>
          <w:sz w:val="24"/>
          <w:szCs w:val="24"/>
        </w:rPr>
        <w:t>до 50,5% против 46,3% в январе – декабре 2014 года, в абсолютной величине их объем сократился на 24,0%.</w:t>
      </w:r>
    </w:p>
    <w:p w:rsidR="007902A1" w:rsidRPr="00103FAC" w:rsidRDefault="007902A1" w:rsidP="00790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FAC">
        <w:rPr>
          <w:rFonts w:ascii="Times New Roman" w:eastAsia="Times New Roman" w:hAnsi="Times New Roman" w:cs="Times New Roman"/>
          <w:sz w:val="24"/>
          <w:szCs w:val="24"/>
        </w:rPr>
        <w:t xml:space="preserve">Снижение производственной активности и экспортной деятельности ОАО «Молдавский металлургический завод» </w:t>
      </w:r>
      <w:r w:rsidR="003B1024" w:rsidRPr="00103FAC">
        <w:rPr>
          <w:rFonts w:ascii="Times New Roman" w:eastAsia="Times New Roman" w:hAnsi="Times New Roman" w:cs="Times New Roman"/>
          <w:sz w:val="24"/>
          <w:szCs w:val="24"/>
        </w:rPr>
        <w:t>предопределило</w:t>
      </w:r>
      <w:r w:rsidRPr="00103FAC">
        <w:rPr>
          <w:rFonts w:ascii="Times New Roman" w:eastAsia="Times New Roman" w:hAnsi="Times New Roman" w:cs="Times New Roman"/>
          <w:sz w:val="24"/>
          <w:szCs w:val="24"/>
        </w:rPr>
        <w:t xml:space="preserve"> сокращение потребности предприятия в сырьевых материалах</w:t>
      </w:r>
      <w:r w:rsidR="00103FAC">
        <w:rPr>
          <w:rFonts w:ascii="Times New Roman" w:eastAsia="Times New Roman" w:hAnsi="Times New Roman" w:cs="Times New Roman"/>
          <w:sz w:val="24"/>
          <w:szCs w:val="24"/>
        </w:rPr>
        <w:t xml:space="preserve">. В целом совокупная стоимость </w:t>
      </w:r>
      <w:r w:rsidRPr="00103FAC">
        <w:rPr>
          <w:rFonts w:ascii="Times New Roman" w:eastAsia="Times New Roman" w:hAnsi="Times New Roman" w:cs="Times New Roman"/>
          <w:sz w:val="24"/>
          <w:szCs w:val="24"/>
        </w:rPr>
        <w:t>приобретённых за границей металлов и изделий из них в январе-</w:t>
      </w:r>
      <w:r w:rsidR="003B1024" w:rsidRPr="00103FAC">
        <w:rPr>
          <w:rFonts w:ascii="Times New Roman" w:eastAsia="Times New Roman" w:hAnsi="Times New Roman" w:cs="Times New Roman"/>
          <w:sz w:val="24"/>
          <w:szCs w:val="24"/>
        </w:rPr>
        <w:t>декабре 2015</w:t>
      </w:r>
      <w:r w:rsidRPr="00103FAC">
        <w:rPr>
          <w:rFonts w:ascii="Times New Roman" w:eastAsia="Times New Roman" w:hAnsi="Times New Roman" w:cs="Times New Roman"/>
          <w:sz w:val="24"/>
          <w:szCs w:val="24"/>
        </w:rPr>
        <w:t xml:space="preserve"> года уступила базисному значению 27,</w:t>
      </w:r>
      <w:r w:rsidR="003B1024" w:rsidRPr="00103FA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03FAC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Pr="00103FAC">
        <w:rPr>
          <w:rFonts w:ascii="Times New Roman" w:hAnsi="Times New Roman" w:cs="Times New Roman"/>
          <w:sz w:val="24"/>
          <w:szCs w:val="24"/>
        </w:rPr>
        <w:t xml:space="preserve">но на фоне более активного сокращения других составляющих импорта долевое представительство в товарной структуре данной компоненты расширилось до </w:t>
      </w:r>
      <w:r w:rsidR="009C42F1" w:rsidRPr="00103FAC">
        <w:rPr>
          <w:rFonts w:ascii="Times New Roman" w:hAnsi="Times New Roman" w:cs="Times New Roman"/>
          <w:sz w:val="24"/>
          <w:szCs w:val="24"/>
        </w:rPr>
        <w:t xml:space="preserve">11,9% </w:t>
      </w:r>
      <w:r w:rsidRPr="00103FAC">
        <w:rPr>
          <w:rFonts w:ascii="Times New Roman" w:hAnsi="Times New Roman" w:cs="Times New Roman"/>
          <w:sz w:val="24"/>
          <w:szCs w:val="24"/>
        </w:rPr>
        <w:t xml:space="preserve"> против</w:t>
      </w:r>
      <w:r w:rsidR="009C42F1">
        <w:rPr>
          <w:rFonts w:ascii="Times New Roman" w:hAnsi="Times New Roman" w:cs="Times New Roman"/>
          <w:sz w:val="24"/>
          <w:szCs w:val="24"/>
        </w:rPr>
        <w:t>11,5%</w:t>
      </w:r>
      <w:r w:rsidRPr="00103FAC">
        <w:rPr>
          <w:rFonts w:ascii="Times New Roman" w:hAnsi="Times New Roman" w:cs="Times New Roman"/>
          <w:sz w:val="24"/>
          <w:szCs w:val="24"/>
        </w:rPr>
        <w:t xml:space="preserve"> в базовом периоде 2014 года.</w:t>
      </w:r>
    </w:p>
    <w:p w:rsidR="007902A1" w:rsidRPr="00A4323A" w:rsidRDefault="007902A1" w:rsidP="00790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176">
        <w:rPr>
          <w:rFonts w:ascii="Times New Roman" w:hAnsi="Times New Roman" w:cs="Times New Roman"/>
          <w:sz w:val="24"/>
          <w:szCs w:val="24"/>
        </w:rPr>
        <w:t>В январе-</w:t>
      </w:r>
      <w:r w:rsidR="00670102">
        <w:rPr>
          <w:rFonts w:ascii="Times New Roman" w:hAnsi="Times New Roman" w:cs="Times New Roman"/>
          <w:sz w:val="24"/>
          <w:szCs w:val="24"/>
        </w:rPr>
        <w:t xml:space="preserve">декабре </w:t>
      </w:r>
      <w:r w:rsidRPr="00950176">
        <w:rPr>
          <w:rFonts w:ascii="Times New Roman" w:hAnsi="Times New Roman" w:cs="Times New Roman"/>
          <w:sz w:val="24"/>
          <w:szCs w:val="24"/>
        </w:rPr>
        <w:t>2015 года</w:t>
      </w:r>
      <w:r w:rsidRPr="00950176">
        <w:rPr>
          <w:rFonts w:ascii="Times New Roman" w:eastAsia="Times New Roman" w:hAnsi="Times New Roman" w:cs="Times New Roman"/>
          <w:sz w:val="24"/>
          <w:szCs w:val="24"/>
        </w:rPr>
        <w:t xml:space="preserve"> на фоне существенной девальвации национальных валют в основных странах-поставщиках в совокупности с падением покупательной активности населения, импорт </w:t>
      </w:r>
      <w:r w:rsidRPr="00950176">
        <w:rPr>
          <w:rFonts w:ascii="Times New Roman" w:hAnsi="Times New Roman" w:cs="Times New Roman"/>
          <w:sz w:val="24"/>
          <w:szCs w:val="24"/>
        </w:rPr>
        <w:t xml:space="preserve">продовольственных товаров (сырье) сократился на </w:t>
      </w:r>
      <w:r w:rsidR="00670102">
        <w:rPr>
          <w:rFonts w:ascii="Times New Roman" w:hAnsi="Times New Roman" w:cs="Times New Roman"/>
          <w:sz w:val="24"/>
          <w:szCs w:val="24"/>
        </w:rPr>
        <w:t>40,6</w:t>
      </w:r>
      <w:r w:rsidRPr="00950176">
        <w:rPr>
          <w:rFonts w:ascii="Times New Roman" w:hAnsi="Times New Roman" w:cs="Times New Roman"/>
          <w:sz w:val="24"/>
          <w:szCs w:val="24"/>
        </w:rPr>
        <w:t xml:space="preserve">%, обеспечив в товарной структуре </w:t>
      </w:r>
      <w:r w:rsidRPr="00950176">
        <w:rPr>
          <w:rFonts w:ascii="Times New Roman" w:eastAsia="Times New Roman" w:hAnsi="Times New Roman" w:cs="Times New Roman"/>
          <w:sz w:val="24"/>
          <w:szCs w:val="24"/>
        </w:rPr>
        <w:t>8,</w:t>
      </w:r>
      <w:r w:rsidR="0067010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50176">
        <w:rPr>
          <w:rFonts w:ascii="Times New Roman" w:eastAsia="Times New Roman" w:hAnsi="Times New Roman" w:cs="Times New Roman"/>
          <w:sz w:val="24"/>
          <w:szCs w:val="24"/>
        </w:rPr>
        <w:t xml:space="preserve">% всех поставок против </w:t>
      </w:r>
      <w:r w:rsidR="00670102">
        <w:rPr>
          <w:rFonts w:ascii="Times New Roman" w:eastAsia="Times New Roman" w:hAnsi="Times New Roman" w:cs="Times New Roman"/>
          <w:sz w:val="24"/>
          <w:szCs w:val="24"/>
        </w:rPr>
        <w:t>10,3</w:t>
      </w:r>
      <w:r w:rsidRPr="00950176">
        <w:rPr>
          <w:rFonts w:ascii="Times New Roman" w:eastAsia="Times New Roman" w:hAnsi="Times New Roman" w:cs="Times New Roman"/>
          <w:sz w:val="24"/>
          <w:szCs w:val="24"/>
        </w:rPr>
        <w:t>% в январе-</w:t>
      </w:r>
      <w:r w:rsidR="00670102">
        <w:rPr>
          <w:rFonts w:ascii="Times New Roman" w:eastAsia="Times New Roman" w:hAnsi="Times New Roman" w:cs="Times New Roman"/>
          <w:sz w:val="24"/>
          <w:szCs w:val="24"/>
        </w:rPr>
        <w:t>декабре</w:t>
      </w:r>
      <w:r w:rsidRPr="00950176">
        <w:rPr>
          <w:rFonts w:ascii="Times New Roman" w:eastAsia="Times New Roman" w:hAnsi="Times New Roman" w:cs="Times New Roman"/>
          <w:sz w:val="24"/>
          <w:szCs w:val="24"/>
        </w:rPr>
        <w:t xml:space="preserve"> 2014 года. </w:t>
      </w:r>
    </w:p>
    <w:p w:rsidR="007902A1" w:rsidRPr="00A4323A" w:rsidRDefault="007902A1" w:rsidP="00790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323A">
        <w:rPr>
          <w:rFonts w:ascii="Times New Roman" w:eastAsia="Times New Roman" w:hAnsi="Times New Roman" w:cs="Times New Roman"/>
          <w:sz w:val="24"/>
          <w:szCs w:val="24"/>
        </w:rPr>
        <w:t xml:space="preserve">В числе статей импорта, отстающих от базисных параметров </w:t>
      </w:r>
      <w:r w:rsidR="00670102" w:rsidRPr="00A4323A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A4323A">
        <w:rPr>
          <w:rFonts w:ascii="Times New Roman" w:eastAsia="Times New Roman" w:hAnsi="Times New Roman" w:cs="Times New Roman"/>
          <w:sz w:val="24"/>
          <w:szCs w:val="24"/>
        </w:rPr>
        <w:t xml:space="preserve"> года, также фигурирует машиностроительная продукция, з</w:t>
      </w:r>
      <w:r w:rsidRPr="00A4323A">
        <w:rPr>
          <w:rFonts w:ascii="Times New Roman" w:hAnsi="Times New Roman" w:cs="Times New Roman"/>
          <w:sz w:val="24"/>
          <w:szCs w:val="24"/>
        </w:rPr>
        <w:t>акупки которой в январе-</w:t>
      </w:r>
      <w:r w:rsidR="00AE4799" w:rsidRPr="00A4323A">
        <w:rPr>
          <w:rFonts w:ascii="Times New Roman" w:hAnsi="Times New Roman" w:cs="Times New Roman"/>
          <w:sz w:val="24"/>
          <w:szCs w:val="24"/>
        </w:rPr>
        <w:t xml:space="preserve">декабре </w:t>
      </w:r>
      <w:r w:rsidRPr="00A4323A">
        <w:rPr>
          <w:rFonts w:ascii="Times New Roman" w:hAnsi="Times New Roman" w:cs="Times New Roman"/>
          <w:sz w:val="24"/>
          <w:szCs w:val="24"/>
        </w:rPr>
        <w:t>2015 года сократились на 3</w:t>
      </w:r>
      <w:r w:rsidR="00AE4799" w:rsidRPr="00A4323A">
        <w:rPr>
          <w:rFonts w:ascii="Times New Roman" w:hAnsi="Times New Roman" w:cs="Times New Roman"/>
          <w:sz w:val="24"/>
          <w:szCs w:val="24"/>
        </w:rPr>
        <w:t>3</w:t>
      </w:r>
      <w:r w:rsidRPr="00A4323A">
        <w:rPr>
          <w:rFonts w:ascii="Times New Roman" w:hAnsi="Times New Roman" w:cs="Times New Roman"/>
          <w:sz w:val="24"/>
          <w:szCs w:val="24"/>
        </w:rPr>
        <w:t>,</w:t>
      </w:r>
      <w:r w:rsidR="00AE4799" w:rsidRPr="00A4323A">
        <w:rPr>
          <w:rFonts w:ascii="Times New Roman" w:hAnsi="Times New Roman" w:cs="Times New Roman"/>
          <w:sz w:val="24"/>
          <w:szCs w:val="24"/>
        </w:rPr>
        <w:t>9</w:t>
      </w:r>
      <w:r w:rsidRPr="00A4323A">
        <w:rPr>
          <w:rFonts w:ascii="Times New Roman" w:hAnsi="Times New Roman" w:cs="Times New Roman"/>
          <w:sz w:val="24"/>
          <w:szCs w:val="24"/>
        </w:rPr>
        <w:t>%, а долевое представительство в товарной структуре импорта сузилось на 0,</w:t>
      </w:r>
      <w:r w:rsidR="00AE4799" w:rsidRPr="00A4323A">
        <w:rPr>
          <w:rFonts w:ascii="Times New Roman" w:hAnsi="Times New Roman" w:cs="Times New Roman"/>
          <w:sz w:val="24"/>
          <w:szCs w:val="24"/>
        </w:rPr>
        <w:t>55</w:t>
      </w:r>
      <w:r w:rsidRPr="00A4323A">
        <w:rPr>
          <w:rFonts w:ascii="Times New Roman" w:hAnsi="Times New Roman" w:cs="Times New Roman"/>
          <w:sz w:val="24"/>
          <w:szCs w:val="24"/>
        </w:rPr>
        <w:t xml:space="preserve"> процентных пункта до </w:t>
      </w:r>
      <w:r w:rsidR="00AE4799" w:rsidRPr="00A4323A">
        <w:rPr>
          <w:rFonts w:ascii="Times New Roman" w:hAnsi="Times New Roman" w:cs="Times New Roman"/>
          <w:sz w:val="24"/>
          <w:szCs w:val="24"/>
        </w:rPr>
        <w:t>10,4</w:t>
      </w:r>
      <w:r w:rsidRPr="00A4323A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902A1" w:rsidRPr="00950176" w:rsidRDefault="007902A1" w:rsidP="007902A1">
      <w:pPr>
        <w:pStyle w:val="a5"/>
      </w:pPr>
      <w:r w:rsidRPr="00950176">
        <w:t>На фоне сокращения в январе-</w:t>
      </w:r>
      <w:r w:rsidR="00AE4799">
        <w:t>декабре</w:t>
      </w:r>
      <w:r w:rsidRPr="00950176">
        <w:t xml:space="preserve"> 2015 года объема импортных поставок товаров легкой промышленности на </w:t>
      </w:r>
      <w:r w:rsidR="00AE4799">
        <w:t>25,5</w:t>
      </w:r>
      <w:r w:rsidRPr="00950176">
        <w:t xml:space="preserve">% их долевое представительство в товарной структуре </w:t>
      </w:r>
      <w:r w:rsidR="00AE4799">
        <w:t xml:space="preserve">расширилось на 0,2 процентных пункта по отношению к </w:t>
      </w:r>
      <w:r w:rsidR="00AE4799" w:rsidRPr="00950176">
        <w:t>сопоставимо</w:t>
      </w:r>
      <w:r w:rsidR="00AE4799">
        <w:t>му</w:t>
      </w:r>
      <w:r w:rsidR="00AE4799" w:rsidRPr="00950176">
        <w:t xml:space="preserve"> </w:t>
      </w:r>
      <w:r w:rsidRPr="00950176">
        <w:t>уровн</w:t>
      </w:r>
      <w:r w:rsidR="00AE4799">
        <w:t>ю</w:t>
      </w:r>
      <w:r w:rsidRPr="00950176">
        <w:t xml:space="preserve"> 2014 года, обеспечив </w:t>
      </w:r>
      <w:r w:rsidR="00AE4799">
        <w:t>4,0</w:t>
      </w:r>
      <w:r w:rsidRPr="00950176">
        <w:t>% всех ввезенных товаров (в январе-</w:t>
      </w:r>
      <w:r w:rsidR="00AE4799">
        <w:t>декабре</w:t>
      </w:r>
      <w:r w:rsidRPr="00950176">
        <w:t xml:space="preserve"> 2014 года </w:t>
      </w:r>
      <w:r w:rsidR="00AE4799">
        <w:t>3,</w:t>
      </w:r>
      <w:r w:rsidR="0083211A">
        <w:t>8</w:t>
      </w:r>
      <w:r w:rsidRPr="00950176">
        <w:t>%).</w:t>
      </w:r>
    </w:p>
    <w:p w:rsidR="007902A1" w:rsidRDefault="00AE4799">
      <w:r w:rsidRPr="00AE4799">
        <w:rPr>
          <w:noProof/>
        </w:rPr>
        <w:drawing>
          <wp:inline distT="0" distB="0" distL="0" distR="0">
            <wp:extent cx="5940425" cy="2484697"/>
            <wp:effectExtent l="0" t="0" r="0" b="0"/>
            <wp:docPr id="10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3211A" w:rsidRPr="00BF1D69" w:rsidRDefault="0083211A" w:rsidP="0083211A">
      <w:pPr>
        <w:pStyle w:val="a5"/>
      </w:pPr>
      <w:r w:rsidRPr="00BF1D69">
        <w:rPr>
          <w:color w:val="000000"/>
        </w:rPr>
        <w:t xml:space="preserve">Главными представителями по импортным поставкам в обозначенном периоде выступали контрагенты </w:t>
      </w:r>
      <w:r w:rsidRPr="00BF1D69">
        <w:t>Российской Федерации (</w:t>
      </w:r>
      <w:r>
        <w:t>51,6</w:t>
      </w:r>
      <w:r w:rsidRPr="00BF1D69">
        <w:t>% совокупного импорта, «-»</w:t>
      </w:r>
      <w:r>
        <w:t>22,7</w:t>
      </w:r>
      <w:r w:rsidRPr="00BF1D69">
        <w:t xml:space="preserve">% к </w:t>
      </w:r>
      <w:r w:rsidRPr="00BF1D69">
        <w:lastRenderedPageBreak/>
        <w:t>уровню базового показателя 2014 года), Украины (14,</w:t>
      </w:r>
      <w:r>
        <w:t>2</w:t>
      </w:r>
      <w:r w:rsidRPr="00BF1D69">
        <w:t>%, «-»2</w:t>
      </w:r>
      <w:r>
        <w:t>1</w:t>
      </w:r>
      <w:r w:rsidRPr="00BF1D69">
        <w:t>,</w:t>
      </w:r>
      <w:r>
        <w:t>0</w:t>
      </w:r>
      <w:r w:rsidRPr="00BF1D69">
        <w:t>%), Республики Молдова (6,</w:t>
      </w:r>
      <w:r>
        <w:t>8</w:t>
      </w:r>
      <w:r w:rsidRPr="00BF1D69">
        <w:t>%, «-»3</w:t>
      </w:r>
      <w:r>
        <w:t>4,0</w:t>
      </w:r>
      <w:r w:rsidRPr="00BF1D69">
        <w:t>%), Республики Беларусь (4,</w:t>
      </w:r>
      <w:r>
        <w:t>3</w:t>
      </w:r>
      <w:r w:rsidRPr="00BF1D69">
        <w:t>%, «-»6</w:t>
      </w:r>
      <w:r>
        <w:t>3,7</w:t>
      </w:r>
      <w:r w:rsidRPr="00BF1D69">
        <w:t>%), Германии (</w:t>
      </w:r>
      <w:r>
        <w:t>4,1</w:t>
      </w:r>
      <w:r w:rsidRPr="00BF1D69">
        <w:t>%, «-»4</w:t>
      </w:r>
      <w:r>
        <w:t>4</w:t>
      </w:r>
      <w:r w:rsidRPr="00BF1D69">
        <w:t>,</w:t>
      </w:r>
      <w:r>
        <w:t>7</w:t>
      </w:r>
      <w:r w:rsidRPr="00BF1D69">
        <w:t>%), Италия (2,</w:t>
      </w:r>
      <w:r>
        <w:t>2</w:t>
      </w:r>
      <w:r w:rsidRPr="00BF1D69">
        <w:t>%, «-»4</w:t>
      </w:r>
      <w:r>
        <w:t>4</w:t>
      </w:r>
      <w:r w:rsidRPr="00BF1D69">
        <w:t>,</w:t>
      </w:r>
      <w:r>
        <w:t>9</w:t>
      </w:r>
      <w:r w:rsidRPr="00BF1D69">
        <w:t>%), Польша (</w:t>
      </w:r>
      <w:r>
        <w:t>2,0</w:t>
      </w:r>
      <w:r w:rsidRPr="00BF1D69">
        <w:t>%, «-»</w:t>
      </w:r>
      <w:r>
        <w:t>3</w:t>
      </w:r>
      <w:r w:rsidRPr="00BF1D69">
        <w:t>3,</w:t>
      </w:r>
      <w:r>
        <w:t>3</w:t>
      </w:r>
      <w:r w:rsidRPr="00BF1D69">
        <w:t>%).</w:t>
      </w:r>
    </w:p>
    <w:p w:rsidR="007902A1" w:rsidRDefault="0083211A" w:rsidP="0083211A">
      <w:pPr>
        <w:ind w:left="-426"/>
      </w:pPr>
      <w:r w:rsidRPr="0083211A">
        <w:rPr>
          <w:noProof/>
        </w:rPr>
        <w:drawing>
          <wp:inline distT="0" distB="0" distL="0" distR="0">
            <wp:extent cx="6515100" cy="3562350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1101" w:rsidRPr="005B4013" w:rsidRDefault="00E71101" w:rsidP="00E71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B4013">
        <w:rPr>
          <w:rFonts w:ascii="Times New Roman" w:hAnsi="Times New Roman"/>
          <w:sz w:val="24"/>
          <w:szCs w:val="24"/>
          <w:u w:val="single"/>
        </w:rPr>
        <w:t>Инфляционные процессы</w:t>
      </w:r>
    </w:p>
    <w:p w:rsidR="00E71101" w:rsidRPr="005B4013" w:rsidRDefault="00E71101" w:rsidP="00E71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4013">
        <w:rPr>
          <w:rFonts w:ascii="Times New Roman" w:hAnsi="Times New Roman"/>
          <w:sz w:val="24"/>
          <w:szCs w:val="24"/>
        </w:rPr>
        <w:t xml:space="preserve">На протяжении всего 2015 года на потребительском рынке республики сохранялось перманентное снижение цен, за исключением сезонного повышения стоимости товаров и услуг в мае («+»0,37%), июне («+»0,80%), а также в сентябре («+»0,42%) и октябре («+»0,67%). </w:t>
      </w:r>
      <w:r w:rsidRPr="005B4013">
        <w:rPr>
          <w:rStyle w:val="aa"/>
          <w:sz w:val="24"/>
          <w:szCs w:val="24"/>
        </w:rPr>
        <w:t xml:space="preserve">В целом сводный индекс потребительских цен (инфляция) </w:t>
      </w:r>
      <w:r w:rsidRPr="005B4013">
        <w:rPr>
          <w:rFonts w:ascii="Times New Roman" w:hAnsi="Times New Roman"/>
          <w:sz w:val="24"/>
          <w:szCs w:val="24"/>
        </w:rPr>
        <w:t xml:space="preserve">по итогам января-декабря 2015 года сложился на уровне 98,23% (100,98% в январе-декабре 2014 года), зафиксировав исторические минимумы в сфере ценообразования. </w:t>
      </w:r>
    </w:p>
    <w:p w:rsidR="00E71101" w:rsidRDefault="00E71101" w:rsidP="00E71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1101" w:rsidRDefault="00E71101" w:rsidP="00E711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24575" cy="2333625"/>
            <wp:effectExtent l="0" t="0" r="0" b="0"/>
            <wp:docPr id="3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71101" w:rsidRDefault="00E71101" w:rsidP="00E711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1101" w:rsidRDefault="00E71101" w:rsidP="00E711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Динамика сводного индекса потребительских цен (инфляции) за предыдущие годы представлена в следующем виде:</w:t>
      </w:r>
    </w:p>
    <w:p w:rsidR="00E71101" w:rsidRDefault="00E71101" w:rsidP="00E711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1101" w:rsidRDefault="00E71101" w:rsidP="00E71101">
      <w:pPr>
        <w:spacing w:after="0" w:line="240" w:lineRule="auto"/>
        <w:jc w:val="both"/>
        <w:rPr>
          <w:rStyle w:val="a8"/>
          <w:b w:val="0"/>
          <w:color w:val="000000"/>
          <w:sz w:val="24"/>
          <w:szCs w:val="24"/>
        </w:rPr>
      </w:pPr>
      <w:r>
        <w:rPr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6124575" cy="286702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71101" w:rsidRDefault="00E71101" w:rsidP="00E71101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Высокая конкуренция на внутреннем рынке на фоне сократившегося потребительского спроса обусловили нисходящий ценовой тренд в товарном сегменте.        </w:t>
      </w:r>
      <w:proofErr w:type="gramStart"/>
      <w:r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Устойчивые дефляционные процессы по большинству виду товаров в продовольственном сегменте потребительского рынка (удешевление яиц – на 11,07%, сыра – на 15,34%, сахара – на 11,62%, молока и молочной продукции – на 13,17%, мясопродуктов – на 15,86%, масла и жиров – </w:t>
      </w: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на 11,64%, консервов овощных – на 10,44%), в совокупности с повышением стоимости муки на 4,08%, напитков безалкогольных на 1,13% обусловили в продовольственном секторе потребительского рынка в январе-декабре</w:t>
      </w:r>
      <w:proofErr w:type="gramEnd"/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2015 года выраженный дефляционный тренд – «-»4,60% (в январе-декабре 2014 года – «+»1,71%). </w:t>
      </w:r>
    </w:p>
    <w:p w:rsidR="00E71101" w:rsidRDefault="00E71101" w:rsidP="00E71101">
      <w:pPr>
        <w:spacing w:after="0" w:line="240" w:lineRule="auto"/>
        <w:ind w:firstLine="709"/>
        <w:jc w:val="both"/>
      </w:pPr>
      <w:r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По группе непродовольственных товаров уже второй год фиксируется устойчивая дефляция </w:t>
      </w:r>
      <w:r>
        <w:rPr>
          <w:rFonts w:ascii="Times New Roman" w:hAnsi="Times New Roman" w:cs="Times New Roman"/>
          <w:sz w:val="24"/>
          <w:szCs w:val="24"/>
        </w:rPr>
        <w:t>«-»3,12% (в январе-декабре 2014 года «-»3,45%). Понижательный ценовой тренд в данном сегменте потребительского рынка установлен по следующим товарным позициям: строительные материалы («-»8,79%), товары бытовой химии («-»7,65%), топливо (бензин)    («-»10,57%), табачные изделия («-»5,99%) и др.</w:t>
      </w:r>
    </w:p>
    <w:p w:rsidR="00E71101" w:rsidRDefault="00E71101" w:rsidP="00E71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же время, несмотря на корректировку государственных подходов в области тарифного регулирования, </w:t>
      </w:r>
      <w:r>
        <w:rPr>
          <w:rStyle w:val="FontStyle183"/>
          <w:rFonts w:ascii="Times New Roman" w:hAnsi="Times New Roman" w:cs="Times New Roman"/>
          <w:sz w:val="24"/>
          <w:szCs w:val="24"/>
        </w:rPr>
        <w:t xml:space="preserve">основной инфляционный фон на потребительском рынке формировался в сегменте административно-регулируемых услуг. </w:t>
      </w:r>
      <w:r>
        <w:rPr>
          <w:rFonts w:ascii="Times New Roman" w:hAnsi="Times New Roman" w:cs="Times New Roman"/>
          <w:sz w:val="24"/>
          <w:szCs w:val="24"/>
        </w:rPr>
        <w:t>По итогам января-декабря 2015 года инфляционная нагрузка в данном сегменте достигла 5,92%, снизившись на 1,73 процентных пункта</w:t>
      </w:r>
      <w:r>
        <w:rPr>
          <w:rFonts w:ascii="Times New Roman" w:hAnsi="Times New Roman"/>
          <w:sz w:val="24"/>
          <w:szCs w:val="24"/>
        </w:rPr>
        <w:t xml:space="preserve"> к сопоставимому значению соответствующего периода предыдущего года. Данная тенденция обусловлена принятием на государственном уровне решения о снижении с марта текущего года предельных уровней тарифов в сфере Ж</w:t>
      </w:r>
      <w:proofErr w:type="gramStart"/>
      <w:r>
        <w:rPr>
          <w:rFonts w:ascii="Times New Roman" w:hAnsi="Times New Roman"/>
          <w:sz w:val="24"/>
          <w:szCs w:val="24"/>
        </w:rPr>
        <w:t>КХ          в ср</w:t>
      </w:r>
      <w:proofErr w:type="gramEnd"/>
      <w:r>
        <w:rPr>
          <w:rFonts w:ascii="Times New Roman" w:hAnsi="Times New Roman"/>
          <w:sz w:val="24"/>
          <w:szCs w:val="24"/>
        </w:rPr>
        <w:t>еднем на 7,0% к уровню установленных тарифов на 2015 год. Так, инфляция по услугам ЖКХ в феврале месяце составила 5,27%, а в апреле 2,77% с сохранением динамики с июля по декабрь</w:t>
      </w:r>
      <w:r>
        <w:rPr>
          <w:rFonts w:ascii="Times New Roman" w:hAnsi="Times New Roman" w:cs="Times New Roman"/>
          <w:sz w:val="24"/>
          <w:szCs w:val="24"/>
        </w:rPr>
        <w:t xml:space="preserve"> на уровне 2,61%.</w:t>
      </w:r>
    </w:p>
    <w:p w:rsidR="00E71101" w:rsidRDefault="00E71101" w:rsidP="00E7110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Генератором определившегося инфляционного фона в сфере тарифов на услуги в январе-декабре 2015 года выступило плановое </w:t>
      </w:r>
      <w:r>
        <w:rPr>
          <w:rStyle w:val="FontStyle183"/>
          <w:rFonts w:ascii="Times New Roman" w:eastAsia="Calibri" w:hAnsi="Times New Roman" w:cs="Times New Roman"/>
          <w:sz w:val="24"/>
          <w:szCs w:val="24"/>
        </w:rPr>
        <w:t xml:space="preserve">повышение стоимости медицинских услуг («+»37,67%), услуг дошкольного воспитания («+»21,84%), услуг правового характера («+»8,94%). Кроме того, весомое инфляционное давление в сфере услуг в обозначенном периоде создало </w:t>
      </w:r>
      <w:r>
        <w:rPr>
          <w:rFonts w:ascii="Times New Roman" w:hAnsi="Times New Roman" w:cs="Times New Roman"/>
          <w:sz w:val="24"/>
          <w:szCs w:val="24"/>
        </w:rPr>
        <w:t xml:space="preserve">повышение цен на жилищно-коммунальные услуги - на 2,61% (в январе-декабре 2014 года – «+»10,83%), тарифов на услуги связи - на 8,56% (в январе-декабре                2014 года – «+»5,20%). </w:t>
      </w:r>
      <w:r>
        <w:rPr>
          <w:rStyle w:val="FontStyle183"/>
          <w:rFonts w:ascii="Times New Roman" w:eastAsia="Calibri" w:hAnsi="Times New Roman" w:cs="Times New Roman"/>
          <w:sz w:val="24"/>
          <w:szCs w:val="24"/>
        </w:rPr>
        <w:t>В то же время подешевели санаторно-оздоровительные услуги          на 14,06%.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1101" w:rsidRDefault="00E71101" w:rsidP="00E7110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Сравнивая индекс потребительских цен на товары и услуги Приднестровской Молдавской Республики за 2015 год с аналогичным показателем Российской Федерации, Украины, Республики Молдова необходимо отметить устойчивые дефляционные процессы в республике, что обусловлено стабильностью валютного курса, а также </w:t>
      </w:r>
      <w:r>
        <w:rPr>
          <w:rFonts w:ascii="Times New Roman" w:hAnsi="Times New Roman"/>
          <w:sz w:val="24"/>
          <w:szCs w:val="24"/>
        </w:rPr>
        <w:lastRenderedPageBreak/>
        <w:t>проводимыми антиинфляционными мерами со стороны государства и бизнеса. В результате чего, на фоне дефляции в январе-декабре 2015 года в Приднестровской Молдавской Республике (98,23%), инфляция в Республике Молдова составила 113,6%, в Украине – 143,3%, в Российской Федерации – 112,91%.</w:t>
      </w:r>
    </w:p>
    <w:p w:rsidR="00E71101" w:rsidRDefault="00E71101" w:rsidP="00E711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№1</w:t>
      </w:r>
    </w:p>
    <w:p w:rsidR="00E71101" w:rsidRDefault="00E71101" w:rsidP="00E7110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Сравнительный анализ индекса потребительских цен на товары и услуги в 2015 году</w:t>
      </w:r>
    </w:p>
    <w:p w:rsidR="00E71101" w:rsidRDefault="00E71101" w:rsidP="00E71101">
      <w:pPr>
        <w:tabs>
          <w:tab w:val="left" w:pos="2010"/>
          <w:tab w:val="center" w:pos="467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 в процентах к декабрю предыдущего года)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1467"/>
        <w:gridCol w:w="1681"/>
        <w:gridCol w:w="1577"/>
        <w:gridCol w:w="1966"/>
      </w:tblGrid>
      <w:tr w:rsidR="00E71101" w:rsidTr="00E71101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01" w:rsidRDefault="00E711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01" w:rsidRDefault="00E71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Российская</w:t>
            </w:r>
          </w:p>
          <w:p w:rsidR="00E71101" w:rsidRDefault="00E711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Федерация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01" w:rsidRDefault="00E711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Украина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01" w:rsidRDefault="00E711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Молдова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01" w:rsidRDefault="00E711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ПМР</w:t>
            </w:r>
          </w:p>
        </w:tc>
      </w:tr>
      <w:tr w:rsidR="00E71101" w:rsidTr="00E71101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01" w:rsidRDefault="00E71101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Сводный индекс потребительских цен (инфляция)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01" w:rsidRDefault="00E711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112,91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01" w:rsidRDefault="00E711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143,3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01" w:rsidRDefault="00E711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113,6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01" w:rsidRDefault="00E7110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98,23</w:t>
            </w:r>
          </w:p>
        </w:tc>
      </w:tr>
      <w:tr w:rsidR="00E71101" w:rsidTr="00E71101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01" w:rsidRDefault="00E7110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01" w:rsidRDefault="00E711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01" w:rsidRDefault="00E711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01" w:rsidRDefault="00E711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101" w:rsidRDefault="00E711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71101" w:rsidTr="00E71101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01" w:rsidRDefault="00E7110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индекс цен на продовольственные товары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01" w:rsidRDefault="00E711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114,00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01" w:rsidRDefault="00E711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141,5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01" w:rsidRDefault="00E711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114,3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01" w:rsidRDefault="00E711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95,40</w:t>
            </w:r>
          </w:p>
        </w:tc>
      </w:tr>
      <w:tr w:rsidR="00E71101" w:rsidTr="00E71101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01" w:rsidRDefault="00E7110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индекс цен на непродовольственные товары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01" w:rsidRDefault="00E711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113,65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01" w:rsidRDefault="00E7110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lang w:eastAsia="en-US"/>
              </w:rPr>
              <w:t>*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01" w:rsidRDefault="00E711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114,1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01" w:rsidRDefault="00E711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96,88</w:t>
            </w:r>
          </w:p>
        </w:tc>
      </w:tr>
      <w:tr w:rsidR="00E71101" w:rsidTr="00E71101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101" w:rsidRDefault="00E7110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индекс тарифов на услуги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01" w:rsidRDefault="00E711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110,20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01" w:rsidRDefault="00E7110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*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01" w:rsidRDefault="00E711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111,3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101" w:rsidRDefault="00E7110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105,92</w:t>
            </w:r>
          </w:p>
        </w:tc>
      </w:tr>
    </w:tbl>
    <w:p w:rsidR="00E71101" w:rsidRDefault="00E71101" w:rsidP="00E7110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- данные отсутствуют</w:t>
      </w:r>
    </w:p>
    <w:p w:rsidR="00E71101" w:rsidRDefault="00E71101" w:rsidP="00E71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1101" w:rsidRDefault="00E71101" w:rsidP="00E711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существенная девальвация национальных валют сопредельных стран, являющихся основными</w:t>
      </w:r>
      <w:r>
        <w:rPr>
          <w:rFonts w:ascii="Times New Roman" w:hAnsi="Times New Roman"/>
          <w:sz w:val="24"/>
          <w:szCs w:val="24"/>
        </w:rPr>
        <w:t xml:space="preserve"> поставщиками потребительских товаров на территорию республики, обусловила в условиях стабильности курса приднестровского рубля удешевление импортируемой продукции и усиление конкуренции на внутреннем рынке. Кроме того, определённое влияние оказали принятые на государственном уровне решения об отмене реализации в 2015 году второго этапа повышения тарифов в сфере ЖКХ.</w:t>
      </w:r>
    </w:p>
    <w:p w:rsidR="00E71101" w:rsidRDefault="00E71101" w:rsidP="005B4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71101" w:rsidSect="0043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73E"/>
    <w:rsid w:val="00053023"/>
    <w:rsid w:val="000D2338"/>
    <w:rsid w:val="00103FAC"/>
    <w:rsid w:val="0011673E"/>
    <w:rsid w:val="00197975"/>
    <w:rsid w:val="001B341E"/>
    <w:rsid w:val="001E38E2"/>
    <w:rsid w:val="001F7829"/>
    <w:rsid w:val="00235883"/>
    <w:rsid w:val="0024271A"/>
    <w:rsid w:val="003419E7"/>
    <w:rsid w:val="003830EE"/>
    <w:rsid w:val="0039758C"/>
    <w:rsid w:val="003B1024"/>
    <w:rsid w:val="00435188"/>
    <w:rsid w:val="00443F5D"/>
    <w:rsid w:val="00455DEA"/>
    <w:rsid w:val="004869A6"/>
    <w:rsid w:val="00491874"/>
    <w:rsid w:val="004E1A74"/>
    <w:rsid w:val="004F55C0"/>
    <w:rsid w:val="005119B2"/>
    <w:rsid w:val="005B4013"/>
    <w:rsid w:val="00604D34"/>
    <w:rsid w:val="00626126"/>
    <w:rsid w:val="00657B11"/>
    <w:rsid w:val="00670102"/>
    <w:rsid w:val="006F58DA"/>
    <w:rsid w:val="007116F7"/>
    <w:rsid w:val="00736B1E"/>
    <w:rsid w:val="007902A1"/>
    <w:rsid w:val="007D6856"/>
    <w:rsid w:val="0083211A"/>
    <w:rsid w:val="008D70E8"/>
    <w:rsid w:val="008F1698"/>
    <w:rsid w:val="008F50E9"/>
    <w:rsid w:val="00964CFF"/>
    <w:rsid w:val="00975B52"/>
    <w:rsid w:val="009A66F0"/>
    <w:rsid w:val="009C42F1"/>
    <w:rsid w:val="009E0BD2"/>
    <w:rsid w:val="00A4323A"/>
    <w:rsid w:val="00A5550A"/>
    <w:rsid w:val="00A7244D"/>
    <w:rsid w:val="00AD5E5E"/>
    <w:rsid w:val="00AE006E"/>
    <w:rsid w:val="00AE0D34"/>
    <w:rsid w:val="00AE4032"/>
    <w:rsid w:val="00AE4799"/>
    <w:rsid w:val="00B00831"/>
    <w:rsid w:val="00B235C9"/>
    <w:rsid w:val="00B620EF"/>
    <w:rsid w:val="00B739AD"/>
    <w:rsid w:val="00B81BA3"/>
    <w:rsid w:val="00BB1C34"/>
    <w:rsid w:val="00BC2898"/>
    <w:rsid w:val="00BE4CC9"/>
    <w:rsid w:val="00C35210"/>
    <w:rsid w:val="00C72639"/>
    <w:rsid w:val="00CB45E2"/>
    <w:rsid w:val="00CD22DE"/>
    <w:rsid w:val="00D02A30"/>
    <w:rsid w:val="00D74175"/>
    <w:rsid w:val="00DD053B"/>
    <w:rsid w:val="00E00CED"/>
    <w:rsid w:val="00E71101"/>
    <w:rsid w:val="00E80738"/>
    <w:rsid w:val="00F47EFD"/>
    <w:rsid w:val="00F5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88"/>
  </w:style>
  <w:style w:type="paragraph" w:styleId="1">
    <w:name w:val="heading 1"/>
    <w:basedOn w:val="a"/>
    <w:next w:val="a"/>
    <w:link w:val="10"/>
    <w:uiPriority w:val="99"/>
    <w:qFormat/>
    <w:rsid w:val="0011673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67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11673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5"/>
    <w:uiPriority w:val="1"/>
    <w:locked/>
    <w:rsid w:val="00B00831"/>
    <w:rPr>
      <w:rFonts w:ascii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B00831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2">
    <w:name w:val="сновной текст с отступом 2"/>
    <w:basedOn w:val="a"/>
    <w:uiPriority w:val="99"/>
    <w:rsid w:val="007116F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1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6F7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locked/>
    <w:rsid w:val="00E71101"/>
    <w:rPr>
      <w:b/>
      <w:bCs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E71101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aa">
    <w:name w:val="Основной текст_"/>
    <w:basedOn w:val="a0"/>
    <w:rsid w:val="00E71101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FontStyle183">
    <w:name w:val="Font Style183"/>
    <w:basedOn w:val="a0"/>
    <w:rsid w:val="00E71101"/>
    <w:rPr>
      <w:rFonts w:ascii="Sylfaen" w:hAnsi="Sylfaen" w:cs="Sylfae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3.5209487702926733E-3"/>
          <c:y val="0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170020414114998E-2"/>
          <c:y val="8.5540200332101343E-2"/>
          <c:w val="0.90682997958589184"/>
          <c:h val="0.816002649201559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explosion val="27"/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4.1946419419466092E-2"/>
                  <c:y val="6.8723098124687622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24,1%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1219220388970728E-2"/>
                  <c:y val="-4.3494563179602734E-3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40,3%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830499986088671E-3"/>
                  <c:y val="0.179034788281522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950854641403437E-2"/>
                  <c:y val="1.7997750281215435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10,8%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034509575191976E-2"/>
                  <c:y val="1.25796775403074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6074174160183041"/>
                  <c:y val="-3.61087670517670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7,8%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2160.6</c:v>
                </c:pt>
                <c:pt idx="1">
                  <c:v>3612.8</c:v>
                </c:pt>
                <c:pt idx="2" formatCode="0.0">
                  <c:v>1093.0999999999999</c:v>
                </c:pt>
                <c:pt idx="3">
                  <c:v>964.8</c:v>
                </c:pt>
                <c:pt idx="4" formatCode="0.0">
                  <c:v>432.2</c:v>
                </c:pt>
                <c:pt idx="5">
                  <c:v>699.89999999999918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52">
                <a:latin typeface="Times New Roman" pitchFamily="18" charset="0"/>
                <a:cs typeface="Times New Roman" pitchFamily="18" charset="0"/>
              </a:rPr>
              <a:t>Экспорт товаров в разрезе основных стран, тыс. долл. США</a:t>
            </a:r>
          </a:p>
        </c:rich>
      </c:tx>
      <c:layout>
        <c:manualLayout>
          <c:xMode val="edge"/>
          <c:yMode val="edge"/>
          <c:x val="0.18068927231685464"/>
          <c:y val="3.1840651820363645E-3"/>
        </c:manualLayout>
      </c:layout>
      <c:overlay val="0"/>
      <c:spPr>
        <a:solidFill>
          <a:sysClr val="window" lastClr="FFFFFF"/>
        </a:solidFill>
        <a:ln w="2488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4202084114485689"/>
          <c:y val="9.6319087281719687E-2"/>
          <c:w val="0.81815864774290459"/>
          <c:h val="0.606292122575596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декабрь 2014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8.3339660302960208E-3"/>
                  <c:y val="1.1260854603971516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38,9*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906021033852102E-3"/>
                  <c:y val="1.344244876461196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14,0*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3840218170926914E-3"/>
                  <c:y val="1.1839780896953101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5040863794464665E-3"/>
                  <c:y val="1.0085620365416222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091052406087941E-3"/>
                  <c:y val="9.9600593404085766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4136825227152014E-3"/>
                  <c:y val="1.6076563472817804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11,3*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236415970983252E-3"/>
                  <c:y val="1.587298870249914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10,7*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6173653968929561E-4"/>
                  <c:y val="3.1051770702577156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278780.5</c:v>
                </c:pt>
                <c:pt idx="1">
                  <c:v>100331.4</c:v>
                </c:pt>
                <c:pt idx="2">
                  <c:v>47265.2</c:v>
                </c:pt>
                <c:pt idx="3">
                  <c:v>54568.4</c:v>
                </c:pt>
                <c:pt idx="4">
                  <c:v>30921.4</c:v>
                </c:pt>
                <c:pt idx="5">
                  <c:v>81202.3</c:v>
                </c:pt>
                <c:pt idx="6">
                  <c:v>76310.399999999994</c:v>
                </c:pt>
                <c:pt idx="7">
                  <c:v>46566.499999999891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декабрь 2015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286665386338907E-2"/>
                  <c:y val="1.6604999617767523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49,1*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7608541966310008E-3"/>
                  <c:y val="4.7170518779492045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7,8*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9796100447359534E-3"/>
                  <c:y val="4.3839803689648175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8,4*</a:t>
                    </a:r>
                  </a:p>
                  <a:p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6435608563360374E-3"/>
                  <c:y val="1.0963299889331866E-2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6681239106387014E-3"/>
                  <c:y val="7.9361705553677112E-3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5,0*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984310202113357E-2"/>
                  <c:y val="3.9444254250827352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15,5*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4095876040379104E-3"/>
                  <c:y val="9.9196496143505748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1,5*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15226249871919E-2"/>
                  <c:y val="7.8058503556620914E-3"/>
                </c:manualLayout>
              </c:layout>
              <c:tx>
                <c:rich>
                  <a:bodyPr/>
                  <a:lstStyle/>
                  <a:p>
                    <a:r>
                      <a:rPr lang="ru-RU" sz="882" b="1">
                        <a:latin typeface="Times New Roman" pitchFamily="18" charset="0"/>
                        <a:cs typeface="Times New Roman" pitchFamily="18" charset="0"/>
                      </a:rPr>
                      <a:t>6,3*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4880">
                <a:noFill/>
              </a:ln>
            </c:spPr>
            <c:txPr>
              <a:bodyPr/>
              <a:lstStyle/>
              <a:p>
                <a:pPr>
                  <a:defRPr sz="882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299900.7</c:v>
                </c:pt>
                <c:pt idx="1">
                  <c:v>47410.7</c:v>
                </c:pt>
                <c:pt idx="2">
                  <c:v>51079.5</c:v>
                </c:pt>
                <c:pt idx="3">
                  <c:v>39598</c:v>
                </c:pt>
                <c:pt idx="4">
                  <c:v>30413.8</c:v>
                </c:pt>
                <c:pt idx="5">
                  <c:v>94827.9</c:v>
                </c:pt>
                <c:pt idx="6">
                  <c:v>9061.7000000000007</c:v>
                </c:pt>
                <c:pt idx="7">
                  <c:v>38701.000000000058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1311104"/>
        <c:axId val="151312640"/>
      </c:barChart>
      <c:catAx>
        <c:axId val="151311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312640"/>
        <c:crosses val="autoZero"/>
        <c:auto val="1"/>
        <c:lblAlgn val="ctr"/>
        <c:lblOffset val="100"/>
        <c:noMultiLvlLbl val="0"/>
      </c:catAx>
      <c:valAx>
        <c:axId val="151312640"/>
        <c:scaling>
          <c:orientation val="minMax"/>
          <c:max val="3000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77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62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 </a:t>
                </a:r>
                <a:r>
                  <a:rPr lang="ru-RU" sz="862" b="0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удельный вес в общем объеме экспорта, %</a:t>
                </a:r>
              </a:p>
            </c:rich>
          </c:tx>
          <c:layout>
            <c:manualLayout>
              <c:xMode val="edge"/>
              <c:yMode val="edge"/>
              <c:x val="0.80935311995953119"/>
              <c:y val="0.11114144787629122"/>
            </c:manualLayout>
          </c:layout>
          <c:overlay val="0"/>
          <c:spPr>
            <a:noFill/>
            <a:ln w="24880">
              <a:noFill/>
            </a:ln>
          </c:spPr>
        </c:title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311104"/>
        <c:crosses val="autoZero"/>
        <c:crossBetween val="between"/>
        <c:majorUnit val="50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solidFill>
                  <a:sysClr val="windowText" lastClr="000000"/>
                </a:solidFill>
              </a:rPr>
              <a:t>Товарная структура импорта ПМР, млн. долл. США</a:t>
            </a:r>
          </a:p>
        </c:rich>
      </c:tx>
      <c:layout>
        <c:manualLayout>
          <c:xMode val="edge"/>
          <c:yMode val="edge"/>
          <c:x val="0.20446213865169796"/>
          <c:y val="6.4398294794371688E-4"/>
        </c:manualLayout>
      </c:layout>
      <c:overlay val="0"/>
      <c:spPr>
        <a:solidFill>
          <a:sysClr val="window" lastClr="FFFFFF"/>
        </a:solidFill>
        <a:ln w="2872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0106894708711948E-2"/>
          <c:y val="7.1126889610690358E-2"/>
          <c:w val="0.96291208791208749"/>
          <c:h val="0.396071261002387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декабрь 2014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146938139947899E-3"/>
                  <c:y val="2.306033678653444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46,3*</a:t>
                    </a:r>
                    <a:endParaRPr lang="en-US" sz="10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731287177619545E-3"/>
                  <c:y val="2.029086528118419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11,5*</a:t>
                    </a:r>
                    <a:endParaRPr lang="en-US" sz="10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042927798846641E-3"/>
                  <c:y val="1.892540554155819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10,3*</a:t>
                    </a:r>
                    <a:endParaRPr lang="en-US" sz="10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4401116081761823E-3"/>
                  <c:y val="2.9444398576713858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11,0*</a:t>
                    </a:r>
                    <a:endParaRPr lang="en-US" sz="10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039404165388417E-3"/>
                  <c:y val="3.9873514104252416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3,8*</a:t>
                    </a:r>
                    <a:endParaRPr lang="en-US" sz="10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6432184935873612E-3"/>
                  <c:y val="1.4806319021443075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17,2*</a:t>
                    </a:r>
                    <a:endParaRPr lang="en-US" sz="1000" b="1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7.5617342090612003E-4"/>
                  <c:y val="1.645540209113206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8</a:t>
                    </a:r>
                    <a:r>
                      <a:rPr lang="en-US" sz="1000" b="1"/>
                      <a:t>,2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72802197802197965"/>
                  <c:y val="0.4375000000000048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727">
                <a:noFill/>
              </a:ln>
            </c:spPr>
            <c:txPr>
              <a:bodyPr rot="0" vert="horz" anchor="ctr" anchorCtr="0"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>
                  <c:v>757.1</c:v>
                </c:pt>
                <c:pt idx="1">
                  <c:v>187.2</c:v>
                </c:pt>
                <c:pt idx="2">
                  <c:v>168.2</c:v>
                </c:pt>
                <c:pt idx="3" formatCode="General">
                  <c:v>179.6</c:v>
                </c:pt>
                <c:pt idx="4">
                  <c:v>61.5</c:v>
                </c:pt>
                <c:pt idx="5">
                  <c:v>281.19999999999993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декабрь 2015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667999701930045E-2"/>
                  <c:y val="1.105016589907394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50,5*</a:t>
                    </a:r>
                    <a:endParaRPr lang="en-US" sz="10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2278662328092713E-3"/>
                  <c:y val="1.670361016193748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11,9*</a:t>
                    </a:r>
                    <a:endParaRPr lang="en-US" sz="10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8853360982597022E-3"/>
                  <c:y val="1.2483689461698441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/>
                      <a:t>8,8*</a:t>
                    </a:r>
                    <a:endParaRPr lang="en-US" sz="1000" b="1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6797816540875134E-3"/>
                  <c:y val="1.718686803493830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10,4*</a:t>
                    </a:r>
                    <a:endParaRPr lang="en-US" sz="10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924639230358607E-2"/>
                  <c:y val="4.8544624769320784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4,0*</a:t>
                    </a:r>
                    <a:endParaRPr lang="en-US" sz="10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116379774294774E-2"/>
                  <c:y val="9.2570692814341604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14,4*</a:t>
                    </a:r>
                    <a:endParaRPr lang="en-US" sz="10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0251667106205027E-3"/>
                  <c:y val="1.0088636461425918E-2"/>
                </c:manualLayout>
              </c:layout>
              <c:tx>
                <c:rich>
                  <a:bodyPr/>
                  <a:lstStyle/>
                  <a:p>
                    <a:r>
                      <a:rPr lang="en-US" sz="1000" b="1"/>
                      <a:t>9,</a:t>
                    </a:r>
                    <a:r>
                      <a:rPr lang="ru-RU" sz="1000" b="1"/>
                      <a:t>6</a:t>
                    </a:r>
                    <a:endParaRPr lang="en-US" sz="1000" b="1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75274725274725274"/>
                  <c:y val="0.4821428571428934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727">
                <a:noFill/>
              </a:ln>
            </c:spPr>
            <c:txPr>
              <a:bodyPr rot="0" vert="horz"/>
              <a:lstStyle/>
              <a:p>
                <a:pPr>
                  <a:defRPr sz="10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575.1</c:v>
                </c:pt>
                <c:pt idx="1">
                  <c:v>135.5</c:v>
                </c:pt>
                <c:pt idx="2">
                  <c:v>99.8</c:v>
                </c:pt>
                <c:pt idx="3">
                  <c:v>118.7</c:v>
                </c:pt>
                <c:pt idx="4">
                  <c:v>45.8</c:v>
                </c:pt>
                <c:pt idx="5">
                  <c:v>163.50000000000011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axId val="151299584"/>
        <c:axId val="151301120"/>
      </c:barChart>
      <c:catAx>
        <c:axId val="151299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900" b="1"/>
            </a:pPr>
            <a:endParaRPr lang="ru-RU"/>
          </a:p>
        </c:txPr>
        <c:crossAx val="151301120"/>
        <c:crosses val="autoZero"/>
        <c:auto val="0"/>
        <c:lblAlgn val="ctr"/>
        <c:lblOffset val="160"/>
        <c:tickLblSkip val="1"/>
        <c:tickMarkSkip val="1"/>
        <c:noMultiLvlLbl val="0"/>
      </c:catAx>
      <c:valAx>
        <c:axId val="15130112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*-удельный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 вес в общем </a:t>
                </a:r>
              </a:p>
              <a:p>
                <a:pPr algn="ctr">
                  <a:defRPr sz="1447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05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объеме импорта,%</a:t>
                </a:r>
              </a:p>
            </c:rich>
          </c:tx>
          <c:layout>
            <c:manualLayout>
              <c:xMode val="edge"/>
              <c:yMode val="edge"/>
              <c:x val="0.82207367317994962"/>
              <c:y val="8.4172880625506646E-5"/>
            </c:manualLayout>
          </c:layout>
          <c:overlay val="0"/>
          <c:spPr>
            <a:noFill/>
            <a:ln w="28727">
              <a:noFill/>
            </a:ln>
          </c:spPr>
        </c:title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b="1"/>
            </a:pPr>
            <a:endParaRPr lang="ru-RU"/>
          </a:p>
        </c:txPr>
        <c:crossAx val="1512995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1971350574403565E-2"/>
          <c:y val="0.93962291071669124"/>
          <c:w val="0.87296413539101581"/>
          <c:h val="6.0377089283308823E-2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7">
                <a:latin typeface="Times New Roman" pitchFamily="18" charset="0"/>
                <a:cs typeface="Times New Roman" pitchFamily="18" charset="0"/>
              </a:defRPr>
            </a:pPr>
            <a:r>
              <a:rPr lang="ru-RU" sz="1197">
                <a:latin typeface="Times New Roman" pitchFamily="18" charset="0"/>
                <a:cs typeface="Times New Roman" pitchFamily="18" charset="0"/>
              </a:rPr>
              <a:t>Импорт товаров в разрезе стран, млн. долл. США</a:t>
            </a:r>
          </a:p>
        </c:rich>
      </c:tx>
      <c:layout>
        <c:manualLayout>
          <c:xMode val="edge"/>
          <c:yMode val="edge"/>
          <c:x val="0.28057051075712441"/>
          <c:y val="3.0835923251185497E-3"/>
        </c:manualLayout>
      </c:layout>
      <c:overlay val="0"/>
      <c:spPr>
        <a:noFill/>
        <a:ln w="2539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6077713294924187"/>
          <c:y val="6.2568248487655631E-2"/>
          <c:w val="0.82406382830464753"/>
          <c:h val="0.63378696646876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- декабрь 2014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0228500849158561E-3"/>
                  <c:y val="4.2418869826703134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46,5*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532194114035539E-3"/>
                  <c:y val="9.7335560327690349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12,5*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241315423809835E-3"/>
                  <c:y val="1.34226764700770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7,1*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526695032686161E-3"/>
                  <c:y val="1.0187324014904993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8,2*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208973683889294E-3"/>
                  <c:y val="1.342270877850316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015438287605412E-3"/>
                  <c:y val="8.5653104925053746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7.4268010433377434E-3"/>
                  <c:y val="1.486988847583644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2636096958468426E-2"/>
                  <c:y val="8.948566859606576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15,7*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760085.3</c:v>
                </c:pt>
                <c:pt idx="1">
                  <c:v>204545.2</c:v>
                </c:pt>
                <c:pt idx="2">
                  <c:v>116698.9</c:v>
                </c:pt>
                <c:pt idx="3">
                  <c:v>133793.9</c:v>
                </c:pt>
                <c:pt idx="4">
                  <c:v>85323.5</c:v>
                </c:pt>
                <c:pt idx="5">
                  <c:v>44914.3</c:v>
                </c:pt>
                <c:pt idx="6">
                  <c:v>33368.699999999997</c:v>
                </c:pt>
                <c:pt idx="7">
                  <c:v>256098.80000000028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- декабрь 2015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424049452834823E-2"/>
                  <c:y val="1.2121212121212118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51,6*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138030823070193E-2"/>
                  <c:y val="6.5358830146233175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14,2*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029488960938721E-2"/>
                  <c:y val="1.31310076306687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6,8*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8794194843295733E-3"/>
                  <c:y val="1.7600945577167109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321290721012817E-2"/>
                  <c:y val="8.829674436390816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9672323568252581E-3"/>
                  <c:y val="8.387484754984089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574002944753857E-2"/>
                  <c:y val="9.456264775413754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951763651494778E-2"/>
                  <c:y val="7.5461489299654023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14,9*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#,##0.0</c:formatCode>
                <c:ptCount val="8"/>
                <c:pt idx="0">
                  <c:v>587437.80000000005</c:v>
                </c:pt>
                <c:pt idx="1">
                  <c:v>161624.1</c:v>
                </c:pt>
                <c:pt idx="2">
                  <c:v>76967.5</c:v>
                </c:pt>
                <c:pt idx="3">
                  <c:v>48565</c:v>
                </c:pt>
                <c:pt idx="4">
                  <c:v>47162.9</c:v>
                </c:pt>
                <c:pt idx="5">
                  <c:v>24745.599999999919</c:v>
                </c:pt>
                <c:pt idx="6">
                  <c:v>22255.9</c:v>
                </c:pt>
                <c:pt idx="7">
                  <c:v>169622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1762048"/>
        <c:axId val="151763584"/>
      </c:barChart>
      <c:catAx>
        <c:axId val="151762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763584"/>
        <c:crosses val="autoZero"/>
        <c:auto val="1"/>
        <c:lblAlgn val="ctr"/>
        <c:lblOffset val="100"/>
        <c:noMultiLvlLbl val="0"/>
      </c:catAx>
      <c:valAx>
        <c:axId val="151763584"/>
        <c:scaling>
          <c:orientation val="minMax"/>
          <c:min val="3000"/>
        </c:scaling>
        <c:delete val="1"/>
        <c:axPos val="l"/>
        <c:title>
          <c:tx>
            <c:rich>
              <a:bodyPr rot="0" vert="horz"/>
              <a:lstStyle/>
              <a:p>
                <a:pPr algn="ctr">
                  <a:defRPr sz="895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910" b="0"/>
                  <a:t>*- удельный вес страны в общем объеме импорта,%</a:t>
                </a:r>
              </a:p>
            </c:rich>
          </c:tx>
          <c:layout>
            <c:manualLayout>
              <c:xMode val="edge"/>
              <c:yMode val="edge"/>
              <c:x val="5.4067512004612524E-2"/>
              <c:y val="9.438235995901581E-2"/>
            </c:manualLayout>
          </c:layout>
          <c:overlay val="0"/>
          <c:spPr>
            <a:noFill/>
            <a:ln w="25398">
              <a:noFill/>
            </a:ln>
          </c:spPr>
        </c:title>
        <c:numFmt formatCode="#,##0.0" sourceLinked="1"/>
        <c:majorTickMark val="out"/>
        <c:minorTickMark val="none"/>
        <c:tickLblPos val="nextTo"/>
        <c:crossAx val="151762048"/>
        <c:crosses val="autoZero"/>
        <c:crossBetween val="between"/>
        <c:majorUnit val="1500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 составляющих инфляции,%</a:t>
            </a:r>
          </a:p>
        </c:rich>
      </c:tx>
      <c:layout>
        <c:manualLayout>
          <c:xMode val="edge"/>
          <c:yMode val="edge"/>
          <c:x val="0.26733190308049032"/>
          <c:y val="5.0812267793400338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2829254815548974"/>
          <c:y val="0.13873823027366344"/>
          <c:w val="0.77253662580563687"/>
          <c:h val="0.416677165354341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январь-декабрь 2014 года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9.0103066384995267E-3"/>
                  <c:y val="1.905823834957694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+0,98*</a:t>
                    </a:r>
                    <a:endParaRPr lang="en-US" b="1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547058958454163E-3"/>
                  <c:y val="2.337617280598549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+1,71*</a:t>
                    </a:r>
                    <a:endParaRPr lang="en-US" b="1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4190508795096534E-3"/>
                  <c:y val="1.906077124974838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-3,45*</a:t>
                    </a:r>
                    <a:endParaRPr lang="en-US" b="1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7734493714606314E-3"/>
                  <c:y val="2.122221610410589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+7,65*</a:t>
                    </a:r>
                    <a:endParaRPr lang="en-US" b="1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100.98</c:v>
                </c:pt>
                <c:pt idx="1">
                  <c:v>101.71000000000002</c:v>
                </c:pt>
                <c:pt idx="2">
                  <c:v>96.55</c:v>
                </c:pt>
                <c:pt idx="3">
                  <c:v>107.64999999999999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январь- декабрь 2015 года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5867792366552111E-3"/>
                  <c:y val="2.751573945413688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-1,77*</a:t>
                    </a:r>
                    <a:endParaRPr lang="en-US" b="1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731773565664528E-3"/>
                  <c:y val="2.544473607465741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-4,60*</a:t>
                    </a:r>
                    <a:endParaRPr lang="en-US" b="1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736641534040455E-2"/>
                  <c:y val="2.806747058715645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-3,12*</a:t>
                    </a:r>
                    <a:endParaRPr lang="en-US" b="1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097902556187956E-2"/>
                  <c:y val="2.760229683933188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+5,92*</a:t>
                    </a:r>
                    <a:endParaRPr lang="en-US" b="1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98.23</c:v>
                </c:pt>
                <c:pt idx="1">
                  <c:v>95.4</c:v>
                </c:pt>
                <c:pt idx="2">
                  <c:v>96.88</c:v>
                </c:pt>
                <c:pt idx="3">
                  <c:v>105.92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492480"/>
        <c:axId val="151494016"/>
      </c:barChart>
      <c:catAx>
        <c:axId val="151492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51494016"/>
        <c:crosses val="autoZero"/>
        <c:auto val="1"/>
        <c:lblAlgn val="ctr"/>
        <c:lblOffset val="100"/>
        <c:noMultiLvlLbl val="0"/>
      </c:catAx>
      <c:valAx>
        <c:axId val="15149401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-прирост (снижение)  индекса цен,%</a:t>
                </a:r>
              </a:p>
            </c:rich>
          </c:tx>
          <c:layout>
            <c:manualLayout>
              <c:xMode val="edge"/>
              <c:yMode val="edge"/>
              <c:x val="2.5188844027823235E-2"/>
              <c:y val="0.60074427527258811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151492480"/>
        <c:crosses val="autoZero"/>
        <c:crossBetween val="between"/>
        <c:minorUnit val="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Сводный индекс потребительских цен (инфляция) в ПМР </a:t>
            </a:r>
          </a:p>
          <a:p>
            <a:pPr>
              <a:defRPr sz="1200"/>
            </a:pPr>
            <a:r>
              <a:rPr lang="ru-RU" sz="1200"/>
              <a:t>за январь- декабрь, %</a:t>
            </a:r>
          </a:p>
        </c:rich>
      </c:tx>
      <c:layout>
        <c:manualLayout>
          <c:xMode val="edge"/>
          <c:yMode val="edge"/>
          <c:x val="0.21013087427543869"/>
          <c:y val="3.039299141661375E-3"/>
        </c:manualLayout>
      </c:layout>
      <c:overlay val="0"/>
      <c:spPr>
        <a:ln>
          <a:noFill/>
        </a:ln>
      </c:spPr>
    </c:title>
    <c:autoTitleDeleted val="0"/>
    <c:view3D>
      <c:rotX val="15"/>
      <c:rotY val="25"/>
      <c:rAngAx val="0"/>
      <c:perspective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0196123284963264E-2"/>
          <c:y val="0.11259501972702428"/>
          <c:w val="0.90861868228011711"/>
          <c:h val="0.5951745804501710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10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Lbls>
            <c:dLbl>
              <c:idx val="0"/>
              <c:layout>
                <c:manualLayout>
                  <c:x val="1.2340934447414261E-2"/>
                  <c:y val="9.2292480060491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557266682672756E-2"/>
                  <c:y val="4.61202323113867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74520178441746E-2"/>
                  <c:y val="9.22491132826374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85565937736321E-2"/>
                  <c:y val="9.85578265482792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410717008997728E-2"/>
                  <c:y val="1.384169084127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450123883861125E-2"/>
                  <c:y val="9.22474451331882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37390550201138E-2"/>
                  <c:y val="9.04534539565532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523075716966757E-2"/>
                  <c:y val="9.22474451331882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037390550201138E-2"/>
                  <c:y val="1.3477620483609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33831780201786E-2"/>
                  <c:y val="9.23361034164358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42712248087844E-2"/>
                  <c:y val="4.43262411347521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1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</c:strCache>
            </c:strRef>
          </c:cat>
          <c:val>
            <c:numRef>
              <c:f>Лист1!$B$2:$B$14</c:f>
              <c:numCache>
                <c:formatCode>#,##0.00</c:formatCode>
                <c:ptCount val="11"/>
                <c:pt idx="0">
                  <c:v>110.83</c:v>
                </c:pt>
                <c:pt idx="1">
                  <c:v>108.89</c:v>
                </c:pt>
                <c:pt idx="2">
                  <c:v>129.41999999999999</c:v>
                </c:pt>
                <c:pt idx="3">
                  <c:v>125.11</c:v>
                </c:pt>
                <c:pt idx="4">
                  <c:v>105.7</c:v>
                </c:pt>
                <c:pt idx="5">
                  <c:v>113.24000000000002</c:v>
                </c:pt>
                <c:pt idx="6">
                  <c:v>115.98</c:v>
                </c:pt>
                <c:pt idx="7">
                  <c:v>110.43</c:v>
                </c:pt>
                <c:pt idx="8">
                  <c:v>103.63</c:v>
                </c:pt>
                <c:pt idx="9">
                  <c:v>100.98</c:v>
                </c:pt>
                <c:pt idx="10">
                  <c:v>98.23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1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</c:strCache>
            </c:strRef>
          </c:cat>
          <c:val>
            <c:numRef>
              <c:f>Лист1!$C$2:$C$14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1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</c:strCache>
            </c:strRef>
          </c:cat>
          <c:val>
            <c:numRef>
              <c:f>Лист1!$D$2:$D$14</c:f>
            </c:numRef>
          </c:val>
          <c:shape val="box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51540864"/>
        <c:axId val="151542400"/>
        <c:axId val="151971584"/>
      </c:bar3DChart>
      <c:catAx>
        <c:axId val="15154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151542400"/>
        <c:crossesAt val="0"/>
        <c:auto val="1"/>
        <c:lblAlgn val="ctr"/>
        <c:lblOffset val="100"/>
        <c:noMultiLvlLbl val="0"/>
      </c:catAx>
      <c:valAx>
        <c:axId val="151542400"/>
        <c:scaling>
          <c:orientation val="minMax"/>
          <c:max val="140"/>
          <c:min val="80"/>
        </c:scaling>
        <c:delete val="0"/>
        <c:axPos val="l"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1540864"/>
        <c:crosses val="autoZero"/>
        <c:crossBetween val="between"/>
        <c:majorUnit val="20"/>
        <c:minorUnit val="20"/>
      </c:valAx>
      <c:serAx>
        <c:axId val="151971584"/>
        <c:scaling>
          <c:orientation val="minMax"/>
        </c:scaling>
        <c:delete val="1"/>
        <c:axPos val="b"/>
        <c:majorTickMark val="out"/>
        <c:minorTickMark val="none"/>
        <c:tickLblPos val="none"/>
        <c:crossAx val="151542400"/>
        <c:crosses val="autoZero"/>
      </c:ser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43883339010104688"/>
          <c:y val="4.1062781590804004E-3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054672990437602"/>
          <c:w val="0.66571190051625262"/>
          <c:h val="0.819067736725216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explosion val="29"/>
          <c:dPt>
            <c:idx val="0"/>
            <c:bubble3D val="0"/>
            <c:explosion val="16"/>
          </c:dPt>
          <c:dPt>
            <c:idx val="1"/>
            <c:bubble3D val="0"/>
            <c:explosion val="16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explosion val="17"/>
          </c:dPt>
          <c:dPt>
            <c:idx val="3"/>
            <c:bubble3D val="0"/>
            <c:explosion val="24"/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2.4835362108019843E-2"/>
                  <c:y val="-1.02321825156470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27,2%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98904166137759E-2"/>
                  <c:y val="1.28557287219568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32,1%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02169012373508E-2"/>
                  <c:y val="0.1598544948722595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277867938263461E-3"/>
                  <c:y val="-8.31602734150210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1578140174097275E-3"/>
                  <c:y val="-4.65643191249138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151850293522695E-2"/>
                  <c:y val="-2.477353432425224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8,3%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2638.3</c:v>
                </c:pt>
                <c:pt idx="1">
                  <c:v>3121.5</c:v>
                </c:pt>
                <c:pt idx="2">
                  <c:v>1284.5999999999999</c:v>
                </c:pt>
                <c:pt idx="3" formatCode="General">
                  <c:v>1226.9000000000001</c:v>
                </c:pt>
                <c:pt idx="4" formatCode="General">
                  <c:v>636.9</c:v>
                </c:pt>
                <c:pt idx="5">
                  <c:v>809.19999999999982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238384324096896"/>
          <c:y val="0.22293542184232806"/>
          <c:w val="0.37344660161755466"/>
          <c:h val="0.77601583224559434"/>
        </c:manualLayout>
      </c:layout>
      <c:overlay val="0"/>
      <c:txPr>
        <a:bodyPr/>
        <a:lstStyle/>
        <a:p>
          <a:pPr>
            <a:defRPr sz="8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Динамина промышленного производства </a:t>
            </a:r>
            <a:r>
              <a:rPr lang="ru-RU" sz="1100" b="0">
                <a:latin typeface="Times New Roman" pitchFamily="18" charset="0"/>
                <a:cs typeface="Times New Roman" pitchFamily="18" charset="0"/>
              </a:rPr>
              <a:t>(в сопоставимых ценах), млн. руб.</a:t>
            </a:r>
          </a:p>
        </c:rich>
      </c:tx>
      <c:layout>
        <c:manualLayout>
          <c:xMode val="edge"/>
          <c:yMode val="edge"/>
          <c:x val="0.15201094368698678"/>
          <c:y val="2.7023407788312886E-3"/>
        </c:manualLayout>
      </c:layout>
      <c:overlay val="0"/>
      <c:spPr>
        <a:noFill/>
        <a:ln w="2491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14706681757515E-2"/>
          <c:y val="0.15664287291191406"/>
          <c:w val="0.90757860831538262"/>
          <c:h val="0.5696405806417056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1.4580979575355309E-2"/>
                  <c:y val="-5.270341207349091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368315224333334E-2"/>
                  <c:y val="6.990507243863246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77,0%*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9422943011244932E-2"/>
                  <c:y val="7.130875160428737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237619491112411E-2"/>
                  <c:y val="-5.399289374542712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81,2%*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034023374589791E-2"/>
                  <c:y val="8.5983716321174089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97,4%*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7440397230098982E-2"/>
                  <c:y val="8.6535433070867238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6785486821875241E-2"/>
                  <c:y val="0.1221725855696611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178,0%*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6649588044153247E-2"/>
                  <c:y val="-0.14777706358134088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101,6%*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6881945318155222E-2"/>
                  <c:y val="7.8326021660919232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882340734592239E-2"/>
                  <c:y val="8.8067264516074037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92,1%*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8923405221784503E-2"/>
                  <c:y val="9.4177784857447489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78,0%*</a:t>
                    </a:r>
                    <a:endParaRPr lang="en-US" sz="800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5.847711520679571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85,9%*</a:t>
                    </a:r>
                    <a:endParaRPr lang="en-US" sz="800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 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598.20000000000005</c:v>
                </c:pt>
                <c:pt idx="1">
                  <c:v>607.70000000000005</c:v>
                </c:pt>
                <c:pt idx="2">
                  <c:v>710.2</c:v>
                </c:pt>
                <c:pt idx="3">
                  <c:v>688</c:v>
                </c:pt>
                <c:pt idx="4">
                  <c:v>760.7</c:v>
                </c:pt>
                <c:pt idx="5">
                  <c:v>851.3</c:v>
                </c:pt>
                <c:pt idx="6">
                  <c:v>904.8</c:v>
                </c:pt>
                <c:pt idx="7">
                  <c:v>764.3</c:v>
                </c:pt>
                <c:pt idx="8">
                  <c:v>730.2</c:v>
                </c:pt>
                <c:pt idx="9">
                  <c:v>772.7</c:v>
                </c:pt>
                <c:pt idx="10" formatCode="0.0">
                  <c:v>758</c:v>
                </c:pt>
                <c:pt idx="11">
                  <c:v>817.3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0"/>
              <c:layout>
                <c:manualLayout>
                  <c:x val="-3.1191320865111692E-2"/>
                  <c:y val="-0.10079543628475029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123,9%*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523735357256184E-2"/>
                  <c:y val="-6.717078867344228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140,3%*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5617045122106993E-2"/>
                  <c:y val="-7.6628857516158486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136,4%*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3204939413485167E-2"/>
                  <c:y val="-6.608335595981540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171,4%*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040729798885027E-2"/>
                  <c:y val="-7.510579034763552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204,3%*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4878035917844212E-2"/>
                  <c:y val="-5.989727577156308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188,0%*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4066456530646178E-2"/>
                  <c:y val="-7.044833681504099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103,8%*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027110791985651E-2"/>
                  <c:y val="0.16280572071348218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89,6%*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4911909195276402E-2"/>
                  <c:y val="-5.4053778991912133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90,4%*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0741804492367392E-2"/>
                  <c:y val="-7.2194547110182694E-2"/>
                </c:manualLayout>
              </c:layout>
              <c:tx>
                <c:rich>
                  <a:bodyPr/>
                  <a:lstStyle/>
                  <a:p>
                    <a:r>
                      <a:rPr lang="ru-RU" sz="800" b="1">
                        <a:latin typeface="Times New Roman" pitchFamily="18" charset="0"/>
                        <a:cs typeface="Times New Roman" pitchFamily="18" charset="0"/>
                      </a:rPr>
                      <a:t>83,2%*</a:t>
                    </a:r>
                    <a:endParaRPr lang="en-US" sz="8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735214774849567E-2"/>
                  <c:y val="-8.890438762531134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104,3%*</a:t>
                    </a:r>
                    <a:endParaRPr lang="en-US" sz="800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9.7201951884077126E-2"/>
                </c:manualLayout>
              </c:layout>
              <c:tx>
                <c:rich>
                  <a:bodyPr/>
                  <a:lstStyle/>
                  <a:p>
                    <a:r>
                      <a:rPr lang="ru-RU" sz="800"/>
                      <a:t>100,4%*</a:t>
                    </a:r>
                    <a:endParaRPr lang="en-US" sz="800"/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4917">
                <a:noFill/>
              </a:ln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 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 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729.2</c:v>
                </c:pt>
                <c:pt idx="1">
                  <c:v>789.1</c:v>
                </c:pt>
                <c:pt idx="2">
                  <c:v>771.5</c:v>
                </c:pt>
                <c:pt idx="3">
                  <c:v>846.8</c:v>
                </c:pt>
                <c:pt idx="4">
                  <c:v>781.4</c:v>
                </c:pt>
                <c:pt idx="5">
                  <c:v>902.6</c:v>
                </c:pt>
                <c:pt idx="6">
                  <c:v>871.8</c:v>
                </c:pt>
                <c:pt idx="7">
                  <c:v>852.7</c:v>
                </c:pt>
                <c:pt idx="8">
                  <c:v>792.1</c:v>
                </c:pt>
                <c:pt idx="9">
                  <c:v>839.4</c:v>
                </c:pt>
                <c:pt idx="10">
                  <c:v>727.1</c:v>
                </c:pt>
                <c:pt idx="11">
                  <c:v>813.7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 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 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598.20000000000005</c:v>
                </c:pt>
                <c:pt idx="1">
                  <c:v>607.70000000000005</c:v>
                </c:pt>
                <c:pt idx="2">
                  <c:v>710.2</c:v>
                </c:pt>
                <c:pt idx="3">
                  <c:v>688</c:v>
                </c:pt>
                <c:pt idx="4">
                  <c:v>760.7</c:v>
                </c:pt>
                <c:pt idx="5">
                  <c:v>851.3</c:v>
                </c:pt>
                <c:pt idx="6">
                  <c:v>904.8</c:v>
                </c:pt>
                <c:pt idx="7">
                  <c:v>764.3</c:v>
                </c:pt>
                <c:pt idx="8">
                  <c:v>730.2</c:v>
                </c:pt>
                <c:pt idx="9">
                  <c:v>772.7</c:v>
                </c:pt>
                <c:pt idx="10" formatCode="0.0">
                  <c:v>758</c:v>
                </c:pt>
                <c:pt idx="11">
                  <c:v>817.3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132032"/>
        <c:axId val="151158784"/>
      </c:lineChart>
      <c:catAx>
        <c:axId val="1511320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5.9146393408707123E-4"/>
              <c:y val="0.85038459478279449"/>
            </c:manualLayout>
          </c:layout>
          <c:overlay val="0"/>
          <c:spPr>
            <a:noFill/>
            <a:ln w="24917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83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158784"/>
        <c:crosses val="autoZero"/>
        <c:auto val="1"/>
        <c:lblAlgn val="ctr"/>
        <c:lblOffset val="100"/>
        <c:noMultiLvlLbl val="0"/>
      </c:catAx>
      <c:valAx>
        <c:axId val="151158784"/>
        <c:scaling>
          <c:orientation val="minMax"/>
          <c:min val="3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1132032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39074961783623191"/>
          <c:y val="0.92081846911993148"/>
          <c:w val="0.23783730330411995"/>
          <c:h val="7.4866310160429134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304018651864206E-2"/>
          <c:y val="4.9619008150297003E-2"/>
          <c:w val="0.91969598134815556"/>
          <c:h val="0.466022747156606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декабрь 2014 года</c:v>
                </c:pt>
              </c:strCache>
            </c:strRef>
          </c:tx>
          <c:spPr>
            <a:solidFill>
              <a:srgbClr val="8064A2">
                <a:lumMod val="40000"/>
                <a:lumOff val="6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-2.2186051507465032E-3"/>
                  <c:y val="1.857596083317867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110,2*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0045773396898323E-3"/>
                  <c:y val="1.025603587631016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65,7*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7874773271414E-3"/>
                  <c:y val="1.285068133606636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115,3*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378941742383802E-3"/>
                  <c:y val="1.23268633973944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84,9*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1068021227439996E-3"/>
                  <c:y val="8.189933705095374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87,5*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068803999713825E-4"/>
                  <c:y val="2.853473103096155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76,8*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4342075350817392E-3"/>
                  <c:y val="5.754318732972092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81,8*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9696199392399056E-3"/>
                  <c:y val="7.8520603175553632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80,2*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8538362154224045E-3"/>
                  <c:y val="1.4539676793274394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68,2*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8299113450273072E-4"/>
                  <c:y val="7.9521372959693495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94,2*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5751171187547084E-3"/>
                  <c:y val="-6.0959551773200069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65,0*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347.1</c:v>
                </c:pt>
                <c:pt idx="1">
                  <c:v>160.4</c:v>
                </c:pt>
                <c:pt idx="2">
                  <c:v>18.7</c:v>
                </c:pt>
                <c:pt idx="3">
                  <c:v>15.6</c:v>
                </c:pt>
                <c:pt idx="4">
                  <c:v>18.600000000000001</c:v>
                </c:pt>
                <c:pt idx="5">
                  <c:v>2.2999999999999998</c:v>
                </c:pt>
                <c:pt idx="6">
                  <c:v>31.1</c:v>
                </c:pt>
                <c:pt idx="7">
                  <c:v>107.2</c:v>
                </c:pt>
                <c:pt idx="8">
                  <c:v>98.7</c:v>
                </c:pt>
                <c:pt idx="9">
                  <c:v>12</c:v>
                </c:pt>
                <c:pt idx="10">
                  <c:v>1.9000000000000001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декабрь 2015 года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4835124885360067E-2"/>
                  <c:y val="2.7074241982378629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98,3*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824353648707297E-2"/>
                  <c:y val="9.4755646038543456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116,6* 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671150366435187E-2"/>
                  <c:y val="-2.735499122212385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90,3*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178059650614225E-2"/>
                  <c:y val="-3.706760792832088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89,6*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178059650614225E-2"/>
                  <c:y val="-4.095131786687583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118,2*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4136234939138311E-3"/>
                  <c:y val="-4.455275790146011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38,1 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5037469739157815E-4"/>
                  <c:y val="-5.86791802539833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91,9*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4957077112475433E-3"/>
                  <c:y val="-5.342665500145816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84,3*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7087068840804347E-2"/>
                  <c:y val="1.54406554693973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87,7*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1379600999795602E-3"/>
                  <c:y val="-3.496215700310188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108,9*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6188579785344251E-3"/>
                  <c:y val="-3.083972119379118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</a:t>
                    </a:r>
                    <a:r>
                      <a:rPr lang="ru-RU" sz="750" b="1" baseline="0"/>
                      <a:t> </a:t>
                    </a:r>
                    <a:r>
                      <a:rPr lang="ru-RU" sz="750" b="1"/>
                      <a:t>8,7р.</a:t>
                    </a:r>
                    <a:r>
                      <a:rPr lang="ru-RU" sz="750" b="1" baseline="0"/>
                      <a:t>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341.4</c:v>
                </c:pt>
                <c:pt idx="1">
                  <c:v>187</c:v>
                </c:pt>
                <c:pt idx="2">
                  <c:v>16.899999999999999</c:v>
                </c:pt>
                <c:pt idx="3">
                  <c:v>14</c:v>
                </c:pt>
                <c:pt idx="4">
                  <c:v>22</c:v>
                </c:pt>
                <c:pt idx="5">
                  <c:v>0.9</c:v>
                </c:pt>
                <c:pt idx="6">
                  <c:v>28.6</c:v>
                </c:pt>
                <c:pt idx="7">
                  <c:v>90.3</c:v>
                </c:pt>
                <c:pt idx="8">
                  <c:v>86.6</c:v>
                </c:pt>
                <c:pt idx="9">
                  <c:v>13</c:v>
                </c:pt>
                <c:pt idx="10">
                  <c:v>16.5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8381568"/>
        <c:axId val="118403840"/>
        <c:axId val="0"/>
      </c:bar3DChart>
      <c:catAx>
        <c:axId val="118381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5400000" vert="horz"/>
          <a:lstStyle/>
          <a:p>
            <a:pPr>
              <a:defRPr sz="800" b="1"/>
            </a:pPr>
            <a:endParaRPr lang="ru-RU"/>
          </a:p>
        </c:txPr>
        <c:crossAx val="118403840"/>
        <c:crosses val="autoZero"/>
        <c:auto val="1"/>
        <c:lblAlgn val="ctr"/>
        <c:lblOffset val="100"/>
        <c:noMultiLvlLbl val="0"/>
      </c:catAx>
      <c:valAx>
        <c:axId val="118403840"/>
        <c:scaling>
          <c:orientation val="minMax"/>
        </c:scaling>
        <c:delete val="0"/>
        <c:axPos val="l"/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8381568"/>
        <c:crosses val="autoZero"/>
        <c:crossBetween val="between"/>
        <c:majorUnit val="50"/>
      </c:valAx>
      <c:spPr>
        <a:noFill/>
        <a:ln w="253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3.2109120218240479E-2"/>
          <c:y val="0.93975903614461265"/>
          <c:w val="0.43969925806518279"/>
          <c:h val="6.4257028112449793E-2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в отрасли электроэнергетика,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19396325459319"/>
          <c:y val="0"/>
        </c:manualLayout>
      </c:layout>
      <c:overlay val="0"/>
      <c:spPr>
        <a:noFill/>
        <a:ln w="2157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1592156862746393"/>
          <c:y val="0.21069898520750024"/>
          <c:w val="0.50840161891985969"/>
          <c:h val="0.6054815728679074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 w="21571">
              <a:noFill/>
            </a:ln>
          </c:spPr>
          <c:invertIfNegative val="0"/>
          <c:dLbls>
            <c:dLbl>
              <c:idx val="0"/>
              <c:layout>
                <c:manualLayout>
                  <c:x val="-1.0269723637486523E-2"/>
                  <c:y val="1.1699505303772671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121,2%*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3553993134133069E-3"/>
                  <c:y val="3.1075369173514691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129,7%*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26462868612133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98,2%*</a:t>
                    </a:r>
                    <a:endParaRPr lang="en-US" sz="9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3121.5</c:v>
                </c:pt>
                <c:pt idx="1">
                  <c:v>2591.6999999999998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  <a:ln w="21571">
              <a:noFill/>
            </a:ln>
          </c:spPr>
          <c:invertIfNegative val="0"/>
          <c:dLbls>
            <c:dLbl>
              <c:idx val="0"/>
              <c:layout>
                <c:manualLayout>
                  <c:x val="-1.0705654945238141E-2"/>
                  <c:y val="3.368934923007549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115,7</a:t>
                    </a:r>
                    <a:r>
                      <a:rPr lang="ru-RU" sz="900" baseline="0"/>
                      <a:t>%*</a:t>
                    </a:r>
                    <a:endParaRPr lang="en-US" sz="9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724603889133358E-3"/>
                  <c:y val="1.0520246357386628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119,0% *</a:t>
                    </a:r>
                  </a:p>
                </c:rich>
              </c:tx>
              <c:spPr>
                <a:noFill/>
                <a:ln w="2157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471725490669297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95,2%*</a:t>
                    </a:r>
                    <a:endParaRPr lang="en-US" sz="9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3612.8</c:v>
                </c:pt>
                <c:pt idx="1">
                  <c:v>3084.7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8013952"/>
        <c:axId val="118015488"/>
      </c:barChart>
      <c:catAx>
        <c:axId val="118013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18015488"/>
        <c:crosses val="autoZero"/>
        <c:auto val="1"/>
        <c:lblAlgn val="ctr"/>
        <c:lblOffset val="100"/>
        <c:noMultiLvlLbl val="0"/>
      </c:catAx>
      <c:valAx>
        <c:axId val="11801548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9219445395"/>
            </c:manualLayout>
          </c:layout>
          <c:overlay val="0"/>
          <c:spPr>
            <a:noFill/>
            <a:ln w="21571">
              <a:noFill/>
            </a:ln>
          </c:spPr>
        </c:title>
        <c:numFmt formatCode="0.0" sourceLinked="1"/>
        <c:majorTickMark val="out"/>
        <c:minorTickMark val="none"/>
        <c:tickLblPos val="nextTo"/>
        <c:crossAx val="118013952"/>
        <c:crosses val="autoZero"/>
        <c:crossBetween val="between"/>
        <c:majorUnit val="1000"/>
      </c:valAx>
    </c:plotArea>
    <c:legend>
      <c:legendPos val="r"/>
      <c:layout>
        <c:manualLayout>
          <c:xMode val="edge"/>
          <c:yMode val="edge"/>
          <c:x val="0.91442195460861564"/>
          <c:y val="6.0715797622072104E-2"/>
          <c:w val="7.0720256982802404E-2"/>
          <c:h val="0.31815987675453788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по отрасли промышленность строительных материалов, </a:t>
            </a:r>
          </a:p>
          <a:p>
            <a:pPr>
              <a:defRPr sz="9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12566616966306438"/>
          <c:y val="0"/>
        </c:manualLayout>
      </c:layout>
      <c:overlay val="0"/>
      <c:spPr>
        <a:noFill/>
        <a:ln w="2092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2358935180050851"/>
          <c:y val="0.18959555636941094"/>
          <c:w val="0.70006103697131761"/>
          <c:h val="0.613322892649500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spPr>
            <a:gradFill>
              <a:gsLst>
                <a:gs pos="0">
                  <a:srgbClr val="D6B19C"/>
                </a:gs>
                <a:gs pos="30000">
                  <a:srgbClr val="D49E6C"/>
                </a:gs>
                <a:gs pos="70000">
                  <a:srgbClr val="A65528"/>
                </a:gs>
                <a:gs pos="100000">
                  <a:srgbClr val="663012"/>
                </a:gs>
              </a:gsLst>
              <a:lin ang="5400000" scaled="0"/>
            </a:gradFill>
            <a:ln w="20926">
              <a:noFill/>
            </a:ln>
          </c:spPr>
          <c:invertIfNegative val="0"/>
          <c:dLbls>
            <c:dLbl>
              <c:idx val="0"/>
              <c:layout>
                <c:manualLayout>
                  <c:x val="-6.4906205973079834E-3"/>
                  <c:y val="6.2017662156872893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124,9%*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260761324998856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130,2%*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432803880735565E-2"/>
                  <c:y val="2.8423444259768608E-17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111,7%*</a:t>
                    </a:r>
                    <a:endParaRPr lang="en-US" sz="10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0926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"РЦК"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636.9</c:v>
                </c:pt>
                <c:pt idx="1">
                  <c:v>463.6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BEAC7"/>
                </a:gs>
                <a:gs pos="17999">
                  <a:srgbClr val="FEE7F2"/>
                </a:gs>
                <a:gs pos="36000">
                  <a:srgbClr val="FAC77D"/>
                </a:gs>
                <a:gs pos="61000">
                  <a:srgbClr val="FBA97D"/>
                </a:gs>
                <a:gs pos="82001">
                  <a:srgbClr val="FBD49C"/>
                </a:gs>
                <a:gs pos="100000">
                  <a:srgbClr val="FEE7F2"/>
                </a:gs>
              </a:gsLst>
              <a:lin ang="5400000" scaled="0"/>
            </a:gradFill>
            <a:ln w="20926">
              <a:noFill/>
            </a:ln>
          </c:spPr>
          <c:invertIfNegative val="0"/>
          <c:dLbls>
            <c:dLbl>
              <c:idx val="0"/>
              <c:layout>
                <c:manualLayout>
                  <c:x val="-5.30945403697988E-3"/>
                  <c:y val="-6.5797244094489005E-3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000"/>
                      <a:t>67,9% *</a:t>
                    </a:r>
                  </a:p>
                </c:rich>
              </c:tx>
              <c:spPr>
                <a:noFill/>
                <a:ln w="20926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8389781452217459E-3"/>
                  <c:y val="-1.3963801399825291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000"/>
                      <a:t>69,0% *</a:t>
                    </a:r>
                  </a:p>
                </c:rich>
              </c:tx>
              <c:spPr>
                <a:noFill/>
                <a:ln w="20926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24031007751938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81,5%*</a:t>
                    </a:r>
                    <a:endParaRPr lang="en-US" sz="10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0926">
                <a:noFill/>
              </a:ln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"РЦК"</c:v>
                </c:pt>
              </c:strCache>
            </c:strRef>
          </c:cat>
          <c:val>
            <c:numRef>
              <c:f>Лист1!$C$2:$C$3</c:f>
              <c:numCache>
                <c:formatCode>0.0</c:formatCode>
                <c:ptCount val="2"/>
                <c:pt idx="0" formatCode="General">
                  <c:v>432.2</c:v>
                </c:pt>
                <c:pt idx="1">
                  <c:v>320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1212416"/>
        <c:axId val="151213952"/>
      </c:barChart>
      <c:catAx>
        <c:axId val="1512124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151213952"/>
        <c:crosses val="autoZero"/>
        <c:auto val="1"/>
        <c:lblAlgn val="ctr"/>
        <c:lblOffset val="100"/>
        <c:noMultiLvlLbl val="0"/>
      </c:catAx>
      <c:valAx>
        <c:axId val="151213952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82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9504689105"/>
            </c:manualLayout>
          </c:layout>
          <c:overlay val="0"/>
          <c:spPr>
            <a:noFill/>
            <a:ln w="20926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151212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340911611400765"/>
          <c:y val="0.13129798001769724"/>
          <c:w val="9.6590930903112368E-2"/>
          <c:h val="0.20006264410318875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3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по отрасли легкая промышленность,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3817983860886777"/>
          <c:y val="4.6192253431798024E-2"/>
        </c:manualLayout>
      </c:layout>
      <c:overlay val="0"/>
      <c:spPr>
        <a:noFill/>
        <a:ln w="1921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2546695094706796"/>
          <c:y val="0.18870710605619953"/>
          <c:w val="0.61185899921149456"/>
          <c:h val="0.6417248575635834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2014год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  <a:ln w="19217"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invertIfNegative val="0"/>
          <c:dLbls>
            <c:dLbl>
              <c:idx val="0"/>
              <c:layout>
                <c:manualLayout>
                  <c:x val="3.2375718923074355E-6"/>
                  <c:y val="-7.017732724359202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87,8%*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2207272241218026E-6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77,4%*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41368252271520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100,3%*</a:t>
                    </a:r>
                    <a:endParaRPr lang="en-US" sz="9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1284.5999999999999</c:v>
                </c:pt>
                <c:pt idx="1">
                  <c:v>629.9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  <a:ln w="19217">
              <a:noFill/>
            </a:ln>
          </c:spPr>
          <c:invertIfNegative val="0"/>
          <c:dLbls>
            <c:dLbl>
              <c:idx val="0"/>
              <c:layout>
                <c:manualLayout>
                  <c:x val="-4.670323086678389E-3"/>
                  <c:y val="-9.5803461054611207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85,1%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1632554020115659E-3"/>
                  <c:y val="-3.9670822397200392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79,6%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055863387446961E-4"/>
                  <c:y val="-6.364253248831673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89,3%*</a:t>
                    </a:r>
                    <a:endParaRPr lang="en-US" sz="9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1093.0999999999999</c:v>
                </c:pt>
                <c:pt idx="1">
                  <c:v>501.6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8207232"/>
        <c:axId val="118208768"/>
      </c:barChart>
      <c:catAx>
        <c:axId val="1182072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118208768"/>
        <c:crosses val="autoZero"/>
        <c:auto val="1"/>
        <c:lblAlgn val="ctr"/>
        <c:lblOffset val="100"/>
        <c:noMultiLvlLbl val="0"/>
      </c:catAx>
      <c:valAx>
        <c:axId val="11820876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75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7615586564"/>
            </c:manualLayout>
          </c:layout>
          <c:overlay val="0"/>
          <c:spPr>
            <a:noFill/>
            <a:ln w="19217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118207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93047706824896"/>
          <c:y val="0.20889827795915755"/>
          <c:w val="9.8429775297274522E-2"/>
          <c:h val="0.30439103742981938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4087758260986895"/>
          <c:y val="9.197619931016475E-2"/>
          <c:w val="0.6583308779951017"/>
          <c:h val="0.56068880278854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- декабрь 2014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9.626955475330926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+5,3*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0606060606060814E-3"/>
                  <c:y val="9.6269554753309269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+22,0*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202020202020202E-3"/>
                  <c:y val="1.44404332129964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-0,7*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-</a:t>
                    </a:r>
                    <a:r>
                      <a:rPr lang="en-US">
                        <a:solidFill>
                          <a:schemeClr val="bg1"/>
                        </a:solidFill>
                      </a:rPr>
                      <a:t>593,4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2350.8000000000002</c:v>
                </c:pt>
                <c:pt idx="1">
                  <c:v>715.9</c:v>
                </c:pt>
                <c:pt idx="2">
                  <c:v>1634.8</c:v>
                </c:pt>
                <c:pt idx="3">
                  <c:v>-918.9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 - декабрь 2015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5711922373339852E-2"/>
                  <c:y val="1.394657797739182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-25,6*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383679312813355E-2"/>
                  <c:y val="1.44404332129965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-14,7*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8383838383838402E-2"/>
                  <c:y val="1.44404332129964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-30,4*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Sheet1!$C$2:$C$5</c:f>
              <c:numCache>
                <c:formatCode>#,##0.0</c:formatCode>
                <c:ptCount val="4"/>
                <c:pt idx="0">
                  <c:v>1749.4</c:v>
                </c:pt>
                <c:pt idx="1">
                  <c:v>611</c:v>
                </c:pt>
                <c:pt idx="2">
                  <c:v>1138.4000000000001</c:v>
                </c:pt>
                <c:pt idx="3">
                  <c:v>-527.40000000000009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60"/>
        <c:axId val="151347584"/>
        <c:axId val="151349120"/>
      </c:barChart>
      <c:catAx>
        <c:axId val="15134758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51349120"/>
        <c:crosses val="autoZero"/>
        <c:auto val="0"/>
        <c:lblAlgn val="ctr"/>
        <c:lblOffset val="20"/>
        <c:tickMarkSkip val="1"/>
        <c:noMultiLvlLbl val="0"/>
      </c:catAx>
      <c:valAx>
        <c:axId val="151349120"/>
        <c:scaling>
          <c:orientation val="minMax"/>
          <c:max val="2500"/>
          <c:min val="-90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 sz="1000" b="1" i="0" strike="noStrike">
                  <a:solidFill>
                    <a:srgbClr val="000000"/>
                  </a:solidFill>
                  <a:latin typeface="Times New Roman"/>
                  <a:cs typeface="Times New Roman"/>
                </a:endParaRP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 - темп прироста (спада) в % к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предыдущему </a:t>
                </a:r>
              </a:p>
              <a:p>
                <a:pPr algn="ctr"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 sz="978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году</a:t>
                </a:r>
              </a:p>
            </c:rich>
          </c:tx>
          <c:layout>
            <c:manualLayout>
              <c:xMode val="edge"/>
              <c:yMode val="edge"/>
              <c:x val="2.5315214630429732E-2"/>
              <c:y val="2.5052373040526615E-3"/>
            </c:manualLayout>
          </c:layout>
          <c:overlay val="0"/>
          <c:spPr>
            <a:noFill/>
            <a:ln w="24830">
              <a:noFill/>
            </a:ln>
          </c:spPr>
        </c:title>
        <c:numFmt formatCode="#,##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ru-RU"/>
          </a:p>
        </c:txPr>
        <c:crossAx val="1513475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noFill/>
    <a:ln>
      <a:solidFill>
        <a:sysClr val="window" lastClr="FFFFFF"/>
      </a:solidFill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106894708711948E-2"/>
          <c:y val="3.2641554386126495E-2"/>
          <c:w val="0.92836811128945951"/>
          <c:h val="0.426448404475756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- декабрь 2014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4205933248881516E-3"/>
                  <c:y val="1.547612303857736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31,8*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803638309256934E-3"/>
                  <c:y val="2.02020202020202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23,3*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5608146876613566E-3"/>
                  <c:y val="1.5245580341754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19,2*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13,5*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401819154630037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3,7*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6,2*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80363830925693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2,2*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227.9</c:v>
                </c:pt>
                <c:pt idx="1">
                  <c:v>167</c:v>
                </c:pt>
                <c:pt idx="2">
                  <c:v>137.80000000000001</c:v>
                </c:pt>
                <c:pt idx="3">
                  <c:v>96.7</c:v>
                </c:pt>
                <c:pt idx="4">
                  <c:v>26.5</c:v>
                </c:pt>
                <c:pt idx="5">
                  <c:v>44.2</c:v>
                </c:pt>
                <c:pt idx="6">
                  <c:v>15.799999999999986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- декабрь 2015 год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8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8.5607276618512567E-3"/>
                  <c:y val="4.00414091664836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21,3*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5572716871929466E-3"/>
                  <c:y val="5.050538895404052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37,2*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607276618512567E-3"/>
                  <c:y val="6.06060606060606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16,9*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5607276618512567E-3"/>
                  <c:y val="1.0101010101010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13,8*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80363830925582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4,1*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70090957731407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4,1*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2803638309256934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2,6*</a:t>
                    </a:r>
                    <a:endParaRPr lang="en-US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4878">
                <a:noFill/>
              </a:ln>
            </c:spPr>
            <c:txPr>
              <a:bodyPr rot="0" vert="horz"/>
              <a:lstStyle/>
              <a:p>
                <a:pPr>
                  <a:defRPr sz="88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130.4</c:v>
                </c:pt>
                <c:pt idx="1">
                  <c:v>227.1</c:v>
                </c:pt>
                <c:pt idx="2">
                  <c:v>103.5</c:v>
                </c:pt>
                <c:pt idx="3">
                  <c:v>84.3</c:v>
                </c:pt>
                <c:pt idx="4">
                  <c:v>24.8</c:v>
                </c:pt>
                <c:pt idx="5">
                  <c:v>25.3</c:v>
                </c:pt>
                <c:pt idx="6">
                  <c:v>15.60000000000008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0"/>
        <c:axId val="144827904"/>
        <c:axId val="144829056"/>
      </c:barChart>
      <c:catAx>
        <c:axId val="144827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829056"/>
        <c:crosses val="autoZero"/>
        <c:auto val="0"/>
        <c:lblAlgn val="ctr"/>
        <c:lblOffset val="160"/>
        <c:tickLblSkip val="1"/>
        <c:tickMarkSkip val="1"/>
        <c:noMultiLvlLbl val="0"/>
      </c:catAx>
      <c:valAx>
        <c:axId val="144829056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784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*- удельный вес в общем объеме экспорта,%</a:t>
                </a:r>
              </a:p>
            </c:rich>
          </c:tx>
          <c:layout>
            <c:manualLayout>
              <c:xMode val="edge"/>
              <c:yMode val="edge"/>
              <c:x val="0.78116633330801499"/>
              <c:y val="4.7138206436642023E-2"/>
            </c:manualLayout>
          </c:layout>
          <c:overlay val="0"/>
          <c:spPr>
            <a:noFill/>
            <a:ln w="24878">
              <a:noFill/>
            </a:ln>
          </c:spPr>
        </c:title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4827904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022508038585209"/>
          <c:y val="0.93087557603689131"/>
          <c:w val="0.73472668810289465"/>
          <c:h val="7.3732718894009494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podsevalnikova-a</dc:creator>
  <cp:keywords/>
  <dc:description/>
  <cp:lastModifiedBy>Слинченко</cp:lastModifiedBy>
  <cp:revision>30</cp:revision>
  <cp:lastPrinted>2016-01-25T12:39:00Z</cp:lastPrinted>
  <dcterms:created xsi:type="dcterms:W3CDTF">2016-01-19T07:24:00Z</dcterms:created>
  <dcterms:modified xsi:type="dcterms:W3CDTF">2016-03-21T12:11:00Z</dcterms:modified>
</cp:coreProperties>
</file>