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CC" w:rsidRPr="00402E72" w:rsidRDefault="004E05CC" w:rsidP="00282ABE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72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</w:t>
      </w:r>
      <w:r w:rsidR="004D5523">
        <w:rPr>
          <w:rFonts w:ascii="Times New Roman" w:hAnsi="Times New Roman" w:cs="Times New Roman"/>
          <w:sz w:val="24"/>
          <w:szCs w:val="24"/>
        </w:rPr>
        <w:t>-</w:t>
      </w:r>
      <w:r w:rsidR="00904644">
        <w:rPr>
          <w:rFonts w:ascii="Times New Roman" w:hAnsi="Times New Roman" w:cs="Times New Roman"/>
          <w:sz w:val="24"/>
          <w:szCs w:val="24"/>
        </w:rPr>
        <w:t>марте</w:t>
      </w:r>
      <w:r w:rsidRPr="00402E72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4E05CC" w:rsidRPr="00402E72" w:rsidRDefault="004E05CC" w:rsidP="00282ABE">
      <w:pPr>
        <w:spacing w:after="0"/>
      </w:pPr>
    </w:p>
    <w:p w:rsidR="00382A15" w:rsidRDefault="00D358C9" w:rsidP="00D358C9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AB48DD">
        <w:t>охраняющиеся ограничения и барьеры при осуществлении внешнеэкономической деятельности</w:t>
      </w:r>
      <w:r w:rsidR="003A7AEB" w:rsidRPr="003A7AEB">
        <w:t xml:space="preserve"> </w:t>
      </w:r>
      <w:r w:rsidR="003A7AEB" w:rsidRPr="00B56C7A">
        <w:t>в январе-марте 201</w:t>
      </w:r>
      <w:r w:rsidR="003A7AEB">
        <w:t xml:space="preserve">7 </w:t>
      </w:r>
      <w:r w:rsidR="003A7AEB" w:rsidRPr="00B56C7A">
        <w:t>года</w:t>
      </w:r>
      <w:r>
        <w:t>, затрудненный доступ к мировым рынкам, в совокупности</w:t>
      </w:r>
      <w:r w:rsidRPr="004F18DF">
        <w:t xml:space="preserve"> </w:t>
      </w:r>
      <w:r>
        <w:t xml:space="preserve">с </w:t>
      </w:r>
      <w:r w:rsidRPr="00E54656">
        <w:t xml:space="preserve">внутренними проблемами </w:t>
      </w:r>
      <w:r w:rsidR="00513C0D">
        <w:t xml:space="preserve">продолжали </w:t>
      </w:r>
      <w:r w:rsidR="00513C0D" w:rsidRPr="00AC0ECC">
        <w:t>оказыва</w:t>
      </w:r>
      <w:r w:rsidR="00513C0D">
        <w:t>ть</w:t>
      </w:r>
      <w:r w:rsidR="00513C0D" w:rsidRPr="00AC0ECC">
        <w:t xml:space="preserve"> дестабилизирующее воздействие </w:t>
      </w:r>
      <w:r w:rsidR="00CE2D4A">
        <w:t xml:space="preserve">на </w:t>
      </w:r>
      <w:r w:rsidR="00513C0D" w:rsidRPr="00AC0ECC">
        <w:t>результативност</w:t>
      </w:r>
      <w:r w:rsidR="00513C0D">
        <w:t xml:space="preserve">ь </w:t>
      </w:r>
      <w:r w:rsidR="00313C47">
        <w:t xml:space="preserve">хозяйственной </w:t>
      </w:r>
      <w:r w:rsidR="00513C0D">
        <w:t>деятельности</w:t>
      </w:r>
      <w:r w:rsidR="00513C0D" w:rsidRPr="00AC0ECC">
        <w:t xml:space="preserve"> предприятий </w:t>
      </w:r>
      <w:r w:rsidR="003A7AEB">
        <w:t>промышленного сектора, а также</w:t>
      </w:r>
      <w:r w:rsidR="00513C0D">
        <w:t xml:space="preserve"> отража</w:t>
      </w:r>
      <w:r w:rsidR="00382A15">
        <w:t>лись</w:t>
      </w:r>
      <w:r w:rsidR="00513C0D">
        <w:t xml:space="preserve"> </w:t>
      </w:r>
      <w:r w:rsidR="00513C0D" w:rsidRPr="00AC0ECC">
        <w:t xml:space="preserve">на </w:t>
      </w:r>
      <w:r w:rsidR="003A7AEB" w:rsidRPr="00AC0ECC">
        <w:t>динамик</w:t>
      </w:r>
      <w:r w:rsidR="003A7AEB">
        <w:t>е показателей внешнеэкономической деятельности и на развитии экономики в целом.</w:t>
      </w:r>
      <w:r w:rsidR="00382A15">
        <w:t xml:space="preserve"> </w:t>
      </w:r>
    </w:p>
    <w:p w:rsidR="00CD2B89" w:rsidRPr="00D978C7" w:rsidRDefault="00CD2B89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2B89" w:rsidRPr="00D978C7" w:rsidRDefault="00CD2B89" w:rsidP="00CD2B8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78C7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CD2B89" w:rsidRPr="00D978C7" w:rsidRDefault="00CD2B89" w:rsidP="00CD2B8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687B" w:rsidRPr="00402E72" w:rsidRDefault="0039687B" w:rsidP="003968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02E72">
        <w:rPr>
          <w:rFonts w:ascii="Times New Roman" w:hAnsi="Times New Roman"/>
          <w:sz w:val="24"/>
          <w:szCs w:val="24"/>
        </w:rPr>
        <w:t>Объем п</w:t>
      </w:r>
      <w:r w:rsidRPr="00402E72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402E72">
        <w:rPr>
          <w:rFonts w:ascii="Times New Roman" w:hAnsi="Times New Roman"/>
          <w:sz w:val="24"/>
          <w:szCs w:val="24"/>
        </w:rPr>
        <w:t xml:space="preserve"> </w:t>
      </w:r>
      <w:r w:rsidR="003A7AEB">
        <w:rPr>
          <w:rFonts w:ascii="Times New Roman" w:hAnsi="Times New Roman"/>
          <w:sz w:val="24"/>
          <w:szCs w:val="24"/>
        </w:rPr>
        <w:t xml:space="preserve">в январе-марте 2017 года </w:t>
      </w:r>
      <w:r w:rsidRPr="00402E72">
        <w:rPr>
          <w:rFonts w:ascii="Times New Roman" w:hAnsi="Times New Roman"/>
          <w:sz w:val="24"/>
          <w:szCs w:val="24"/>
        </w:rPr>
        <w:t xml:space="preserve">(без учета субъектов малого предпринимательства) </w:t>
      </w:r>
      <w:r w:rsidRPr="00402E72">
        <w:rPr>
          <w:rFonts w:ascii="Times New Roman" w:hAnsi="Times New Roman"/>
          <w:snapToGrid w:val="0"/>
          <w:sz w:val="24"/>
          <w:szCs w:val="24"/>
        </w:rPr>
        <w:t xml:space="preserve">в текущих ценах </w:t>
      </w:r>
      <w:r>
        <w:rPr>
          <w:rFonts w:ascii="Times New Roman" w:hAnsi="Times New Roman"/>
          <w:sz w:val="24"/>
          <w:szCs w:val="24"/>
        </w:rPr>
        <w:t>сократился</w:t>
      </w:r>
      <w:r w:rsidRPr="00402E72">
        <w:rPr>
          <w:rFonts w:ascii="Times New Roman" w:hAnsi="Times New Roman"/>
          <w:sz w:val="24"/>
          <w:szCs w:val="24"/>
        </w:rPr>
        <w:t xml:space="preserve"> </w:t>
      </w:r>
      <w:r w:rsidR="003A7AEB">
        <w:rPr>
          <w:rFonts w:ascii="Times New Roman" w:hAnsi="Times New Roman"/>
          <w:sz w:val="24"/>
          <w:szCs w:val="24"/>
        </w:rPr>
        <w:t xml:space="preserve">по отношению к сопоставимому уровню показателя 2016 года </w:t>
      </w:r>
      <w:r w:rsidRPr="00402E7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5,8</w:t>
      </w:r>
      <w:r w:rsidRPr="00402E72">
        <w:rPr>
          <w:rFonts w:ascii="Times New Roman" w:hAnsi="Times New Roman"/>
          <w:sz w:val="24"/>
          <w:szCs w:val="24"/>
        </w:rPr>
        <w:t>%</w:t>
      </w:r>
      <w:r w:rsidR="003A7AEB">
        <w:rPr>
          <w:rFonts w:ascii="Times New Roman" w:hAnsi="Times New Roman"/>
          <w:sz w:val="24"/>
          <w:szCs w:val="24"/>
        </w:rPr>
        <w:t>,</w:t>
      </w:r>
      <w:r w:rsidRPr="00402E72">
        <w:rPr>
          <w:rFonts w:ascii="Times New Roman" w:hAnsi="Times New Roman"/>
          <w:sz w:val="24"/>
          <w:szCs w:val="24"/>
        </w:rPr>
        <w:t xml:space="preserve"> составив </w:t>
      </w:r>
      <w:r>
        <w:rPr>
          <w:rFonts w:ascii="Times New Roman" w:hAnsi="Times New Roman"/>
          <w:sz w:val="24"/>
          <w:szCs w:val="24"/>
        </w:rPr>
        <w:t>1 937,8</w:t>
      </w:r>
      <w:r w:rsidRPr="00402E72">
        <w:rPr>
          <w:rFonts w:ascii="Times New Roman" w:hAnsi="Times New Roman"/>
          <w:sz w:val="24"/>
          <w:szCs w:val="24"/>
        </w:rPr>
        <w:t xml:space="preserve"> млн. руб., в сопоставимых ценах данный показатель сложился на </w:t>
      </w:r>
      <w:r>
        <w:rPr>
          <w:rFonts w:ascii="Times New Roman" w:hAnsi="Times New Roman"/>
          <w:sz w:val="24"/>
          <w:szCs w:val="24"/>
        </w:rPr>
        <w:t>13,1</w:t>
      </w:r>
      <w:r w:rsidRPr="00402E72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ниже</w:t>
      </w:r>
      <w:r w:rsidRPr="00402E72">
        <w:rPr>
          <w:rFonts w:ascii="Times New Roman" w:hAnsi="Times New Roman"/>
          <w:sz w:val="24"/>
          <w:szCs w:val="24"/>
        </w:rPr>
        <w:t xml:space="preserve"> базового уровня минувшего года, при этом в долларовом эквиваленте объем произведенной продукции составил </w:t>
      </w:r>
      <w:r>
        <w:rPr>
          <w:rFonts w:ascii="Times New Roman" w:hAnsi="Times New Roman"/>
          <w:sz w:val="24"/>
          <w:szCs w:val="24"/>
        </w:rPr>
        <w:t>171,5</w:t>
      </w:r>
      <w:r w:rsidRPr="00402E72">
        <w:rPr>
          <w:rFonts w:ascii="Times New Roman" w:hAnsi="Times New Roman"/>
          <w:sz w:val="24"/>
          <w:szCs w:val="24"/>
        </w:rPr>
        <w:t xml:space="preserve"> млн. долл. или </w:t>
      </w:r>
      <w:r w:rsidR="004647C4">
        <w:rPr>
          <w:rFonts w:ascii="Times New Roman" w:hAnsi="Times New Roman"/>
          <w:sz w:val="24"/>
          <w:szCs w:val="24"/>
        </w:rPr>
        <w:t>92</w:t>
      </w:r>
      <w:r w:rsidRPr="00402E72">
        <w:rPr>
          <w:rFonts w:ascii="Times New Roman" w:hAnsi="Times New Roman"/>
          <w:sz w:val="24"/>
          <w:szCs w:val="24"/>
        </w:rPr>
        <w:t>,8% к уровню</w:t>
      </w:r>
      <w:proofErr w:type="gramEnd"/>
      <w:r w:rsidRPr="00402E72">
        <w:rPr>
          <w:rFonts w:ascii="Times New Roman" w:hAnsi="Times New Roman"/>
          <w:sz w:val="24"/>
          <w:szCs w:val="24"/>
        </w:rPr>
        <w:t xml:space="preserve"> аналогичного </w:t>
      </w:r>
      <w:r w:rsidR="004647C4">
        <w:rPr>
          <w:rFonts w:ascii="Times New Roman" w:hAnsi="Times New Roman"/>
          <w:sz w:val="24"/>
          <w:szCs w:val="24"/>
        </w:rPr>
        <w:t>п</w:t>
      </w:r>
      <w:r w:rsidRPr="00402E72">
        <w:rPr>
          <w:rFonts w:ascii="Times New Roman" w:hAnsi="Times New Roman"/>
          <w:sz w:val="24"/>
          <w:szCs w:val="24"/>
        </w:rPr>
        <w:t xml:space="preserve">оказателя 2016 года. Доход от реализации промышленной продукции в </w:t>
      </w:r>
      <w:r w:rsidR="004647C4">
        <w:rPr>
          <w:rFonts w:ascii="Times New Roman" w:hAnsi="Times New Roman"/>
          <w:sz w:val="24"/>
          <w:szCs w:val="24"/>
        </w:rPr>
        <w:t>обозначенном</w:t>
      </w:r>
      <w:r w:rsidRPr="00402E72">
        <w:rPr>
          <w:rFonts w:ascii="Times New Roman" w:hAnsi="Times New Roman"/>
          <w:sz w:val="24"/>
          <w:szCs w:val="24"/>
        </w:rPr>
        <w:t xml:space="preserve"> периоде сложился ниже сопоставимого значения 2016 года на </w:t>
      </w:r>
      <w:r w:rsidR="004647C4">
        <w:rPr>
          <w:rFonts w:ascii="Times New Roman" w:hAnsi="Times New Roman"/>
          <w:sz w:val="24"/>
          <w:szCs w:val="24"/>
        </w:rPr>
        <w:t>8,2</w:t>
      </w:r>
      <w:r w:rsidRPr="00402E72">
        <w:rPr>
          <w:rFonts w:ascii="Times New Roman" w:hAnsi="Times New Roman"/>
          <w:sz w:val="24"/>
          <w:szCs w:val="24"/>
        </w:rPr>
        <w:t>%, составив</w:t>
      </w:r>
      <w:r w:rsidR="003A7AEB">
        <w:rPr>
          <w:rFonts w:ascii="Times New Roman" w:hAnsi="Times New Roman"/>
          <w:sz w:val="24"/>
          <w:szCs w:val="24"/>
        </w:rPr>
        <w:t xml:space="preserve"> </w:t>
      </w:r>
      <w:r w:rsidR="004647C4">
        <w:rPr>
          <w:rFonts w:ascii="Times New Roman" w:hAnsi="Times New Roman"/>
          <w:sz w:val="24"/>
          <w:szCs w:val="24"/>
        </w:rPr>
        <w:t>1 846,7</w:t>
      </w:r>
      <w:r w:rsidRPr="00402E72">
        <w:rPr>
          <w:rFonts w:ascii="Times New Roman" w:hAnsi="Times New Roman"/>
          <w:sz w:val="24"/>
          <w:szCs w:val="24"/>
        </w:rPr>
        <w:t xml:space="preserve"> млн. руб. или </w:t>
      </w:r>
      <w:r w:rsidR="004647C4">
        <w:rPr>
          <w:rFonts w:ascii="Times New Roman" w:hAnsi="Times New Roman"/>
          <w:sz w:val="24"/>
          <w:szCs w:val="24"/>
        </w:rPr>
        <w:t>163,4</w:t>
      </w:r>
      <w:r w:rsidRPr="00402E72">
        <w:rPr>
          <w:rFonts w:ascii="Times New Roman" w:hAnsi="Times New Roman"/>
          <w:sz w:val="24"/>
          <w:szCs w:val="24"/>
        </w:rPr>
        <w:t xml:space="preserve"> млн. долл.</w:t>
      </w:r>
    </w:p>
    <w:p w:rsidR="00A927E5" w:rsidRDefault="00650098" w:rsidP="003A7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11811" distL="114300" distR="115570" simplePos="0" relativeHeight="251662336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469265</wp:posOffset>
            </wp:positionV>
            <wp:extent cx="2495550" cy="2247900"/>
            <wp:effectExtent l="19050" t="0" r="0" b="0"/>
            <wp:wrapTight wrapText="bothSides">
              <wp:wrapPolygon edited="0">
                <wp:start x="-165" y="0"/>
                <wp:lineTo x="-165" y="21417"/>
                <wp:lineTo x="21600" y="21417"/>
                <wp:lineTo x="21600" y="0"/>
                <wp:lineTo x="-165" y="0"/>
              </wp:wrapPolygon>
            </wp:wrapTight>
            <wp:docPr id="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14859" distL="114300" distR="115443" simplePos="0" relativeHeight="25166438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469265</wp:posOffset>
            </wp:positionV>
            <wp:extent cx="3867150" cy="2152650"/>
            <wp:effectExtent l="19050" t="0" r="0" b="0"/>
            <wp:wrapTight wrapText="bothSides">
              <wp:wrapPolygon edited="0">
                <wp:start x="-106" y="0"/>
                <wp:lineTo x="-106" y="21409"/>
                <wp:lineTo x="21600" y="21409"/>
                <wp:lineTo x="21600" y="0"/>
                <wp:lineTo x="-106" y="0"/>
              </wp:wrapPolygon>
            </wp:wrapTight>
            <wp:docPr id="3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CD2B89" w:rsidRPr="00D978C7">
        <w:rPr>
          <w:rFonts w:ascii="Times New Roman" w:hAnsi="Times New Roman"/>
          <w:sz w:val="24"/>
          <w:szCs w:val="24"/>
        </w:rPr>
        <w:t>Отраслевая структура промышленного производства в январе-</w:t>
      </w:r>
      <w:r w:rsidR="004647C4">
        <w:rPr>
          <w:rFonts w:ascii="Times New Roman" w:hAnsi="Times New Roman"/>
          <w:sz w:val="24"/>
          <w:szCs w:val="24"/>
        </w:rPr>
        <w:t>марте</w:t>
      </w:r>
      <w:r w:rsidR="00CD2B89" w:rsidRPr="00D978C7">
        <w:rPr>
          <w:rFonts w:ascii="Times New Roman" w:hAnsi="Times New Roman"/>
          <w:sz w:val="24"/>
          <w:szCs w:val="24"/>
        </w:rPr>
        <w:t xml:space="preserve"> 2017 года выглядела следующим образом:</w:t>
      </w:r>
    </w:p>
    <w:p w:rsidR="00650098" w:rsidRDefault="00650098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Default="00CD2B89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8C7">
        <w:rPr>
          <w:rFonts w:ascii="Times New Roman" w:hAnsi="Times New Roman"/>
          <w:sz w:val="24"/>
          <w:szCs w:val="24"/>
        </w:rPr>
        <w:t>В рассматриваемом периоде</w:t>
      </w:r>
      <w:r>
        <w:rPr>
          <w:rFonts w:ascii="Times New Roman" w:hAnsi="Times New Roman"/>
          <w:sz w:val="24"/>
          <w:szCs w:val="24"/>
        </w:rPr>
        <w:t>,</w:t>
      </w:r>
      <w:r w:rsidRPr="00D978C7">
        <w:rPr>
          <w:rFonts w:ascii="Times New Roman" w:hAnsi="Times New Roman"/>
          <w:sz w:val="24"/>
          <w:szCs w:val="24"/>
        </w:rPr>
        <w:t xml:space="preserve"> на фоне </w:t>
      </w:r>
      <w:r w:rsidR="009E410B">
        <w:rPr>
          <w:rFonts w:ascii="Times New Roman" w:hAnsi="Times New Roman"/>
          <w:sz w:val="24"/>
          <w:szCs w:val="24"/>
        </w:rPr>
        <w:t>нестабильной</w:t>
      </w:r>
      <w:r>
        <w:rPr>
          <w:rFonts w:ascii="Times New Roman" w:hAnsi="Times New Roman"/>
          <w:sz w:val="24"/>
          <w:szCs w:val="24"/>
        </w:rPr>
        <w:t xml:space="preserve"> производственной</w:t>
      </w:r>
      <w:r w:rsidRPr="00D978C7">
        <w:rPr>
          <w:rFonts w:ascii="Times New Roman" w:hAnsi="Times New Roman"/>
          <w:sz w:val="24"/>
          <w:szCs w:val="24"/>
        </w:rPr>
        <w:t xml:space="preserve"> деятельности на ОАО «Молдавский металлургический завод»</w:t>
      </w:r>
      <w:r>
        <w:rPr>
          <w:rFonts w:ascii="Times New Roman" w:hAnsi="Times New Roman"/>
          <w:sz w:val="24"/>
          <w:szCs w:val="24"/>
        </w:rPr>
        <w:t>,</w:t>
      </w:r>
      <w:r w:rsidRPr="00D978C7">
        <w:rPr>
          <w:rFonts w:ascii="Times New Roman" w:hAnsi="Times New Roman"/>
          <w:sz w:val="24"/>
          <w:szCs w:val="24"/>
        </w:rPr>
        <w:t xml:space="preserve"> </w:t>
      </w:r>
      <w:r w:rsidR="00A927E5">
        <w:rPr>
          <w:rFonts w:ascii="Times New Roman" w:hAnsi="Times New Roman"/>
          <w:sz w:val="24"/>
          <w:szCs w:val="24"/>
        </w:rPr>
        <w:t xml:space="preserve">в структуре товарного выпуска лидирующую позицию по формированию промышленного производства сохранил </w:t>
      </w:r>
      <w:r w:rsidR="00A927E5" w:rsidRPr="00D978C7">
        <w:rPr>
          <w:rFonts w:ascii="Times New Roman" w:hAnsi="Times New Roman"/>
          <w:sz w:val="24"/>
          <w:szCs w:val="24"/>
        </w:rPr>
        <w:t xml:space="preserve">энергетической </w:t>
      </w:r>
      <w:r w:rsidR="00A927E5">
        <w:rPr>
          <w:rFonts w:ascii="Times New Roman" w:hAnsi="Times New Roman"/>
          <w:sz w:val="24"/>
          <w:szCs w:val="24"/>
        </w:rPr>
        <w:t>комплекс,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8C7">
        <w:rPr>
          <w:rFonts w:ascii="Times New Roman" w:hAnsi="Times New Roman"/>
          <w:sz w:val="24"/>
          <w:szCs w:val="24"/>
        </w:rPr>
        <w:t>расшир</w:t>
      </w:r>
      <w:r w:rsidR="00A927E5">
        <w:rPr>
          <w:rFonts w:ascii="Times New Roman" w:hAnsi="Times New Roman"/>
          <w:sz w:val="24"/>
          <w:szCs w:val="24"/>
        </w:rPr>
        <w:t>ив</w:t>
      </w:r>
      <w:r w:rsidRPr="00D978C7">
        <w:rPr>
          <w:rFonts w:ascii="Times New Roman" w:hAnsi="Times New Roman"/>
          <w:sz w:val="24"/>
          <w:szCs w:val="24"/>
        </w:rPr>
        <w:t xml:space="preserve"> дол</w:t>
      </w:r>
      <w:r w:rsidR="00A927E5">
        <w:rPr>
          <w:rFonts w:ascii="Times New Roman" w:hAnsi="Times New Roman"/>
          <w:sz w:val="24"/>
          <w:szCs w:val="24"/>
        </w:rPr>
        <w:t>евое участие</w:t>
      </w:r>
      <w:r w:rsidRPr="00D978C7">
        <w:rPr>
          <w:rFonts w:ascii="Times New Roman" w:hAnsi="Times New Roman"/>
          <w:sz w:val="24"/>
          <w:szCs w:val="24"/>
        </w:rPr>
        <w:t xml:space="preserve"> в совокупном </w:t>
      </w:r>
      <w:r w:rsidR="00425BD1">
        <w:rPr>
          <w:rFonts w:ascii="Times New Roman" w:hAnsi="Times New Roman"/>
          <w:sz w:val="24"/>
          <w:szCs w:val="24"/>
        </w:rPr>
        <w:t xml:space="preserve">объеме </w:t>
      </w:r>
      <w:r w:rsidRPr="00D978C7">
        <w:rPr>
          <w:rFonts w:ascii="Times New Roman" w:hAnsi="Times New Roman"/>
          <w:sz w:val="24"/>
          <w:szCs w:val="24"/>
        </w:rPr>
        <w:t>товарно</w:t>
      </w:r>
      <w:r w:rsidR="00425BD1">
        <w:rPr>
          <w:rFonts w:ascii="Times New Roman" w:hAnsi="Times New Roman"/>
          <w:sz w:val="24"/>
          <w:szCs w:val="24"/>
        </w:rPr>
        <w:t>го</w:t>
      </w:r>
      <w:r w:rsidRPr="00D978C7">
        <w:rPr>
          <w:rFonts w:ascii="Times New Roman" w:hAnsi="Times New Roman"/>
          <w:sz w:val="24"/>
          <w:szCs w:val="24"/>
        </w:rPr>
        <w:t xml:space="preserve"> </w:t>
      </w:r>
      <w:r w:rsidR="00425BD1">
        <w:rPr>
          <w:rFonts w:ascii="Times New Roman" w:hAnsi="Times New Roman"/>
          <w:sz w:val="24"/>
          <w:szCs w:val="24"/>
        </w:rPr>
        <w:t>производства</w:t>
      </w:r>
      <w:r w:rsidRPr="00D978C7">
        <w:rPr>
          <w:rFonts w:ascii="Times New Roman" w:hAnsi="Times New Roman"/>
          <w:sz w:val="24"/>
          <w:szCs w:val="24"/>
        </w:rPr>
        <w:t xml:space="preserve"> на </w:t>
      </w:r>
      <w:r w:rsidR="00743D22">
        <w:rPr>
          <w:rFonts w:ascii="Times New Roman" w:hAnsi="Times New Roman"/>
          <w:sz w:val="24"/>
          <w:szCs w:val="24"/>
        </w:rPr>
        <w:t>7,3</w:t>
      </w:r>
      <w:r w:rsidRPr="00D978C7">
        <w:rPr>
          <w:rFonts w:ascii="Times New Roman" w:hAnsi="Times New Roman"/>
          <w:sz w:val="24"/>
          <w:szCs w:val="24"/>
        </w:rPr>
        <w:t xml:space="preserve"> процентных пункта до </w:t>
      </w:r>
      <w:r w:rsidR="00A927E5">
        <w:rPr>
          <w:rFonts w:ascii="Times New Roman" w:hAnsi="Times New Roman"/>
          <w:sz w:val="24"/>
          <w:szCs w:val="24"/>
        </w:rPr>
        <w:t>46,1</w:t>
      </w:r>
      <w:r w:rsidRPr="00D978C7">
        <w:rPr>
          <w:rFonts w:ascii="Times New Roman" w:hAnsi="Times New Roman"/>
          <w:sz w:val="24"/>
          <w:szCs w:val="24"/>
        </w:rPr>
        <w:t xml:space="preserve">%. </w:t>
      </w:r>
      <w:r w:rsidR="00A927E5">
        <w:rPr>
          <w:rFonts w:ascii="Times New Roman" w:hAnsi="Times New Roman"/>
          <w:sz w:val="24"/>
          <w:szCs w:val="24"/>
        </w:rPr>
        <w:t>М</w:t>
      </w:r>
      <w:r w:rsidRPr="00D978C7">
        <w:rPr>
          <w:rFonts w:ascii="Times New Roman" w:hAnsi="Times New Roman"/>
          <w:sz w:val="24"/>
          <w:szCs w:val="24"/>
        </w:rPr>
        <w:t xml:space="preserve">еталлургия </w:t>
      </w:r>
      <w:r w:rsidR="00A927E5">
        <w:rPr>
          <w:rFonts w:ascii="Times New Roman" w:hAnsi="Times New Roman"/>
          <w:sz w:val="24"/>
          <w:szCs w:val="24"/>
        </w:rPr>
        <w:t>н</w:t>
      </w:r>
      <w:r w:rsidR="00A927E5" w:rsidRPr="00D978C7">
        <w:rPr>
          <w:rFonts w:ascii="Times New Roman" w:hAnsi="Times New Roman"/>
          <w:sz w:val="24"/>
          <w:szCs w:val="24"/>
        </w:rPr>
        <w:t xml:space="preserve">а этом фоне </w:t>
      </w:r>
      <w:r w:rsidRPr="00D978C7">
        <w:rPr>
          <w:rFonts w:ascii="Times New Roman" w:hAnsi="Times New Roman"/>
          <w:sz w:val="24"/>
          <w:szCs w:val="24"/>
        </w:rPr>
        <w:t xml:space="preserve">обеспечила лишь </w:t>
      </w:r>
      <w:r w:rsidR="00A927E5">
        <w:rPr>
          <w:rFonts w:ascii="Times New Roman" w:hAnsi="Times New Roman"/>
          <w:sz w:val="24"/>
          <w:szCs w:val="24"/>
        </w:rPr>
        <w:t>15,6</w:t>
      </w:r>
      <w:r w:rsidRPr="00D978C7">
        <w:rPr>
          <w:rFonts w:ascii="Times New Roman" w:hAnsi="Times New Roman"/>
          <w:sz w:val="24"/>
          <w:szCs w:val="24"/>
        </w:rPr>
        <w:t xml:space="preserve">% промышленного производства против </w:t>
      </w:r>
      <w:r w:rsidR="00743D22">
        <w:rPr>
          <w:rFonts w:ascii="Times New Roman" w:hAnsi="Times New Roman"/>
          <w:sz w:val="24"/>
          <w:szCs w:val="24"/>
        </w:rPr>
        <w:t>30,8</w:t>
      </w:r>
      <w:r w:rsidRPr="00D978C7">
        <w:rPr>
          <w:rFonts w:ascii="Times New Roman" w:hAnsi="Times New Roman"/>
          <w:sz w:val="24"/>
          <w:szCs w:val="24"/>
        </w:rPr>
        <w:t>% в базовом периоде минувшего года.</w:t>
      </w:r>
      <w:proofErr w:type="gramEnd"/>
      <w:r w:rsidRPr="00D978C7">
        <w:rPr>
          <w:rFonts w:ascii="Times New Roman" w:hAnsi="Times New Roman"/>
          <w:sz w:val="24"/>
          <w:szCs w:val="24"/>
        </w:rPr>
        <w:t xml:space="preserve"> Вместе с этим, </w:t>
      </w:r>
      <w:r w:rsidR="006D5E41">
        <w:rPr>
          <w:rFonts w:ascii="Times New Roman" w:hAnsi="Times New Roman"/>
          <w:sz w:val="24"/>
          <w:szCs w:val="24"/>
        </w:rPr>
        <w:t>увеличение</w:t>
      </w:r>
      <w:r w:rsidRPr="00D978C7">
        <w:rPr>
          <w:rFonts w:ascii="Times New Roman" w:hAnsi="Times New Roman"/>
          <w:sz w:val="24"/>
          <w:szCs w:val="24"/>
        </w:rPr>
        <w:t xml:space="preserve"> промышленного производства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978C7">
        <w:rPr>
          <w:rFonts w:ascii="Times New Roman" w:hAnsi="Times New Roman"/>
          <w:sz w:val="24"/>
          <w:szCs w:val="24"/>
        </w:rPr>
        <w:t>легкой и пищевой промышленности</w:t>
      </w:r>
      <w:r w:rsidR="006D5E41">
        <w:rPr>
          <w:rFonts w:ascii="Times New Roman" w:hAnsi="Times New Roman"/>
          <w:sz w:val="24"/>
          <w:szCs w:val="24"/>
        </w:rPr>
        <w:t xml:space="preserve"> </w:t>
      </w:r>
      <w:r w:rsidRPr="00D978C7">
        <w:rPr>
          <w:rFonts w:ascii="Times New Roman" w:hAnsi="Times New Roman"/>
          <w:sz w:val="24"/>
          <w:szCs w:val="24"/>
        </w:rPr>
        <w:t>обеспечил</w:t>
      </w:r>
      <w:r w:rsidR="006D5E41">
        <w:rPr>
          <w:rFonts w:ascii="Times New Roman" w:hAnsi="Times New Roman"/>
          <w:sz w:val="24"/>
          <w:szCs w:val="24"/>
        </w:rPr>
        <w:t>о</w:t>
      </w:r>
      <w:r w:rsidRPr="00D978C7">
        <w:rPr>
          <w:rFonts w:ascii="Times New Roman" w:hAnsi="Times New Roman"/>
          <w:sz w:val="24"/>
          <w:szCs w:val="24"/>
        </w:rPr>
        <w:t xml:space="preserve"> расширение долевого участия предприятий данных отраслей в совокупном объеме производства до 14,8% («+»2,</w:t>
      </w:r>
      <w:r w:rsidR="006D5E41">
        <w:rPr>
          <w:rFonts w:ascii="Times New Roman" w:hAnsi="Times New Roman"/>
          <w:sz w:val="24"/>
          <w:szCs w:val="24"/>
        </w:rPr>
        <w:t>9</w:t>
      </w:r>
      <w:r w:rsidRPr="00D978C7">
        <w:rPr>
          <w:rFonts w:ascii="Times New Roman" w:hAnsi="Times New Roman"/>
          <w:sz w:val="24"/>
          <w:szCs w:val="24"/>
        </w:rPr>
        <w:t xml:space="preserve"> процентных пункта) и 11,</w:t>
      </w:r>
      <w:r w:rsidR="006D5E41">
        <w:rPr>
          <w:rFonts w:ascii="Times New Roman" w:hAnsi="Times New Roman"/>
          <w:sz w:val="24"/>
          <w:szCs w:val="24"/>
        </w:rPr>
        <w:t>6</w:t>
      </w:r>
      <w:r w:rsidRPr="00D978C7">
        <w:rPr>
          <w:rFonts w:ascii="Times New Roman" w:hAnsi="Times New Roman"/>
          <w:sz w:val="24"/>
          <w:szCs w:val="24"/>
        </w:rPr>
        <w:t>% («+»1,</w:t>
      </w:r>
      <w:r w:rsidR="006D5E41">
        <w:rPr>
          <w:rFonts w:ascii="Times New Roman" w:hAnsi="Times New Roman"/>
          <w:sz w:val="24"/>
          <w:szCs w:val="24"/>
        </w:rPr>
        <w:t>9</w:t>
      </w:r>
      <w:r w:rsidRPr="00D978C7">
        <w:rPr>
          <w:rFonts w:ascii="Times New Roman" w:hAnsi="Times New Roman"/>
          <w:sz w:val="24"/>
          <w:szCs w:val="24"/>
        </w:rPr>
        <w:t xml:space="preserve"> процентных пункта) соответственно.</w:t>
      </w:r>
    </w:p>
    <w:p w:rsidR="00CD2B89" w:rsidRDefault="00A1027A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9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марте</w:t>
      </w:r>
      <w:r w:rsidRPr="00D978C7">
        <w:rPr>
          <w:rFonts w:ascii="Times New Roman" w:hAnsi="Times New Roman"/>
          <w:sz w:val="24"/>
          <w:szCs w:val="24"/>
        </w:rPr>
        <w:t xml:space="preserve"> 2017 года </w:t>
      </w:r>
      <w:r>
        <w:rPr>
          <w:rFonts w:ascii="Times New Roman" w:hAnsi="Times New Roman"/>
          <w:sz w:val="24"/>
          <w:szCs w:val="24"/>
        </w:rPr>
        <w:t>о</w:t>
      </w:r>
      <w:r w:rsidR="00CD2B89" w:rsidRPr="00D978C7">
        <w:rPr>
          <w:rFonts w:ascii="Times New Roman" w:hAnsi="Times New Roman"/>
          <w:sz w:val="24"/>
          <w:szCs w:val="24"/>
        </w:rPr>
        <w:t xml:space="preserve">бъем промышленного производства на фоне нестабильной деятельности </w:t>
      </w:r>
      <w:r w:rsidR="006D5E41">
        <w:rPr>
          <w:rFonts w:ascii="Times New Roman" w:hAnsi="Times New Roman"/>
          <w:sz w:val="24"/>
          <w:szCs w:val="24"/>
        </w:rPr>
        <w:t xml:space="preserve">крупнейшего </w:t>
      </w:r>
      <w:r w:rsidR="00CD2B89" w:rsidRPr="00D978C7">
        <w:rPr>
          <w:rFonts w:ascii="Times New Roman" w:hAnsi="Times New Roman"/>
          <w:sz w:val="24"/>
          <w:szCs w:val="24"/>
        </w:rPr>
        <w:t>структурообразующ</w:t>
      </w:r>
      <w:r w:rsidR="006D5E41">
        <w:rPr>
          <w:rFonts w:ascii="Times New Roman" w:hAnsi="Times New Roman"/>
          <w:sz w:val="24"/>
          <w:szCs w:val="24"/>
        </w:rPr>
        <w:t>его</w:t>
      </w:r>
      <w:r w:rsidR="00CD2B89" w:rsidRPr="00D978C7">
        <w:rPr>
          <w:rFonts w:ascii="Times New Roman" w:hAnsi="Times New Roman"/>
          <w:sz w:val="24"/>
          <w:szCs w:val="24"/>
        </w:rPr>
        <w:t xml:space="preserve"> предприяти</w:t>
      </w:r>
      <w:r w:rsidR="00345F6B">
        <w:rPr>
          <w:rFonts w:ascii="Times New Roman" w:hAnsi="Times New Roman"/>
          <w:sz w:val="24"/>
          <w:szCs w:val="24"/>
        </w:rPr>
        <w:t>я</w:t>
      </w:r>
      <w:r w:rsidR="00CD2B89" w:rsidRPr="00D978C7">
        <w:rPr>
          <w:rFonts w:ascii="Times New Roman" w:hAnsi="Times New Roman"/>
          <w:sz w:val="24"/>
          <w:szCs w:val="24"/>
        </w:rPr>
        <w:t xml:space="preserve"> отрасли </w:t>
      </w:r>
      <w:r w:rsidR="00CD2B89" w:rsidRPr="00D978C7">
        <w:rPr>
          <w:rFonts w:ascii="Times New Roman" w:hAnsi="Times New Roman"/>
          <w:snapToGrid w:val="0"/>
          <w:sz w:val="24"/>
          <w:szCs w:val="24"/>
        </w:rPr>
        <w:t>(</w:t>
      </w:r>
      <w:r w:rsidR="00CD2B89" w:rsidRPr="00D978C7">
        <w:rPr>
          <w:rFonts w:ascii="Times New Roman" w:hAnsi="Times New Roman"/>
          <w:sz w:val="24"/>
          <w:szCs w:val="24"/>
        </w:rPr>
        <w:t xml:space="preserve">ОАО «Молдавский металлургический завод») сократился относительно базового показателя </w:t>
      </w:r>
      <w:r w:rsidR="00345F6B">
        <w:rPr>
          <w:rFonts w:ascii="Times New Roman" w:hAnsi="Times New Roman"/>
          <w:sz w:val="24"/>
          <w:szCs w:val="24"/>
        </w:rPr>
        <w:t>марта</w:t>
      </w:r>
      <w:r w:rsidR="00CD2B89" w:rsidRPr="00D978C7">
        <w:rPr>
          <w:rFonts w:ascii="Times New Roman" w:hAnsi="Times New Roman"/>
          <w:sz w:val="24"/>
          <w:szCs w:val="24"/>
        </w:rPr>
        <w:t xml:space="preserve"> 2016 года на </w:t>
      </w:r>
      <w:r w:rsidR="00345F6B">
        <w:rPr>
          <w:rFonts w:ascii="Times New Roman" w:hAnsi="Times New Roman"/>
          <w:sz w:val="24"/>
          <w:szCs w:val="24"/>
        </w:rPr>
        <w:t>17,2</w:t>
      </w:r>
      <w:r w:rsidR="00CD2B89" w:rsidRPr="00D978C7">
        <w:rPr>
          <w:rFonts w:ascii="Times New Roman" w:hAnsi="Times New Roman"/>
          <w:sz w:val="24"/>
          <w:szCs w:val="24"/>
        </w:rPr>
        <w:t xml:space="preserve">%, </w:t>
      </w:r>
      <w:r w:rsidR="00345F6B">
        <w:rPr>
          <w:rFonts w:ascii="Times New Roman" w:hAnsi="Times New Roman"/>
          <w:sz w:val="24"/>
          <w:szCs w:val="24"/>
        </w:rPr>
        <w:t>при этом на 29,6% пере</w:t>
      </w:r>
      <w:r w:rsidR="00CD2B89" w:rsidRPr="00D978C7">
        <w:rPr>
          <w:rFonts w:ascii="Times New Roman" w:hAnsi="Times New Roman"/>
          <w:sz w:val="24"/>
          <w:szCs w:val="24"/>
        </w:rPr>
        <w:t>кры</w:t>
      </w:r>
      <w:r w:rsidR="00345F6B">
        <w:rPr>
          <w:rFonts w:ascii="Times New Roman" w:hAnsi="Times New Roman"/>
          <w:sz w:val="24"/>
          <w:szCs w:val="24"/>
        </w:rPr>
        <w:t>л</w:t>
      </w:r>
      <w:r w:rsidR="00CD2B89" w:rsidRPr="00D978C7">
        <w:rPr>
          <w:rFonts w:ascii="Times New Roman" w:hAnsi="Times New Roman"/>
          <w:sz w:val="24"/>
          <w:szCs w:val="24"/>
        </w:rPr>
        <w:t xml:space="preserve"> показатель </w:t>
      </w:r>
      <w:r w:rsidR="00345F6B">
        <w:rPr>
          <w:rFonts w:ascii="Times New Roman" w:hAnsi="Times New Roman"/>
          <w:sz w:val="24"/>
          <w:szCs w:val="24"/>
        </w:rPr>
        <w:t>февраля</w:t>
      </w:r>
      <w:r w:rsidR="00CD2B89" w:rsidRPr="00D978C7">
        <w:rPr>
          <w:rFonts w:ascii="Times New Roman" w:hAnsi="Times New Roman"/>
          <w:sz w:val="24"/>
          <w:szCs w:val="24"/>
        </w:rPr>
        <w:t xml:space="preserve"> 2017 года.</w:t>
      </w:r>
    </w:p>
    <w:p w:rsidR="00650098" w:rsidRDefault="00650098" w:rsidP="00CD2B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0098" w:rsidRDefault="00650098" w:rsidP="00CD2B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0098" w:rsidRDefault="00650098" w:rsidP="00CD2B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0098" w:rsidRDefault="00650098" w:rsidP="00CD2B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2B89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78C7">
        <w:rPr>
          <w:rFonts w:ascii="Times New Roman" w:hAnsi="Times New Roman"/>
          <w:b/>
          <w:sz w:val="24"/>
          <w:szCs w:val="24"/>
        </w:rPr>
        <w:lastRenderedPageBreak/>
        <w:t>Динамика промышленного производства</w:t>
      </w:r>
      <w:r w:rsidRPr="00D978C7">
        <w:rPr>
          <w:rFonts w:ascii="Times New Roman" w:hAnsi="Times New Roman"/>
          <w:sz w:val="24"/>
          <w:szCs w:val="24"/>
        </w:rPr>
        <w:t xml:space="preserve"> (в сопоставимых ценах), </w:t>
      </w:r>
      <w:r w:rsidRPr="00D978C7">
        <w:rPr>
          <w:rFonts w:ascii="Times New Roman" w:hAnsi="Times New Roman"/>
          <w:b/>
          <w:sz w:val="24"/>
          <w:szCs w:val="24"/>
        </w:rPr>
        <w:t>млн. руб.</w:t>
      </w:r>
    </w:p>
    <w:p w:rsidR="003E14D7" w:rsidRDefault="003E14D7" w:rsidP="003E14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4D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81700" cy="1504950"/>
            <wp:effectExtent l="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07D3" w:rsidRDefault="00E307D3" w:rsidP="003E1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Default="00425BD1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978C7">
        <w:rPr>
          <w:rFonts w:ascii="Times New Roman" w:hAnsi="Times New Roman"/>
          <w:sz w:val="24"/>
          <w:szCs w:val="24"/>
        </w:rPr>
        <w:t>арастающим итогом за январь-</w:t>
      </w:r>
      <w:r>
        <w:rPr>
          <w:rFonts w:ascii="Times New Roman" w:hAnsi="Times New Roman"/>
          <w:sz w:val="24"/>
          <w:szCs w:val="24"/>
        </w:rPr>
        <w:t xml:space="preserve">март </w:t>
      </w:r>
      <w:r w:rsidRPr="00D978C7">
        <w:rPr>
          <w:rFonts w:ascii="Times New Roman" w:hAnsi="Times New Roman"/>
          <w:sz w:val="24"/>
          <w:szCs w:val="24"/>
        </w:rPr>
        <w:t xml:space="preserve">2017 года </w:t>
      </w:r>
      <w:r>
        <w:rPr>
          <w:rFonts w:ascii="Times New Roman" w:hAnsi="Times New Roman"/>
          <w:sz w:val="24"/>
          <w:szCs w:val="24"/>
        </w:rPr>
        <w:t xml:space="preserve">объем промышленного производства демонстрирует </w:t>
      </w:r>
      <w:r w:rsidR="00CD2B89" w:rsidRPr="00D978C7">
        <w:rPr>
          <w:rFonts w:ascii="Times New Roman" w:hAnsi="Times New Roman"/>
          <w:sz w:val="24"/>
          <w:szCs w:val="24"/>
        </w:rPr>
        <w:t>отрицательную динамику:</w:t>
      </w:r>
    </w:p>
    <w:p w:rsidR="00DB3A99" w:rsidRDefault="00DB3A99" w:rsidP="00DB3A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3A99">
        <w:rPr>
          <w:rFonts w:ascii="Times New Roman" w:hAnsi="Times New Roman"/>
          <w:noProof/>
          <w:sz w:val="24"/>
          <w:szCs w:val="24"/>
          <w:highlight w:val="yellow"/>
        </w:rPr>
        <w:drawing>
          <wp:inline distT="0" distB="0" distL="0" distR="0">
            <wp:extent cx="6067425" cy="191452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3A99" w:rsidRDefault="00DB3A99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Default="00313C47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отраслевом</w:t>
      </w:r>
      <w:r w:rsidR="00CD2B89" w:rsidRPr="00D978C7">
        <w:rPr>
          <w:rFonts w:ascii="Times New Roman" w:hAnsi="Times New Roman"/>
          <w:sz w:val="24"/>
          <w:szCs w:val="24"/>
        </w:rPr>
        <w:t xml:space="preserve"> разрезе промышленно</w:t>
      </w:r>
      <w:r w:rsidR="00DB3A99">
        <w:rPr>
          <w:rFonts w:ascii="Times New Roman" w:hAnsi="Times New Roman"/>
          <w:sz w:val="24"/>
          <w:szCs w:val="24"/>
        </w:rPr>
        <w:t>е</w:t>
      </w:r>
      <w:r w:rsidR="00CD2B89" w:rsidRPr="00D978C7">
        <w:rPr>
          <w:rFonts w:ascii="Times New Roman" w:hAnsi="Times New Roman"/>
          <w:sz w:val="24"/>
          <w:szCs w:val="24"/>
        </w:rPr>
        <w:t xml:space="preserve"> производств</w:t>
      </w:r>
      <w:r w:rsidR="00DB3A99">
        <w:rPr>
          <w:rFonts w:ascii="Times New Roman" w:hAnsi="Times New Roman"/>
          <w:sz w:val="24"/>
          <w:szCs w:val="24"/>
        </w:rPr>
        <w:t>о</w:t>
      </w:r>
      <w:r w:rsidR="00CD2B89" w:rsidRPr="00D978C7">
        <w:rPr>
          <w:rFonts w:ascii="Times New Roman" w:hAnsi="Times New Roman"/>
          <w:sz w:val="24"/>
          <w:szCs w:val="24"/>
        </w:rPr>
        <w:t xml:space="preserve"> в </w:t>
      </w:r>
      <w:r w:rsidR="00DB3A99">
        <w:rPr>
          <w:rFonts w:ascii="Times New Roman" w:hAnsi="Times New Roman"/>
          <w:sz w:val="24"/>
          <w:szCs w:val="24"/>
        </w:rPr>
        <w:t>марте</w:t>
      </w:r>
      <w:r w:rsidR="00CD2B89" w:rsidRPr="00D978C7">
        <w:rPr>
          <w:rFonts w:ascii="Times New Roman" w:hAnsi="Times New Roman"/>
          <w:sz w:val="24"/>
          <w:szCs w:val="24"/>
        </w:rPr>
        <w:t xml:space="preserve"> 2017 года по отношению к базовому показателю 2016 года </w:t>
      </w:r>
      <w:r w:rsidR="00DB3A99">
        <w:rPr>
          <w:rFonts w:ascii="Times New Roman" w:hAnsi="Times New Roman"/>
          <w:sz w:val="24"/>
          <w:szCs w:val="24"/>
        </w:rPr>
        <w:t xml:space="preserve">характеризовалось </w:t>
      </w:r>
      <w:proofErr w:type="spellStart"/>
      <w:r w:rsidR="00CD2B89" w:rsidRPr="00D978C7">
        <w:rPr>
          <w:rFonts w:ascii="Times New Roman" w:hAnsi="Times New Roman"/>
          <w:sz w:val="24"/>
          <w:szCs w:val="24"/>
        </w:rPr>
        <w:t>разновекторной</w:t>
      </w:r>
      <w:proofErr w:type="spellEnd"/>
      <w:r w:rsidR="00CD2B89" w:rsidRPr="00D978C7">
        <w:rPr>
          <w:rFonts w:ascii="Times New Roman" w:hAnsi="Times New Roman"/>
          <w:sz w:val="24"/>
          <w:szCs w:val="24"/>
        </w:rPr>
        <w:t xml:space="preserve"> </w:t>
      </w:r>
      <w:r w:rsidR="00DB3A99">
        <w:rPr>
          <w:rFonts w:ascii="Times New Roman" w:hAnsi="Times New Roman"/>
          <w:sz w:val="24"/>
          <w:szCs w:val="24"/>
        </w:rPr>
        <w:t>динамикой</w:t>
      </w:r>
      <w:r w:rsidR="00CD2B89" w:rsidRPr="00D978C7">
        <w:rPr>
          <w:rFonts w:ascii="Times New Roman" w:hAnsi="Times New Roman"/>
          <w:sz w:val="24"/>
          <w:szCs w:val="24"/>
        </w:rPr>
        <w:t xml:space="preserve"> и выглядит следующим образом:</w:t>
      </w:r>
    </w:p>
    <w:p w:rsidR="00E307D3" w:rsidRPr="00D978C7" w:rsidRDefault="00E307D3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Default="00CD2B89" w:rsidP="00CD2B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78C7">
        <w:rPr>
          <w:rFonts w:ascii="Times New Roman" w:hAnsi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D978C7">
        <w:rPr>
          <w:rFonts w:ascii="Times New Roman" w:hAnsi="Times New Roman"/>
          <w:b/>
          <w:sz w:val="24"/>
          <w:szCs w:val="24"/>
        </w:rPr>
        <w:t>подотраслей</w:t>
      </w:r>
      <w:proofErr w:type="spellEnd"/>
      <w:r w:rsidRPr="00D978C7">
        <w:rPr>
          <w:rFonts w:ascii="Times New Roman" w:hAnsi="Times New Roman"/>
          <w:b/>
          <w:sz w:val="24"/>
          <w:szCs w:val="24"/>
        </w:rPr>
        <w:t>, млн. руб.</w:t>
      </w:r>
    </w:p>
    <w:p w:rsidR="00DB3A99" w:rsidRDefault="00DB3A99" w:rsidP="00CD2B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3A99" w:rsidRDefault="00DB3A99" w:rsidP="00DB3A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A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76950" cy="3190875"/>
            <wp:effectExtent l="19050" t="0" r="1905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098" w:rsidRDefault="00650098" w:rsidP="00386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392" w:rsidRPr="0063355D" w:rsidRDefault="00386392" w:rsidP="00386392">
      <w:pPr>
        <w:spacing w:after="0" w:line="240" w:lineRule="auto"/>
        <w:ind w:firstLine="709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386392">
        <w:rPr>
          <w:rFonts w:ascii="Times New Roman" w:hAnsi="Times New Roman"/>
          <w:sz w:val="24"/>
          <w:szCs w:val="24"/>
        </w:rPr>
        <w:t>Нарастающим итогом</w:t>
      </w:r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объем промышленного производства в январе-марте 2017 года в</w:t>
      </w:r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разрезе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подотраслей</w:t>
      </w:r>
      <w:proofErr w:type="spellEnd"/>
      <w:r w:rsidRPr="0063355D">
        <w:rPr>
          <w:rFonts w:ascii="Times New Roman" w:eastAsiaTheme="minorHAnsi" w:hAnsi="Times New Roman"/>
          <w:sz w:val="24"/>
          <w:szCs w:val="24"/>
          <w:lang w:eastAsia="en-US"/>
        </w:rPr>
        <w:t xml:space="preserve"> демонстрировал следующую динамику:</w:t>
      </w:r>
    </w:p>
    <w:p w:rsidR="00386392" w:rsidRPr="00E136AE" w:rsidRDefault="00386392" w:rsidP="00CD2B8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386392" w:rsidRPr="00E136AE" w:rsidRDefault="00386392" w:rsidP="00CD2B8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386392" w:rsidRPr="00E136AE" w:rsidRDefault="00386392" w:rsidP="00CD2B8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D2B89" w:rsidRPr="00386392" w:rsidRDefault="00CD2B89" w:rsidP="00CD2B8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86392">
        <w:rPr>
          <w:rFonts w:ascii="Times New Roman" w:hAnsi="Times New Roman"/>
          <w:b/>
        </w:rPr>
        <w:lastRenderedPageBreak/>
        <w:t xml:space="preserve">Динамика промышленной продукции в разрезе </w:t>
      </w:r>
      <w:proofErr w:type="spellStart"/>
      <w:r w:rsidRPr="00386392">
        <w:rPr>
          <w:rFonts w:ascii="Times New Roman" w:hAnsi="Times New Roman"/>
          <w:b/>
        </w:rPr>
        <w:t>подотраслей</w:t>
      </w:r>
      <w:proofErr w:type="spellEnd"/>
      <w:r w:rsidRPr="00386392">
        <w:rPr>
          <w:rFonts w:ascii="Times New Roman" w:hAnsi="Times New Roman"/>
          <w:b/>
        </w:rPr>
        <w:t>, млн. руб.</w:t>
      </w:r>
    </w:p>
    <w:p w:rsidR="00386392" w:rsidRPr="00A1027A" w:rsidRDefault="00386392" w:rsidP="00386392">
      <w:pPr>
        <w:spacing w:after="0" w:line="240" w:lineRule="auto"/>
        <w:rPr>
          <w:rFonts w:ascii="Times New Roman" w:hAnsi="Times New Roman"/>
          <w:b/>
        </w:rPr>
      </w:pPr>
      <w:r w:rsidRPr="00386392">
        <w:rPr>
          <w:rFonts w:ascii="Times New Roman" w:hAnsi="Times New Roman"/>
          <w:b/>
          <w:noProof/>
          <w:color w:val="FF0000"/>
        </w:rPr>
        <w:drawing>
          <wp:inline distT="0" distB="0" distL="0" distR="0">
            <wp:extent cx="6067425" cy="3324225"/>
            <wp:effectExtent l="19050" t="0" r="9525" b="0"/>
            <wp:docPr id="1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6392" w:rsidRPr="00A1027A" w:rsidRDefault="00386392" w:rsidP="00386392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CD2B89" w:rsidRPr="00D978C7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27A">
        <w:rPr>
          <w:rFonts w:ascii="Times New Roman" w:hAnsi="Times New Roman"/>
          <w:sz w:val="24"/>
          <w:szCs w:val="24"/>
        </w:rPr>
        <w:t xml:space="preserve">Увеличение промышленного производства </w:t>
      </w:r>
      <w:r w:rsidR="00D728C6" w:rsidRPr="00A1027A">
        <w:rPr>
          <w:rFonts w:ascii="Times New Roman" w:hAnsi="Times New Roman"/>
          <w:sz w:val="24"/>
          <w:szCs w:val="24"/>
        </w:rPr>
        <w:t>в</w:t>
      </w:r>
      <w:r w:rsidRPr="00A1027A">
        <w:rPr>
          <w:rFonts w:ascii="Times New Roman" w:hAnsi="Times New Roman"/>
          <w:sz w:val="24"/>
          <w:szCs w:val="24"/>
        </w:rPr>
        <w:t xml:space="preserve"> январ</w:t>
      </w:r>
      <w:r w:rsidR="00D728C6" w:rsidRPr="00A1027A">
        <w:rPr>
          <w:rFonts w:ascii="Times New Roman" w:hAnsi="Times New Roman"/>
          <w:sz w:val="24"/>
          <w:szCs w:val="24"/>
        </w:rPr>
        <w:t>е</w:t>
      </w:r>
      <w:r w:rsidRPr="00A1027A">
        <w:rPr>
          <w:rFonts w:ascii="Times New Roman" w:hAnsi="Times New Roman"/>
          <w:sz w:val="24"/>
          <w:szCs w:val="24"/>
        </w:rPr>
        <w:t>-</w:t>
      </w:r>
      <w:r w:rsidR="00386392" w:rsidRPr="00A1027A">
        <w:rPr>
          <w:rFonts w:ascii="Times New Roman" w:hAnsi="Times New Roman"/>
          <w:sz w:val="24"/>
          <w:szCs w:val="24"/>
        </w:rPr>
        <w:t>март</w:t>
      </w:r>
      <w:r w:rsidR="00D728C6" w:rsidRPr="00A1027A">
        <w:rPr>
          <w:rFonts w:ascii="Times New Roman" w:hAnsi="Times New Roman"/>
          <w:sz w:val="24"/>
          <w:szCs w:val="24"/>
        </w:rPr>
        <w:t>е</w:t>
      </w:r>
      <w:r w:rsidRPr="00A1027A">
        <w:rPr>
          <w:rFonts w:ascii="Times New Roman" w:hAnsi="Times New Roman"/>
          <w:sz w:val="24"/>
          <w:szCs w:val="24"/>
        </w:rPr>
        <w:t xml:space="preserve"> 2017 года по отношению к</w:t>
      </w:r>
      <w:r w:rsidRPr="00D978C7">
        <w:rPr>
          <w:rFonts w:ascii="Times New Roman" w:hAnsi="Times New Roman"/>
          <w:sz w:val="24"/>
          <w:szCs w:val="24"/>
        </w:rPr>
        <w:t xml:space="preserve"> аналогичному периоду 2016 года зафиксировано в </w:t>
      </w:r>
      <w:proofErr w:type="gramStart"/>
      <w:r w:rsidRPr="00D978C7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D97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8C7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D978C7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CD2B89" w:rsidRDefault="00CD2B89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78C7">
        <w:rPr>
          <w:rFonts w:ascii="Times New Roman" w:hAnsi="Times New Roman"/>
          <w:sz w:val="24"/>
          <w:szCs w:val="24"/>
        </w:rPr>
        <w:t xml:space="preserve">а) в </w:t>
      </w:r>
      <w:r w:rsidRPr="00D978C7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D978C7">
        <w:rPr>
          <w:rFonts w:ascii="Times New Roman" w:hAnsi="Times New Roman"/>
          <w:sz w:val="24"/>
          <w:szCs w:val="24"/>
        </w:rPr>
        <w:t xml:space="preserve"> республики в результате </w:t>
      </w:r>
      <w:r w:rsidR="00386392" w:rsidRPr="00D978C7">
        <w:rPr>
          <w:rFonts w:ascii="Times New Roman" w:hAnsi="Times New Roman"/>
          <w:sz w:val="24"/>
          <w:szCs w:val="24"/>
        </w:rPr>
        <w:t>увеличени</w:t>
      </w:r>
      <w:r w:rsidR="00CE2D4A">
        <w:rPr>
          <w:rFonts w:ascii="Times New Roman" w:hAnsi="Times New Roman"/>
          <w:sz w:val="24"/>
          <w:szCs w:val="24"/>
        </w:rPr>
        <w:t>я</w:t>
      </w:r>
      <w:r w:rsidR="00386392" w:rsidRPr="00D978C7">
        <w:rPr>
          <w:rFonts w:ascii="Times New Roman" w:hAnsi="Times New Roman"/>
          <w:sz w:val="24"/>
          <w:szCs w:val="24"/>
        </w:rPr>
        <w:t xml:space="preserve"> выработки электроэнергии в натуральном выражении в целом по отрасли по сравнению с аналогичным периодом 2016 года на </w:t>
      </w:r>
      <w:r w:rsidR="00386392">
        <w:rPr>
          <w:rFonts w:ascii="Times New Roman" w:hAnsi="Times New Roman"/>
          <w:sz w:val="24"/>
          <w:szCs w:val="24"/>
        </w:rPr>
        <w:t>4,3</w:t>
      </w:r>
      <w:r w:rsidR="00386392" w:rsidRPr="00D978C7">
        <w:rPr>
          <w:rFonts w:ascii="Times New Roman" w:hAnsi="Times New Roman"/>
          <w:sz w:val="24"/>
          <w:szCs w:val="24"/>
        </w:rPr>
        <w:t>%,</w:t>
      </w:r>
      <w:r w:rsidR="00386392">
        <w:rPr>
          <w:rFonts w:ascii="Times New Roman" w:hAnsi="Times New Roman"/>
          <w:sz w:val="24"/>
          <w:szCs w:val="24"/>
        </w:rPr>
        <w:t xml:space="preserve"> а также </w:t>
      </w:r>
      <w:r w:rsidR="00A1027A">
        <w:rPr>
          <w:rFonts w:ascii="Times New Roman" w:hAnsi="Times New Roman"/>
          <w:sz w:val="24"/>
          <w:szCs w:val="24"/>
        </w:rPr>
        <w:t xml:space="preserve">увеличения </w:t>
      </w:r>
      <w:r w:rsidR="00386392">
        <w:rPr>
          <w:rFonts w:ascii="Times New Roman" w:hAnsi="Times New Roman"/>
          <w:sz w:val="24"/>
          <w:szCs w:val="24"/>
        </w:rPr>
        <w:t>отпуска тепло</w:t>
      </w:r>
      <w:r w:rsidR="00C543BF">
        <w:rPr>
          <w:rFonts w:ascii="Times New Roman" w:hAnsi="Times New Roman"/>
          <w:sz w:val="24"/>
          <w:szCs w:val="24"/>
        </w:rPr>
        <w:t xml:space="preserve">вой </w:t>
      </w:r>
      <w:r w:rsidR="00386392">
        <w:rPr>
          <w:rFonts w:ascii="Times New Roman" w:hAnsi="Times New Roman"/>
          <w:sz w:val="24"/>
          <w:szCs w:val="24"/>
        </w:rPr>
        <w:t xml:space="preserve">энергии </w:t>
      </w:r>
      <w:r w:rsidR="00C543BF">
        <w:rPr>
          <w:rFonts w:ascii="Times New Roman" w:hAnsi="Times New Roman"/>
          <w:sz w:val="24"/>
          <w:szCs w:val="24"/>
        </w:rPr>
        <w:t xml:space="preserve">- </w:t>
      </w:r>
      <w:r w:rsidR="00386392">
        <w:rPr>
          <w:rFonts w:ascii="Times New Roman" w:hAnsi="Times New Roman"/>
          <w:sz w:val="24"/>
          <w:szCs w:val="24"/>
        </w:rPr>
        <w:t xml:space="preserve">на 2,6% </w:t>
      </w:r>
      <w:r w:rsidR="00C543BF">
        <w:rPr>
          <w:rFonts w:ascii="Times New Roman" w:hAnsi="Times New Roman"/>
          <w:sz w:val="24"/>
          <w:szCs w:val="24"/>
        </w:rPr>
        <w:t xml:space="preserve">отмечается </w:t>
      </w:r>
      <w:r w:rsidR="00A1027A">
        <w:rPr>
          <w:rFonts w:ascii="Times New Roman" w:hAnsi="Times New Roman"/>
          <w:sz w:val="24"/>
          <w:szCs w:val="24"/>
        </w:rPr>
        <w:t xml:space="preserve">прирост </w:t>
      </w:r>
      <w:r w:rsidRPr="00D978C7">
        <w:rPr>
          <w:rFonts w:ascii="Times New Roman" w:hAnsi="Times New Roman"/>
          <w:sz w:val="24"/>
          <w:szCs w:val="24"/>
        </w:rPr>
        <w:t>товарного выпуска в электроэнергетическом комплексе в стоимостном выражении на 3,</w:t>
      </w:r>
      <w:r w:rsidR="00C543BF">
        <w:rPr>
          <w:rFonts w:ascii="Times New Roman" w:hAnsi="Times New Roman"/>
          <w:sz w:val="24"/>
          <w:szCs w:val="24"/>
        </w:rPr>
        <w:t>2</w:t>
      </w:r>
      <w:r w:rsidRPr="00D978C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A04699" w:rsidRDefault="00A04699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43BF" w:rsidRDefault="00C543BF" w:rsidP="00C54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3B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0" cy="1495425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43BF" w:rsidRDefault="00C543BF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8C7">
        <w:rPr>
          <w:rFonts w:ascii="Times New Roman" w:hAnsi="Times New Roman"/>
          <w:sz w:val="24"/>
          <w:szCs w:val="24"/>
        </w:rPr>
        <w:t xml:space="preserve">б) предприятия </w:t>
      </w:r>
      <w:r w:rsidRPr="00D978C7">
        <w:rPr>
          <w:rFonts w:ascii="Times New Roman" w:hAnsi="Times New Roman"/>
          <w:b/>
          <w:sz w:val="24"/>
          <w:szCs w:val="24"/>
        </w:rPr>
        <w:t>машиностроения и металлообработки</w:t>
      </w:r>
      <w:r w:rsidRPr="00D978C7">
        <w:rPr>
          <w:rFonts w:ascii="Times New Roman" w:hAnsi="Times New Roman"/>
          <w:sz w:val="24"/>
          <w:szCs w:val="24"/>
        </w:rPr>
        <w:t xml:space="preserve"> по итогам января-</w:t>
      </w:r>
      <w:r w:rsidR="00C543BF">
        <w:rPr>
          <w:rFonts w:ascii="Times New Roman" w:hAnsi="Times New Roman"/>
          <w:sz w:val="24"/>
          <w:szCs w:val="24"/>
        </w:rPr>
        <w:t>марта</w:t>
      </w:r>
      <w:r w:rsidRPr="00D978C7">
        <w:rPr>
          <w:rFonts w:ascii="Times New Roman" w:hAnsi="Times New Roman"/>
          <w:sz w:val="24"/>
          <w:szCs w:val="24"/>
        </w:rPr>
        <w:t xml:space="preserve">            2017 года демонстрируют </w:t>
      </w:r>
      <w:r w:rsidR="00C543BF">
        <w:rPr>
          <w:rFonts w:ascii="Times New Roman" w:hAnsi="Times New Roman"/>
          <w:sz w:val="24"/>
          <w:szCs w:val="24"/>
        </w:rPr>
        <w:t>расширение</w:t>
      </w:r>
      <w:r w:rsidRPr="00D978C7">
        <w:rPr>
          <w:rFonts w:ascii="Times New Roman" w:hAnsi="Times New Roman"/>
          <w:sz w:val="24"/>
          <w:szCs w:val="24"/>
        </w:rPr>
        <w:t xml:space="preserve"> объема производства на </w:t>
      </w:r>
      <w:r w:rsidR="00C543BF">
        <w:rPr>
          <w:rFonts w:ascii="Times New Roman" w:hAnsi="Times New Roman"/>
          <w:sz w:val="24"/>
          <w:szCs w:val="24"/>
        </w:rPr>
        <w:t>98,0</w:t>
      </w:r>
      <w:r w:rsidRPr="00D978C7">
        <w:rPr>
          <w:rFonts w:ascii="Times New Roman" w:hAnsi="Times New Roman"/>
          <w:sz w:val="24"/>
          <w:szCs w:val="24"/>
        </w:rPr>
        <w:t>% по отношению к сопоставимым параметрам 2016 года</w:t>
      </w:r>
      <w:r w:rsidR="00C543BF">
        <w:rPr>
          <w:rFonts w:ascii="Times New Roman" w:hAnsi="Times New Roman"/>
          <w:sz w:val="24"/>
          <w:szCs w:val="24"/>
        </w:rPr>
        <w:t xml:space="preserve">, что обусловлено </w:t>
      </w:r>
      <w:r w:rsidRPr="00D978C7">
        <w:rPr>
          <w:rFonts w:ascii="Times New Roman" w:hAnsi="Times New Roman"/>
          <w:sz w:val="24"/>
          <w:szCs w:val="24"/>
        </w:rPr>
        <w:t xml:space="preserve">увеличением объема производства на </w:t>
      </w:r>
      <w:r>
        <w:rPr>
          <w:rFonts w:ascii="Times New Roman" w:hAnsi="Times New Roman"/>
          <w:sz w:val="24"/>
          <w:szCs w:val="24"/>
        </w:rPr>
        <w:t>предприятиях ориентированных на российский рынок</w:t>
      </w:r>
      <w:r w:rsidRPr="00D978C7">
        <w:rPr>
          <w:rFonts w:ascii="Times New Roman" w:hAnsi="Times New Roman"/>
          <w:sz w:val="24"/>
          <w:szCs w:val="24"/>
        </w:rPr>
        <w:t>;</w:t>
      </w:r>
    </w:p>
    <w:p w:rsidR="00712DF1" w:rsidRPr="00712DF1" w:rsidRDefault="003B73D3" w:rsidP="00712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CE2D4A" w:rsidRPr="00D978C7">
        <w:rPr>
          <w:rFonts w:ascii="Times New Roman" w:hAnsi="Times New Roman"/>
          <w:sz w:val="24"/>
          <w:szCs w:val="24"/>
        </w:rPr>
        <w:t xml:space="preserve">) </w:t>
      </w:r>
      <w:r w:rsidR="00712DF1">
        <w:rPr>
          <w:rFonts w:ascii="Times New Roman" w:hAnsi="Times New Roman"/>
          <w:sz w:val="24"/>
          <w:szCs w:val="24"/>
        </w:rPr>
        <w:t>п</w:t>
      </w:r>
      <w:r w:rsidR="00CE2D4A">
        <w:rPr>
          <w:rFonts w:ascii="Times New Roman" w:hAnsi="Times New Roman"/>
          <w:sz w:val="24"/>
          <w:szCs w:val="24"/>
        </w:rPr>
        <w:t>риобретени</w:t>
      </w:r>
      <w:r w:rsidR="00712DF1">
        <w:rPr>
          <w:rFonts w:ascii="Times New Roman" w:hAnsi="Times New Roman"/>
          <w:sz w:val="24"/>
          <w:szCs w:val="24"/>
        </w:rPr>
        <w:t>е</w:t>
      </w:r>
      <w:r w:rsidR="00CE2D4A">
        <w:rPr>
          <w:rFonts w:ascii="Times New Roman" w:hAnsi="Times New Roman"/>
          <w:sz w:val="24"/>
          <w:szCs w:val="24"/>
        </w:rPr>
        <w:t xml:space="preserve"> емких рынков </w:t>
      </w:r>
      <w:r w:rsidR="00712DF1">
        <w:rPr>
          <w:rFonts w:ascii="Times New Roman" w:hAnsi="Times New Roman"/>
          <w:sz w:val="24"/>
          <w:szCs w:val="24"/>
        </w:rPr>
        <w:t>сбыта готовой продукции в</w:t>
      </w:r>
      <w:r w:rsidR="00CE2D4A">
        <w:rPr>
          <w:rFonts w:ascii="Times New Roman" w:hAnsi="Times New Roman"/>
          <w:sz w:val="24"/>
          <w:szCs w:val="24"/>
        </w:rPr>
        <w:t xml:space="preserve"> Украине и Республике Молдова </w:t>
      </w:r>
      <w:r w:rsidR="00712DF1">
        <w:rPr>
          <w:rFonts w:ascii="Times New Roman" w:hAnsi="Times New Roman"/>
          <w:sz w:val="24"/>
          <w:szCs w:val="24"/>
        </w:rPr>
        <w:t>ЗАО «</w:t>
      </w:r>
      <w:proofErr w:type="spellStart"/>
      <w:r w:rsidR="00712DF1">
        <w:rPr>
          <w:rFonts w:ascii="Times New Roman" w:hAnsi="Times New Roman"/>
          <w:sz w:val="24"/>
          <w:szCs w:val="24"/>
        </w:rPr>
        <w:t>Рыбницкий</w:t>
      </w:r>
      <w:proofErr w:type="spellEnd"/>
      <w:r w:rsidR="00712DF1">
        <w:rPr>
          <w:rFonts w:ascii="Times New Roman" w:hAnsi="Times New Roman"/>
          <w:sz w:val="24"/>
          <w:szCs w:val="24"/>
        </w:rPr>
        <w:t xml:space="preserve"> цементный комбинат» </w:t>
      </w:r>
      <w:r w:rsidR="00CE2D4A">
        <w:rPr>
          <w:rFonts w:ascii="Times New Roman" w:hAnsi="Times New Roman"/>
          <w:sz w:val="24"/>
          <w:szCs w:val="24"/>
        </w:rPr>
        <w:t xml:space="preserve">на фоне </w:t>
      </w:r>
      <w:r w:rsidR="00712DF1" w:rsidRPr="00196FC1">
        <w:rPr>
          <w:rFonts w:ascii="Times New Roman" w:hAnsi="Times New Roman"/>
          <w:sz w:val="24"/>
          <w:szCs w:val="24"/>
        </w:rPr>
        <w:t>осуществлени</w:t>
      </w:r>
      <w:r w:rsidR="00712DF1">
        <w:rPr>
          <w:rFonts w:ascii="Times New Roman" w:hAnsi="Times New Roman"/>
          <w:sz w:val="24"/>
          <w:szCs w:val="24"/>
        </w:rPr>
        <w:t>я</w:t>
      </w:r>
      <w:r w:rsidR="00712DF1" w:rsidRPr="00196FC1">
        <w:rPr>
          <w:rFonts w:ascii="Times New Roman" w:hAnsi="Times New Roman"/>
          <w:sz w:val="24"/>
          <w:szCs w:val="24"/>
        </w:rPr>
        <w:t xml:space="preserve"> мероприятий, направленных на </w:t>
      </w:r>
      <w:r w:rsidR="00712DF1" w:rsidRPr="00196FC1">
        <w:rPr>
          <w:rFonts w:ascii="Times New Roman" w:hAnsi="Times New Roman"/>
          <w:sz w:val="24"/>
          <w:szCs w:val="24"/>
          <w:shd w:val="clear" w:color="auto" w:fill="FFFFFF"/>
        </w:rPr>
        <w:t>снижение себестоимости продукции</w:t>
      </w:r>
      <w:r w:rsidR="00D728C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12DF1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способствовало увеличению выпуска промышленного производства в рассматриваемом периоде по отношению к базовым параметрам минувшего года на 20,9% до 53,3 млн. руб., что составляет 93,2% </w:t>
      </w:r>
      <w:r w:rsidR="00D728C6">
        <w:rPr>
          <w:rFonts w:ascii="Times New Roman" w:hAnsi="Times New Roman"/>
          <w:sz w:val="24"/>
          <w:szCs w:val="24"/>
          <w:shd w:val="clear" w:color="auto" w:fill="FFFFFF"/>
        </w:rPr>
        <w:t>в совокупном выпуске</w:t>
      </w:r>
      <w:r w:rsidR="00F679CF">
        <w:rPr>
          <w:rFonts w:ascii="Times New Roman" w:hAnsi="Times New Roman"/>
          <w:sz w:val="24"/>
          <w:szCs w:val="24"/>
        </w:rPr>
        <w:t xml:space="preserve"> </w:t>
      </w:r>
      <w:r w:rsidR="00D728C6" w:rsidRPr="00D728C6">
        <w:rPr>
          <w:rFonts w:ascii="Times New Roman" w:hAnsi="Times New Roman"/>
          <w:b/>
          <w:sz w:val="24"/>
          <w:szCs w:val="24"/>
        </w:rPr>
        <w:t>отрасли</w:t>
      </w:r>
      <w:r w:rsidR="00712DF1" w:rsidRPr="00D728C6">
        <w:rPr>
          <w:rFonts w:ascii="Times New Roman" w:hAnsi="Times New Roman"/>
          <w:b/>
          <w:sz w:val="24"/>
          <w:szCs w:val="24"/>
        </w:rPr>
        <w:t xml:space="preserve"> ст</w:t>
      </w:r>
      <w:r w:rsidR="00712DF1" w:rsidRPr="00D978C7">
        <w:rPr>
          <w:rFonts w:ascii="Times New Roman" w:hAnsi="Times New Roman"/>
          <w:b/>
          <w:sz w:val="24"/>
          <w:szCs w:val="24"/>
        </w:rPr>
        <w:t>роительных материалов</w:t>
      </w:r>
      <w:r w:rsidR="00712DF1" w:rsidRPr="00D978C7">
        <w:rPr>
          <w:rFonts w:ascii="Times New Roman" w:hAnsi="Times New Roman"/>
          <w:sz w:val="24"/>
          <w:szCs w:val="24"/>
        </w:rPr>
        <w:t xml:space="preserve"> </w:t>
      </w:r>
      <w:r w:rsidR="00712DF1">
        <w:rPr>
          <w:rFonts w:ascii="Times New Roman" w:hAnsi="Times New Roman"/>
          <w:sz w:val="24"/>
          <w:szCs w:val="24"/>
          <w:shd w:val="clear" w:color="auto" w:fill="FFFFFF"/>
        </w:rPr>
        <w:t xml:space="preserve">и обеспечило расширение </w:t>
      </w:r>
      <w:r w:rsidR="00F679CF" w:rsidRPr="00D978C7">
        <w:rPr>
          <w:rFonts w:ascii="Times New Roman" w:hAnsi="Times New Roman"/>
          <w:sz w:val="24"/>
          <w:szCs w:val="24"/>
        </w:rPr>
        <w:t>производственных показателей</w:t>
      </w:r>
      <w:proofErr w:type="gramEnd"/>
      <w:r w:rsidR="00F679CF" w:rsidRPr="00D978C7">
        <w:rPr>
          <w:rFonts w:ascii="Times New Roman" w:hAnsi="Times New Roman"/>
          <w:sz w:val="24"/>
          <w:szCs w:val="24"/>
        </w:rPr>
        <w:t xml:space="preserve"> в целом по </w:t>
      </w:r>
      <w:r w:rsidR="00F30328">
        <w:rPr>
          <w:rFonts w:ascii="Times New Roman" w:hAnsi="Times New Roman"/>
          <w:sz w:val="24"/>
          <w:szCs w:val="24"/>
        </w:rPr>
        <w:t xml:space="preserve">данной </w:t>
      </w:r>
      <w:r w:rsidR="00F679CF" w:rsidRPr="00D978C7">
        <w:rPr>
          <w:rFonts w:ascii="Times New Roman" w:hAnsi="Times New Roman"/>
          <w:sz w:val="24"/>
          <w:szCs w:val="24"/>
        </w:rPr>
        <w:t xml:space="preserve">отрасли на </w:t>
      </w:r>
      <w:r w:rsidR="00712DF1">
        <w:rPr>
          <w:rFonts w:ascii="Times New Roman" w:hAnsi="Times New Roman"/>
          <w:sz w:val="24"/>
          <w:szCs w:val="24"/>
          <w:shd w:val="clear" w:color="auto" w:fill="FFFFFF"/>
        </w:rPr>
        <w:t>11,4% до 57,2 млн. руб.</w:t>
      </w:r>
    </w:p>
    <w:p w:rsidR="00CD2B89" w:rsidRPr="00D978C7" w:rsidRDefault="003B73D3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D2B89" w:rsidRPr="00D978C7">
        <w:rPr>
          <w:rFonts w:ascii="Times New Roman" w:hAnsi="Times New Roman"/>
          <w:sz w:val="24"/>
          <w:szCs w:val="24"/>
        </w:rPr>
        <w:t xml:space="preserve">) на предприятиях </w:t>
      </w:r>
      <w:r w:rsidR="00CD2B89" w:rsidRPr="00D978C7">
        <w:rPr>
          <w:rFonts w:ascii="Times New Roman" w:hAnsi="Times New Roman"/>
          <w:b/>
          <w:sz w:val="24"/>
          <w:szCs w:val="24"/>
        </w:rPr>
        <w:t xml:space="preserve">легкой промышленности </w:t>
      </w:r>
      <w:r w:rsidR="00CD2B89" w:rsidRPr="00D978C7">
        <w:rPr>
          <w:rFonts w:ascii="Times New Roman" w:hAnsi="Times New Roman"/>
          <w:sz w:val="24"/>
          <w:szCs w:val="24"/>
        </w:rPr>
        <w:t>в январе-</w:t>
      </w:r>
      <w:r w:rsidR="00F679CF">
        <w:rPr>
          <w:rFonts w:ascii="Times New Roman" w:hAnsi="Times New Roman"/>
          <w:sz w:val="24"/>
          <w:szCs w:val="24"/>
        </w:rPr>
        <w:t>марте</w:t>
      </w:r>
      <w:r w:rsidR="00CD2B89" w:rsidRPr="00D978C7">
        <w:rPr>
          <w:rFonts w:ascii="Times New Roman" w:hAnsi="Times New Roman"/>
          <w:sz w:val="24"/>
          <w:szCs w:val="24"/>
        </w:rPr>
        <w:t xml:space="preserve"> 2017 года </w:t>
      </w:r>
      <w:r w:rsidR="00CD2B89">
        <w:rPr>
          <w:rFonts w:ascii="Times New Roman" w:hAnsi="Times New Roman"/>
          <w:sz w:val="24"/>
          <w:szCs w:val="24"/>
        </w:rPr>
        <w:t>в</w:t>
      </w:r>
      <w:r w:rsidR="00CD2B89" w:rsidRPr="00D978C7">
        <w:rPr>
          <w:rFonts w:ascii="Times New Roman" w:hAnsi="Times New Roman"/>
          <w:sz w:val="24"/>
          <w:szCs w:val="24"/>
        </w:rPr>
        <w:t xml:space="preserve"> </w:t>
      </w:r>
      <w:r w:rsidR="00CD2B89">
        <w:rPr>
          <w:rFonts w:ascii="Times New Roman" w:hAnsi="Times New Roman"/>
          <w:sz w:val="24"/>
          <w:szCs w:val="24"/>
        </w:rPr>
        <w:t>результате</w:t>
      </w:r>
      <w:r w:rsidR="00CD2B89" w:rsidRPr="00D978C7">
        <w:rPr>
          <w:rFonts w:ascii="Times New Roman" w:hAnsi="Times New Roman"/>
          <w:sz w:val="24"/>
          <w:szCs w:val="24"/>
        </w:rPr>
        <w:t xml:space="preserve"> увеличени</w:t>
      </w:r>
      <w:r w:rsidR="00CD2B89">
        <w:rPr>
          <w:rFonts w:ascii="Times New Roman" w:hAnsi="Times New Roman"/>
          <w:sz w:val="24"/>
          <w:szCs w:val="24"/>
        </w:rPr>
        <w:t>я</w:t>
      </w:r>
      <w:r w:rsidR="00CD2B89" w:rsidRPr="00D978C7">
        <w:rPr>
          <w:rFonts w:ascii="Times New Roman" w:hAnsi="Times New Roman"/>
          <w:sz w:val="24"/>
          <w:szCs w:val="24"/>
        </w:rPr>
        <w:t xml:space="preserve"> производства хлопчатобумажн</w:t>
      </w:r>
      <w:r w:rsidR="00F30328">
        <w:rPr>
          <w:rFonts w:ascii="Times New Roman" w:hAnsi="Times New Roman"/>
          <w:sz w:val="24"/>
          <w:szCs w:val="24"/>
        </w:rPr>
        <w:t>ых</w:t>
      </w:r>
      <w:r w:rsidR="00CD2B89" w:rsidRPr="00D978C7">
        <w:rPr>
          <w:rFonts w:ascii="Times New Roman" w:hAnsi="Times New Roman"/>
          <w:sz w:val="24"/>
          <w:szCs w:val="24"/>
        </w:rPr>
        <w:t xml:space="preserve"> ткан</w:t>
      </w:r>
      <w:r w:rsidR="00F30328">
        <w:rPr>
          <w:rFonts w:ascii="Times New Roman" w:hAnsi="Times New Roman"/>
          <w:sz w:val="24"/>
          <w:szCs w:val="24"/>
        </w:rPr>
        <w:t>ей</w:t>
      </w:r>
      <w:r w:rsidR="00CD2B89" w:rsidRPr="00D978C7">
        <w:rPr>
          <w:rFonts w:ascii="Times New Roman" w:hAnsi="Times New Roman"/>
          <w:sz w:val="24"/>
          <w:szCs w:val="24"/>
        </w:rPr>
        <w:t xml:space="preserve"> на </w:t>
      </w:r>
      <w:r w:rsidR="00F679CF">
        <w:rPr>
          <w:rFonts w:ascii="Times New Roman" w:hAnsi="Times New Roman"/>
          <w:sz w:val="24"/>
          <w:szCs w:val="24"/>
        </w:rPr>
        <w:t>11,9</w:t>
      </w:r>
      <w:r w:rsidR="00CD2B89" w:rsidRPr="00D978C7">
        <w:rPr>
          <w:rFonts w:ascii="Times New Roman" w:hAnsi="Times New Roman"/>
          <w:sz w:val="24"/>
          <w:szCs w:val="24"/>
        </w:rPr>
        <w:t xml:space="preserve">%, комплектов постельного белья </w:t>
      </w:r>
      <w:r w:rsidR="00F30328">
        <w:rPr>
          <w:rFonts w:ascii="Times New Roman" w:hAnsi="Times New Roman"/>
          <w:sz w:val="24"/>
          <w:szCs w:val="24"/>
        </w:rPr>
        <w:t xml:space="preserve">- </w:t>
      </w:r>
      <w:r w:rsidR="00CD2B89" w:rsidRPr="00D978C7">
        <w:rPr>
          <w:rFonts w:ascii="Times New Roman" w:hAnsi="Times New Roman"/>
          <w:sz w:val="24"/>
          <w:szCs w:val="24"/>
        </w:rPr>
        <w:t xml:space="preserve">на </w:t>
      </w:r>
      <w:r w:rsidR="00F679CF">
        <w:rPr>
          <w:rFonts w:ascii="Times New Roman" w:hAnsi="Times New Roman"/>
          <w:sz w:val="24"/>
          <w:szCs w:val="24"/>
        </w:rPr>
        <w:t>34,8</w:t>
      </w:r>
      <w:r w:rsidR="00CD2B89" w:rsidRPr="00D978C7">
        <w:rPr>
          <w:rFonts w:ascii="Times New Roman" w:hAnsi="Times New Roman"/>
          <w:sz w:val="24"/>
          <w:szCs w:val="24"/>
        </w:rPr>
        <w:t xml:space="preserve">%, обуви спортивной </w:t>
      </w:r>
      <w:r w:rsidR="00F30328">
        <w:rPr>
          <w:rFonts w:ascii="Times New Roman" w:hAnsi="Times New Roman"/>
          <w:sz w:val="24"/>
          <w:szCs w:val="24"/>
        </w:rPr>
        <w:t xml:space="preserve">- </w:t>
      </w:r>
      <w:r w:rsidR="00CD2B89" w:rsidRPr="00D978C7">
        <w:rPr>
          <w:rFonts w:ascii="Times New Roman" w:hAnsi="Times New Roman"/>
          <w:sz w:val="24"/>
          <w:szCs w:val="24"/>
        </w:rPr>
        <w:t xml:space="preserve">на </w:t>
      </w:r>
      <w:r w:rsidR="00F679CF">
        <w:rPr>
          <w:rFonts w:ascii="Times New Roman" w:hAnsi="Times New Roman"/>
          <w:sz w:val="24"/>
          <w:szCs w:val="24"/>
        </w:rPr>
        <w:t>41,5</w:t>
      </w:r>
      <w:r w:rsidR="00CD2B89" w:rsidRPr="00D978C7">
        <w:rPr>
          <w:rFonts w:ascii="Times New Roman" w:hAnsi="Times New Roman"/>
          <w:sz w:val="24"/>
          <w:szCs w:val="24"/>
        </w:rPr>
        <w:t xml:space="preserve">%, трикотажных изделий </w:t>
      </w:r>
      <w:r w:rsidR="00F30328">
        <w:rPr>
          <w:rFonts w:ascii="Times New Roman" w:hAnsi="Times New Roman"/>
          <w:sz w:val="24"/>
          <w:szCs w:val="24"/>
        </w:rPr>
        <w:t xml:space="preserve">- </w:t>
      </w:r>
      <w:r w:rsidR="00CD2B89" w:rsidRPr="00D978C7">
        <w:rPr>
          <w:rFonts w:ascii="Times New Roman" w:hAnsi="Times New Roman"/>
          <w:sz w:val="24"/>
          <w:szCs w:val="24"/>
        </w:rPr>
        <w:t xml:space="preserve">в </w:t>
      </w:r>
      <w:r w:rsidR="00F679CF">
        <w:rPr>
          <w:rFonts w:ascii="Times New Roman" w:hAnsi="Times New Roman"/>
          <w:sz w:val="24"/>
          <w:szCs w:val="24"/>
        </w:rPr>
        <w:t>39,3</w:t>
      </w:r>
      <w:r w:rsidR="00CD2B89" w:rsidRPr="00D978C7">
        <w:rPr>
          <w:rFonts w:ascii="Times New Roman" w:hAnsi="Times New Roman"/>
          <w:sz w:val="24"/>
          <w:szCs w:val="24"/>
        </w:rPr>
        <w:t xml:space="preserve"> раз</w:t>
      </w:r>
      <w:r w:rsidR="00F30328">
        <w:rPr>
          <w:rFonts w:ascii="Times New Roman" w:hAnsi="Times New Roman"/>
          <w:sz w:val="24"/>
          <w:szCs w:val="24"/>
        </w:rPr>
        <w:t>а,</w:t>
      </w:r>
      <w:r w:rsidR="00CD2B89">
        <w:rPr>
          <w:rFonts w:ascii="Times New Roman" w:hAnsi="Times New Roman"/>
          <w:sz w:val="24"/>
          <w:szCs w:val="24"/>
        </w:rPr>
        <w:t xml:space="preserve"> отмечен</w:t>
      </w:r>
      <w:r w:rsidR="00CD2B89" w:rsidRPr="00D978C7">
        <w:rPr>
          <w:rFonts w:ascii="Times New Roman" w:hAnsi="Times New Roman"/>
          <w:sz w:val="24"/>
          <w:szCs w:val="24"/>
        </w:rPr>
        <w:t xml:space="preserve"> </w:t>
      </w:r>
      <w:r w:rsidR="00CD2B89" w:rsidRPr="00D978C7">
        <w:rPr>
          <w:rFonts w:ascii="Times New Roman" w:hAnsi="Times New Roman"/>
          <w:sz w:val="24"/>
          <w:szCs w:val="24"/>
        </w:rPr>
        <w:lastRenderedPageBreak/>
        <w:t xml:space="preserve">прирост </w:t>
      </w:r>
      <w:r w:rsidR="00F679CF" w:rsidRPr="00D978C7">
        <w:rPr>
          <w:rFonts w:ascii="Times New Roman" w:hAnsi="Times New Roman"/>
          <w:sz w:val="24"/>
          <w:szCs w:val="24"/>
        </w:rPr>
        <w:t>отрасл</w:t>
      </w:r>
      <w:r w:rsidR="00F679CF">
        <w:rPr>
          <w:rFonts w:ascii="Times New Roman" w:hAnsi="Times New Roman"/>
          <w:sz w:val="24"/>
          <w:szCs w:val="24"/>
        </w:rPr>
        <w:t xml:space="preserve">евого </w:t>
      </w:r>
      <w:r w:rsidR="00CD2B89">
        <w:rPr>
          <w:rFonts w:ascii="Times New Roman" w:hAnsi="Times New Roman"/>
          <w:sz w:val="24"/>
          <w:szCs w:val="24"/>
        </w:rPr>
        <w:t>товарного выпуска</w:t>
      </w:r>
      <w:r w:rsidR="00CD2B89" w:rsidRPr="00D978C7">
        <w:rPr>
          <w:rFonts w:ascii="Times New Roman" w:hAnsi="Times New Roman"/>
          <w:sz w:val="24"/>
          <w:szCs w:val="24"/>
        </w:rPr>
        <w:t xml:space="preserve"> </w:t>
      </w:r>
      <w:r w:rsidR="00F679CF">
        <w:rPr>
          <w:rFonts w:ascii="Times New Roman" w:hAnsi="Times New Roman"/>
          <w:sz w:val="24"/>
          <w:szCs w:val="24"/>
        </w:rPr>
        <w:t>в ст</w:t>
      </w:r>
      <w:r w:rsidR="00792938">
        <w:rPr>
          <w:rFonts w:ascii="Times New Roman" w:hAnsi="Times New Roman"/>
          <w:sz w:val="24"/>
          <w:szCs w:val="24"/>
        </w:rPr>
        <w:t>о</w:t>
      </w:r>
      <w:r w:rsidR="00F679CF">
        <w:rPr>
          <w:rFonts w:ascii="Times New Roman" w:hAnsi="Times New Roman"/>
          <w:sz w:val="24"/>
          <w:szCs w:val="24"/>
        </w:rPr>
        <w:t>имостном выражении на</w:t>
      </w:r>
      <w:r w:rsidR="00CD2B89" w:rsidRPr="00D978C7">
        <w:rPr>
          <w:rFonts w:ascii="Times New Roman" w:hAnsi="Times New Roman"/>
          <w:sz w:val="24"/>
          <w:szCs w:val="24"/>
        </w:rPr>
        <w:t xml:space="preserve"> 7,</w:t>
      </w:r>
      <w:r w:rsidR="00F679CF">
        <w:rPr>
          <w:rFonts w:ascii="Times New Roman" w:hAnsi="Times New Roman"/>
          <w:sz w:val="24"/>
          <w:szCs w:val="24"/>
        </w:rPr>
        <w:t>9</w:t>
      </w:r>
      <w:r w:rsidR="00CD2B89" w:rsidRPr="00D978C7">
        <w:rPr>
          <w:rFonts w:ascii="Times New Roman" w:hAnsi="Times New Roman"/>
          <w:sz w:val="24"/>
          <w:szCs w:val="24"/>
        </w:rPr>
        <w:t>%</w:t>
      </w:r>
      <w:r w:rsidR="00F679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79CF">
        <w:rPr>
          <w:rFonts w:ascii="Times New Roman" w:hAnsi="Times New Roman"/>
          <w:sz w:val="24"/>
          <w:szCs w:val="24"/>
        </w:rPr>
        <w:t>до</w:t>
      </w:r>
      <w:proofErr w:type="gramEnd"/>
      <w:r w:rsidR="0075450C">
        <w:rPr>
          <w:rFonts w:ascii="Times New Roman" w:hAnsi="Times New Roman"/>
          <w:sz w:val="24"/>
          <w:szCs w:val="24"/>
        </w:rPr>
        <w:t xml:space="preserve">                          </w:t>
      </w:r>
      <w:r w:rsidR="00792938">
        <w:rPr>
          <w:rFonts w:ascii="Times New Roman" w:hAnsi="Times New Roman"/>
          <w:sz w:val="24"/>
          <w:szCs w:val="24"/>
        </w:rPr>
        <w:t>287,9 млн. руб.</w:t>
      </w:r>
    </w:p>
    <w:p w:rsidR="00CD2B89" w:rsidRPr="00D978C7" w:rsidRDefault="00CD2B89" w:rsidP="00CD2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57900" cy="1495425"/>
            <wp:effectExtent l="19050" t="0" r="0" b="0"/>
            <wp:docPr id="2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07D3" w:rsidRDefault="00E307D3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938" w:rsidRPr="00D978C7" w:rsidRDefault="003B73D3" w:rsidP="00792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CD2B89" w:rsidRPr="00D978C7">
        <w:rPr>
          <w:rFonts w:ascii="Times New Roman" w:hAnsi="Times New Roman"/>
          <w:sz w:val="24"/>
          <w:szCs w:val="24"/>
        </w:rPr>
        <w:t xml:space="preserve">) </w:t>
      </w:r>
      <w:r w:rsidR="00792938" w:rsidRPr="00D978C7">
        <w:rPr>
          <w:rFonts w:ascii="Times New Roman" w:hAnsi="Times New Roman"/>
          <w:sz w:val="24"/>
          <w:szCs w:val="24"/>
        </w:rPr>
        <w:t xml:space="preserve">в </w:t>
      </w:r>
      <w:r w:rsidR="00792938" w:rsidRPr="00D978C7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="00792938" w:rsidRPr="00D978C7">
        <w:rPr>
          <w:rFonts w:ascii="Times New Roman" w:hAnsi="Times New Roman"/>
          <w:snapToGrid w:val="0"/>
          <w:sz w:val="24"/>
          <w:szCs w:val="24"/>
        </w:rPr>
        <w:t>в</w:t>
      </w:r>
      <w:r w:rsidR="00792938" w:rsidRPr="00D978C7">
        <w:rPr>
          <w:rFonts w:ascii="Times New Roman" w:hAnsi="Times New Roman"/>
          <w:sz w:val="24"/>
          <w:szCs w:val="24"/>
        </w:rPr>
        <w:t xml:space="preserve"> рассматриваемом периоде </w:t>
      </w:r>
      <w:r w:rsidR="00792938" w:rsidRPr="00D978C7">
        <w:rPr>
          <w:rFonts w:ascii="Times New Roman" w:hAnsi="Times New Roman"/>
          <w:snapToGrid w:val="0"/>
          <w:sz w:val="24"/>
          <w:szCs w:val="24"/>
        </w:rPr>
        <w:t xml:space="preserve">отмечено </w:t>
      </w:r>
      <w:r w:rsidR="00792938">
        <w:rPr>
          <w:rFonts w:ascii="Times New Roman" w:hAnsi="Times New Roman"/>
          <w:snapToGrid w:val="0"/>
          <w:sz w:val="24"/>
          <w:szCs w:val="24"/>
        </w:rPr>
        <w:t>увеличение</w:t>
      </w:r>
      <w:r w:rsidR="00792938" w:rsidRPr="00D978C7">
        <w:rPr>
          <w:rFonts w:ascii="Times New Roman" w:hAnsi="Times New Roman"/>
          <w:snapToGrid w:val="0"/>
          <w:sz w:val="24"/>
          <w:szCs w:val="24"/>
        </w:rPr>
        <w:t xml:space="preserve"> товарного </w:t>
      </w:r>
      <w:r w:rsidR="00792938" w:rsidRPr="00D978C7">
        <w:rPr>
          <w:rFonts w:ascii="Times New Roman" w:hAnsi="Times New Roman"/>
          <w:sz w:val="24"/>
          <w:szCs w:val="24"/>
        </w:rPr>
        <w:t xml:space="preserve">выпуска в сопоставимых ценах на </w:t>
      </w:r>
      <w:r w:rsidR="00792938">
        <w:rPr>
          <w:rFonts w:ascii="Times New Roman" w:hAnsi="Times New Roman"/>
          <w:sz w:val="24"/>
          <w:szCs w:val="24"/>
        </w:rPr>
        <w:t>4,1</w:t>
      </w:r>
      <w:r w:rsidR="00792938" w:rsidRPr="00D978C7">
        <w:rPr>
          <w:rFonts w:ascii="Times New Roman" w:hAnsi="Times New Roman"/>
          <w:sz w:val="24"/>
          <w:szCs w:val="24"/>
        </w:rPr>
        <w:t>%, при этом, учитывая положительный ценовой тренд на рынке пищевых продуктов, в текущих ценах отмечается прирост выпуска в целом по отрасли по отношению к январю</w:t>
      </w:r>
      <w:r w:rsidR="00792938" w:rsidRPr="00AA01EF">
        <w:rPr>
          <w:rFonts w:ascii="Times New Roman" w:hAnsi="Times New Roman"/>
          <w:sz w:val="24"/>
          <w:szCs w:val="24"/>
        </w:rPr>
        <w:t>-</w:t>
      </w:r>
      <w:r w:rsidR="00792938">
        <w:rPr>
          <w:rFonts w:ascii="Times New Roman" w:hAnsi="Times New Roman"/>
          <w:sz w:val="24"/>
          <w:szCs w:val="24"/>
        </w:rPr>
        <w:t>марту</w:t>
      </w:r>
      <w:r w:rsidR="00792938" w:rsidRPr="00D978C7">
        <w:rPr>
          <w:rFonts w:ascii="Times New Roman" w:hAnsi="Times New Roman"/>
          <w:sz w:val="24"/>
          <w:szCs w:val="24"/>
        </w:rPr>
        <w:t xml:space="preserve"> 2016 года на </w:t>
      </w:r>
      <w:r w:rsidR="00792938">
        <w:rPr>
          <w:rFonts w:ascii="Times New Roman" w:hAnsi="Times New Roman"/>
          <w:sz w:val="24"/>
          <w:szCs w:val="24"/>
        </w:rPr>
        <w:t>10,2</w:t>
      </w:r>
      <w:r w:rsidR="00792938" w:rsidRPr="00D978C7">
        <w:rPr>
          <w:rFonts w:ascii="Times New Roman" w:hAnsi="Times New Roman"/>
          <w:sz w:val="24"/>
          <w:szCs w:val="24"/>
        </w:rPr>
        <w:t>%.</w:t>
      </w:r>
    </w:p>
    <w:p w:rsidR="00792938" w:rsidRDefault="00792938" w:rsidP="00792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8C7">
        <w:rPr>
          <w:rFonts w:ascii="Times New Roman" w:hAnsi="Times New Roman"/>
          <w:sz w:val="24"/>
          <w:szCs w:val="24"/>
        </w:rPr>
        <w:t>Положительная динамика объемов производства отрасли в натуральном выражении отмечена по выпуску цельномолочной продукции («+»</w:t>
      </w:r>
      <w:r>
        <w:rPr>
          <w:rFonts w:ascii="Times New Roman" w:hAnsi="Times New Roman"/>
          <w:sz w:val="24"/>
          <w:szCs w:val="24"/>
        </w:rPr>
        <w:t>6,4</w:t>
      </w:r>
      <w:r w:rsidRPr="00D978C7">
        <w:rPr>
          <w:rFonts w:ascii="Times New Roman" w:hAnsi="Times New Roman"/>
          <w:sz w:val="24"/>
          <w:szCs w:val="24"/>
        </w:rPr>
        <w:t xml:space="preserve">%), </w:t>
      </w:r>
      <w:r w:rsidR="0075450C" w:rsidRPr="00D978C7">
        <w:rPr>
          <w:rFonts w:ascii="Times New Roman" w:hAnsi="Times New Roman"/>
          <w:sz w:val="24"/>
          <w:szCs w:val="24"/>
        </w:rPr>
        <w:t>макаронных изделий («+»</w:t>
      </w:r>
      <w:r w:rsidR="0075450C">
        <w:rPr>
          <w:rFonts w:ascii="Times New Roman" w:hAnsi="Times New Roman"/>
          <w:sz w:val="24"/>
          <w:szCs w:val="24"/>
        </w:rPr>
        <w:t>40,0</w:t>
      </w:r>
      <w:r w:rsidR="0075450C" w:rsidRPr="00D978C7">
        <w:rPr>
          <w:rFonts w:ascii="Times New Roman" w:hAnsi="Times New Roman"/>
          <w:sz w:val="24"/>
          <w:szCs w:val="24"/>
        </w:rPr>
        <w:t>%)</w:t>
      </w:r>
      <w:r w:rsidR="0075450C">
        <w:rPr>
          <w:rFonts w:ascii="Times New Roman" w:hAnsi="Times New Roman"/>
          <w:sz w:val="24"/>
          <w:szCs w:val="24"/>
        </w:rPr>
        <w:t xml:space="preserve">, </w:t>
      </w:r>
      <w:r w:rsidRPr="00D978C7">
        <w:rPr>
          <w:rFonts w:ascii="Times New Roman" w:hAnsi="Times New Roman"/>
          <w:sz w:val="24"/>
          <w:szCs w:val="24"/>
        </w:rPr>
        <w:t>кондитерских изделий («+»</w:t>
      </w:r>
      <w:r>
        <w:rPr>
          <w:rFonts w:ascii="Times New Roman" w:hAnsi="Times New Roman"/>
          <w:sz w:val="24"/>
          <w:szCs w:val="24"/>
        </w:rPr>
        <w:t>70,7</w:t>
      </w:r>
      <w:r w:rsidRPr="00D978C7">
        <w:rPr>
          <w:rFonts w:ascii="Times New Roman" w:hAnsi="Times New Roman"/>
          <w:sz w:val="24"/>
          <w:szCs w:val="24"/>
        </w:rPr>
        <w:t>%), и др.</w:t>
      </w:r>
      <w:r w:rsidRPr="00064FBC">
        <w:rPr>
          <w:rFonts w:ascii="Times New Roman" w:hAnsi="Times New Roman"/>
          <w:sz w:val="24"/>
          <w:szCs w:val="24"/>
        </w:rPr>
        <w:t>;</w:t>
      </w:r>
    </w:p>
    <w:p w:rsidR="00CD2B89" w:rsidRPr="00D978C7" w:rsidRDefault="003B73D3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CD2B89" w:rsidRPr="00D978C7">
        <w:rPr>
          <w:rFonts w:ascii="Times New Roman" w:hAnsi="Times New Roman"/>
          <w:sz w:val="24"/>
          <w:szCs w:val="24"/>
        </w:rPr>
        <w:t xml:space="preserve">в </w:t>
      </w:r>
      <w:r w:rsidR="00CD2B89" w:rsidRPr="00D978C7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="00CD2B89" w:rsidRPr="00D978C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январе-марте текущего года</w:t>
      </w:r>
      <w:r w:rsidR="0075450C">
        <w:rPr>
          <w:rFonts w:ascii="Times New Roman" w:hAnsi="Times New Roman"/>
          <w:sz w:val="24"/>
          <w:szCs w:val="24"/>
        </w:rPr>
        <w:t>,</w:t>
      </w:r>
      <w:r w:rsidR="00CD2B89" w:rsidRPr="00D978C7">
        <w:rPr>
          <w:rFonts w:ascii="Times New Roman" w:hAnsi="Times New Roman"/>
          <w:sz w:val="24"/>
          <w:szCs w:val="24"/>
        </w:rPr>
        <w:t xml:space="preserve"> </w:t>
      </w:r>
      <w:r w:rsidR="00CD2B89">
        <w:rPr>
          <w:rFonts w:ascii="Times New Roman" w:hAnsi="Times New Roman"/>
          <w:sz w:val="24"/>
          <w:szCs w:val="24"/>
        </w:rPr>
        <w:t>фиксир</w:t>
      </w:r>
      <w:r>
        <w:rPr>
          <w:rFonts w:ascii="Times New Roman" w:hAnsi="Times New Roman"/>
          <w:sz w:val="24"/>
          <w:szCs w:val="24"/>
        </w:rPr>
        <w:t>уемый</w:t>
      </w:r>
      <w:r w:rsidR="00CD2B89" w:rsidRPr="00D97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CD2B89" w:rsidRPr="00D978C7">
        <w:rPr>
          <w:rFonts w:ascii="Times New Roman" w:hAnsi="Times New Roman"/>
          <w:sz w:val="24"/>
          <w:szCs w:val="24"/>
        </w:rPr>
        <w:t xml:space="preserve">рост </w:t>
      </w:r>
      <w:r w:rsidR="00CD2B89">
        <w:rPr>
          <w:rFonts w:ascii="Times New Roman" w:hAnsi="Times New Roman"/>
          <w:sz w:val="24"/>
          <w:szCs w:val="24"/>
        </w:rPr>
        <w:t>по производству основных видов продукции в натуральном выражении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5450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муки </w:t>
      </w:r>
      <w:r w:rsidR="0075450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20,7%</w:t>
      </w:r>
      <w:r w:rsidR="0075450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круп </w:t>
      </w:r>
      <w:r w:rsidR="0075450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80,4%)</w:t>
      </w:r>
      <w:r w:rsidR="00CD2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обеспечил</w:t>
      </w:r>
      <w:r w:rsidR="00CD2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расширение </w:t>
      </w:r>
      <w:r w:rsidR="00CD2B89">
        <w:rPr>
          <w:rFonts w:ascii="Times New Roman" w:hAnsi="Times New Roman"/>
          <w:sz w:val="24"/>
          <w:szCs w:val="24"/>
        </w:rPr>
        <w:t>совокупн</w:t>
      </w:r>
      <w:r>
        <w:rPr>
          <w:rFonts w:ascii="Times New Roman" w:hAnsi="Times New Roman"/>
          <w:sz w:val="24"/>
          <w:szCs w:val="24"/>
        </w:rPr>
        <w:t>ого</w:t>
      </w:r>
      <w:r w:rsidR="00CD2B89">
        <w:rPr>
          <w:rFonts w:ascii="Times New Roman" w:hAnsi="Times New Roman"/>
          <w:sz w:val="24"/>
          <w:szCs w:val="24"/>
        </w:rPr>
        <w:t xml:space="preserve"> отраслево</w:t>
      </w:r>
      <w:r>
        <w:rPr>
          <w:rFonts w:ascii="Times New Roman" w:hAnsi="Times New Roman"/>
          <w:sz w:val="24"/>
          <w:szCs w:val="24"/>
        </w:rPr>
        <w:t>го</w:t>
      </w:r>
      <w:r w:rsidR="00CD2B89">
        <w:rPr>
          <w:rFonts w:ascii="Times New Roman" w:hAnsi="Times New Roman"/>
          <w:sz w:val="24"/>
          <w:szCs w:val="24"/>
        </w:rPr>
        <w:t xml:space="preserve"> товарного выпуска в стоимостном выражении на </w:t>
      </w:r>
      <w:r w:rsidR="00CD2B89" w:rsidRPr="00D978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5,9</w:t>
      </w:r>
      <w:r w:rsidR="00CD2B89">
        <w:rPr>
          <w:rFonts w:ascii="Times New Roman" w:hAnsi="Times New Roman"/>
          <w:sz w:val="24"/>
          <w:szCs w:val="24"/>
        </w:rPr>
        <w:t>%.</w:t>
      </w:r>
    </w:p>
    <w:p w:rsidR="00CD2B89" w:rsidRPr="00D978C7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F74">
        <w:rPr>
          <w:rFonts w:ascii="Times New Roman" w:hAnsi="Times New Roman"/>
          <w:sz w:val="24"/>
          <w:szCs w:val="24"/>
        </w:rPr>
        <w:t xml:space="preserve">Спад промышленного производства в рассматриваемом периоде по отношению к аналогичному периоду 2016 года наблюдается в </w:t>
      </w:r>
      <w:proofErr w:type="gramStart"/>
      <w:r w:rsidRPr="001A3F74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1A3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F74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1A3F74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CD2B89" w:rsidRPr="00AA01EF" w:rsidRDefault="00CD2B89" w:rsidP="001A3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8C7">
        <w:rPr>
          <w:rFonts w:ascii="Times New Roman" w:hAnsi="Times New Roman"/>
          <w:sz w:val="24"/>
          <w:szCs w:val="24"/>
        </w:rPr>
        <w:t xml:space="preserve">а) </w:t>
      </w:r>
      <w:r w:rsidR="00A1027A">
        <w:rPr>
          <w:rFonts w:ascii="Times New Roman" w:hAnsi="Times New Roman"/>
          <w:sz w:val="24"/>
          <w:szCs w:val="24"/>
        </w:rPr>
        <w:t>з</w:t>
      </w:r>
      <w:r w:rsidR="006B57CA" w:rsidRPr="006B57CA">
        <w:rPr>
          <w:rFonts w:ascii="Times New Roman" w:hAnsi="Times New Roman"/>
          <w:sz w:val="24"/>
          <w:szCs w:val="24"/>
        </w:rPr>
        <w:t>апуск основного производ</w:t>
      </w:r>
      <w:r w:rsidR="006B57CA">
        <w:rPr>
          <w:rFonts w:ascii="Times New Roman" w:hAnsi="Times New Roman"/>
          <w:sz w:val="24"/>
          <w:szCs w:val="24"/>
        </w:rPr>
        <w:t xml:space="preserve">ства </w:t>
      </w:r>
      <w:r w:rsidR="006B57CA" w:rsidRPr="00D978C7">
        <w:rPr>
          <w:rFonts w:ascii="Times New Roman" w:hAnsi="Times New Roman"/>
          <w:sz w:val="24"/>
          <w:szCs w:val="24"/>
        </w:rPr>
        <w:t>на ЗАО «Молдавский металлургический завод»</w:t>
      </w:r>
      <w:r w:rsidR="006B57CA">
        <w:rPr>
          <w:rFonts w:ascii="Times New Roman" w:hAnsi="Times New Roman"/>
          <w:sz w:val="24"/>
          <w:szCs w:val="24"/>
        </w:rPr>
        <w:t xml:space="preserve"> </w:t>
      </w:r>
      <w:r w:rsidR="006B57CA" w:rsidRPr="006B57CA">
        <w:rPr>
          <w:rFonts w:ascii="Times New Roman" w:hAnsi="Times New Roman"/>
          <w:sz w:val="24"/>
          <w:szCs w:val="24"/>
        </w:rPr>
        <w:t xml:space="preserve">после </w:t>
      </w:r>
      <w:r w:rsidRPr="00D978C7">
        <w:rPr>
          <w:rFonts w:ascii="Times New Roman" w:hAnsi="Times New Roman"/>
          <w:sz w:val="24"/>
          <w:szCs w:val="24"/>
        </w:rPr>
        <w:t xml:space="preserve">проведения </w:t>
      </w:r>
      <w:r w:rsidR="006D45FF">
        <w:rPr>
          <w:rFonts w:ascii="Times New Roman" w:hAnsi="Times New Roman"/>
          <w:sz w:val="24"/>
          <w:szCs w:val="24"/>
        </w:rPr>
        <w:t xml:space="preserve">в предыдущие месяцы </w:t>
      </w:r>
      <w:r w:rsidRPr="00D978C7">
        <w:rPr>
          <w:rFonts w:ascii="Times New Roman" w:hAnsi="Times New Roman"/>
          <w:sz w:val="24"/>
          <w:szCs w:val="24"/>
        </w:rPr>
        <w:t>работ по технологической подготовке к сезону</w:t>
      </w:r>
      <w:r w:rsidR="001A3F74">
        <w:rPr>
          <w:rFonts w:ascii="Times New Roman" w:hAnsi="Times New Roman"/>
          <w:sz w:val="24"/>
          <w:szCs w:val="24"/>
        </w:rPr>
        <w:br/>
      </w:r>
      <w:r w:rsidRPr="00D978C7">
        <w:rPr>
          <w:rFonts w:ascii="Times New Roman" w:hAnsi="Times New Roman"/>
          <w:sz w:val="24"/>
          <w:szCs w:val="24"/>
        </w:rPr>
        <w:t>2017 года</w:t>
      </w:r>
      <w:r w:rsidR="001A3F74">
        <w:rPr>
          <w:rFonts w:ascii="Times New Roman" w:hAnsi="Times New Roman"/>
          <w:sz w:val="24"/>
          <w:szCs w:val="24"/>
        </w:rPr>
        <w:t xml:space="preserve"> </w:t>
      </w:r>
      <w:r w:rsidR="007E48CA">
        <w:rPr>
          <w:rFonts w:ascii="Times New Roman" w:hAnsi="Times New Roman"/>
          <w:sz w:val="24"/>
          <w:szCs w:val="24"/>
        </w:rPr>
        <w:t>обеспечил</w:t>
      </w:r>
      <w:r w:rsidR="001A3F74">
        <w:rPr>
          <w:rFonts w:ascii="Times New Roman" w:hAnsi="Times New Roman"/>
          <w:sz w:val="24"/>
          <w:szCs w:val="24"/>
        </w:rPr>
        <w:t xml:space="preserve"> увеличение товарного выпуска </w:t>
      </w:r>
      <w:r w:rsidR="007E48CA">
        <w:rPr>
          <w:rFonts w:ascii="Times New Roman" w:hAnsi="Times New Roman"/>
          <w:sz w:val="24"/>
          <w:szCs w:val="24"/>
        </w:rPr>
        <w:t xml:space="preserve">в марте текущего года </w:t>
      </w:r>
      <w:r w:rsidR="001A3F74">
        <w:rPr>
          <w:rFonts w:ascii="Times New Roman" w:hAnsi="Times New Roman"/>
          <w:sz w:val="24"/>
          <w:szCs w:val="24"/>
        </w:rPr>
        <w:t xml:space="preserve">к уровню февраля в 3,1 раза, однако определившийся прирост лишь на 43,6% покрыл уровень показателя марта 2016 года. </w:t>
      </w:r>
      <w:proofErr w:type="gramStart"/>
      <w:r w:rsidR="00113DEF">
        <w:rPr>
          <w:rFonts w:ascii="Times New Roman" w:hAnsi="Times New Roman"/>
          <w:sz w:val="24"/>
          <w:szCs w:val="24"/>
        </w:rPr>
        <w:t>В целом за январь-март текущего года</w:t>
      </w:r>
      <w:r w:rsidR="007E48CA" w:rsidRPr="007E48CA">
        <w:rPr>
          <w:rFonts w:ascii="Times New Roman" w:hAnsi="Times New Roman"/>
          <w:sz w:val="24"/>
          <w:szCs w:val="24"/>
        </w:rPr>
        <w:t xml:space="preserve"> </w:t>
      </w:r>
      <w:r w:rsidR="007E48CA" w:rsidRPr="00D978C7">
        <w:rPr>
          <w:rFonts w:ascii="Times New Roman" w:hAnsi="Times New Roman"/>
          <w:sz w:val="24"/>
          <w:szCs w:val="24"/>
        </w:rPr>
        <w:t xml:space="preserve">в </w:t>
      </w:r>
      <w:r w:rsidR="007E48CA" w:rsidRPr="00D978C7">
        <w:rPr>
          <w:rFonts w:ascii="Times New Roman" w:hAnsi="Times New Roman"/>
          <w:b/>
          <w:sz w:val="24"/>
          <w:szCs w:val="24"/>
        </w:rPr>
        <w:t>черной металлургии</w:t>
      </w:r>
      <w:r w:rsidR="001A3F74">
        <w:rPr>
          <w:rFonts w:ascii="Times New Roman" w:hAnsi="Times New Roman"/>
          <w:sz w:val="24"/>
          <w:szCs w:val="24"/>
        </w:rPr>
        <w:t>,</w:t>
      </w:r>
      <w:r w:rsidR="007E48CA">
        <w:rPr>
          <w:rFonts w:ascii="Times New Roman" w:hAnsi="Times New Roman"/>
          <w:sz w:val="24"/>
          <w:szCs w:val="24"/>
        </w:rPr>
        <w:t xml:space="preserve"> </w:t>
      </w:r>
      <w:r w:rsidR="001A3F74">
        <w:rPr>
          <w:rFonts w:ascii="Times New Roman" w:hAnsi="Times New Roman"/>
          <w:sz w:val="24"/>
          <w:szCs w:val="24"/>
        </w:rPr>
        <w:t>несмотря на</w:t>
      </w:r>
      <w:r w:rsidR="006D45FF">
        <w:rPr>
          <w:rFonts w:ascii="Times New Roman" w:hAnsi="Times New Roman"/>
          <w:sz w:val="24"/>
          <w:szCs w:val="24"/>
        </w:rPr>
        <w:t xml:space="preserve"> </w:t>
      </w:r>
      <w:r w:rsidR="00113DEF">
        <w:rPr>
          <w:rFonts w:ascii="Times New Roman" w:hAnsi="Times New Roman"/>
          <w:sz w:val="24"/>
          <w:szCs w:val="24"/>
        </w:rPr>
        <w:t>увеличени</w:t>
      </w:r>
      <w:r w:rsidR="006D45FF">
        <w:rPr>
          <w:rFonts w:ascii="Times New Roman" w:hAnsi="Times New Roman"/>
          <w:sz w:val="24"/>
          <w:szCs w:val="24"/>
        </w:rPr>
        <w:t>я</w:t>
      </w:r>
      <w:r w:rsidR="00113DEF">
        <w:rPr>
          <w:rFonts w:ascii="Times New Roman" w:hAnsi="Times New Roman"/>
          <w:sz w:val="24"/>
          <w:szCs w:val="24"/>
        </w:rPr>
        <w:t xml:space="preserve"> </w:t>
      </w:r>
      <w:r w:rsidR="006B57CA">
        <w:rPr>
          <w:rFonts w:ascii="Times New Roman" w:hAnsi="Times New Roman"/>
          <w:sz w:val="24"/>
          <w:szCs w:val="24"/>
        </w:rPr>
        <w:t>выпуска стали</w:t>
      </w:r>
      <w:r w:rsidR="00113DEF">
        <w:rPr>
          <w:rFonts w:ascii="Times New Roman" w:hAnsi="Times New Roman"/>
          <w:sz w:val="24"/>
          <w:szCs w:val="24"/>
        </w:rPr>
        <w:t xml:space="preserve"> </w:t>
      </w:r>
      <w:r w:rsidR="006D45FF">
        <w:rPr>
          <w:rFonts w:ascii="Times New Roman" w:hAnsi="Times New Roman"/>
          <w:sz w:val="24"/>
          <w:szCs w:val="24"/>
        </w:rPr>
        <w:t xml:space="preserve">в натуральном выражении </w:t>
      </w:r>
      <w:r w:rsidR="00113DEF">
        <w:rPr>
          <w:rFonts w:ascii="Times New Roman" w:hAnsi="Times New Roman"/>
          <w:sz w:val="24"/>
          <w:szCs w:val="24"/>
        </w:rPr>
        <w:t xml:space="preserve">в 151 раз, </w:t>
      </w:r>
      <w:r w:rsidR="006D45FF">
        <w:rPr>
          <w:rFonts w:ascii="Times New Roman" w:hAnsi="Times New Roman"/>
          <w:sz w:val="24"/>
          <w:szCs w:val="24"/>
        </w:rPr>
        <w:t>в совокуп</w:t>
      </w:r>
      <w:r w:rsidR="007E48CA">
        <w:rPr>
          <w:rFonts w:ascii="Times New Roman" w:hAnsi="Times New Roman"/>
          <w:sz w:val="24"/>
          <w:szCs w:val="24"/>
        </w:rPr>
        <w:t>ности со снижением производства</w:t>
      </w:r>
      <w:r w:rsidR="00113DEF">
        <w:rPr>
          <w:rFonts w:ascii="Times New Roman" w:hAnsi="Times New Roman"/>
          <w:sz w:val="24"/>
          <w:szCs w:val="24"/>
        </w:rPr>
        <w:t xml:space="preserve"> </w:t>
      </w:r>
      <w:r w:rsidR="006D45FF">
        <w:rPr>
          <w:rFonts w:ascii="Times New Roman" w:hAnsi="Times New Roman"/>
          <w:sz w:val="24"/>
          <w:szCs w:val="24"/>
        </w:rPr>
        <w:t xml:space="preserve">других составляющих </w:t>
      </w:r>
      <w:r w:rsidRPr="00D978C7">
        <w:rPr>
          <w:rFonts w:ascii="Times New Roman" w:hAnsi="Times New Roman"/>
          <w:sz w:val="24"/>
          <w:szCs w:val="24"/>
        </w:rPr>
        <w:t>то</w:t>
      </w:r>
      <w:r w:rsidR="001A3F74">
        <w:rPr>
          <w:rFonts w:ascii="Times New Roman" w:hAnsi="Times New Roman"/>
          <w:sz w:val="24"/>
          <w:szCs w:val="24"/>
        </w:rPr>
        <w:t>варной номенклатуры</w:t>
      </w:r>
      <w:r w:rsidR="007E48CA">
        <w:rPr>
          <w:rFonts w:ascii="Times New Roman" w:hAnsi="Times New Roman"/>
          <w:sz w:val="24"/>
          <w:szCs w:val="24"/>
        </w:rPr>
        <w:t>,</w:t>
      </w:r>
      <w:r w:rsidRPr="00D978C7">
        <w:rPr>
          <w:rFonts w:ascii="Times New Roman" w:hAnsi="Times New Roman"/>
          <w:sz w:val="24"/>
          <w:szCs w:val="24"/>
        </w:rPr>
        <w:t xml:space="preserve"> </w:t>
      </w:r>
      <w:r w:rsidR="001A3F74" w:rsidRPr="001A3F74">
        <w:rPr>
          <w:rFonts w:ascii="Times New Roman" w:hAnsi="Times New Roman"/>
          <w:sz w:val="24"/>
          <w:szCs w:val="24"/>
        </w:rPr>
        <w:t>объем промышленного производства</w:t>
      </w:r>
      <w:r w:rsidR="001A3F74">
        <w:rPr>
          <w:rFonts w:ascii="Times New Roman" w:hAnsi="Times New Roman"/>
          <w:b/>
          <w:sz w:val="24"/>
          <w:szCs w:val="24"/>
        </w:rPr>
        <w:t xml:space="preserve"> </w:t>
      </w:r>
      <w:r w:rsidR="001A3F74">
        <w:rPr>
          <w:rFonts w:ascii="Times New Roman" w:hAnsi="Times New Roman"/>
          <w:sz w:val="24"/>
          <w:szCs w:val="24"/>
        </w:rPr>
        <w:t>составил 304,4</w:t>
      </w:r>
      <w:r w:rsidR="001A3F74" w:rsidRPr="00D978C7">
        <w:rPr>
          <w:rFonts w:ascii="Times New Roman" w:hAnsi="Times New Roman"/>
          <w:sz w:val="24"/>
          <w:szCs w:val="24"/>
        </w:rPr>
        <w:t xml:space="preserve"> млн. руб.</w:t>
      </w:r>
      <w:r w:rsidR="001A3F74">
        <w:rPr>
          <w:rFonts w:ascii="Times New Roman" w:hAnsi="Times New Roman"/>
          <w:sz w:val="24"/>
          <w:szCs w:val="24"/>
        </w:rPr>
        <w:t xml:space="preserve"> </w:t>
      </w:r>
      <w:r w:rsidR="000D6602" w:rsidRPr="00D978C7">
        <w:rPr>
          <w:rFonts w:ascii="Times New Roman" w:hAnsi="Times New Roman"/>
          <w:sz w:val="24"/>
          <w:szCs w:val="24"/>
        </w:rPr>
        <w:t>(в сопоставимых ценах)</w:t>
      </w:r>
      <w:r w:rsidR="000D6602">
        <w:rPr>
          <w:rFonts w:ascii="Times New Roman" w:hAnsi="Times New Roman"/>
          <w:sz w:val="24"/>
          <w:szCs w:val="24"/>
        </w:rPr>
        <w:t xml:space="preserve"> </w:t>
      </w:r>
      <w:r w:rsidR="001A3F74">
        <w:rPr>
          <w:rFonts w:ascii="Times New Roman" w:hAnsi="Times New Roman"/>
          <w:sz w:val="24"/>
          <w:szCs w:val="24"/>
        </w:rPr>
        <w:t xml:space="preserve">или </w:t>
      </w:r>
      <w:r w:rsidR="000D6602">
        <w:rPr>
          <w:rFonts w:ascii="Times New Roman" w:hAnsi="Times New Roman"/>
          <w:sz w:val="24"/>
          <w:szCs w:val="24"/>
        </w:rPr>
        <w:t xml:space="preserve">43,9% </w:t>
      </w:r>
      <w:r w:rsidR="000D6602" w:rsidRPr="00D978C7">
        <w:rPr>
          <w:rFonts w:ascii="Times New Roman" w:hAnsi="Times New Roman"/>
          <w:sz w:val="24"/>
          <w:szCs w:val="24"/>
        </w:rPr>
        <w:t>по отношению к показателю 2016</w:t>
      </w:r>
      <w:r w:rsidR="000D6602">
        <w:rPr>
          <w:rFonts w:ascii="Times New Roman" w:hAnsi="Times New Roman"/>
          <w:sz w:val="24"/>
          <w:szCs w:val="24"/>
        </w:rPr>
        <w:t> </w:t>
      </w:r>
      <w:r w:rsidR="000D6602" w:rsidRPr="00D978C7">
        <w:rPr>
          <w:rFonts w:ascii="Times New Roman" w:hAnsi="Times New Roman"/>
          <w:sz w:val="24"/>
          <w:szCs w:val="24"/>
        </w:rPr>
        <w:t>года</w:t>
      </w:r>
      <w:r w:rsidR="000D6602">
        <w:rPr>
          <w:rFonts w:ascii="Times New Roman" w:hAnsi="Times New Roman"/>
          <w:sz w:val="24"/>
          <w:szCs w:val="24"/>
        </w:rPr>
        <w:t xml:space="preserve">, </w:t>
      </w:r>
      <w:r w:rsidRPr="00D978C7">
        <w:rPr>
          <w:rFonts w:ascii="Times New Roman" w:hAnsi="Times New Roman"/>
          <w:sz w:val="24"/>
          <w:szCs w:val="24"/>
        </w:rPr>
        <w:t xml:space="preserve">при этом </w:t>
      </w:r>
      <w:r w:rsidR="001A3F74">
        <w:rPr>
          <w:rFonts w:ascii="Times New Roman" w:hAnsi="Times New Roman"/>
          <w:sz w:val="24"/>
          <w:szCs w:val="24"/>
        </w:rPr>
        <w:t xml:space="preserve">на фоне </w:t>
      </w:r>
      <w:r w:rsidR="000D6602">
        <w:rPr>
          <w:rFonts w:ascii="Times New Roman" w:hAnsi="Times New Roman"/>
          <w:sz w:val="24"/>
          <w:szCs w:val="24"/>
        </w:rPr>
        <w:t xml:space="preserve">более </w:t>
      </w:r>
      <w:r w:rsidR="007E48CA">
        <w:rPr>
          <w:rFonts w:ascii="Times New Roman" w:hAnsi="Times New Roman"/>
          <w:sz w:val="24"/>
          <w:szCs w:val="24"/>
        </w:rPr>
        <w:t xml:space="preserve">благоприятной ценовой </w:t>
      </w:r>
      <w:r w:rsidR="001A3F74">
        <w:rPr>
          <w:rFonts w:ascii="Times New Roman" w:hAnsi="Times New Roman"/>
          <w:sz w:val="24"/>
          <w:szCs w:val="24"/>
        </w:rPr>
        <w:t xml:space="preserve">конъюнктуры </w:t>
      </w:r>
      <w:r w:rsidRPr="00D978C7">
        <w:rPr>
          <w:rFonts w:ascii="Times New Roman" w:hAnsi="Times New Roman"/>
          <w:sz w:val="24"/>
          <w:szCs w:val="24"/>
        </w:rPr>
        <w:t xml:space="preserve">на рынке черных металлов, </w:t>
      </w:r>
      <w:r w:rsidR="001A3F74" w:rsidRPr="00D978C7">
        <w:rPr>
          <w:rFonts w:ascii="Times New Roman" w:hAnsi="Times New Roman"/>
          <w:sz w:val="24"/>
          <w:szCs w:val="24"/>
        </w:rPr>
        <w:t>в</w:t>
      </w:r>
      <w:proofErr w:type="gramEnd"/>
      <w:r w:rsidR="001A3F74" w:rsidRPr="00D978C7">
        <w:rPr>
          <w:rFonts w:ascii="Times New Roman" w:hAnsi="Times New Roman"/>
          <w:sz w:val="24"/>
          <w:szCs w:val="24"/>
        </w:rPr>
        <w:t xml:space="preserve"> текущих </w:t>
      </w:r>
      <w:proofErr w:type="gramStart"/>
      <w:r w:rsidR="001A3F74" w:rsidRPr="00D978C7">
        <w:rPr>
          <w:rFonts w:ascii="Times New Roman" w:hAnsi="Times New Roman"/>
          <w:sz w:val="24"/>
          <w:szCs w:val="24"/>
        </w:rPr>
        <w:t>ценах</w:t>
      </w:r>
      <w:proofErr w:type="gramEnd"/>
      <w:r w:rsidR="001A3F74" w:rsidRPr="00D978C7">
        <w:rPr>
          <w:rFonts w:ascii="Times New Roman" w:hAnsi="Times New Roman"/>
          <w:sz w:val="24"/>
          <w:szCs w:val="24"/>
        </w:rPr>
        <w:t xml:space="preserve"> </w:t>
      </w:r>
      <w:r w:rsidRPr="00D978C7">
        <w:rPr>
          <w:rFonts w:ascii="Times New Roman" w:hAnsi="Times New Roman"/>
          <w:sz w:val="24"/>
          <w:szCs w:val="24"/>
        </w:rPr>
        <w:t>отрасль демонстрирует менее существенное снижение показателя («-»2</w:t>
      </w:r>
      <w:r w:rsidR="001A3F74">
        <w:rPr>
          <w:rFonts w:ascii="Times New Roman" w:hAnsi="Times New Roman"/>
          <w:sz w:val="24"/>
          <w:szCs w:val="24"/>
        </w:rPr>
        <w:t>8</w:t>
      </w:r>
      <w:r w:rsidRPr="00D978C7">
        <w:rPr>
          <w:rFonts w:ascii="Times New Roman" w:hAnsi="Times New Roman"/>
          <w:sz w:val="24"/>
          <w:szCs w:val="24"/>
        </w:rPr>
        <w:t>,</w:t>
      </w:r>
      <w:r w:rsidR="001A3F74">
        <w:rPr>
          <w:rFonts w:ascii="Times New Roman" w:hAnsi="Times New Roman"/>
          <w:sz w:val="24"/>
          <w:szCs w:val="24"/>
        </w:rPr>
        <w:t>7</w:t>
      </w:r>
      <w:r w:rsidRPr="00D978C7">
        <w:rPr>
          <w:rFonts w:ascii="Times New Roman" w:hAnsi="Times New Roman"/>
          <w:sz w:val="24"/>
          <w:szCs w:val="24"/>
        </w:rPr>
        <w:t>%)</w:t>
      </w:r>
      <w:r w:rsidRPr="00AA01EF">
        <w:rPr>
          <w:rFonts w:ascii="Times New Roman" w:hAnsi="Times New Roman"/>
          <w:sz w:val="24"/>
          <w:szCs w:val="24"/>
        </w:rPr>
        <w:t>;</w:t>
      </w:r>
      <w:r w:rsidR="001A3F74" w:rsidRPr="001A3F74">
        <w:rPr>
          <w:rFonts w:ascii="Times New Roman" w:hAnsi="Times New Roman"/>
          <w:sz w:val="24"/>
          <w:szCs w:val="24"/>
        </w:rPr>
        <w:t xml:space="preserve"> </w:t>
      </w:r>
    </w:p>
    <w:p w:rsidR="00CD2B89" w:rsidRPr="00AA01EF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8C7">
        <w:rPr>
          <w:rFonts w:ascii="Times New Roman" w:hAnsi="Times New Roman"/>
          <w:sz w:val="24"/>
          <w:szCs w:val="24"/>
        </w:rPr>
        <w:t xml:space="preserve">б) </w:t>
      </w:r>
      <w:r w:rsidRPr="00D978C7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Pr="00D978C7">
        <w:rPr>
          <w:rFonts w:ascii="Times New Roman" w:hAnsi="Times New Roman"/>
          <w:sz w:val="24"/>
          <w:szCs w:val="24"/>
        </w:rPr>
        <w:t>в рассматриваемом периоде снижение товарного выпуска на ЗАО «</w:t>
      </w:r>
      <w:proofErr w:type="spellStart"/>
      <w:r w:rsidRPr="00D978C7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D978C7">
        <w:rPr>
          <w:rFonts w:ascii="Times New Roman" w:hAnsi="Times New Roman"/>
          <w:sz w:val="24"/>
          <w:szCs w:val="24"/>
        </w:rPr>
        <w:t>» на 12,</w:t>
      </w:r>
      <w:r w:rsidR="000D6602">
        <w:rPr>
          <w:rFonts w:ascii="Times New Roman" w:hAnsi="Times New Roman"/>
          <w:sz w:val="24"/>
          <w:szCs w:val="24"/>
        </w:rPr>
        <w:t>3</w:t>
      </w:r>
      <w:r w:rsidRPr="00D978C7">
        <w:rPr>
          <w:rFonts w:ascii="Times New Roman" w:hAnsi="Times New Roman"/>
          <w:sz w:val="24"/>
          <w:szCs w:val="24"/>
        </w:rPr>
        <w:t xml:space="preserve">%, </w:t>
      </w:r>
      <w:r w:rsidR="007E48CA">
        <w:rPr>
          <w:rFonts w:ascii="Times New Roman" w:hAnsi="Times New Roman"/>
          <w:sz w:val="24"/>
          <w:szCs w:val="24"/>
        </w:rPr>
        <w:t>в</w:t>
      </w:r>
      <w:r w:rsidRPr="00D978C7">
        <w:rPr>
          <w:rFonts w:ascii="Times New Roman" w:hAnsi="Times New Roman"/>
          <w:sz w:val="24"/>
          <w:szCs w:val="24"/>
        </w:rPr>
        <w:t xml:space="preserve"> </w:t>
      </w:r>
      <w:r w:rsidR="007E48CA">
        <w:rPr>
          <w:rFonts w:ascii="Times New Roman" w:hAnsi="Times New Roman"/>
          <w:sz w:val="24"/>
          <w:szCs w:val="24"/>
        </w:rPr>
        <w:t>условиях</w:t>
      </w:r>
      <w:r w:rsidRPr="00D978C7">
        <w:rPr>
          <w:rFonts w:ascii="Times New Roman" w:hAnsi="Times New Roman"/>
          <w:sz w:val="24"/>
          <w:szCs w:val="24"/>
        </w:rPr>
        <w:t xml:space="preserve"> снижения спроса на продукцию отрасли, обусловило сокращение товарного выпуска отрасли на </w:t>
      </w:r>
      <w:r w:rsidR="000D6602">
        <w:rPr>
          <w:rFonts w:ascii="Times New Roman" w:hAnsi="Times New Roman"/>
          <w:sz w:val="24"/>
          <w:szCs w:val="24"/>
        </w:rPr>
        <w:t>14,4</w:t>
      </w:r>
      <w:r w:rsidRPr="00D978C7">
        <w:rPr>
          <w:rFonts w:ascii="Times New Roman" w:hAnsi="Times New Roman"/>
          <w:sz w:val="24"/>
          <w:szCs w:val="24"/>
        </w:rPr>
        <w:t>%</w:t>
      </w:r>
      <w:r w:rsidRPr="00AA01EF">
        <w:rPr>
          <w:rFonts w:ascii="Times New Roman" w:hAnsi="Times New Roman"/>
          <w:sz w:val="24"/>
          <w:szCs w:val="24"/>
        </w:rPr>
        <w:t>;</w:t>
      </w:r>
    </w:p>
    <w:p w:rsidR="00CE2D4A" w:rsidRPr="00064FBC" w:rsidRDefault="000D6602" w:rsidP="00DF25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DF25DA">
        <w:rPr>
          <w:rFonts w:ascii="Times New Roman" w:hAnsi="Times New Roman"/>
          <w:sz w:val="24"/>
          <w:szCs w:val="24"/>
        </w:rPr>
        <w:t xml:space="preserve">) </w:t>
      </w:r>
      <w:r w:rsidR="00CE2D4A" w:rsidRPr="00D978C7">
        <w:rPr>
          <w:rFonts w:ascii="Times New Roman" w:hAnsi="Times New Roman"/>
          <w:sz w:val="24"/>
          <w:szCs w:val="24"/>
        </w:rPr>
        <w:t>в</w:t>
      </w:r>
      <w:r w:rsidR="00CE2D4A" w:rsidRPr="00D978C7">
        <w:rPr>
          <w:rFonts w:ascii="Times New Roman" w:hAnsi="Times New Roman"/>
          <w:b/>
          <w:sz w:val="24"/>
          <w:szCs w:val="24"/>
        </w:rPr>
        <w:t xml:space="preserve"> электротехнической промышленности</w:t>
      </w:r>
      <w:r w:rsidR="00365C54">
        <w:rPr>
          <w:rFonts w:ascii="Times New Roman" w:hAnsi="Times New Roman"/>
          <w:b/>
          <w:sz w:val="24"/>
          <w:szCs w:val="24"/>
        </w:rPr>
        <w:t>,</w:t>
      </w:r>
      <w:r w:rsidR="00CE2D4A" w:rsidRPr="00D978C7">
        <w:rPr>
          <w:rFonts w:ascii="Times New Roman" w:hAnsi="Times New Roman"/>
          <w:sz w:val="24"/>
          <w:szCs w:val="24"/>
        </w:rPr>
        <w:t xml:space="preserve"> </w:t>
      </w:r>
      <w:r w:rsidR="00830013">
        <w:rPr>
          <w:rFonts w:ascii="Times New Roman" w:hAnsi="Times New Roman"/>
          <w:sz w:val="24"/>
          <w:szCs w:val="24"/>
        </w:rPr>
        <w:t xml:space="preserve">несмотря на расширение </w:t>
      </w:r>
      <w:r w:rsidR="00830013" w:rsidRPr="00D978C7">
        <w:rPr>
          <w:rFonts w:ascii="Times New Roman" w:hAnsi="Times New Roman"/>
          <w:sz w:val="24"/>
          <w:szCs w:val="24"/>
        </w:rPr>
        <w:t xml:space="preserve">производства </w:t>
      </w:r>
      <w:r w:rsidR="00830013">
        <w:rPr>
          <w:rFonts w:ascii="Times New Roman" w:hAnsi="Times New Roman"/>
          <w:sz w:val="24"/>
          <w:szCs w:val="24"/>
        </w:rPr>
        <w:t xml:space="preserve">кабельной продукции (проводов обмоточных - </w:t>
      </w:r>
      <w:r w:rsidR="00830013" w:rsidRPr="00D978C7">
        <w:rPr>
          <w:rFonts w:ascii="Times New Roman" w:hAnsi="Times New Roman"/>
          <w:sz w:val="24"/>
          <w:szCs w:val="24"/>
        </w:rPr>
        <w:t xml:space="preserve">на </w:t>
      </w:r>
      <w:r w:rsidR="00830013">
        <w:rPr>
          <w:rFonts w:ascii="Times New Roman" w:hAnsi="Times New Roman"/>
          <w:sz w:val="24"/>
          <w:szCs w:val="24"/>
        </w:rPr>
        <w:t>57,6</w:t>
      </w:r>
      <w:r w:rsidR="00830013" w:rsidRPr="00D978C7">
        <w:rPr>
          <w:rFonts w:ascii="Times New Roman" w:hAnsi="Times New Roman"/>
          <w:sz w:val="24"/>
          <w:szCs w:val="24"/>
        </w:rPr>
        <w:t>%</w:t>
      </w:r>
      <w:r w:rsidR="00830013">
        <w:rPr>
          <w:rFonts w:ascii="Times New Roman" w:hAnsi="Times New Roman"/>
          <w:sz w:val="24"/>
          <w:szCs w:val="24"/>
        </w:rPr>
        <w:t>, кабельных изделий - на 9,9%)</w:t>
      </w:r>
      <w:r w:rsidR="00365C54">
        <w:rPr>
          <w:rFonts w:ascii="Times New Roman" w:hAnsi="Times New Roman"/>
          <w:sz w:val="24"/>
          <w:szCs w:val="24"/>
        </w:rPr>
        <w:t>,</w:t>
      </w:r>
      <w:r w:rsidR="00830013">
        <w:rPr>
          <w:rFonts w:ascii="Times New Roman" w:hAnsi="Times New Roman"/>
          <w:sz w:val="24"/>
          <w:szCs w:val="24"/>
        </w:rPr>
        <w:t xml:space="preserve"> </w:t>
      </w:r>
      <w:r w:rsidR="00365C54">
        <w:rPr>
          <w:rFonts w:ascii="Times New Roman" w:hAnsi="Times New Roman"/>
          <w:sz w:val="24"/>
          <w:szCs w:val="24"/>
        </w:rPr>
        <w:t xml:space="preserve">в рамках исполнения государственного заказа </w:t>
      </w:r>
      <w:r w:rsidR="00680AD6">
        <w:rPr>
          <w:rFonts w:ascii="Times New Roman" w:hAnsi="Times New Roman"/>
          <w:sz w:val="24"/>
          <w:szCs w:val="24"/>
        </w:rPr>
        <w:t>для последующего использования предприятиями электроэнергетического комплекса</w:t>
      </w:r>
      <w:r w:rsidR="00680AD6" w:rsidRPr="00912F36">
        <w:rPr>
          <w:rFonts w:ascii="Times New Roman" w:hAnsi="Times New Roman"/>
          <w:sz w:val="24"/>
          <w:szCs w:val="24"/>
        </w:rPr>
        <w:t xml:space="preserve"> </w:t>
      </w:r>
      <w:r w:rsidR="00680AD6">
        <w:rPr>
          <w:rFonts w:ascii="Times New Roman" w:hAnsi="Times New Roman"/>
          <w:sz w:val="24"/>
          <w:szCs w:val="24"/>
        </w:rPr>
        <w:t xml:space="preserve">республики, </w:t>
      </w:r>
      <w:r w:rsidR="00830013">
        <w:rPr>
          <w:rFonts w:ascii="Times New Roman" w:hAnsi="Times New Roman"/>
          <w:sz w:val="24"/>
          <w:szCs w:val="24"/>
        </w:rPr>
        <w:t>в совокупности с сокращением выпуска других компонент товарной номенклатуры в январе-марте текущего года по отношению к уровню базовых показателей 2016 года отмечается снижение промышленного производства в целом по отрасли в</w:t>
      </w:r>
      <w:proofErr w:type="gramEnd"/>
      <w:r w:rsidR="00830013">
        <w:rPr>
          <w:rFonts w:ascii="Times New Roman" w:hAnsi="Times New Roman"/>
          <w:sz w:val="24"/>
          <w:szCs w:val="24"/>
        </w:rPr>
        <w:t xml:space="preserve"> сопоставимых </w:t>
      </w:r>
      <w:proofErr w:type="gramStart"/>
      <w:r w:rsidR="00830013">
        <w:rPr>
          <w:rFonts w:ascii="Times New Roman" w:hAnsi="Times New Roman"/>
          <w:sz w:val="24"/>
          <w:szCs w:val="24"/>
        </w:rPr>
        <w:t>ценах</w:t>
      </w:r>
      <w:proofErr w:type="gramEnd"/>
      <w:r w:rsidR="00830013">
        <w:rPr>
          <w:rFonts w:ascii="Times New Roman" w:hAnsi="Times New Roman"/>
          <w:sz w:val="24"/>
          <w:szCs w:val="24"/>
        </w:rPr>
        <w:t xml:space="preserve"> на 2,5%, в текущих ценах </w:t>
      </w:r>
      <w:r w:rsidR="00365C54">
        <w:rPr>
          <w:rFonts w:ascii="Times New Roman" w:hAnsi="Times New Roman"/>
          <w:sz w:val="24"/>
          <w:szCs w:val="24"/>
        </w:rPr>
        <w:t xml:space="preserve">значение </w:t>
      </w:r>
      <w:r w:rsidR="00830013">
        <w:rPr>
          <w:rFonts w:ascii="Times New Roman" w:hAnsi="Times New Roman"/>
          <w:sz w:val="24"/>
          <w:szCs w:val="24"/>
        </w:rPr>
        <w:t>показател</w:t>
      </w:r>
      <w:r w:rsidR="00365C54">
        <w:rPr>
          <w:rFonts w:ascii="Times New Roman" w:hAnsi="Times New Roman"/>
          <w:sz w:val="24"/>
          <w:szCs w:val="24"/>
        </w:rPr>
        <w:t>я</w:t>
      </w:r>
      <w:r w:rsidR="00830013">
        <w:rPr>
          <w:rFonts w:ascii="Times New Roman" w:hAnsi="Times New Roman"/>
          <w:sz w:val="24"/>
          <w:szCs w:val="24"/>
        </w:rPr>
        <w:t xml:space="preserve"> вырос</w:t>
      </w:r>
      <w:r w:rsidR="00365C54">
        <w:rPr>
          <w:rFonts w:ascii="Times New Roman" w:hAnsi="Times New Roman"/>
          <w:sz w:val="24"/>
          <w:szCs w:val="24"/>
        </w:rPr>
        <w:t>ло</w:t>
      </w:r>
      <w:r w:rsidR="00830013">
        <w:rPr>
          <w:rFonts w:ascii="Times New Roman" w:hAnsi="Times New Roman"/>
          <w:sz w:val="24"/>
          <w:szCs w:val="24"/>
        </w:rPr>
        <w:t xml:space="preserve"> на 16,5%</w:t>
      </w:r>
      <w:r w:rsidR="00CE2D4A" w:rsidRPr="00D978C7">
        <w:rPr>
          <w:rFonts w:ascii="Times New Roman" w:hAnsi="Times New Roman"/>
          <w:sz w:val="24"/>
          <w:szCs w:val="24"/>
        </w:rPr>
        <w:t>;</w:t>
      </w:r>
    </w:p>
    <w:p w:rsidR="00214413" w:rsidRPr="00061793" w:rsidRDefault="00365C54" w:rsidP="0021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D2B89" w:rsidRPr="00D978C7">
        <w:rPr>
          <w:rFonts w:ascii="Times New Roman" w:hAnsi="Times New Roman"/>
          <w:sz w:val="24"/>
          <w:szCs w:val="24"/>
        </w:rPr>
        <w:t xml:space="preserve">) в </w:t>
      </w:r>
      <w:r w:rsidR="00CD2B89" w:rsidRPr="00D978C7">
        <w:rPr>
          <w:rFonts w:ascii="Times New Roman" w:hAnsi="Times New Roman"/>
          <w:b/>
          <w:sz w:val="24"/>
          <w:szCs w:val="24"/>
        </w:rPr>
        <w:t>полиграфической промышленности</w:t>
      </w:r>
      <w:r w:rsidR="00CD2B89" w:rsidRPr="00D978C7">
        <w:rPr>
          <w:rFonts w:ascii="Times New Roman" w:hAnsi="Times New Roman"/>
          <w:sz w:val="24"/>
          <w:szCs w:val="24"/>
        </w:rPr>
        <w:t xml:space="preserve"> </w:t>
      </w:r>
      <w:r w:rsidR="00214413" w:rsidRPr="00061793">
        <w:rPr>
          <w:rFonts w:ascii="Times New Roman" w:hAnsi="Times New Roman"/>
          <w:sz w:val="24"/>
          <w:szCs w:val="24"/>
        </w:rPr>
        <w:t xml:space="preserve">в условиях конкуренции с более дешевыми импортными товарами, зафиксирован спад объема промышленного производства </w:t>
      </w:r>
      <w:r w:rsidR="00214413">
        <w:rPr>
          <w:rFonts w:ascii="Times New Roman" w:hAnsi="Times New Roman"/>
          <w:sz w:val="24"/>
          <w:szCs w:val="24"/>
        </w:rPr>
        <w:t xml:space="preserve">январе-марте 2017 года по отношению к уровню базового показателя 2016 года </w:t>
      </w:r>
      <w:r w:rsidR="00214413" w:rsidRPr="00061793">
        <w:rPr>
          <w:rFonts w:ascii="Times New Roman" w:hAnsi="Times New Roman"/>
          <w:sz w:val="24"/>
          <w:szCs w:val="24"/>
        </w:rPr>
        <w:t xml:space="preserve">на </w:t>
      </w:r>
      <w:r w:rsidR="00214413">
        <w:rPr>
          <w:rFonts w:ascii="Times New Roman" w:hAnsi="Times New Roman"/>
          <w:sz w:val="24"/>
          <w:szCs w:val="24"/>
        </w:rPr>
        <w:t>24,8</w:t>
      </w:r>
      <w:r w:rsidR="00214413" w:rsidRPr="00061793">
        <w:rPr>
          <w:rFonts w:ascii="Times New Roman" w:hAnsi="Times New Roman"/>
          <w:sz w:val="24"/>
          <w:szCs w:val="24"/>
        </w:rPr>
        <w:t>%.</w:t>
      </w:r>
    </w:p>
    <w:p w:rsidR="00313C47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8C7">
        <w:rPr>
          <w:rFonts w:ascii="Times New Roman" w:hAnsi="Times New Roman"/>
          <w:sz w:val="24"/>
          <w:szCs w:val="24"/>
        </w:rPr>
        <w:t>Таким образом</w:t>
      </w:r>
      <w:r w:rsidR="00214413">
        <w:rPr>
          <w:rFonts w:ascii="Times New Roman" w:hAnsi="Times New Roman"/>
          <w:sz w:val="24"/>
          <w:szCs w:val="24"/>
        </w:rPr>
        <w:t xml:space="preserve">, </w:t>
      </w:r>
      <w:r w:rsidR="00214413" w:rsidRPr="0073158C">
        <w:rPr>
          <w:rFonts w:ascii="Times New Roman" w:hAnsi="Times New Roman"/>
          <w:sz w:val="24"/>
          <w:szCs w:val="24"/>
        </w:rPr>
        <w:t>достигнутые значения показателей промышленного производства свидетельствуют о нестабильной ситуации на предприятиях индустрии</w:t>
      </w:r>
      <w:r w:rsidR="00214413">
        <w:rPr>
          <w:rFonts w:ascii="Times New Roman" w:hAnsi="Times New Roman"/>
          <w:sz w:val="24"/>
          <w:szCs w:val="24"/>
        </w:rPr>
        <w:t>, обусловленной как ус</w:t>
      </w:r>
      <w:r w:rsidR="00313C47">
        <w:rPr>
          <w:rFonts w:ascii="Times New Roman" w:hAnsi="Times New Roman"/>
          <w:sz w:val="24"/>
          <w:szCs w:val="24"/>
        </w:rPr>
        <w:t>и</w:t>
      </w:r>
      <w:r w:rsidR="00214413">
        <w:rPr>
          <w:rFonts w:ascii="Times New Roman" w:hAnsi="Times New Roman"/>
          <w:sz w:val="24"/>
          <w:szCs w:val="24"/>
        </w:rPr>
        <w:t xml:space="preserve">лившимися рисками по осуществлению внешнеэкономической деятельности, так и совокупностью </w:t>
      </w:r>
      <w:r w:rsidR="00313C47">
        <w:rPr>
          <w:rFonts w:ascii="Times New Roman" w:hAnsi="Times New Roman"/>
          <w:sz w:val="24"/>
          <w:szCs w:val="24"/>
        </w:rPr>
        <w:t>внутренних проблем</w:t>
      </w:r>
      <w:r w:rsidR="00214413" w:rsidRPr="0073158C">
        <w:rPr>
          <w:rFonts w:ascii="Times New Roman" w:hAnsi="Times New Roman"/>
          <w:sz w:val="24"/>
          <w:szCs w:val="24"/>
        </w:rPr>
        <w:t xml:space="preserve">. </w:t>
      </w:r>
    </w:p>
    <w:p w:rsidR="00313C47" w:rsidRDefault="00313C47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699" w:rsidRDefault="00A04699" w:rsidP="00A046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A384B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 w:rsidRPr="000A384B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A04699" w:rsidRDefault="00A04699" w:rsidP="00A046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04699" w:rsidRDefault="00A04699" w:rsidP="00A046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январе-марте 2017 года </w:t>
      </w:r>
      <w:r w:rsidRPr="00722D15">
        <w:rPr>
          <w:rFonts w:ascii="Times New Roman" w:hAnsi="Times New Roman"/>
          <w:sz w:val="24"/>
          <w:szCs w:val="24"/>
        </w:rPr>
        <w:t xml:space="preserve">объем внешнеторгового оборота республики </w:t>
      </w:r>
      <w:r>
        <w:rPr>
          <w:rFonts w:ascii="Times New Roman" w:hAnsi="Times New Roman"/>
          <w:sz w:val="24"/>
          <w:szCs w:val="24"/>
        </w:rPr>
        <w:t xml:space="preserve">составил 341,9 млн. долл. США, превысив </w:t>
      </w:r>
      <w:r w:rsidRPr="00722D15">
        <w:rPr>
          <w:rFonts w:ascii="Times New Roman" w:hAnsi="Times New Roman"/>
          <w:sz w:val="24"/>
          <w:szCs w:val="24"/>
        </w:rPr>
        <w:t>базово</w:t>
      </w:r>
      <w:r>
        <w:rPr>
          <w:rFonts w:ascii="Times New Roman" w:hAnsi="Times New Roman"/>
          <w:sz w:val="24"/>
          <w:szCs w:val="24"/>
        </w:rPr>
        <w:t>й</w:t>
      </w:r>
      <w:r w:rsidRPr="00722D15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ь</w:t>
      </w:r>
      <w:r w:rsidRPr="00722D1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22D15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на 1,5%. При этом </w:t>
      </w:r>
      <w:r w:rsidRPr="00722D15">
        <w:rPr>
          <w:rFonts w:ascii="Times New Roman" w:hAnsi="Times New Roman"/>
          <w:sz w:val="24"/>
          <w:szCs w:val="24"/>
        </w:rPr>
        <w:t>экспортны</w:t>
      </w:r>
      <w:r>
        <w:rPr>
          <w:rFonts w:ascii="Times New Roman" w:hAnsi="Times New Roman"/>
          <w:sz w:val="24"/>
          <w:szCs w:val="24"/>
        </w:rPr>
        <w:t>е поставки сократились до 123,1</w:t>
      </w:r>
      <w:r w:rsidRPr="001C2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млн. долл. США или на 3,8%, импорт товаров возрос на 4,8% до 218,8 млн. долл. США. С</w:t>
      </w:r>
      <w:r w:rsidRPr="00722D15">
        <w:rPr>
          <w:rFonts w:ascii="Times New Roman" w:hAnsi="Times New Roman"/>
          <w:sz w:val="24"/>
          <w:szCs w:val="24"/>
        </w:rPr>
        <w:t xml:space="preserve">альдо внешнеторгового оборота составило </w:t>
      </w:r>
      <w:r>
        <w:rPr>
          <w:rFonts w:ascii="Times New Roman" w:hAnsi="Times New Roman"/>
          <w:sz w:val="24"/>
          <w:szCs w:val="24"/>
        </w:rPr>
        <w:t>95,7 </w:t>
      </w:r>
      <w:r w:rsidRPr="00722D15">
        <w:rPr>
          <w:rFonts w:ascii="Times New Roman" w:hAnsi="Times New Roman"/>
          <w:sz w:val="24"/>
          <w:szCs w:val="24"/>
        </w:rPr>
        <w:t xml:space="preserve">млн. долл., против </w:t>
      </w:r>
      <w:r>
        <w:rPr>
          <w:rFonts w:ascii="Times New Roman" w:hAnsi="Times New Roman"/>
          <w:sz w:val="24"/>
          <w:szCs w:val="24"/>
        </w:rPr>
        <w:t>80,8 </w:t>
      </w:r>
      <w:r w:rsidRPr="00722D15">
        <w:rPr>
          <w:rFonts w:ascii="Times New Roman" w:hAnsi="Times New Roman"/>
          <w:sz w:val="24"/>
          <w:szCs w:val="24"/>
        </w:rPr>
        <w:t xml:space="preserve">млн. долл. в </w:t>
      </w:r>
      <w:r>
        <w:rPr>
          <w:rFonts w:ascii="Times New Roman" w:hAnsi="Times New Roman"/>
          <w:sz w:val="24"/>
          <w:szCs w:val="24"/>
        </w:rPr>
        <w:t xml:space="preserve">сопоставимом периоде минувшего </w:t>
      </w:r>
      <w:r w:rsidRPr="00722D1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722D15">
        <w:rPr>
          <w:rFonts w:ascii="Times New Roman" w:hAnsi="Times New Roman"/>
          <w:sz w:val="24"/>
          <w:szCs w:val="24"/>
        </w:rPr>
        <w:t>.</w:t>
      </w:r>
    </w:p>
    <w:p w:rsidR="00A04699" w:rsidRDefault="00A04699" w:rsidP="00A0469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96050" cy="19812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4699" w:rsidRDefault="00A04699" w:rsidP="00A04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Помесячная динамика</w:t>
      </w:r>
      <w:r w:rsidRPr="000A3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внешнеторгового оборота характеризуется увеличением объема внешнеторговых операций</w:t>
      </w:r>
      <w:r w:rsidRPr="003A0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марте текущего года по отношению к </w:t>
      </w:r>
      <w:r w:rsidRPr="000A384B"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>ю</w:t>
      </w:r>
      <w:r w:rsidRPr="000A3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на 31,1%, отмечается прирост как экспортных, так и импортных поставок на 29,5% и 32,0% соответственно.</w:t>
      </w:r>
    </w:p>
    <w:p w:rsidR="00A04699" w:rsidRDefault="00A04699" w:rsidP="00A04699">
      <w:pPr>
        <w:pStyle w:val="a5"/>
      </w:pPr>
      <w:r w:rsidRPr="00596CFE">
        <w:t xml:space="preserve">В I квартале текущего года экспорт в разрезе товарной структуры демонстрировал </w:t>
      </w:r>
      <w:proofErr w:type="spellStart"/>
      <w:r w:rsidRPr="00596CFE">
        <w:t>разновекторную</w:t>
      </w:r>
      <w:proofErr w:type="spellEnd"/>
      <w:r w:rsidRPr="00596CFE">
        <w:t xml:space="preserve"> направленность, свидетельствующую</w:t>
      </w:r>
      <w:r>
        <w:t xml:space="preserve"> о негативном влиянии ценовой конъюнктуры базовых товарных групп поставляемых за рубеж. </w:t>
      </w:r>
    </w:p>
    <w:p w:rsidR="00A04699" w:rsidRDefault="00A04699" w:rsidP="00A04699">
      <w:pPr>
        <w:pStyle w:val="a5"/>
      </w:pPr>
      <w:r>
        <w:t xml:space="preserve">Так, снижение контрактной стоимости электроэнергии, экспортируемой в Республику Молдова, обусловил снижение поставок </w:t>
      </w:r>
      <w:r w:rsidRPr="000A384B">
        <w:t>топливно-энергетически</w:t>
      </w:r>
      <w:r>
        <w:t>х</w:t>
      </w:r>
      <w:r w:rsidRPr="000A384B">
        <w:t xml:space="preserve"> товар</w:t>
      </w:r>
      <w:r>
        <w:t>ов к уровню января-марта 2016 года на 28,4%</w:t>
      </w:r>
      <w:r w:rsidRPr="000A384B">
        <w:t xml:space="preserve">, </w:t>
      </w:r>
      <w:r>
        <w:t>сократив долевое участие</w:t>
      </w:r>
      <w:r w:rsidRPr="000A384B">
        <w:t xml:space="preserve"> </w:t>
      </w:r>
      <w:r>
        <w:t xml:space="preserve">в товарной структуре </w:t>
      </w:r>
      <w:r w:rsidRPr="000A384B">
        <w:t xml:space="preserve">на </w:t>
      </w:r>
      <w:r>
        <w:t>10,1 </w:t>
      </w:r>
      <w:r w:rsidRPr="000A384B">
        <w:t>процентны</w:t>
      </w:r>
      <w:r>
        <w:t>х</w:t>
      </w:r>
      <w:r w:rsidRPr="000A384B">
        <w:t xml:space="preserve"> пункт</w:t>
      </w:r>
      <w:r>
        <w:t>ов</w:t>
      </w:r>
      <w:r w:rsidRPr="000A384B">
        <w:t>.</w:t>
      </w:r>
    </w:p>
    <w:p w:rsidR="00A04699" w:rsidRDefault="00A04699" w:rsidP="00A04699">
      <w:pPr>
        <w:pStyle w:val="a5"/>
      </w:pPr>
      <w:r>
        <w:t xml:space="preserve">На фоне проводимых технических работ на </w:t>
      </w:r>
      <w:r w:rsidRPr="00D978C7">
        <w:rPr>
          <w:szCs w:val="24"/>
        </w:rPr>
        <w:t>ОАО «Молдавский металлургический завод»</w:t>
      </w:r>
      <w:r>
        <w:rPr>
          <w:szCs w:val="24"/>
        </w:rPr>
        <w:t xml:space="preserve"> в текущем периоде наблюдалось сокращение объема экспорта </w:t>
      </w:r>
      <w:r w:rsidRPr="00950176">
        <w:t>металл</w:t>
      </w:r>
      <w:r>
        <w:t>ов</w:t>
      </w:r>
      <w:r w:rsidRPr="00950176">
        <w:t xml:space="preserve"> и издели</w:t>
      </w:r>
      <w:r>
        <w:t>й</w:t>
      </w:r>
      <w:r w:rsidRPr="00950176">
        <w:t xml:space="preserve"> из них</w:t>
      </w:r>
      <w:r>
        <w:t xml:space="preserve"> на 32,6%, </w:t>
      </w:r>
      <w:r w:rsidRPr="00950176">
        <w:t>удельный вес которых</w:t>
      </w:r>
      <w:r>
        <w:t xml:space="preserve"> сократился на 7,0 процентных пунктов.</w:t>
      </w:r>
    </w:p>
    <w:p w:rsidR="00A04699" w:rsidRPr="000A384B" w:rsidRDefault="00A04699" w:rsidP="00A04699">
      <w:pPr>
        <w:pStyle w:val="a5"/>
        <w:ind w:left="-426" w:firstLine="0"/>
        <w:jc w:val="center"/>
        <w:rPr>
          <w:b/>
        </w:rPr>
      </w:pPr>
      <w:r w:rsidRPr="000A384B">
        <w:rPr>
          <w:b/>
          <w:noProof/>
        </w:rPr>
        <w:drawing>
          <wp:inline distT="0" distB="0" distL="0" distR="0">
            <wp:extent cx="6200775" cy="2943225"/>
            <wp:effectExtent l="0" t="0" r="0" b="0"/>
            <wp:docPr id="8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4699" w:rsidRDefault="00A04699" w:rsidP="00A04699">
      <w:pPr>
        <w:pStyle w:val="a5"/>
      </w:pPr>
      <w:proofErr w:type="gramStart"/>
      <w:r>
        <w:t xml:space="preserve">Нивелирующее воздействие на динамику экспорта оказала реализация за рубеж товаров </w:t>
      </w:r>
      <w:r w:rsidRPr="000A384B">
        <w:t>легкой промышленности (текстильные материалы, одежда, текстильные изделия,</w:t>
      </w:r>
      <w:proofErr w:type="gramEnd"/>
      <w:r w:rsidRPr="000A384B">
        <w:t xml:space="preserve"> обувь)</w:t>
      </w:r>
      <w:r>
        <w:t>.</w:t>
      </w:r>
      <w:r w:rsidRPr="000A384B">
        <w:t xml:space="preserve"> </w:t>
      </w:r>
      <w:r>
        <w:t xml:space="preserve">Так, экспорт текстильных материалов и одежды возрос на 28,3% и на 10,7% соответственно, обеспечив прирост совокупной величины экспорта товаров </w:t>
      </w:r>
      <w:r w:rsidRPr="000A384B">
        <w:t xml:space="preserve">легкой </w:t>
      </w:r>
      <w:r w:rsidRPr="000A384B">
        <w:lastRenderedPageBreak/>
        <w:t>промышленности</w:t>
      </w:r>
      <w:r>
        <w:t xml:space="preserve"> к уровню базового показателя 2016 года на 5,2%. Долевое участие данной товарной группы расширилось на 1,9 процентных пункта.</w:t>
      </w:r>
    </w:p>
    <w:p w:rsidR="00A04699" w:rsidRDefault="00A04699" w:rsidP="00A04699">
      <w:pPr>
        <w:pStyle w:val="a5"/>
      </w:pPr>
      <w:r>
        <w:t xml:space="preserve">Экспорт продовольственных товаров и сырья увеличился к уровню января-марта 2016 года в 2,0 раза, расширив представительство в товарной структуре на 10,4 процентных пунктов. </w:t>
      </w:r>
    </w:p>
    <w:p w:rsidR="00A04699" w:rsidRDefault="00A04699" w:rsidP="00A04699">
      <w:pPr>
        <w:pStyle w:val="a5"/>
      </w:pPr>
      <w:r>
        <w:t>В январе-марте 2017 года отмечается значительный рост поставок машиностроительной продукции, абсолютная величина которых возросла в 2,2 раза, долевое участие в товарной структуре увеличилось на 3,7 процентных пункта.</w:t>
      </w:r>
    </w:p>
    <w:p w:rsidR="00A04699" w:rsidRDefault="00A04699" w:rsidP="00A04699">
      <w:pPr>
        <w:pStyle w:val="a5"/>
        <w:ind w:left="-284" w:firstLine="0"/>
      </w:pPr>
      <w:r w:rsidRPr="000A384B">
        <w:rPr>
          <w:noProof/>
        </w:rPr>
        <w:drawing>
          <wp:inline distT="0" distB="0" distL="0" distR="0">
            <wp:extent cx="6315075" cy="2847975"/>
            <wp:effectExtent l="0" t="0" r="0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4699" w:rsidRDefault="00A04699" w:rsidP="00A04699">
      <w:pPr>
        <w:pStyle w:val="a5"/>
      </w:pPr>
      <w:r>
        <w:t>О</w:t>
      </w:r>
      <w:r w:rsidRPr="000A384B">
        <w:t xml:space="preserve">сновными торговыми партнерами по экспортным </w:t>
      </w:r>
      <w:r>
        <w:t>операциям</w:t>
      </w:r>
      <w:r w:rsidRPr="000A384B">
        <w:t xml:space="preserve"> </w:t>
      </w:r>
      <w:r>
        <w:t>являлись</w:t>
      </w:r>
      <w:r w:rsidRPr="000A384B">
        <w:t xml:space="preserve"> </w:t>
      </w:r>
      <w:r>
        <w:t xml:space="preserve">представители </w:t>
      </w:r>
      <w:proofErr w:type="gramStart"/>
      <w:r>
        <w:t>из</w:t>
      </w:r>
      <w:proofErr w:type="gramEnd"/>
      <w:r>
        <w:t xml:space="preserve">: </w:t>
      </w:r>
      <w:proofErr w:type="gramStart"/>
      <w:r w:rsidRPr="000A384B">
        <w:t>Республик</w:t>
      </w:r>
      <w:r>
        <w:t>и</w:t>
      </w:r>
      <w:r w:rsidRPr="000A384B">
        <w:t xml:space="preserve"> Молдова (</w:t>
      </w:r>
      <w:r>
        <w:t>42,6</w:t>
      </w:r>
      <w:r w:rsidRPr="000A384B">
        <w:t xml:space="preserve">% совокупного экспорта, «-» </w:t>
      </w:r>
      <w:r>
        <w:t>9,9</w:t>
      </w:r>
      <w:r w:rsidRPr="000A384B">
        <w:t xml:space="preserve">% к уровню января – </w:t>
      </w:r>
      <w:r>
        <w:t>марта</w:t>
      </w:r>
      <w:r w:rsidRPr="000A384B">
        <w:t xml:space="preserve"> 201</w:t>
      </w:r>
      <w:r>
        <w:t>6</w:t>
      </w:r>
      <w:r w:rsidRPr="000A384B">
        <w:t xml:space="preserve"> года), Украин</w:t>
      </w:r>
      <w:r>
        <w:t>ы</w:t>
      </w:r>
      <w:r w:rsidRPr="000A384B">
        <w:t xml:space="preserve"> (</w:t>
      </w:r>
      <w:r>
        <w:t>13,9</w:t>
      </w:r>
      <w:r w:rsidRPr="000A384B">
        <w:t xml:space="preserve">%, </w:t>
      </w:r>
      <w:r>
        <w:t xml:space="preserve">увеличение в 2,0 раза к уровню января </w:t>
      </w:r>
      <w:r w:rsidRPr="000A384B">
        <w:t xml:space="preserve">– </w:t>
      </w:r>
      <w:r>
        <w:t>марта</w:t>
      </w:r>
      <w:r w:rsidRPr="000A384B">
        <w:t xml:space="preserve"> 201</w:t>
      </w:r>
      <w:r>
        <w:t>6</w:t>
      </w:r>
      <w:r w:rsidRPr="000A384B">
        <w:t xml:space="preserve"> года)</w:t>
      </w:r>
      <w:r>
        <w:t xml:space="preserve">, </w:t>
      </w:r>
      <w:r w:rsidRPr="000A384B">
        <w:t>Российск</w:t>
      </w:r>
      <w:r>
        <w:t>ой</w:t>
      </w:r>
      <w:r w:rsidRPr="000A384B">
        <w:t xml:space="preserve"> Федераци</w:t>
      </w:r>
      <w:r>
        <w:t>и</w:t>
      </w:r>
      <w:r w:rsidRPr="000A384B">
        <w:t xml:space="preserve"> (</w:t>
      </w:r>
      <w:r>
        <w:t>10,3</w:t>
      </w:r>
      <w:r w:rsidRPr="000A384B">
        <w:t>%, «</w:t>
      </w:r>
      <w:r>
        <w:t>+</w:t>
      </w:r>
      <w:r w:rsidRPr="000A384B">
        <w:t xml:space="preserve">» </w:t>
      </w:r>
      <w:r>
        <w:t>62,5</w:t>
      </w:r>
      <w:r w:rsidRPr="000A384B">
        <w:t xml:space="preserve">% к уровню января – </w:t>
      </w:r>
      <w:r>
        <w:t>марта</w:t>
      </w:r>
      <w:r w:rsidRPr="000A384B">
        <w:t xml:space="preserve"> 201</w:t>
      </w:r>
      <w:r>
        <w:t>6</w:t>
      </w:r>
      <w:r w:rsidRPr="000A384B">
        <w:t xml:space="preserve"> года),</w:t>
      </w:r>
      <w:r>
        <w:t xml:space="preserve"> </w:t>
      </w:r>
      <w:r w:rsidRPr="000A384B">
        <w:t>Румыни</w:t>
      </w:r>
      <w:r>
        <w:t>и</w:t>
      </w:r>
      <w:r w:rsidRPr="000A384B">
        <w:t xml:space="preserve"> (</w:t>
      </w:r>
      <w:r>
        <w:t>10,5</w:t>
      </w:r>
      <w:r w:rsidRPr="000A384B">
        <w:t xml:space="preserve">%, «-» </w:t>
      </w:r>
      <w:r>
        <w:t>46,2</w:t>
      </w:r>
      <w:r w:rsidRPr="000A384B">
        <w:t xml:space="preserve">% к </w:t>
      </w:r>
      <w:r>
        <w:t xml:space="preserve">базовому </w:t>
      </w:r>
      <w:r w:rsidRPr="000A384B">
        <w:t>уровню 201</w:t>
      </w:r>
      <w:r>
        <w:t>6</w:t>
      </w:r>
      <w:r w:rsidRPr="000A384B">
        <w:t xml:space="preserve"> года),</w:t>
      </w:r>
      <w:r w:rsidRPr="00A63313">
        <w:t xml:space="preserve"> </w:t>
      </w:r>
      <w:r w:rsidRPr="000A384B">
        <w:t>Итали</w:t>
      </w:r>
      <w:r>
        <w:t>и</w:t>
      </w:r>
      <w:r w:rsidRPr="000A384B">
        <w:t xml:space="preserve"> (</w:t>
      </w:r>
      <w:r>
        <w:t>8,2</w:t>
      </w:r>
      <w:r w:rsidRPr="000A384B">
        <w:t>%, «</w:t>
      </w:r>
      <w:r>
        <w:t>+</w:t>
      </w:r>
      <w:r w:rsidRPr="000A384B">
        <w:t>»</w:t>
      </w:r>
      <w:r>
        <w:t xml:space="preserve"> 2,6</w:t>
      </w:r>
      <w:r w:rsidRPr="000A384B">
        <w:t xml:space="preserve">% к уровню января – </w:t>
      </w:r>
      <w:r>
        <w:t>марта</w:t>
      </w:r>
      <w:r w:rsidRPr="000A384B">
        <w:t xml:space="preserve"> 201</w:t>
      </w:r>
      <w:r>
        <w:t>6</w:t>
      </w:r>
      <w:r w:rsidRPr="000A384B">
        <w:t xml:space="preserve"> года)</w:t>
      </w:r>
      <w:r>
        <w:t xml:space="preserve">, </w:t>
      </w:r>
      <w:r w:rsidRPr="000A384B">
        <w:t>Германи</w:t>
      </w:r>
      <w:r>
        <w:t>и</w:t>
      </w:r>
      <w:r w:rsidRPr="000A384B">
        <w:t xml:space="preserve"> (</w:t>
      </w:r>
      <w:r>
        <w:t>4,8</w:t>
      </w:r>
      <w:r w:rsidRPr="000A384B">
        <w:t>%, «-»</w:t>
      </w:r>
      <w:r>
        <w:t xml:space="preserve"> 28,4</w:t>
      </w:r>
      <w:r w:rsidRPr="000A384B">
        <w:t xml:space="preserve">% к </w:t>
      </w:r>
      <w:r>
        <w:t>базовому уровню</w:t>
      </w:r>
      <w:r w:rsidRPr="000A384B">
        <w:t xml:space="preserve"> 201</w:t>
      </w:r>
      <w:r>
        <w:t>6</w:t>
      </w:r>
      <w:r w:rsidRPr="000A384B">
        <w:t xml:space="preserve"> года).</w:t>
      </w:r>
      <w:r>
        <w:t xml:space="preserve"> </w:t>
      </w:r>
      <w:proofErr w:type="gramEnd"/>
    </w:p>
    <w:p w:rsidR="00A04699" w:rsidRDefault="00A04699" w:rsidP="00A04699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В I квартале 2017 года динамика т</w:t>
      </w:r>
      <w:r w:rsidRPr="007A5F69">
        <w:rPr>
          <w:sz w:val="24"/>
          <w:szCs w:val="24"/>
        </w:rPr>
        <w:t>оварн</w:t>
      </w:r>
      <w:r>
        <w:rPr>
          <w:sz w:val="24"/>
          <w:szCs w:val="24"/>
        </w:rPr>
        <w:t>ой</w:t>
      </w:r>
      <w:r w:rsidRPr="007A5F69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ы</w:t>
      </w:r>
      <w:r w:rsidRPr="007A5F69">
        <w:rPr>
          <w:sz w:val="24"/>
          <w:szCs w:val="24"/>
        </w:rPr>
        <w:t xml:space="preserve"> импорт</w:t>
      </w:r>
      <w:r>
        <w:rPr>
          <w:sz w:val="24"/>
          <w:szCs w:val="24"/>
        </w:rPr>
        <w:t>а</w:t>
      </w:r>
      <w:r w:rsidRPr="007A5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характеризовалась приростом объема поставок по большинству товарных групп, что свидетельствует о некоторой активизации деятельности хозяйствующих субъектов республики. </w:t>
      </w:r>
    </w:p>
    <w:p w:rsidR="00A04699" w:rsidRDefault="00A04699" w:rsidP="00A04699">
      <w:pPr>
        <w:pStyle w:val="20"/>
        <w:ind w:firstLine="142"/>
        <w:rPr>
          <w:sz w:val="24"/>
          <w:szCs w:val="24"/>
        </w:rPr>
      </w:pPr>
      <w:r w:rsidRPr="000A384B">
        <w:rPr>
          <w:noProof/>
        </w:rPr>
        <w:drawing>
          <wp:inline distT="0" distB="0" distL="0" distR="0">
            <wp:extent cx="5943600" cy="2800350"/>
            <wp:effectExtent l="0" t="0" r="0" b="0"/>
            <wp:docPr id="1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4699" w:rsidRDefault="00A04699" w:rsidP="00A04699">
      <w:pPr>
        <w:pStyle w:val="a5"/>
      </w:pPr>
      <w:r>
        <w:t xml:space="preserve">При этом, </w:t>
      </w:r>
      <w:r w:rsidRPr="000A384B">
        <w:t>абсолютн</w:t>
      </w:r>
      <w:r>
        <w:t>ая</w:t>
      </w:r>
      <w:r w:rsidRPr="000A384B">
        <w:t xml:space="preserve"> величин</w:t>
      </w:r>
      <w:r>
        <w:t>а</w:t>
      </w:r>
      <w:r w:rsidRPr="0076415F">
        <w:t xml:space="preserve"> </w:t>
      </w:r>
      <w:r w:rsidRPr="000A384B">
        <w:t>топливно-энергетических товаров</w:t>
      </w:r>
      <w:r>
        <w:t xml:space="preserve"> сократилась к базовому значению 2016 года на 17,9%, сократив долевое участие в </w:t>
      </w:r>
      <w:r w:rsidRPr="000A384B">
        <w:t xml:space="preserve">структуре импорта до </w:t>
      </w:r>
      <w:r>
        <w:t>46,9</w:t>
      </w:r>
      <w:r w:rsidRPr="000A384B">
        <w:t xml:space="preserve">% против </w:t>
      </w:r>
      <w:r>
        <w:t>59,8</w:t>
      </w:r>
      <w:r w:rsidRPr="000A384B">
        <w:t xml:space="preserve">% в январе – </w:t>
      </w:r>
      <w:r>
        <w:t xml:space="preserve">марте </w:t>
      </w:r>
      <w:r w:rsidRPr="000A384B">
        <w:t>201</w:t>
      </w:r>
      <w:r>
        <w:t>6</w:t>
      </w:r>
      <w:r w:rsidRPr="000A384B">
        <w:t xml:space="preserve"> года</w:t>
      </w:r>
      <w:r>
        <w:t>.</w:t>
      </w:r>
      <w:r w:rsidRPr="000A384B">
        <w:t xml:space="preserve"> </w:t>
      </w:r>
    </w:p>
    <w:p w:rsidR="00A04699" w:rsidRDefault="00A04699" w:rsidP="00A04699">
      <w:pPr>
        <w:pStyle w:val="a5"/>
      </w:pPr>
      <w:r w:rsidRPr="000A384B">
        <w:lastRenderedPageBreak/>
        <w:t xml:space="preserve">В </w:t>
      </w:r>
      <w:r>
        <w:t xml:space="preserve">рассматриваемом периоде увеличение объема поставок </w:t>
      </w:r>
      <w:r w:rsidRPr="000A384B">
        <w:t>продовольственны</w:t>
      </w:r>
      <w:r>
        <w:t>х</w:t>
      </w:r>
      <w:r w:rsidRPr="000A384B">
        <w:t xml:space="preserve"> товар</w:t>
      </w:r>
      <w:r>
        <w:t>ов</w:t>
      </w:r>
      <w:r w:rsidRPr="000A384B">
        <w:t xml:space="preserve"> (сырь</w:t>
      </w:r>
      <w:r>
        <w:t>я</w:t>
      </w:r>
      <w:r w:rsidRPr="000A384B">
        <w:t xml:space="preserve">) </w:t>
      </w:r>
      <w:r>
        <w:t>составило 32,2%, расширив долевое участие в товарной структуре на 2,6 процентных пункта.</w:t>
      </w:r>
    </w:p>
    <w:p w:rsidR="00A04699" w:rsidRPr="00F76F90" w:rsidRDefault="00A04699" w:rsidP="00A04699">
      <w:pPr>
        <w:pStyle w:val="a5"/>
      </w:pPr>
      <w:r>
        <w:t>Восстановление</w:t>
      </w:r>
      <w:r w:rsidRPr="00EB3CC9">
        <w:t xml:space="preserve"> производственной </w:t>
      </w:r>
      <w:r>
        <w:t>деятельности на</w:t>
      </w:r>
      <w:r w:rsidRPr="00EB3CC9">
        <w:t xml:space="preserve"> ОАО «Молдавский металлургический завод»</w:t>
      </w:r>
      <w:r>
        <w:t xml:space="preserve"> послужило толчком </w:t>
      </w:r>
      <w:r w:rsidRPr="00EB3CC9">
        <w:t xml:space="preserve">к </w:t>
      </w:r>
      <w:r>
        <w:t>увеличению</w:t>
      </w:r>
      <w:r w:rsidRPr="00EB3CC9">
        <w:t xml:space="preserve"> </w:t>
      </w:r>
      <w:r>
        <w:t>ввоза</w:t>
      </w:r>
      <w:r w:rsidRPr="00EB3CC9">
        <w:t xml:space="preserve"> металлов и изделий из них </w:t>
      </w:r>
      <w:r>
        <w:t>в 3,4 раза,</w:t>
      </w:r>
      <w:r w:rsidRPr="00F76F90">
        <w:t xml:space="preserve"> </w:t>
      </w:r>
      <w:r>
        <w:t>расширив</w:t>
      </w:r>
      <w:r w:rsidRPr="00F76F90">
        <w:t xml:space="preserve"> долевое представительство в товарной структуре </w:t>
      </w:r>
      <w:r>
        <w:t xml:space="preserve">импорта </w:t>
      </w:r>
      <w:r w:rsidRPr="00F76F90">
        <w:t xml:space="preserve">на </w:t>
      </w:r>
      <w:r>
        <w:t>5,1 процентных пункта.</w:t>
      </w:r>
    </w:p>
    <w:p w:rsidR="00A04699" w:rsidRDefault="00A04699" w:rsidP="00A04699">
      <w:pPr>
        <w:pStyle w:val="a5"/>
      </w:pPr>
      <w:r w:rsidRPr="00DD68B6">
        <w:t xml:space="preserve">Импортные поставки машиностроительной продукции в </w:t>
      </w:r>
      <w:r>
        <w:t>абсолютном выражении</w:t>
      </w:r>
      <w:r w:rsidRPr="00DD68B6">
        <w:t xml:space="preserve"> </w:t>
      </w:r>
      <w:r>
        <w:t xml:space="preserve">выросли </w:t>
      </w:r>
      <w:r w:rsidRPr="00DD68B6">
        <w:t xml:space="preserve">на </w:t>
      </w:r>
      <w:r>
        <w:t>15,6</w:t>
      </w:r>
      <w:r w:rsidRPr="00DD68B6">
        <w:t>%</w:t>
      </w:r>
      <w:r>
        <w:t xml:space="preserve"> к уровню января-марта 2016 года</w:t>
      </w:r>
      <w:r w:rsidRPr="00DD68B6">
        <w:t xml:space="preserve">, </w:t>
      </w:r>
      <w:r>
        <w:t xml:space="preserve">а </w:t>
      </w:r>
      <w:r w:rsidRPr="00DD68B6">
        <w:t xml:space="preserve">долевое представительство </w:t>
      </w:r>
      <w:r>
        <w:t xml:space="preserve">на 0,9 </w:t>
      </w:r>
      <w:proofErr w:type="gramStart"/>
      <w:r>
        <w:t>процентных</w:t>
      </w:r>
      <w:proofErr w:type="gramEnd"/>
      <w:r>
        <w:t xml:space="preserve"> пункта.</w:t>
      </w:r>
    </w:p>
    <w:p w:rsidR="00A04699" w:rsidRDefault="00A04699" w:rsidP="00A04699">
      <w:pPr>
        <w:pStyle w:val="a5"/>
      </w:pPr>
      <w:r>
        <w:t>В</w:t>
      </w:r>
      <w:r w:rsidRPr="000A384B">
        <w:t xml:space="preserve"> январе – </w:t>
      </w:r>
      <w:r>
        <w:t>марте</w:t>
      </w:r>
      <w:r w:rsidRPr="000A384B">
        <w:t xml:space="preserve"> 201</w:t>
      </w:r>
      <w:r>
        <w:t>7</w:t>
      </w:r>
      <w:r w:rsidRPr="000A384B">
        <w:t xml:space="preserve"> года</w:t>
      </w:r>
      <w:r>
        <w:t xml:space="preserve"> импорт </w:t>
      </w:r>
      <w:r w:rsidRPr="000A384B">
        <w:t>товаров легкой промышленности (текстильные материалы, одежда, текстильные изделия, обувь)</w:t>
      </w:r>
      <w:r>
        <w:t xml:space="preserve"> увеличился на 58,1% к сопоставимому значению минувшего года, поднявшись в товарной структуре на 2,7 процентных пункта.</w:t>
      </w:r>
    </w:p>
    <w:p w:rsidR="00A04699" w:rsidRDefault="00A04699" w:rsidP="00A04699">
      <w:pPr>
        <w:pStyle w:val="a5"/>
        <w:ind w:left="-426" w:firstLine="0"/>
        <w:jc w:val="center"/>
      </w:pPr>
      <w:r w:rsidRPr="000A384B">
        <w:rPr>
          <w:noProof/>
        </w:rPr>
        <w:drawing>
          <wp:inline distT="0" distB="0" distL="0" distR="0">
            <wp:extent cx="6267450" cy="2876550"/>
            <wp:effectExtent l="0" t="0" r="0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4699" w:rsidRDefault="00A04699" w:rsidP="00A04699">
      <w:pPr>
        <w:pStyle w:val="a5"/>
      </w:pPr>
      <w:r>
        <w:t xml:space="preserve">Большая часть ввозимой на территорию </w:t>
      </w:r>
      <w:r w:rsidRPr="00950176">
        <w:t>Приднестровья</w:t>
      </w:r>
      <w:r>
        <w:t xml:space="preserve"> продукции поступала из таких стран как:</w:t>
      </w:r>
      <w:r w:rsidRPr="00C872C0">
        <w:t xml:space="preserve"> </w:t>
      </w:r>
      <w:proofErr w:type="gramStart"/>
      <w:r w:rsidRPr="000A384B">
        <w:t>Российск</w:t>
      </w:r>
      <w:r>
        <w:t>ая</w:t>
      </w:r>
      <w:r w:rsidRPr="000A384B">
        <w:t xml:space="preserve"> Федераци</w:t>
      </w:r>
      <w:r>
        <w:t>я</w:t>
      </w:r>
      <w:r w:rsidRPr="000A384B">
        <w:t xml:space="preserve"> (</w:t>
      </w:r>
      <w:r>
        <w:t>50,2</w:t>
      </w:r>
      <w:r w:rsidRPr="000A384B">
        <w:t xml:space="preserve">% совокупного импорта, «-» </w:t>
      </w:r>
      <w:r>
        <w:t>15,4</w:t>
      </w:r>
      <w:r w:rsidRPr="000A384B">
        <w:t>% к уровню базового показателя 201</w:t>
      </w:r>
      <w:r>
        <w:t>6</w:t>
      </w:r>
      <w:r w:rsidRPr="000A384B">
        <w:t xml:space="preserve"> года)</w:t>
      </w:r>
      <w:r>
        <w:t>,</w:t>
      </w:r>
      <w:r w:rsidRPr="00C872C0">
        <w:t xml:space="preserve"> </w:t>
      </w:r>
      <w:r w:rsidRPr="000A384B">
        <w:t>Украин</w:t>
      </w:r>
      <w:r>
        <w:t>а</w:t>
      </w:r>
      <w:r w:rsidRPr="000A384B">
        <w:t xml:space="preserve"> (</w:t>
      </w:r>
      <w:r>
        <w:t>9,8</w:t>
      </w:r>
      <w:r w:rsidRPr="000A384B">
        <w:t>%, «</w:t>
      </w:r>
      <w:r>
        <w:t>+</w:t>
      </w:r>
      <w:r w:rsidRPr="000A384B">
        <w:t>»</w:t>
      </w:r>
      <w:r>
        <w:t xml:space="preserve"> 36,5</w:t>
      </w:r>
      <w:r w:rsidRPr="000A384B">
        <w:t>%</w:t>
      </w:r>
      <w:r w:rsidRPr="00C872C0">
        <w:t xml:space="preserve"> </w:t>
      </w:r>
      <w:r w:rsidRPr="000A384B">
        <w:t xml:space="preserve">к уровню января – </w:t>
      </w:r>
      <w:r>
        <w:t>марта</w:t>
      </w:r>
      <w:r w:rsidRPr="000A384B">
        <w:t xml:space="preserve"> 201</w:t>
      </w:r>
      <w:r>
        <w:t>6 </w:t>
      </w:r>
      <w:r w:rsidRPr="000A384B">
        <w:t>года</w:t>
      </w:r>
      <w:r>
        <w:t xml:space="preserve">), </w:t>
      </w:r>
      <w:r w:rsidRPr="000A384B">
        <w:t>Республик</w:t>
      </w:r>
      <w:r>
        <w:t xml:space="preserve">а </w:t>
      </w:r>
      <w:r w:rsidRPr="000A384B">
        <w:t>Молдова (</w:t>
      </w:r>
      <w:r>
        <w:t>8,9</w:t>
      </w:r>
      <w:r w:rsidRPr="000A384B">
        <w:t xml:space="preserve">%, </w:t>
      </w:r>
      <w:r>
        <w:t xml:space="preserve">увеличение в 2,8 раз </w:t>
      </w:r>
      <w:r w:rsidRPr="000A384B">
        <w:t xml:space="preserve">к </w:t>
      </w:r>
      <w:r>
        <w:t>базовому уровню</w:t>
      </w:r>
      <w:r w:rsidRPr="000A384B">
        <w:t xml:space="preserve"> 201</w:t>
      </w:r>
      <w:r>
        <w:t>6</w:t>
      </w:r>
      <w:r w:rsidRPr="000A384B">
        <w:t xml:space="preserve"> года</w:t>
      </w:r>
      <w:r>
        <w:t xml:space="preserve">), </w:t>
      </w:r>
      <w:r w:rsidRPr="000A384B">
        <w:t>Республик</w:t>
      </w:r>
      <w:r>
        <w:t>а</w:t>
      </w:r>
      <w:r w:rsidRPr="000A384B">
        <w:t xml:space="preserve"> Казахстан</w:t>
      </w:r>
      <w:r>
        <w:t xml:space="preserve"> (4,8</w:t>
      </w:r>
      <w:r w:rsidRPr="000A384B">
        <w:t>%, «</w:t>
      </w:r>
      <w:r>
        <w:t>+</w:t>
      </w:r>
      <w:r w:rsidRPr="000A384B">
        <w:t>»</w:t>
      </w:r>
      <w:r>
        <w:t xml:space="preserve"> 98,6</w:t>
      </w:r>
      <w:r w:rsidRPr="000A384B">
        <w:t>%</w:t>
      </w:r>
      <w:r w:rsidRPr="00C872C0">
        <w:t xml:space="preserve"> </w:t>
      </w:r>
      <w:r w:rsidRPr="000A384B">
        <w:t xml:space="preserve">к уровню января – </w:t>
      </w:r>
      <w:r>
        <w:t>марта</w:t>
      </w:r>
      <w:r w:rsidRPr="000A384B">
        <w:t xml:space="preserve"> 201</w:t>
      </w:r>
      <w:r>
        <w:t xml:space="preserve">6 </w:t>
      </w:r>
      <w:r w:rsidRPr="000A384B">
        <w:t>года</w:t>
      </w:r>
      <w:r>
        <w:t>),</w:t>
      </w:r>
      <w:r w:rsidRPr="00F15750">
        <w:t xml:space="preserve"> </w:t>
      </w:r>
      <w:r w:rsidRPr="000A384B">
        <w:t>Германи</w:t>
      </w:r>
      <w:r>
        <w:t>я</w:t>
      </w:r>
      <w:r w:rsidRPr="000A384B">
        <w:t xml:space="preserve"> (</w:t>
      </w:r>
      <w:r>
        <w:t>3,5</w:t>
      </w:r>
      <w:r w:rsidRPr="000A384B">
        <w:t>%, «-»</w:t>
      </w:r>
      <w:r>
        <w:t xml:space="preserve"> 0,6</w:t>
      </w:r>
      <w:r w:rsidRPr="000A384B">
        <w:t>%</w:t>
      </w:r>
      <w:r w:rsidRPr="00F15750">
        <w:t xml:space="preserve"> </w:t>
      </w:r>
      <w:r w:rsidRPr="000A384B">
        <w:t>к уровню базового показателя 201</w:t>
      </w:r>
      <w:r>
        <w:t>6</w:t>
      </w:r>
      <w:r w:rsidRPr="000A384B">
        <w:t xml:space="preserve"> года)</w:t>
      </w:r>
      <w:r>
        <w:t>.</w:t>
      </w:r>
      <w:proofErr w:type="gramEnd"/>
    </w:p>
    <w:p w:rsidR="004E05CC" w:rsidRDefault="004E05CC" w:rsidP="00552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8DE" w:rsidRPr="003D7E78" w:rsidRDefault="005618DE" w:rsidP="005618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E78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5618DE" w:rsidRDefault="005618DE" w:rsidP="00561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8DE" w:rsidRDefault="005618DE" w:rsidP="00561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736">
        <w:rPr>
          <w:rFonts w:ascii="Times New Roman" w:hAnsi="Times New Roman"/>
          <w:sz w:val="24"/>
          <w:szCs w:val="24"/>
        </w:rPr>
        <w:t xml:space="preserve">После </w:t>
      </w:r>
      <w:r w:rsidRPr="00097736">
        <w:rPr>
          <w:rStyle w:val="aa"/>
          <w:sz w:val="24"/>
          <w:szCs w:val="24"/>
        </w:rPr>
        <w:t>незначительного повышения инфляционного фона в январе 2017 года («+»0,37%),</w:t>
      </w:r>
      <w:r>
        <w:rPr>
          <w:rStyle w:val="aa"/>
          <w:sz w:val="24"/>
          <w:szCs w:val="24"/>
        </w:rPr>
        <w:t xml:space="preserve"> в совокупности с н</w:t>
      </w:r>
      <w:r>
        <w:rPr>
          <w:rFonts w:ascii="Times New Roman" w:hAnsi="Times New Roman"/>
          <w:sz w:val="24"/>
          <w:szCs w:val="24"/>
        </w:rPr>
        <w:t xml:space="preserve">екоторым снижением девальвационных ожиданий, выразившимся в понижательных корректировках потребительских цен в феврале </w:t>
      </w:r>
      <w:r w:rsidRPr="00097736">
        <w:rPr>
          <w:rFonts w:ascii="Times New Roman" w:hAnsi="Times New Roman"/>
          <w:sz w:val="24"/>
          <w:szCs w:val="24"/>
        </w:rPr>
        <w:t>(«-»0,39%)</w:t>
      </w:r>
      <w:r>
        <w:rPr>
          <w:rFonts w:ascii="Times New Roman" w:hAnsi="Times New Roman"/>
          <w:sz w:val="24"/>
          <w:szCs w:val="24"/>
        </w:rPr>
        <w:t xml:space="preserve"> и марте </w:t>
      </w:r>
      <w:r w:rsidRPr="00097736">
        <w:rPr>
          <w:rFonts w:ascii="Times New Roman" w:hAnsi="Times New Roman"/>
          <w:sz w:val="24"/>
          <w:szCs w:val="24"/>
        </w:rPr>
        <w:t>(«-»0,</w:t>
      </w:r>
      <w:r>
        <w:rPr>
          <w:rFonts w:ascii="Times New Roman" w:hAnsi="Times New Roman"/>
          <w:sz w:val="24"/>
          <w:szCs w:val="24"/>
        </w:rPr>
        <w:t>28</w:t>
      </w:r>
      <w:r w:rsidRPr="0009773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622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предопределили в целом за январь-март 2017 года </w:t>
      </w:r>
      <w:r w:rsidRPr="00167272">
        <w:rPr>
          <w:rStyle w:val="aa"/>
          <w:b/>
          <w:sz w:val="24"/>
          <w:szCs w:val="24"/>
        </w:rPr>
        <w:t>сводный индекс потребительских цен (инфляция</w:t>
      </w:r>
      <w:r>
        <w:rPr>
          <w:rStyle w:val="aa"/>
          <w:b/>
          <w:sz w:val="24"/>
          <w:szCs w:val="24"/>
        </w:rPr>
        <w:t>)</w:t>
      </w:r>
      <w:r w:rsidRPr="00C4605A">
        <w:rPr>
          <w:rFonts w:ascii="Times New Roman" w:hAnsi="Times New Roman"/>
          <w:sz w:val="24"/>
          <w:szCs w:val="24"/>
        </w:rPr>
        <w:t xml:space="preserve"> </w:t>
      </w:r>
      <w:r w:rsidRPr="00167272">
        <w:rPr>
          <w:rFonts w:ascii="Times New Roman" w:hAnsi="Times New Roman"/>
          <w:sz w:val="24"/>
          <w:szCs w:val="24"/>
        </w:rPr>
        <w:t>на уровне 99,70% против 99,99% в январе-март</w:t>
      </w:r>
      <w:r>
        <w:rPr>
          <w:rFonts w:ascii="Times New Roman" w:hAnsi="Times New Roman"/>
          <w:sz w:val="24"/>
          <w:szCs w:val="24"/>
        </w:rPr>
        <w:t xml:space="preserve">е                  </w:t>
      </w:r>
      <w:r w:rsidRPr="00167272">
        <w:rPr>
          <w:rFonts w:ascii="Times New Roman" w:hAnsi="Times New Roman"/>
          <w:sz w:val="24"/>
          <w:szCs w:val="24"/>
        </w:rPr>
        <w:t>2016 года.</w:t>
      </w:r>
    </w:p>
    <w:p w:rsidR="005618DE" w:rsidRPr="00167272" w:rsidRDefault="005618DE" w:rsidP="00105A28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1672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10325" cy="1724025"/>
            <wp:effectExtent l="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18DE" w:rsidRPr="00167272" w:rsidRDefault="005618DE" w:rsidP="005618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272">
        <w:rPr>
          <w:rFonts w:ascii="Times New Roman" w:hAnsi="Times New Roman"/>
          <w:sz w:val="24"/>
          <w:szCs w:val="24"/>
        </w:rPr>
        <w:lastRenderedPageBreak/>
        <w:t>Динамика сводного индекса потребительских цен (инфляции) за предыдущие годы представлена в следующем виде:</w:t>
      </w:r>
    </w:p>
    <w:p w:rsidR="005618DE" w:rsidRPr="00167272" w:rsidRDefault="005618DE" w:rsidP="005618DE">
      <w:pPr>
        <w:spacing w:after="0" w:line="240" w:lineRule="auto"/>
        <w:jc w:val="both"/>
        <w:rPr>
          <w:rStyle w:val="a8"/>
          <w:b w:val="0"/>
          <w:color w:val="000000"/>
          <w:szCs w:val="24"/>
        </w:rPr>
      </w:pPr>
      <w:r w:rsidRPr="00167272">
        <w:rPr>
          <w:rStyle w:val="a8"/>
          <w:b w:val="0"/>
          <w:noProof/>
          <w:color w:val="FBD4B4" w:themeColor="accent6" w:themeTint="66"/>
          <w:szCs w:val="24"/>
        </w:rPr>
        <w:drawing>
          <wp:inline distT="0" distB="0" distL="0" distR="0">
            <wp:extent cx="5947410" cy="2194560"/>
            <wp:effectExtent l="1905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618DE" w:rsidRPr="00167272" w:rsidRDefault="005618DE" w:rsidP="005618D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hd w:val="clear" w:color="auto" w:fill="FFFFFF"/>
        </w:rPr>
      </w:pPr>
      <w:proofErr w:type="gramStart"/>
      <w:r w:rsidRPr="00167272">
        <w:rPr>
          <w:rFonts w:ascii="Times New Roman" w:hAnsi="Times New Roman"/>
          <w:b/>
          <w:bCs/>
          <w:i/>
          <w:color w:val="000000"/>
          <w:sz w:val="24"/>
          <w:shd w:val="clear" w:color="auto" w:fill="FFFFFF"/>
        </w:rPr>
        <w:t xml:space="preserve">В продовольственном сегменте </w:t>
      </w:r>
      <w:r w:rsidRPr="00167272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потребительского рынка </w:t>
      </w:r>
      <w:r w:rsidRPr="00167272">
        <w:rPr>
          <w:rFonts w:ascii="Times New Roman" w:hAnsi="Times New Roman"/>
          <w:sz w:val="24"/>
          <w:szCs w:val="24"/>
        </w:rPr>
        <w:t xml:space="preserve">в январе-марте 2017 года </w:t>
      </w:r>
      <w:r w:rsidRPr="00167272">
        <w:rPr>
          <w:rFonts w:ascii="Times New Roman" w:hAnsi="Times New Roman"/>
          <w:bCs/>
          <w:color w:val="000000"/>
          <w:sz w:val="24"/>
          <w:shd w:val="clear" w:color="auto" w:fill="FFFFFF"/>
        </w:rPr>
        <w:t>снижение стоимости по большинству видов товаров (удешевление яиц – на 29,97%, сыра – на 3,03%, масла растительного – на 2,50%, меда – на 1,80%, муки – на 0,49%, мясопродуктов – на 1,62%, молока и молочной продукции – на 0,78%), в совокупности с повышением цен на рыбопродукты – на 3,10%, плодоовощную продукцию, включая картофель – на 6,01%, маргарина и маргариновой продукции</w:t>
      </w:r>
      <w:proofErr w:type="gramEnd"/>
      <w:r w:rsidRPr="00167272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– на 2,76%, кондитерских изделий – на 1,92%, обусловили в данном секторе потребительского рынка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умеренную динамику инфляционных процессов </w:t>
      </w:r>
      <w:r w:rsidRPr="00167272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– </w:t>
      </w:r>
      <w:r w:rsidRPr="00167272">
        <w:rPr>
          <w:rFonts w:ascii="Times New Roman" w:hAnsi="Times New Roman"/>
          <w:b/>
          <w:bCs/>
          <w:i/>
          <w:color w:val="000000"/>
          <w:sz w:val="24"/>
          <w:shd w:val="clear" w:color="auto" w:fill="FFFFFF"/>
        </w:rPr>
        <w:t>«+»0,02%</w:t>
      </w:r>
      <w:r w:rsidRPr="00167272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(в январе-марте 2016 года дефляция «-»0,59%).</w:t>
      </w:r>
    </w:p>
    <w:p w:rsidR="005618DE" w:rsidRPr="00167272" w:rsidRDefault="005618DE" w:rsidP="00561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272">
        <w:rPr>
          <w:rFonts w:ascii="Times New Roman" w:hAnsi="Times New Roman"/>
          <w:b/>
          <w:bCs/>
          <w:i/>
          <w:color w:val="000000"/>
          <w:sz w:val="24"/>
          <w:shd w:val="clear" w:color="auto" w:fill="FFFFFF"/>
        </w:rPr>
        <w:t>В</w:t>
      </w:r>
      <w:r w:rsidRPr="00167272">
        <w:rPr>
          <w:rFonts w:ascii="Times New Roman" w:hAnsi="Times New Roman"/>
          <w:bCs/>
          <w:i/>
          <w:color w:val="000000"/>
          <w:sz w:val="24"/>
          <w:shd w:val="clear" w:color="auto" w:fill="FFFFFF"/>
        </w:rPr>
        <w:t xml:space="preserve"> </w:t>
      </w:r>
      <w:r w:rsidRPr="00167272">
        <w:rPr>
          <w:rFonts w:ascii="Times New Roman" w:hAnsi="Times New Roman"/>
          <w:b/>
          <w:i/>
          <w:sz w:val="24"/>
          <w:szCs w:val="24"/>
        </w:rPr>
        <w:t>непродовольственном сегменте</w:t>
      </w:r>
      <w:r w:rsidRPr="00167272">
        <w:rPr>
          <w:rFonts w:ascii="Times New Roman" w:hAnsi="Times New Roman"/>
          <w:b/>
          <w:sz w:val="24"/>
          <w:szCs w:val="24"/>
        </w:rPr>
        <w:t xml:space="preserve"> </w:t>
      </w:r>
      <w:r w:rsidRPr="00167272">
        <w:rPr>
          <w:rFonts w:ascii="Times New Roman" w:hAnsi="Times New Roman"/>
          <w:sz w:val="24"/>
          <w:szCs w:val="24"/>
        </w:rPr>
        <w:t>продолжает</w:t>
      </w:r>
      <w:r w:rsidRPr="00167272">
        <w:rPr>
          <w:rFonts w:ascii="Times New Roman" w:hAnsi="Times New Roman"/>
          <w:b/>
          <w:sz w:val="24"/>
          <w:szCs w:val="24"/>
        </w:rPr>
        <w:t xml:space="preserve"> </w:t>
      </w:r>
      <w:r w:rsidRPr="00167272">
        <w:rPr>
          <w:rFonts w:ascii="Times New Roman" w:hAnsi="Times New Roman"/>
          <w:bCs/>
          <w:color w:val="000000"/>
          <w:sz w:val="24"/>
          <w:shd w:val="clear" w:color="auto" w:fill="FFFFFF"/>
        </w:rPr>
        <w:t>фиксироваться дефляция</w:t>
      </w:r>
      <w:r w:rsidRPr="00167272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</w:t>
      </w:r>
      <w:r w:rsidRPr="00167272">
        <w:rPr>
          <w:rFonts w:ascii="Times New Roman" w:hAnsi="Times New Roman"/>
          <w:b/>
          <w:i/>
          <w:sz w:val="24"/>
          <w:szCs w:val="24"/>
        </w:rPr>
        <w:t>«-»0,30%</w:t>
      </w:r>
      <w:r w:rsidRPr="00167272">
        <w:rPr>
          <w:rFonts w:ascii="Times New Roman" w:hAnsi="Times New Roman"/>
          <w:sz w:val="24"/>
          <w:szCs w:val="24"/>
        </w:rPr>
        <w:t xml:space="preserve"> (в январе-марте 2016 года </w:t>
      </w:r>
      <w:r w:rsidRPr="00167272">
        <w:rPr>
          <w:rFonts w:ascii="Times New Roman" w:hAnsi="Times New Roman"/>
          <w:bCs/>
          <w:color w:val="000000"/>
          <w:sz w:val="24"/>
          <w:shd w:val="clear" w:color="auto" w:fill="FFFFFF"/>
        </w:rPr>
        <w:t>–</w:t>
      </w:r>
      <w:r w:rsidRPr="00167272">
        <w:rPr>
          <w:rFonts w:ascii="Times New Roman" w:hAnsi="Times New Roman"/>
          <w:sz w:val="24"/>
          <w:szCs w:val="24"/>
        </w:rPr>
        <w:t xml:space="preserve"> «+»0,17%). Понижательный ценовой тренд в данном сегменте потребительского рынка установлен по следующим товарным позициям: </w:t>
      </w:r>
      <w:proofErr w:type="spellStart"/>
      <w:r w:rsidRPr="00167272">
        <w:rPr>
          <w:rFonts w:ascii="Times New Roman" w:hAnsi="Times New Roman"/>
          <w:sz w:val="24"/>
          <w:szCs w:val="24"/>
        </w:rPr>
        <w:t>телерадиотовары</w:t>
      </w:r>
      <w:proofErr w:type="spellEnd"/>
      <w:r w:rsidRPr="00167272">
        <w:rPr>
          <w:rFonts w:ascii="Times New Roman" w:hAnsi="Times New Roman"/>
          <w:sz w:val="24"/>
          <w:szCs w:val="24"/>
        </w:rPr>
        <w:t xml:space="preserve"> («-»5,33%), электротовары и другие бытовые приборы («-»4,50%), вычислительная техника («-»5,72%), мебель («-»3,60%), моющие средства («-»1,40%), строительные материалы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67272">
        <w:rPr>
          <w:rFonts w:ascii="Times New Roman" w:hAnsi="Times New Roman"/>
          <w:sz w:val="24"/>
          <w:szCs w:val="24"/>
        </w:rPr>
        <w:t xml:space="preserve">(«-»2,22%), одежда и бельё («-»0,14%), трикотажные изделия («-»0,05%). В то же время отмечался рост стоимости медикаментов на 5,29%, печатных изданий на 2,71%, табачных изделий на 2,41%. </w:t>
      </w:r>
    </w:p>
    <w:p w:rsidR="005618DE" w:rsidRPr="00167272" w:rsidRDefault="005618DE" w:rsidP="005618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67272">
        <w:rPr>
          <w:rFonts w:ascii="Times New Roman" w:hAnsi="Times New Roman"/>
          <w:b/>
          <w:i/>
          <w:sz w:val="24"/>
          <w:szCs w:val="24"/>
        </w:rPr>
        <w:t>В сфере услуг</w:t>
      </w:r>
      <w:r w:rsidRPr="00167272">
        <w:rPr>
          <w:rFonts w:ascii="Times New Roman" w:hAnsi="Times New Roman"/>
          <w:sz w:val="24"/>
          <w:szCs w:val="24"/>
        </w:rPr>
        <w:t xml:space="preserve"> в рассматриваемом периоде была зафиксирована дефляция </w:t>
      </w:r>
      <w:r w:rsidRPr="00167272">
        <w:rPr>
          <w:rFonts w:ascii="Times New Roman" w:hAnsi="Times New Roman"/>
          <w:b/>
          <w:i/>
          <w:sz w:val="24"/>
          <w:szCs w:val="24"/>
        </w:rPr>
        <w:t>(«-»0,90%</w:t>
      </w:r>
      <w:r w:rsidRPr="00167272">
        <w:rPr>
          <w:rFonts w:ascii="Times New Roman" w:hAnsi="Times New Roman"/>
          <w:sz w:val="24"/>
          <w:szCs w:val="24"/>
        </w:rPr>
        <w:t xml:space="preserve"> против «+»0,75% в январе-марте 2016 года), что стало следствием заморозки </w:t>
      </w:r>
      <w:r>
        <w:rPr>
          <w:rFonts w:ascii="Times New Roman" w:hAnsi="Times New Roman"/>
          <w:sz w:val="24"/>
          <w:szCs w:val="24"/>
        </w:rPr>
        <w:t>тарифов</w:t>
      </w:r>
      <w:r w:rsidRPr="00167272">
        <w:rPr>
          <w:rFonts w:ascii="Times New Roman" w:hAnsi="Times New Roman"/>
          <w:sz w:val="24"/>
          <w:szCs w:val="24"/>
        </w:rPr>
        <w:t xml:space="preserve"> в сфере естественных монополий. </w:t>
      </w:r>
      <w:r>
        <w:rPr>
          <w:rFonts w:ascii="Times New Roman" w:hAnsi="Times New Roman"/>
          <w:sz w:val="24"/>
          <w:szCs w:val="24"/>
        </w:rPr>
        <w:t>Кроме того, снижены</w:t>
      </w:r>
      <w:r w:rsidRPr="00167272">
        <w:rPr>
          <w:rFonts w:ascii="Times New Roman" w:hAnsi="Times New Roman"/>
          <w:sz w:val="24"/>
          <w:szCs w:val="24"/>
        </w:rPr>
        <w:t xml:space="preserve"> тарифы </w:t>
      </w:r>
      <w:r w:rsidRPr="00167272">
        <w:rPr>
          <w:rFonts w:ascii="Times New Roman" w:hAnsi="Times New Roman"/>
          <w:sz w:val="24"/>
        </w:rPr>
        <w:t xml:space="preserve">на </w:t>
      </w:r>
      <w:r w:rsidRPr="00167272">
        <w:rPr>
          <w:rFonts w:ascii="Times New Roman" w:hAnsi="Times New Roman"/>
          <w:sz w:val="24"/>
          <w:szCs w:val="24"/>
        </w:rPr>
        <w:t xml:space="preserve">медицинские услуги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67272">
        <w:rPr>
          <w:rFonts w:ascii="Times New Roman" w:hAnsi="Times New Roman"/>
          <w:sz w:val="24"/>
        </w:rPr>
        <w:t xml:space="preserve">(«-»0,36%), услуги банков («-»0,44%), услуги дошкольного воспитания («-»4,89%), услуги пассажирского транспорта («-»8,20%), услуги образования («-»3,31%), ритуальные услуги </w:t>
      </w:r>
      <w:r>
        <w:rPr>
          <w:rFonts w:ascii="Times New Roman" w:hAnsi="Times New Roman"/>
          <w:sz w:val="24"/>
        </w:rPr>
        <w:t xml:space="preserve">     </w:t>
      </w:r>
      <w:r w:rsidRPr="00167272">
        <w:rPr>
          <w:rFonts w:ascii="Times New Roman" w:hAnsi="Times New Roman"/>
          <w:sz w:val="24"/>
        </w:rPr>
        <w:t>(«-»4,10%). При этом подорожали бытовые услуги (ремонт обуви) на 4,06%, услуги фотоателье на 0,63%, услуги связи на 0,70%. Стоимость санаторно-оздоровительных услуг, услуг правового характера, а также услуг организаций культуры сохранилась на базовом уровне</w:t>
      </w:r>
      <w:r>
        <w:rPr>
          <w:rFonts w:ascii="Times New Roman" w:hAnsi="Times New Roman"/>
          <w:sz w:val="24"/>
        </w:rPr>
        <w:t xml:space="preserve"> 2016 года</w:t>
      </w:r>
      <w:r w:rsidRPr="00167272">
        <w:rPr>
          <w:rFonts w:ascii="Times New Roman" w:hAnsi="Times New Roman"/>
          <w:sz w:val="24"/>
        </w:rPr>
        <w:t>.</w:t>
      </w:r>
    </w:p>
    <w:p w:rsidR="005618DE" w:rsidRPr="00167272" w:rsidRDefault="005618DE" w:rsidP="00561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272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в январе-марте 2017 года в рамках проводимой социально-ориентированной государственной политики в </w:t>
      </w:r>
      <w:r w:rsidRPr="00167272">
        <w:rPr>
          <w:rFonts w:ascii="Times New Roman" w:hAnsi="Times New Roman"/>
          <w:sz w:val="24"/>
          <w:szCs w:val="24"/>
        </w:rPr>
        <w:t>сфере естественных монополий</w:t>
      </w:r>
      <w:r>
        <w:rPr>
          <w:rFonts w:ascii="Times New Roman" w:hAnsi="Times New Roman"/>
          <w:sz w:val="24"/>
          <w:szCs w:val="24"/>
        </w:rPr>
        <w:t xml:space="preserve">, в совокупности с </w:t>
      </w:r>
      <w:r w:rsidRPr="00167272">
        <w:rPr>
          <w:rFonts w:ascii="Times New Roman" w:hAnsi="Times New Roman"/>
          <w:sz w:val="24"/>
          <w:szCs w:val="24"/>
        </w:rPr>
        <w:t>антиинфляционны</w:t>
      </w:r>
      <w:r>
        <w:rPr>
          <w:rFonts w:ascii="Times New Roman" w:hAnsi="Times New Roman"/>
          <w:sz w:val="24"/>
          <w:szCs w:val="24"/>
        </w:rPr>
        <w:t>ми</w:t>
      </w:r>
      <w:r w:rsidRPr="00167272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 xml:space="preserve">ами по </w:t>
      </w:r>
      <w:r w:rsidRPr="00167272">
        <w:rPr>
          <w:rFonts w:ascii="Times New Roman" w:hAnsi="Times New Roman"/>
          <w:sz w:val="24"/>
          <w:szCs w:val="24"/>
        </w:rPr>
        <w:t>оптимизации таможенной политики</w:t>
      </w:r>
      <w:r w:rsidRPr="003A6DC5">
        <w:rPr>
          <w:rFonts w:ascii="Times New Roman" w:hAnsi="Times New Roman"/>
          <w:sz w:val="24"/>
          <w:szCs w:val="24"/>
        </w:rPr>
        <w:t xml:space="preserve"> </w:t>
      </w:r>
      <w:r w:rsidRPr="00167272">
        <w:rPr>
          <w:rFonts w:ascii="Times New Roman" w:hAnsi="Times New Roman"/>
          <w:sz w:val="24"/>
          <w:szCs w:val="24"/>
        </w:rPr>
        <w:t>отмечается ослабление инфляционного давления на внутреннем потребительском рынке.</w:t>
      </w:r>
    </w:p>
    <w:p w:rsidR="004E05CC" w:rsidRPr="00356EB9" w:rsidRDefault="005618DE" w:rsidP="005618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272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167272">
        <w:rPr>
          <w:rFonts w:ascii="Times New Roman" w:hAnsi="Times New Roman"/>
          <w:i/>
          <w:sz w:val="24"/>
          <w:szCs w:val="24"/>
        </w:rPr>
        <w:t xml:space="preserve">: </w:t>
      </w:r>
      <w:r w:rsidRPr="00167272">
        <w:rPr>
          <w:rFonts w:ascii="Times New Roman" w:hAnsi="Times New Roman"/>
          <w:sz w:val="24"/>
          <w:szCs w:val="24"/>
        </w:rPr>
        <w:t>Сводный индекс потребительских цен (инфляция) в январе-марте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67272">
        <w:rPr>
          <w:rFonts w:ascii="Times New Roman" w:hAnsi="Times New Roman"/>
          <w:sz w:val="24"/>
          <w:szCs w:val="24"/>
        </w:rPr>
        <w:t>2017 года в Приднестровской Молдавской Республике составил 99,7%, в Республике Молдова составил 102,8%, в Украине – 103,9%, в Российской Федерации – 100,9%,                          в Республике Беларусь – 101,7%, в Казахстане – 102,3%.</w:t>
      </w:r>
    </w:p>
    <w:sectPr w:rsidR="004E05CC" w:rsidRPr="00356EB9" w:rsidSect="00A0469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EC"/>
    <w:rsid w:val="00001C29"/>
    <w:rsid w:val="00003746"/>
    <w:rsid w:val="00017592"/>
    <w:rsid w:val="00020133"/>
    <w:rsid w:val="000219A4"/>
    <w:rsid w:val="0002279E"/>
    <w:rsid w:val="000305E9"/>
    <w:rsid w:val="0003062F"/>
    <w:rsid w:val="00037B3D"/>
    <w:rsid w:val="000405C5"/>
    <w:rsid w:val="00042239"/>
    <w:rsid w:val="00044C6D"/>
    <w:rsid w:val="00046024"/>
    <w:rsid w:val="00047577"/>
    <w:rsid w:val="00056431"/>
    <w:rsid w:val="00061793"/>
    <w:rsid w:val="00063B8E"/>
    <w:rsid w:val="00064B31"/>
    <w:rsid w:val="00076BB3"/>
    <w:rsid w:val="00081C5E"/>
    <w:rsid w:val="00081D04"/>
    <w:rsid w:val="000846D9"/>
    <w:rsid w:val="000909D1"/>
    <w:rsid w:val="00090B6F"/>
    <w:rsid w:val="000961CF"/>
    <w:rsid w:val="000A384B"/>
    <w:rsid w:val="000A4735"/>
    <w:rsid w:val="000B437C"/>
    <w:rsid w:val="000B5425"/>
    <w:rsid w:val="000B6B6F"/>
    <w:rsid w:val="000C3CCD"/>
    <w:rsid w:val="000D23C3"/>
    <w:rsid w:val="000D3CC2"/>
    <w:rsid w:val="000D6602"/>
    <w:rsid w:val="000E09F9"/>
    <w:rsid w:val="000E280E"/>
    <w:rsid w:val="000F2186"/>
    <w:rsid w:val="000F26E5"/>
    <w:rsid w:val="000F7B84"/>
    <w:rsid w:val="001020FF"/>
    <w:rsid w:val="001041A7"/>
    <w:rsid w:val="00105A28"/>
    <w:rsid w:val="0011037F"/>
    <w:rsid w:val="00113CF6"/>
    <w:rsid w:val="00113DEF"/>
    <w:rsid w:val="00113E30"/>
    <w:rsid w:val="00114233"/>
    <w:rsid w:val="0011547A"/>
    <w:rsid w:val="0011718F"/>
    <w:rsid w:val="001368DD"/>
    <w:rsid w:val="001440EC"/>
    <w:rsid w:val="00151AEC"/>
    <w:rsid w:val="00155790"/>
    <w:rsid w:val="00160485"/>
    <w:rsid w:val="00160924"/>
    <w:rsid w:val="00167BAE"/>
    <w:rsid w:val="00174AAB"/>
    <w:rsid w:val="001771B8"/>
    <w:rsid w:val="00180E5D"/>
    <w:rsid w:val="00184255"/>
    <w:rsid w:val="00185AE9"/>
    <w:rsid w:val="0019048F"/>
    <w:rsid w:val="001927F2"/>
    <w:rsid w:val="00196DA0"/>
    <w:rsid w:val="00196FC1"/>
    <w:rsid w:val="001A0094"/>
    <w:rsid w:val="001A3F74"/>
    <w:rsid w:val="001B0022"/>
    <w:rsid w:val="001B3B72"/>
    <w:rsid w:val="001B6369"/>
    <w:rsid w:val="001C7C2C"/>
    <w:rsid w:val="001D1EFC"/>
    <w:rsid w:val="001D4CEE"/>
    <w:rsid w:val="001D4F01"/>
    <w:rsid w:val="001E0A18"/>
    <w:rsid w:val="001E2784"/>
    <w:rsid w:val="001E499A"/>
    <w:rsid w:val="001F1600"/>
    <w:rsid w:val="001F247C"/>
    <w:rsid w:val="001F6A87"/>
    <w:rsid w:val="001F6FD6"/>
    <w:rsid w:val="002028CE"/>
    <w:rsid w:val="00202E11"/>
    <w:rsid w:val="00211A7D"/>
    <w:rsid w:val="00214413"/>
    <w:rsid w:val="0021585C"/>
    <w:rsid w:val="002164E9"/>
    <w:rsid w:val="00217234"/>
    <w:rsid w:val="00220412"/>
    <w:rsid w:val="00222343"/>
    <w:rsid w:val="00222865"/>
    <w:rsid w:val="00226161"/>
    <w:rsid w:val="00226A88"/>
    <w:rsid w:val="00230453"/>
    <w:rsid w:val="00230981"/>
    <w:rsid w:val="002310E0"/>
    <w:rsid w:val="002377E0"/>
    <w:rsid w:val="00252564"/>
    <w:rsid w:val="00253D67"/>
    <w:rsid w:val="00254733"/>
    <w:rsid w:val="00260B7A"/>
    <w:rsid w:val="00263D1A"/>
    <w:rsid w:val="00265D9B"/>
    <w:rsid w:val="00277AC6"/>
    <w:rsid w:val="00282ABE"/>
    <w:rsid w:val="002912A1"/>
    <w:rsid w:val="00294D54"/>
    <w:rsid w:val="002A2B79"/>
    <w:rsid w:val="002B64F4"/>
    <w:rsid w:val="002C09E0"/>
    <w:rsid w:val="002C260E"/>
    <w:rsid w:val="002C460A"/>
    <w:rsid w:val="002C5ED5"/>
    <w:rsid w:val="002D296E"/>
    <w:rsid w:val="002D6C59"/>
    <w:rsid w:val="002E6176"/>
    <w:rsid w:val="002F1C11"/>
    <w:rsid w:val="00301D42"/>
    <w:rsid w:val="00302FAD"/>
    <w:rsid w:val="00311447"/>
    <w:rsid w:val="0031204F"/>
    <w:rsid w:val="00313C47"/>
    <w:rsid w:val="0032340B"/>
    <w:rsid w:val="00330458"/>
    <w:rsid w:val="00332C26"/>
    <w:rsid w:val="0033315E"/>
    <w:rsid w:val="003341A3"/>
    <w:rsid w:val="00340151"/>
    <w:rsid w:val="00341FC0"/>
    <w:rsid w:val="00343FF7"/>
    <w:rsid w:val="00344D8A"/>
    <w:rsid w:val="00345F6B"/>
    <w:rsid w:val="003501DF"/>
    <w:rsid w:val="00352E74"/>
    <w:rsid w:val="0035315D"/>
    <w:rsid w:val="00356EB9"/>
    <w:rsid w:val="003621AA"/>
    <w:rsid w:val="0036301F"/>
    <w:rsid w:val="0036563E"/>
    <w:rsid w:val="00365C54"/>
    <w:rsid w:val="003725B8"/>
    <w:rsid w:val="0037290E"/>
    <w:rsid w:val="003775CD"/>
    <w:rsid w:val="003801E5"/>
    <w:rsid w:val="00382A15"/>
    <w:rsid w:val="00386392"/>
    <w:rsid w:val="0038795A"/>
    <w:rsid w:val="00387F84"/>
    <w:rsid w:val="00391389"/>
    <w:rsid w:val="00394E6B"/>
    <w:rsid w:val="00395172"/>
    <w:rsid w:val="0039687B"/>
    <w:rsid w:val="003A3A1C"/>
    <w:rsid w:val="003A45F9"/>
    <w:rsid w:val="003A7AEB"/>
    <w:rsid w:val="003B1336"/>
    <w:rsid w:val="003B26CC"/>
    <w:rsid w:val="003B440E"/>
    <w:rsid w:val="003B638E"/>
    <w:rsid w:val="003B657A"/>
    <w:rsid w:val="003B7054"/>
    <w:rsid w:val="003B73D3"/>
    <w:rsid w:val="003C1AB0"/>
    <w:rsid w:val="003C1EB9"/>
    <w:rsid w:val="003C4D23"/>
    <w:rsid w:val="003D1646"/>
    <w:rsid w:val="003D7D52"/>
    <w:rsid w:val="003E14D7"/>
    <w:rsid w:val="003E4141"/>
    <w:rsid w:val="003E51B2"/>
    <w:rsid w:val="003E5C7A"/>
    <w:rsid w:val="003F1DBB"/>
    <w:rsid w:val="003F71A2"/>
    <w:rsid w:val="004007C8"/>
    <w:rsid w:val="004023E9"/>
    <w:rsid w:val="00402E72"/>
    <w:rsid w:val="00405A24"/>
    <w:rsid w:val="0040745A"/>
    <w:rsid w:val="00414B3A"/>
    <w:rsid w:val="004161DC"/>
    <w:rsid w:val="00416A2B"/>
    <w:rsid w:val="00420994"/>
    <w:rsid w:val="00422BEF"/>
    <w:rsid w:val="00425BD1"/>
    <w:rsid w:val="004261B5"/>
    <w:rsid w:val="00426D9F"/>
    <w:rsid w:val="00433103"/>
    <w:rsid w:val="004405CC"/>
    <w:rsid w:val="004414F4"/>
    <w:rsid w:val="004616D9"/>
    <w:rsid w:val="00463945"/>
    <w:rsid w:val="004647C4"/>
    <w:rsid w:val="00464996"/>
    <w:rsid w:val="004674C5"/>
    <w:rsid w:val="00470742"/>
    <w:rsid w:val="004767EF"/>
    <w:rsid w:val="004769DC"/>
    <w:rsid w:val="00476D0B"/>
    <w:rsid w:val="004827FE"/>
    <w:rsid w:val="00483DF6"/>
    <w:rsid w:val="00490F9C"/>
    <w:rsid w:val="00491608"/>
    <w:rsid w:val="004924D1"/>
    <w:rsid w:val="00492AA2"/>
    <w:rsid w:val="00493F52"/>
    <w:rsid w:val="00495EB6"/>
    <w:rsid w:val="00496024"/>
    <w:rsid w:val="004A0E79"/>
    <w:rsid w:val="004A1B66"/>
    <w:rsid w:val="004A3C58"/>
    <w:rsid w:val="004A49DC"/>
    <w:rsid w:val="004A5D65"/>
    <w:rsid w:val="004B1F57"/>
    <w:rsid w:val="004B22DD"/>
    <w:rsid w:val="004B2C21"/>
    <w:rsid w:val="004B4A53"/>
    <w:rsid w:val="004B54C2"/>
    <w:rsid w:val="004B5CD4"/>
    <w:rsid w:val="004D5523"/>
    <w:rsid w:val="004E05CC"/>
    <w:rsid w:val="004F0C35"/>
    <w:rsid w:val="004F3F9B"/>
    <w:rsid w:val="004F7E99"/>
    <w:rsid w:val="00507776"/>
    <w:rsid w:val="005114AC"/>
    <w:rsid w:val="00513C0D"/>
    <w:rsid w:val="00513E00"/>
    <w:rsid w:val="0051619B"/>
    <w:rsid w:val="005166E3"/>
    <w:rsid w:val="0051689D"/>
    <w:rsid w:val="0051770E"/>
    <w:rsid w:val="00520BA6"/>
    <w:rsid w:val="00527C9D"/>
    <w:rsid w:val="0053006C"/>
    <w:rsid w:val="00530559"/>
    <w:rsid w:val="00530F38"/>
    <w:rsid w:val="00531827"/>
    <w:rsid w:val="0053494D"/>
    <w:rsid w:val="00536DF2"/>
    <w:rsid w:val="005400AA"/>
    <w:rsid w:val="0054024A"/>
    <w:rsid w:val="00540C2F"/>
    <w:rsid w:val="00542C6E"/>
    <w:rsid w:val="00543DD7"/>
    <w:rsid w:val="0054698C"/>
    <w:rsid w:val="00552B19"/>
    <w:rsid w:val="0055615F"/>
    <w:rsid w:val="00556168"/>
    <w:rsid w:val="005618DE"/>
    <w:rsid w:val="005625CF"/>
    <w:rsid w:val="0056267F"/>
    <w:rsid w:val="00563846"/>
    <w:rsid w:val="00566734"/>
    <w:rsid w:val="005679DD"/>
    <w:rsid w:val="00570D1A"/>
    <w:rsid w:val="005712FA"/>
    <w:rsid w:val="00574A6F"/>
    <w:rsid w:val="0057637B"/>
    <w:rsid w:val="005816E1"/>
    <w:rsid w:val="005846BF"/>
    <w:rsid w:val="005868DE"/>
    <w:rsid w:val="005935BB"/>
    <w:rsid w:val="00594CFC"/>
    <w:rsid w:val="00595C20"/>
    <w:rsid w:val="005A0F36"/>
    <w:rsid w:val="005A6CE5"/>
    <w:rsid w:val="005A70DA"/>
    <w:rsid w:val="005B15FA"/>
    <w:rsid w:val="005B3C55"/>
    <w:rsid w:val="005B6116"/>
    <w:rsid w:val="005C2454"/>
    <w:rsid w:val="005C4664"/>
    <w:rsid w:val="005C6058"/>
    <w:rsid w:val="005E4946"/>
    <w:rsid w:val="005F204F"/>
    <w:rsid w:val="005F4659"/>
    <w:rsid w:val="005F592A"/>
    <w:rsid w:val="006110BB"/>
    <w:rsid w:val="00611366"/>
    <w:rsid w:val="006119B5"/>
    <w:rsid w:val="00612D8A"/>
    <w:rsid w:val="00617794"/>
    <w:rsid w:val="006249B6"/>
    <w:rsid w:val="00633CD1"/>
    <w:rsid w:val="006422D2"/>
    <w:rsid w:val="00650098"/>
    <w:rsid w:val="00650967"/>
    <w:rsid w:val="0065102A"/>
    <w:rsid w:val="006512C3"/>
    <w:rsid w:val="00652C27"/>
    <w:rsid w:val="0066346E"/>
    <w:rsid w:val="00665124"/>
    <w:rsid w:val="00672D5B"/>
    <w:rsid w:val="006769F4"/>
    <w:rsid w:val="00676F42"/>
    <w:rsid w:val="0067709A"/>
    <w:rsid w:val="00680AD6"/>
    <w:rsid w:val="00683733"/>
    <w:rsid w:val="0069027B"/>
    <w:rsid w:val="00690EE9"/>
    <w:rsid w:val="006A1595"/>
    <w:rsid w:val="006B0D44"/>
    <w:rsid w:val="006B2DA7"/>
    <w:rsid w:val="006B31F8"/>
    <w:rsid w:val="006B57CA"/>
    <w:rsid w:val="006B60B9"/>
    <w:rsid w:val="006C2B82"/>
    <w:rsid w:val="006C75AC"/>
    <w:rsid w:val="006D15B4"/>
    <w:rsid w:val="006D15C4"/>
    <w:rsid w:val="006D45FF"/>
    <w:rsid w:val="006D4D54"/>
    <w:rsid w:val="006D5E41"/>
    <w:rsid w:val="006D6433"/>
    <w:rsid w:val="006E4F3B"/>
    <w:rsid w:val="006E51AF"/>
    <w:rsid w:val="006E6475"/>
    <w:rsid w:val="006F0E69"/>
    <w:rsid w:val="006F10C2"/>
    <w:rsid w:val="006F40CA"/>
    <w:rsid w:val="006F4A01"/>
    <w:rsid w:val="006F4E82"/>
    <w:rsid w:val="006F5A14"/>
    <w:rsid w:val="006F624C"/>
    <w:rsid w:val="00701BFA"/>
    <w:rsid w:val="007044FC"/>
    <w:rsid w:val="007075A0"/>
    <w:rsid w:val="00712DF1"/>
    <w:rsid w:val="00720DE3"/>
    <w:rsid w:val="00724B62"/>
    <w:rsid w:val="007278EA"/>
    <w:rsid w:val="0073158C"/>
    <w:rsid w:val="0073222B"/>
    <w:rsid w:val="0074094E"/>
    <w:rsid w:val="007413D3"/>
    <w:rsid w:val="00743D22"/>
    <w:rsid w:val="0075034F"/>
    <w:rsid w:val="0075038C"/>
    <w:rsid w:val="00750798"/>
    <w:rsid w:val="007540ED"/>
    <w:rsid w:val="0075450C"/>
    <w:rsid w:val="007610CA"/>
    <w:rsid w:val="00767E71"/>
    <w:rsid w:val="007708BE"/>
    <w:rsid w:val="00770AE3"/>
    <w:rsid w:val="007718D3"/>
    <w:rsid w:val="00772F3A"/>
    <w:rsid w:val="00791022"/>
    <w:rsid w:val="00792938"/>
    <w:rsid w:val="007A3CFD"/>
    <w:rsid w:val="007A5017"/>
    <w:rsid w:val="007A59FD"/>
    <w:rsid w:val="007A6DDF"/>
    <w:rsid w:val="007A70F7"/>
    <w:rsid w:val="007B1C68"/>
    <w:rsid w:val="007B4DB3"/>
    <w:rsid w:val="007C2396"/>
    <w:rsid w:val="007C58F9"/>
    <w:rsid w:val="007D4E39"/>
    <w:rsid w:val="007D6ED3"/>
    <w:rsid w:val="007E3331"/>
    <w:rsid w:val="007E4805"/>
    <w:rsid w:val="007E48CA"/>
    <w:rsid w:val="007E6E2C"/>
    <w:rsid w:val="007F6E9D"/>
    <w:rsid w:val="008006DF"/>
    <w:rsid w:val="00805EA8"/>
    <w:rsid w:val="008065C1"/>
    <w:rsid w:val="00813052"/>
    <w:rsid w:val="00813DE2"/>
    <w:rsid w:val="0081400F"/>
    <w:rsid w:val="00821220"/>
    <w:rsid w:val="00824AC7"/>
    <w:rsid w:val="00830013"/>
    <w:rsid w:val="008309DB"/>
    <w:rsid w:val="00850B75"/>
    <w:rsid w:val="00855038"/>
    <w:rsid w:val="008576D0"/>
    <w:rsid w:val="00875091"/>
    <w:rsid w:val="008767CF"/>
    <w:rsid w:val="008770F3"/>
    <w:rsid w:val="00880E02"/>
    <w:rsid w:val="00881EDE"/>
    <w:rsid w:val="00882179"/>
    <w:rsid w:val="00883D88"/>
    <w:rsid w:val="0088773B"/>
    <w:rsid w:val="0089178D"/>
    <w:rsid w:val="00891FE2"/>
    <w:rsid w:val="00895782"/>
    <w:rsid w:val="008A2664"/>
    <w:rsid w:val="008A501A"/>
    <w:rsid w:val="008B04C2"/>
    <w:rsid w:val="008B352D"/>
    <w:rsid w:val="008B4760"/>
    <w:rsid w:val="008B5D2D"/>
    <w:rsid w:val="008B71A5"/>
    <w:rsid w:val="008B7DDB"/>
    <w:rsid w:val="008C0939"/>
    <w:rsid w:val="008C6345"/>
    <w:rsid w:val="008D7C6A"/>
    <w:rsid w:val="008E2496"/>
    <w:rsid w:val="008E2FBC"/>
    <w:rsid w:val="008E3229"/>
    <w:rsid w:val="008E7938"/>
    <w:rsid w:val="008F14C7"/>
    <w:rsid w:val="008F420C"/>
    <w:rsid w:val="008F75CA"/>
    <w:rsid w:val="0090409C"/>
    <w:rsid w:val="00904644"/>
    <w:rsid w:val="009129F9"/>
    <w:rsid w:val="00914E37"/>
    <w:rsid w:val="009248E8"/>
    <w:rsid w:val="00930AFC"/>
    <w:rsid w:val="00931B7A"/>
    <w:rsid w:val="00932F18"/>
    <w:rsid w:val="009350CF"/>
    <w:rsid w:val="00945FAF"/>
    <w:rsid w:val="00946D12"/>
    <w:rsid w:val="00950176"/>
    <w:rsid w:val="0095035B"/>
    <w:rsid w:val="00950728"/>
    <w:rsid w:val="00951371"/>
    <w:rsid w:val="0095457B"/>
    <w:rsid w:val="009642C5"/>
    <w:rsid w:val="00965827"/>
    <w:rsid w:val="009659C0"/>
    <w:rsid w:val="00965F28"/>
    <w:rsid w:val="00966CAD"/>
    <w:rsid w:val="00971138"/>
    <w:rsid w:val="009722ED"/>
    <w:rsid w:val="00973B8B"/>
    <w:rsid w:val="009745C5"/>
    <w:rsid w:val="00975C18"/>
    <w:rsid w:val="00976210"/>
    <w:rsid w:val="00982E7D"/>
    <w:rsid w:val="0098383C"/>
    <w:rsid w:val="00983EF3"/>
    <w:rsid w:val="009842F7"/>
    <w:rsid w:val="00984747"/>
    <w:rsid w:val="00984D43"/>
    <w:rsid w:val="0098743A"/>
    <w:rsid w:val="00991840"/>
    <w:rsid w:val="00991D87"/>
    <w:rsid w:val="009935F9"/>
    <w:rsid w:val="00995C97"/>
    <w:rsid w:val="00997A37"/>
    <w:rsid w:val="009A4289"/>
    <w:rsid w:val="009A6344"/>
    <w:rsid w:val="009B00EF"/>
    <w:rsid w:val="009C306B"/>
    <w:rsid w:val="009C5460"/>
    <w:rsid w:val="009D69B2"/>
    <w:rsid w:val="009E410B"/>
    <w:rsid w:val="009E64E1"/>
    <w:rsid w:val="009F0330"/>
    <w:rsid w:val="009F2901"/>
    <w:rsid w:val="009F3899"/>
    <w:rsid w:val="009F47F9"/>
    <w:rsid w:val="009F4DA0"/>
    <w:rsid w:val="009F519D"/>
    <w:rsid w:val="009F5988"/>
    <w:rsid w:val="009F64DA"/>
    <w:rsid w:val="009F7867"/>
    <w:rsid w:val="009F7C3B"/>
    <w:rsid w:val="00A02CFE"/>
    <w:rsid w:val="00A04699"/>
    <w:rsid w:val="00A06EF2"/>
    <w:rsid w:val="00A1027A"/>
    <w:rsid w:val="00A115BA"/>
    <w:rsid w:val="00A11669"/>
    <w:rsid w:val="00A11D13"/>
    <w:rsid w:val="00A175E8"/>
    <w:rsid w:val="00A24491"/>
    <w:rsid w:val="00A30D3D"/>
    <w:rsid w:val="00A32D66"/>
    <w:rsid w:val="00A3354E"/>
    <w:rsid w:val="00A36670"/>
    <w:rsid w:val="00A42CC4"/>
    <w:rsid w:val="00A46D37"/>
    <w:rsid w:val="00A52E23"/>
    <w:rsid w:val="00A60A8D"/>
    <w:rsid w:val="00A626A3"/>
    <w:rsid w:val="00A63C19"/>
    <w:rsid w:val="00A6558C"/>
    <w:rsid w:val="00A66695"/>
    <w:rsid w:val="00A700B7"/>
    <w:rsid w:val="00A7173D"/>
    <w:rsid w:val="00A7366B"/>
    <w:rsid w:val="00A76A04"/>
    <w:rsid w:val="00A76FCB"/>
    <w:rsid w:val="00A81BFA"/>
    <w:rsid w:val="00A831AD"/>
    <w:rsid w:val="00A83585"/>
    <w:rsid w:val="00A835C5"/>
    <w:rsid w:val="00A86B25"/>
    <w:rsid w:val="00A87EB2"/>
    <w:rsid w:val="00A90777"/>
    <w:rsid w:val="00A927E5"/>
    <w:rsid w:val="00A95E15"/>
    <w:rsid w:val="00A973A6"/>
    <w:rsid w:val="00AB066E"/>
    <w:rsid w:val="00AB0CCE"/>
    <w:rsid w:val="00AB26E2"/>
    <w:rsid w:val="00AC1BD7"/>
    <w:rsid w:val="00AC5F52"/>
    <w:rsid w:val="00AC71C1"/>
    <w:rsid w:val="00AD0632"/>
    <w:rsid w:val="00AD446B"/>
    <w:rsid w:val="00AE6915"/>
    <w:rsid w:val="00AE6C27"/>
    <w:rsid w:val="00AE772B"/>
    <w:rsid w:val="00AE7DC7"/>
    <w:rsid w:val="00AF09A4"/>
    <w:rsid w:val="00AF2ACC"/>
    <w:rsid w:val="00B0304D"/>
    <w:rsid w:val="00B16874"/>
    <w:rsid w:val="00B24E0E"/>
    <w:rsid w:val="00B30953"/>
    <w:rsid w:val="00B32A9A"/>
    <w:rsid w:val="00B3408A"/>
    <w:rsid w:val="00B453C6"/>
    <w:rsid w:val="00B56A25"/>
    <w:rsid w:val="00B5741A"/>
    <w:rsid w:val="00B6607C"/>
    <w:rsid w:val="00B77AE1"/>
    <w:rsid w:val="00B77D40"/>
    <w:rsid w:val="00B83348"/>
    <w:rsid w:val="00B84FFA"/>
    <w:rsid w:val="00B92595"/>
    <w:rsid w:val="00B92921"/>
    <w:rsid w:val="00BA5253"/>
    <w:rsid w:val="00BA7046"/>
    <w:rsid w:val="00BB015C"/>
    <w:rsid w:val="00BB77E4"/>
    <w:rsid w:val="00BC0A2E"/>
    <w:rsid w:val="00BC2256"/>
    <w:rsid w:val="00BC7CB9"/>
    <w:rsid w:val="00BD079B"/>
    <w:rsid w:val="00BD163C"/>
    <w:rsid w:val="00BD28DE"/>
    <w:rsid w:val="00BD6BCB"/>
    <w:rsid w:val="00BE00D1"/>
    <w:rsid w:val="00BE295F"/>
    <w:rsid w:val="00BE6CB2"/>
    <w:rsid w:val="00BE7610"/>
    <w:rsid w:val="00BE7A01"/>
    <w:rsid w:val="00BF0F55"/>
    <w:rsid w:val="00BF28FE"/>
    <w:rsid w:val="00BF389A"/>
    <w:rsid w:val="00BF62F2"/>
    <w:rsid w:val="00C0172E"/>
    <w:rsid w:val="00C02823"/>
    <w:rsid w:val="00C03DCE"/>
    <w:rsid w:val="00C05B5D"/>
    <w:rsid w:val="00C077EF"/>
    <w:rsid w:val="00C101F5"/>
    <w:rsid w:val="00C1644B"/>
    <w:rsid w:val="00C217CA"/>
    <w:rsid w:val="00C228AA"/>
    <w:rsid w:val="00C2300D"/>
    <w:rsid w:val="00C27D34"/>
    <w:rsid w:val="00C36066"/>
    <w:rsid w:val="00C377F3"/>
    <w:rsid w:val="00C37FA1"/>
    <w:rsid w:val="00C43A5E"/>
    <w:rsid w:val="00C4590F"/>
    <w:rsid w:val="00C53A3C"/>
    <w:rsid w:val="00C543BF"/>
    <w:rsid w:val="00C54703"/>
    <w:rsid w:val="00C60233"/>
    <w:rsid w:val="00C65DB2"/>
    <w:rsid w:val="00C67421"/>
    <w:rsid w:val="00C705C7"/>
    <w:rsid w:val="00C76D47"/>
    <w:rsid w:val="00C84B26"/>
    <w:rsid w:val="00C8746B"/>
    <w:rsid w:val="00C91C6D"/>
    <w:rsid w:val="00C97ABE"/>
    <w:rsid w:val="00CA0410"/>
    <w:rsid w:val="00CA07DD"/>
    <w:rsid w:val="00CA093E"/>
    <w:rsid w:val="00CA7EE4"/>
    <w:rsid w:val="00CB12C3"/>
    <w:rsid w:val="00CC03C6"/>
    <w:rsid w:val="00CC1F44"/>
    <w:rsid w:val="00CC7B4C"/>
    <w:rsid w:val="00CD2B89"/>
    <w:rsid w:val="00CD4D21"/>
    <w:rsid w:val="00CE23DF"/>
    <w:rsid w:val="00CE2D4A"/>
    <w:rsid w:val="00CE4E67"/>
    <w:rsid w:val="00CF0EFB"/>
    <w:rsid w:val="00CF1D2F"/>
    <w:rsid w:val="00CF27EC"/>
    <w:rsid w:val="00CF5245"/>
    <w:rsid w:val="00D01EAB"/>
    <w:rsid w:val="00D03052"/>
    <w:rsid w:val="00D048CF"/>
    <w:rsid w:val="00D13E0D"/>
    <w:rsid w:val="00D15964"/>
    <w:rsid w:val="00D16922"/>
    <w:rsid w:val="00D209A6"/>
    <w:rsid w:val="00D24540"/>
    <w:rsid w:val="00D31FBF"/>
    <w:rsid w:val="00D32C7C"/>
    <w:rsid w:val="00D358C9"/>
    <w:rsid w:val="00D36077"/>
    <w:rsid w:val="00D444AF"/>
    <w:rsid w:val="00D45D49"/>
    <w:rsid w:val="00D622C4"/>
    <w:rsid w:val="00D627C9"/>
    <w:rsid w:val="00D728C6"/>
    <w:rsid w:val="00D7422C"/>
    <w:rsid w:val="00D84ADA"/>
    <w:rsid w:val="00DA5A3F"/>
    <w:rsid w:val="00DB25E5"/>
    <w:rsid w:val="00DB3A99"/>
    <w:rsid w:val="00DB4004"/>
    <w:rsid w:val="00DB5C4F"/>
    <w:rsid w:val="00DC2C70"/>
    <w:rsid w:val="00DC415F"/>
    <w:rsid w:val="00DC48F5"/>
    <w:rsid w:val="00DC75A7"/>
    <w:rsid w:val="00DD6758"/>
    <w:rsid w:val="00DD68B6"/>
    <w:rsid w:val="00DE009C"/>
    <w:rsid w:val="00DE06A9"/>
    <w:rsid w:val="00DE0A62"/>
    <w:rsid w:val="00DE18FC"/>
    <w:rsid w:val="00DE6440"/>
    <w:rsid w:val="00DF02B5"/>
    <w:rsid w:val="00DF0CBE"/>
    <w:rsid w:val="00DF25DA"/>
    <w:rsid w:val="00DF6CED"/>
    <w:rsid w:val="00E05386"/>
    <w:rsid w:val="00E05799"/>
    <w:rsid w:val="00E115D2"/>
    <w:rsid w:val="00E136AE"/>
    <w:rsid w:val="00E25320"/>
    <w:rsid w:val="00E307D3"/>
    <w:rsid w:val="00E3119E"/>
    <w:rsid w:val="00E31DD6"/>
    <w:rsid w:val="00E40771"/>
    <w:rsid w:val="00E458E9"/>
    <w:rsid w:val="00E4653D"/>
    <w:rsid w:val="00E51184"/>
    <w:rsid w:val="00E56137"/>
    <w:rsid w:val="00E6295D"/>
    <w:rsid w:val="00E64CD7"/>
    <w:rsid w:val="00E657AE"/>
    <w:rsid w:val="00E832AF"/>
    <w:rsid w:val="00E8569A"/>
    <w:rsid w:val="00E872E9"/>
    <w:rsid w:val="00E95312"/>
    <w:rsid w:val="00E978EB"/>
    <w:rsid w:val="00EA13AD"/>
    <w:rsid w:val="00EA4570"/>
    <w:rsid w:val="00EA613D"/>
    <w:rsid w:val="00EA627D"/>
    <w:rsid w:val="00EB3345"/>
    <w:rsid w:val="00EB3CC9"/>
    <w:rsid w:val="00EB5E8F"/>
    <w:rsid w:val="00EC1CAC"/>
    <w:rsid w:val="00EC2D57"/>
    <w:rsid w:val="00ED5783"/>
    <w:rsid w:val="00ED6BFB"/>
    <w:rsid w:val="00EE2728"/>
    <w:rsid w:val="00EE390B"/>
    <w:rsid w:val="00EE418E"/>
    <w:rsid w:val="00EF3887"/>
    <w:rsid w:val="00EF3E09"/>
    <w:rsid w:val="00EF68B0"/>
    <w:rsid w:val="00F0235E"/>
    <w:rsid w:val="00F157DB"/>
    <w:rsid w:val="00F16D55"/>
    <w:rsid w:val="00F27186"/>
    <w:rsid w:val="00F30328"/>
    <w:rsid w:val="00F31398"/>
    <w:rsid w:val="00F32A70"/>
    <w:rsid w:val="00F34817"/>
    <w:rsid w:val="00F36DEC"/>
    <w:rsid w:val="00F41560"/>
    <w:rsid w:val="00F41D1B"/>
    <w:rsid w:val="00F43B2A"/>
    <w:rsid w:val="00F47EFD"/>
    <w:rsid w:val="00F53E2B"/>
    <w:rsid w:val="00F569AB"/>
    <w:rsid w:val="00F6217A"/>
    <w:rsid w:val="00F65B1D"/>
    <w:rsid w:val="00F679CF"/>
    <w:rsid w:val="00F711F6"/>
    <w:rsid w:val="00F744BF"/>
    <w:rsid w:val="00F7536D"/>
    <w:rsid w:val="00F76F90"/>
    <w:rsid w:val="00F813AD"/>
    <w:rsid w:val="00F85787"/>
    <w:rsid w:val="00F86214"/>
    <w:rsid w:val="00F879E2"/>
    <w:rsid w:val="00F87A29"/>
    <w:rsid w:val="00F92572"/>
    <w:rsid w:val="00F9390A"/>
    <w:rsid w:val="00F93B94"/>
    <w:rsid w:val="00F95279"/>
    <w:rsid w:val="00F97BBC"/>
    <w:rsid w:val="00F97E64"/>
    <w:rsid w:val="00FA0626"/>
    <w:rsid w:val="00FA0FEA"/>
    <w:rsid w:val="00FA4692"/>
    <w:rsid w:val="00FA5218"/>
    <w:rsid w:val="00FA66BF"/>
    <w:rsid w:val="00FA707C"/>
    <w:rsid w:val="00FC20F8"/>
    <w:rsid w:val="00FC27C1"/>
    <w:rsid w:val="00FC4564"/>
    <w:rsid w:val="00FD20BF"/>
    <w:rsid w:val="00FD39B1"/>
    <w:rsid w:val="00FD5BBF"/>
    <w:rsid w:val="00FE0946"/>
    <w:rsid w:val="00FE1F8F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95D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aliases w:val="Обычный (веб)1,Обычный (веб) Знак,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"/>
    <w:uiPriority w:val="99"/>
    <w:rsid w:val="00F3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F36DEC"/>
    <w:rPr>
      <w:rFonts w:ascii="Times New Roman" w:hAnsi="Times New Roman"/>
      <w:sz w:val="24"/>
      <w:szCs w:val="22"/>
      <w:lang w:val="ru-RU" w:eastAsia="ru-RU" w:bidi="ar-SA"/>
    </w:rPr>
  </w:style>
  <w:style w:type="paragraph" w:styleId="a5">
    <w:name w:val="No Spacing"/>
    <w:link w:val="a4"/>
    <w:uiPriority w:val="99"/>
    <w:qFormat/>
    <w:rsid w:val="00F36DEC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a6">
    <w:name w:val="Balloon Text"/>
    <w:basedOn w:val="a"/>
    <w:link w:val="a7"/>
    <w:uiPriority w:val="99"/>
    <w:semiHidden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6F0E6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6F0E69"/>
    <w:rPr>
      <w:rFonts w:ascii="Times New Roman" w:hAnsi="Times New Roman" w:cs="Times New Roman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uiPriority w:val="99"/>
    <w:rsid w:val="006F0E69"/>
    <w:rPr>
      <w:rFonts w:ascii="Sylfaen" w:hAnsi="Sylfaen" w:cs="Sylfaen"/>
      <w:sz w:val="20"/>
      <w:szCs w:val="20"/>
    </w:rPr>
  </w:style>
  <w:style w:type="paragraph" w:styleId="ab">
    <w:name w:val="List Paragraph"/>
    <w:basedOn w:val="a"/>
    <w:uiPriority w:val="99"/>
    <w:qFormat/>
    <w:rsid w:val="00984D43"/>
    <w:pPr>
      <w:ind w:left="720"/>
      <w:contextualSpacing/>
    </w:pPr>
  </w:style>
  <w:style w:type="paragraph" w:customStyle="1" w:styleId="20">
    <w:name w:val="сновной текст с отступом 2"/>
    <w:basedOn w:val="a"/>
    <w:rsid w:val="00984D43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">
    <w:name w:val="Обычный (веб) Знак2"/>
    <w:aliases w:val="Обычный (веб)1 Знак,Обычный (веб) Знак Знак2,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"/>
    <w:basedOn w:val="a0"/>
    <w:link w:val="a3"/>
    <w:uiPriority w:val="99"/>
    <w:locked/>
    <w:rsid w:val="00984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4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910">
                <a:latin typeface="Times New Roman" pitchFamily="18" charset="0"/>
                <a:cs typeface="Times New Roman" pitchFamily="18" charset="0"/>
              </a:defRPr>
            </a:pPr>
            <a:r>
              <a:rPr lang="ru-RU" sz="1201"/>
              <a:t>январь-март 2017 года</a:t>
            </a:r>
          </a:p>
        </c:rich>
      </c:tx>
      <c:layout>
        <c:manualLayout>
          <c:xMode val="edge"/>
          <c:yMode val="edge"/>
          <c:x val="0.20771493257999243"/>
          <c:y val="3.4943725254682153E-3"/>
        </c:manualLayout>
      </c:layout>
      <c:spPr>
        <a:noFill/>
        <a:ln w="40429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6850951153229771"/>
          <c:w val="0.84485624411452453"/>
          <c:h val="0.827128887650106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explosion val="19"/>
          <c:dPt>
            <c:idx val="0"/>
            <c:explosion val="10"/>
            <c:spPr>
              <a:solidFill>
                <a:srgbClr val="66FF33"/>
              </a:solidFill>
            </c:spPr>
          </c:dPt>
          <c:dPt>
            <c:idx val="1"/>
            <c:explosion val="12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explosion val="9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c:spPr>
          </c:dPt>
          <c:dPt>
            <c:idx val="3"/>
            <c:explosion val="12"/>
            <c:spPr>
              <a:solidFill>
                <a:srgbClr val="FF0000"/>
              </a:solidFill>
            </c:spPr>
          </c:dPt>
          <c:dPt>
            <c:idx val="4"/>
            <c:explosion val="12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8.2814935489385663E-2"/>
                  <c:y val="-8.959098862642528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15,6%</a:t>
                    </a:r>
                    <a:endParaRPr lang="en-US" sz="900"/>
                  </a:p>
                </c:rich>
              </c:tx>
              <c:dLblPos val="bestFit"/>
            </c:dLbl>
            <c:dLbl>
              <c:idx val="1"/>
              <c:layout>
                <c:manualLayout>
                  <c:x val="-4.5650858528180085E-2"/>
                  <c:y val="7.6052704467217999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46,1%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2"/>
              <c:layout>
                <c:manualLayout>
                  <c:x val="5.0157279958325928E-3"/>
                  <c:y val="0.125010651695443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14,8%</a:t>
                    </a:r>
                    <a:endParaRPr lang="en-US" sz="9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0"/>
                  <c:y val="-9.0408766168803056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11,6%</a:t>
                    </a:r>
                    <a:endParaRPr lang="en-US" sz="9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2.2291679188956397E-2"/>
                  <c:y val="-0.1033555783105587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11,9%</a:t>
                    </a:r>
                    <a:endParaRPr lang="en-US" sz="9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0.19668057429076063"/>
                  <c:y val="-2.083786488015065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7,5%</a:t>
                    </a:r>
                    <a:endParaRPr lang="en-US" sz="900"/>
                  </a:p>
                </c:rich>
              </c:tx>
              <c:dLblPos val="bestFit"/>
            </c:dLbl>
            <c:spPr>
              <a:noFill/>
              <a:ln w="40429">
                <a:noFill/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304.39999999999969</c:v>
                </c:pt>
                <c:pt idx="1">
                  <c:v>901.1</c:v>
                </c:pt>
                <c:pt idx="2">
                  <c:v>287.89999999999969</c:v>
                </c:pt>
                <c:pt idx="3" formatCode="General">
                  <c:v>226.7</c:v>
                </c:pt>
                <c:pt idx="4">
                  <c:v>232.99999999999983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plotVisOnly val="1"/>
    <c:dispBlanksAs val="zero"/>
  </c:chart>
  <c:spPr>
    <a:ln>
      <a:noFill/>
    </a:ln>
  </c:spPr>
  <c:externalData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Товарная структура экспорта, млн. дол. США</a:t>
            </a:r>
          </a:p>
        </c:rich>
      </c:tx>
      <c:layout>
        <c:manualLayout>
          <c:xMode val="edge"/>
          <c:yMode val="edge"/>
          <c:x val="0.28697090283069543"/>
          <c:y val="0"/>
        </c:manualLayout>
      </c:layout>
    </c:title>
    <c:plotArea>
      <c:layout>
        <c:manualLayout>
          <c:layoutTarget val="inner"/>
          <c:xMode val="edge"/>
          <c:yMode val="edge"/>
          <c:x val="7.1631852470053964E-2"/>
          <c:y val="8.5041068895514285E-2"/>
          <c:w val="0.92836811128945951"/>
          <c:h val="0.3746210364481137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март 2016 г.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5400000" scaled="0"/>
              <a:tileRect r="-100000" b="-100000"/>
            </a:gradFill>
          </c:spPr>
          <c:dLbls>
            <c:dLbl>
              <c:idx val="0"/>
              <c:layout>
                <c:manualLayout>
                  <c:x val="-4.3723566812213076E-3"/>
                  <c:y val="2.9912765758649137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23,7*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6.4204877616104439E-3"/>
                  <c:y val="1.332008256249522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39,5*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8.5607276618512567E-3"/>
                  <c:y val="1.169304684372080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19,4*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900"/>
                      <a:t>9,6*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2.1401819154628948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900"/>
                      <a:t>2,0*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30.402999999999981</c:v>
                </c:pt>
                <c:pt idx="1">
                  <c:v>50.521000000000001</c:v>
                </c:pt>
                <c:pt idx="2">
                  <c:v>24.887</c:v>
                </c:pt>
                <c:pt idx="3">
                  <c:v>12.246</c:v>
                </c:pt>
                <c:pt idx="4">
                  <c:v>3.7010000000000001</c:v>
                </c:pt>
                <c:pt idx="5">
                  <c:v>2.5979999999999999</c:v>
                </c:pt>
                <c:pt idx="6">
                  <c:v>3.663000000000014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март 2017 г.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path path="circle">
                <a:fillToRect l="100000" t="100000"/>
              </a:path>
              <a:tileRect r="-100000" b="-100000"/>
            </a:gradFill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16,7*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29,4*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21,3*</a:t>
                    </a:r>
                  </a:p>
                  <a:p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20,0*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2,5*</a:t>
                    </a:r>
                    <a:endParaRPr lang="en-US" sz="900"/>
                  </a:p>
                </c:rich>
              </c:tx>
              <c:dLblPos val="outEnd"/>
              <c:showVal val="1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20.506</c:v>
                </c:pt>
                <c:pt idx="1">
                  <c:v>36.162000000000013</c:v>
                </c:pt>
                <c:pt idx="2">
                  <c:v>26.172999999999988</c:v>
                </c:pt>
                <c:pt idx="3">
                  <c:v>24.678999999999988</c:v>
                </c:pt>
                <c:pt idx="4">
                  <c:v>8.077</c:v>
                </c:pt>
                <c:pt idx="5">
                  <c:v>4.4450000000000003</c:v>
                </c:pt>
                <c:pt idx="6">
                  <c:v>3.0560000000000063</c:v>
                </c:pt>
              </c:numCache>
            </c:numRef>
          </c:val>
        </c:ser>
        <c:dLbls>
          <c:showVal val="1"/>
        </c:dLbls>
        <c:gapWidth val="160"/>
        <c:axId val="134176768"/>
        <c:axId val="134178304"/>
      </c:barChart>
      <c:catAx>
        <c:axId val="134176768"/>
        <c:scaling>
          <c:orientation val="minMax"/>
        </c:scaling>
        <c:axPos val="b"/>
        <c:numFmt formatCode="General" sourceLinked="1"/>
        <c:tickLblPos val="low"/>
        <c:txPr>
          <a:bodyPr rot="-5400000" vert="horz" anchor="ctr" anchorCtr="1"/>
          <a:lstStyle/>
          <a:p>
            <a:pPr>
              <a:defRPr sz="9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78304"/>
        <c:crosses val="autoZero"/>
        <c:lblAlgn val="ctr"/>
        <c:lblOffset val="160"/>
        <c:tickLblSkip val="1"/>
        <c:tickMarkSkip val="1"/>
      </c:catAx>
      <c:valAx>
        <c:axId val="13417830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ru-RU" sz="900">
                    <a:latin typeface="Times New Roman" pitchFamily="18" charset="0"/>
                    <a:cs typeface="Times New Roman" pitchFamily="18" charset="0"/>
                  </a:rPr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9755143510287063"/>
              <c:y val="0.150698298635001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7676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945430208320741"/>
          <c:y val="0.92418894240161731"/>
          <c:w val="0.74230076079199758"/>
          <c:h val="7.3466690450101707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76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млн. долл. США</a:t>
            </a:r>
          </a:p>
        </c:rich>
      </c:tx>
      <c:layout>
        <c:manualLayout>
          <c:xMode val="edge"/>
          <c:yMode val="edge"/>
          <c:x val="0.24426007724644191"/>
          <c:y val="0"/>
        </c:manualLayout>
      </c:layout>
      <c:spPr>
        <a:solidFill>
          <a:sysClr val="window" lastClr="FFFFFF"/>
        </a:solidFill>
        <a:ln w="24889">
          <a:noFill/>
        </a:ln>
      </c:spPr>
    </c:title>
    <c:plotArea>
      <c:layout>
        <c:manualLayout>
          <c:layoutTarget val="inner"/>
          <c:xMode val="edge"/>
          <c:yMode val="edge"/>
          <c:x val="0.21454499801874541"/>
          <c:y val="0.11613502691725597"/>
          <c:w val="0.76742493161205561"/>
          <c:h val="0.506068591426071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март 2016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-2.113048071843615E-3"/>
                  <c:y val="1.811594202898550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45,5*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359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6,6*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394725434103E-3"/>
                  <c:y val="1.008573928258970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6,5*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8.4156597542425268E-3"/>
                  <c:y val="1.221195176689870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18,9*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8,7*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02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7,9*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58.229000000000013</c:v>
                </c:pt>
                <c:pt idx="1">
                  <c:v>7.8219999999999965</c:v>
                </c:pt>
                <c:pt idx="2">
                  <c:v>8.5040000000000013</c:v>
                </c:pt>
                <c:pt idx="3">
                  <c:v>9.8920000000000048</c:v>
                </c:pt>
                <c:pt idx="4">
                  <c:v>8.2950000000000017</c:v>
                </c:pt>
                <c:pt idx="5">
                  <c:v>24.140999999999988</c:v>
                </c:pt>
                <c:pt idx="6">
                  <c:v>11.136000000000003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март 2017 г.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6700320263281068E-2"/>
                  <c:y val="1.6605101897897909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42,6*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526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10,3*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6.7986522148578759E-3"/>
                  <c:y val="6.606194225721784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13,9*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526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4,8*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2962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10,5*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8506E-3"/>
                  <c:y val="1.400950968085531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9,5*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8,1*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52.454999999999998</c:v>
                </c:pt>
                <c:pt idx="1">
                  <c:v>12.711</c:v>
                </c:pt>
                <c:pt idx="2">
                  <c:v>17.138999999999999</c:v>
                </c:pt>
                <c:pt idx="3">
                  <c:v>10.153</c:v>
                </c:pt>
                <c:pt idx="4">
                  <c:v>5.9379999999999997</c:v>
                </c:pt>
                <c:pt idx="5">
                  <c:v>12.981</c:v>
                </c:pt>
                <c:pt idx="6">
                  <c:v>11.720999999999998</c:v>
                </c:pt>
              </c:numCache>
            </c:numRef>
          </c:val>
        </c:ser>
        <c:dLbls>
          <c:showVal val="1"/>
        </c:dLbls>
        <c:axId val="135432448"/>
        <c:axId val="135488256"/>
      </c:barChart>
      <c:catAx>
        <c:axId val="135432448"/>
        <c:scaling>
          <c:orientation val="minMax"/>
        </c:scaling>
        <c:axPos val="b"/>
        <c:numFmt formatCode="General" sourceLinked="1"/>
        <c:tickLblPos val="nextTo"/>
        <c:crossAx val="135488256"/>
        <c:crosses val="autoZero"/>
        <c:auto val="1"/>
        <c:lblAlgn val="ctr"/>
        <c:lblOffset val="100"/>
      </c:catAx>
      <c:valAx>
        <c:axId val="13548825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8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3.6150120410206502E-4"/>
              <c:y val="0.32190930513247973"/>
            </c:manualLayout>
          </c:layout>
          <c:spPr>
            <a:noFill/>
            <a:ln w="24889">
              <a:noFill/>
            </a:ln>
          </c:spPr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432448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82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b"/>
      <c:layout>
        <c:manualLayout>
          <c:xMode val="edge"/>
          <c:yMode val="edge"/>
          <c:x val="5.661468786989874E-2"/>
          <c:y val="0.89923752841931548"/>
          <c:w val="0.82928231515398909"/>
          <c:h val="7.4006649168853911E-2"/>
        </c:manualLayout>
      </c:layout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17318830338515379"/>
          <c:y val="3.9303751291016426E-4"/>
        </c:manualLayout>
      </c:layout>
      <c:spPr>
        <a:solidFill>
          <a:sysClr val="window" lastClr="FFFFFF"/>
        </a:solidFill>
        <a:ln w="23365">
          <a:noFill/>
        </a:ln>
      </c:spPr>
    </c:title>
    <c:plotArea>
      <c:layout>
        <c:manualLayout>
          <c:layoutTarget val="inner"/>
          <c:xMode val="edge"/>
          <c:yMode val="edge"/>
          <c:x val="6.4038461538461641E-2"/>
          <c:y val="0.11432009626955475"/>
          <c:w val="0.93596153846153862"/>
          <c:h val="0.3564129483814529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март 2016 г.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path path="circle">
                <a:fillToRect l="100000" t="100000"/>
              </a:path>
              <a:tileRect r="-100000" b="-100000"/>
            </a:gradFill>
          </c:spPr>
          <c:dLbls>
            <c:dLbl>
              <c:idx val="0"/>
              <c:layout>
                <c:manualLayout>
                  <c:x val="3.4046705700249299E-3"/>
                  <c:y val="1.92537374834415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59,8*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2,3*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1.3042837844093721E-3"/>
                  <c:y val="1.083627848081298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10,0*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6.2825471241537024E-3"/>
                  <c:y val="9.979801630066684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8,0*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5,3*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5628511428054401E-3"/>
                  <c:y val="1.6254776229738263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14,6*</a:t>
                    </a:r>
                    <a:endParaRPr lang="en-US" sz="9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8</a:t>
                    </a:r>
                    <a:r>
                      <a:rPr lang="en-US" sz="9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3365">
                <a:noFill/>
              </a:ln>
            </c:spPr>
            <c:txPr>
              <a:bodyPr rot="0" vert="horz" anchor="ctr" anchorCtr="0"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124.96899999999999</c:v>
                </c:pt>
                <c:pt idx="1">
                  <c:v>4.758</c:v>
                </c:pt>
                <c:pt idx="2">
                  <c:v>20.824000000000005</c:v>
                </c:pt>
                <c:pt idx="3">
                  <c:v>16.764999999999986</c:v>
                </c:pt>
                <c:pt idx="4">
                  <c:v>11.092000000000002</c:v>
                </c:pt>
                <c:pt idx="5">
                  <c:v>30.400999999999982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март 2017 г.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path path="circle">
                <a:fillToRect l="100000" t="100000"/>
              </a:path>
              <a:tileRect r="-100000" b="-100000"/>
            </a:gradFill>
          </c:spPr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46,9*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1876075299204385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7,4*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7.8852944023365523E-3"/>
                  <c:y val="8.9476556052448357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12,6*</a:t>
                    </a:r>
                    <a:endParaRPr lang="en-US" sz="9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0924639230358387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8,0*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6322401175000143E-2"/>
                  <c:y val="-8.955184284133999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16,3*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9,</a:t>
                    </a:r>
                    <a:r>
                      <a:rPr lang="ru-RU" sz="900" b="1"/>
                      <a:t>6</a:t>
                    </a:r>
                    <a:endParaRPr lang="en-US" sz="9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896"/>
                </c:manualLayout>
              </c:layout>
              <c:dLblPos val="outEnd"/>
              <c:showVal val="1"/>
            </c:dLbl>
            <c:spPr>
              <a:noFill/>
              <a:ln w="23365">
                <a:noFill/>
              </a:ln>
            </c:spPr>
            <c:txPr>
              <a:bodyPr rot="0" vert="horz"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102.574</c:v>
                </c:pt>
                <c:pt idx="1">
                  <c:v>16.111999999999998</c:v>
                </c:pt>
                <c:pt idx="2">
                  <c:v>27.530999999999999</c:v>
                </c:pt>
                <c:pt idx="3">
                  <c:v>19.373000000000001</c:v>
                </c:pt>
                <c:pt idx="4">
                  <c:v>17.542000000000002</c:v>
                </c:pt>
                <c:pt idx="5">
                  <c:v>35.711000000000006</c:v>
                </c:pt>
              </c:numCache>
            </c:numRef>
          </c:val>
        </c:ser>
        <c:gapWidth val="160"/>
        <c:axId val="135736320"/>
        <c:axId val="135767552"/>
      </c:barChart>
      <c:catAx>
        <c:axId val="135736320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135767552"/>
        <c:crosses val="autoZero"/>
        <c:lblAlgn val="ctr"/>
        <c:lblOffset val="160"/>
        <c:tickLblSkip val="1"/>
        <c:tickMarkSkip val="1"/>
      </c:catAx>
      <c:valAx>
        <c:axId val="13576755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ru-RU" sz="900"/>
                  <a:t>*-удельный</a:t>
                </a:r>
              </a:p>
              <a:p>
                <a:pPr>
                  <a:defRPr sz="900"/>
                </a:pPr>
                <a:r>
                  <a:rPr lang="ru-RU" sz="900"/>
                  <a:t> вес в общем </a:t>
                </a:r>
              </a:p>
              <a:p>
                <a:pPr>
                  <a:defRPr sz="900"/>
                </a:pPr>
                <a:r>
                  <a:rPr lang="ru-RU" sz="900"/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0836135461688363"/>
              <c:y val="8.7301603571637965E-2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sz="900" b="1"/>
            </a:pPr>
            <a:endParaRPr lang="ru-RU"/>
          </a:p>
        </c:txPr>
        <c:crossAx val="13573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2852464870462559"/>
          <c:w val="0.93440288713910769"/>
          <c:h val="7.1475351295373787E-2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28778462820421497"/>
          <c:y val="3.5633496168670071E-3"/>
        </c:manualLayout>
      </c:layout>
      <c:spPr>
        <a:solidFill>
          <a:sysClr val="window" lastClr="FFFFFF"/>
        </a:solidFill>
        <a:ln w="25335">
          <a:noFill/>
        </a:ln>
      </c:spPr>
    </c:title>
    <c:plotArea>
      <c:layout>
        <c:manualLayout>
          <c:layoutTarget val="inner"/>
          <c:xMode val="edge"/>
          <c:yMode val="edge"/>
          <c:x val="0.21558560499086551"/>
          <c:y val="8.5643913716083528E-2"/>
          <c:w val="0.7892282508692483"/>
          <c:h val="0.61368339044074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март 2016 г.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dLbls>
            <c:dLbl>
              <c:idx val="0"/>
              <c:layout>
                <c:manualLayout>
                  <c:x val="-6.9443883617112123E-3"/>
                  <c:y val="1.6468920613410164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62,2*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6.9444444444447563E-3"/>
                  <c:y val="1.377386650198137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247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719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449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75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1.0165556228548401E-3"/>
                  <c:y val="1.08538089365335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18,8*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344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Казахстан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129.88400000000001</c:v>
                </c:pt>
                <c:pt idx="1">
                  <c:v>15.74</c:v>
                </c:pt>
                <c:pt idx="2">
                  <c:v>6.8710000000000004</c:v>
                </c:pt>
                <c:pt idx="3">
                  <c:v>5.2919999999999998</c:v>
                </c:pt>
                <c:pt idx="4">
                  <c:v>7.7859999999999996</c:v>
                </c:pt>
                <c:pt idx="5">
                  <c:v>3.9539999999999997</c:v>
                </c:pt>
                <c:pt idx="6">
                  <c:v>39.281999999999982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март 2017 г.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058097884823252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50,2*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9,8*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3305E-3"/>
                  <c:y val="-4.47410961047090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477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2,7 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9.437378020055163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20,0*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829550718148E-2"/>
                  <c:y val="-8.214354000451930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Казахстан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109.883</c:v>
                </c:pt>
                <c:pt idx="1">
                  <c:v>21.478999999999989</c:v>
                </c:pt>
                <c:pt idx="2">
                  <c:v>19.436</c:v>
                </c:pt>
                <c:pt idx="3">
                  <c:v>10.513</c:v>
                </c:pt>
                <c:pt idx="4">
                  <c:v>7.7409999999999997</c:v>
                </c:pt>
                <c:pt idx="5">
                  <c:v>6.0069999999999997</c:v>
                </c:pt>
                <c:pt idx="6">
                  <c:v>43.784000000000006</c:v>
                </c:pt>
              </c:numCache>
            </c:numRef>
          </c:val>
        </c:ser>
        <c:dLbls>
          <c:showVal val="1"/>
        </c:dLbls>
        <c:axId val="136501120"/>
        <c:axId val="136502656"/>
      </c:barChart>
      <c:catAx>
        <c:axId val="136501120"/>
        <c:scaling>
          <c:orientation val="minMax"/>
        </c:scaling>
        <c:axPos val="b"/>
        <c:numFmt formatCode="General" sourceLinked="1"/>
        <c:tickLblPos val="nextTo"/>
        <c:crossAx val="136502656"/>
        <c:crosses val="autoZero"/>
        <c:auto val="1"/>
        <c:lblAlgn val="ctr"/>
        <c:lblOffset val="100"/>
        <c:tickLblSkip val="1"/>
      </c:catAx>
      <c:valAx>
        <c:axId val="13650265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1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80919422572178479"/>
              <c:y val="0.12238827762423737"/>
            </c:manualLayout>
          </c:layout>
          <c:spPr>
            <a:noFill/>
            <a:ln w="25335">
              <a:noFill/>
            </a:ln>
          </c:spPr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501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7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138830714511357"/>
          <c:y val="5.3531706326764416E-3"/>
        </c:manualLayout>
      </c:layout>
    </c:title>
    <c:plotArea>
      <c:layout>
        <c:manualLayout>
          <c:layoutTarget val="inner"/>
          <c:xMode val="edge"/>
          <c:yMode val="edge"/>
          <c:x val="0.19329417839163571"/>
          <c:y val="0.13314529056351176"/>
          <c:w val="0.80670582160836624"/>
          <c:h val="0.406067197401429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 март 2016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5966155620178802E-3"/>
                  <c:y val="1.905799928339766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-0,01*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6306323132829761E-4"/>
                  <c:y val="2.335737814652381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-0,59*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3172477021709574E-3"/>
                  <c:y val="1.906097169508536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+0,17*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7719775941958004E-3"/>
                  <c:y val="2.199134567035715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+0,75*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99.990000000000023</c:v>
                </c:pt>
                <c:pt idx="1">
                  <c:v>99.410000000000025</c:v>
                </c:pt>
                <c:pt idx="2">
                  <c:v>100.16999999999999</c:v>
                </c:pt>
                <c:pt idx="3">
                  <c:v>100.75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 март 2017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2653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-030*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5773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+0,02*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7334719952458891E-3"/>
                  <c:y val="2.247485423382480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-0,30*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0955090697696534E-3"/>
                  <c:y val="2.19906855077458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-0,90*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99.7</c:v>
                </c:pt>
                <c:pt idx="1">
                  <c:v>100.02</c:v>
                </c:pt>
                <c:pt idx="2">
                  <c:v>99.7</c:v>
                </c:pt>
                <c:pt idx="3">
                  <c:v>99.1</c:v>
                </c:pt>
              </c:numCache>
            </c:numRef>
          </c:val>
        </c:ser>
        <c:axId val="119665024"/>
        <c:axId val="119666560"/>
      </c:barChart>
      <c:catAx>
        <c:axId val="119665024"/>
        <c:scaling>
          <c:orientation val="minMax"/>
        </c:scaling>
        <c:axPos val="b"/>
        <c:tickLblPos val="nextTo"/>
        <c:crossAx val="119666560"/>
        <c:crosses val="autoZero"/>
        <c:auto val="1"/>
        <c:lblAlgn val="ctr"/>
        <c:lblOffset val="100"/>
      </c:catAx>
      <c:valAx>
        <c:axId val="1196665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1.6751568758214288E-2"/>
              <c:y val="0.51373500964313168"/>
            </c:manualLayout>
          </c:layout>
        </c:title>
        <c:numFmt formatCode="0.00" sourceLinked="1"/>
        <c:tickLblPos val="nextTo"/>
        <c:crossAx val="119665024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январе-марте, %</a:t>
            </a:r>
          </a:p>
        </c:rich>
      </c:tx>
      <c:layout>
        <c:manualLayout>
          <c:xMode val="edge"/>
          <c:yMode val="edge"/>
          <c:x val="0.20372481466722556"/>
          <c:y val="3.0393336249635462E-3"/>
        </c:manualLayout>
      </c:layout>
      <c:spPr>
        <a:ln>
          <a:noFill/>
        </a:ln>
      </c:spPr>
    </c:title>
    <c:view3D>
      <c:rotX val="10"/>
      <c:rotY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689728806320688E-2"/>
          <c:y val="2.9624887314617591E-2"/>
          <c:w val="0.90861868228012665"/>
          <c:h val="0.6904476473312808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9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10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11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5.9348523138644691E-3"/>
                  <c:y val="9.228774650902773E-3"/>
                </c:manualLayout>
              </c:layout>
              <c:showVal val="1"/>
            </c:dLbl>
            <c:dLbl>
              <c:idx val="1"/>
              <c:layout>
                <c:manualLayout>
                  <c:x val="4.0156975893709014E-3"/>
                  <c:y val="9.6474534338796773E-3"/>
                </c:manualLayout>
              </c:layout>
              <c:showVal val="1"/>
            </c:dLbl>
            <c:dLbl>
              <c:idx val="2"/>
              <c:layout>
                <c:manualLayout>
                  <c:x val="1.0374600035982061E-2"/>
                  <c:y val="1.51141222188216E-2"/>
                </c:manualLayout>
              </c:layout>
              <c:showVal val="1"/>
            </c:dLbl>
            <c:dLbl>
              <c:idx val="3"/>
              <c:layout>
                <c:manualLayout>
                  <c:x val="6.079116792015382E-3"/>
                  <c:y val="1.5642771216098129E-2"/>
                </c:manualLayout>
              </c:layout>
              <c:showVal val="1"/>
            </c:dLbl>
            <c:dLbl>
              <c:idx val="4"/>
              <c:layout>
                <c:manualLayout>
                  <c:x val="6.1399836231234104E-3"/>
                  <c:y val="1.8877021037023003E-2"/>
                </c:manualLayout>
              </c:layout>
              <c:showVal val="1"/>
            </c:dLbl>
            <c:dLbl>
              <c:idx val="5"/>
              <c:layout>
                <c:manualLayout>
                  <c:x val="1.7732088421682781E-3"/>
                  <c:y val="1.4260056616790025E-2"/>
                </c:manualLayout>
              </c:layout>
              <c:showVal val="1"/>
            </c:dLbl>
            <c:dLbl>
              <c:idx val="6"/>
              <c:layout>
                <c:manualLayout>
                  <c:x val="8.2383760325923389E-3"/>
                  <c:y val="1.4080452934319766E-2"/>
                </c:manualLayout>
              </c:layout>
              <c:showVal val="1"/>
            </c:dLbl>
            <c:dLbl>
              <c:idx val="7"/>
              <c:layout>
                <c:manualLayout>
                  <c:x val="5.9815953499087124E-3"/>
                  <c:y val="9.2248098897003503E-3"/>
                </c:manualLayout>
              </c:layout>
              <c:showVal val="1"/>
            </c:dLbl>
            <c:dLbl>
              <c:idx val="8"/>
              <c:layout>
                <c:manualLayout>
                  <c:x val="3.9677775704047352E-3"/>
                  <c:y val="8.4425625044605192E-3"/>
                </c:manualLayout>
              </c:layout>
              <c:showVal val="1"/>
            </c:dLbl>
            <c:dLbl>
              <c:idx val="9"/>
              <c:layout>
                <c:manualLayout>
                  <c:x val="6.0675151032129953E-3"/>
                  <c:y val="9.2335323643457246E-3"/>
                </c:manualLayout>
              </c:layout>
              <c:showVal val="1"/>
            </c:dLbl>
            <c:dLbl>
              <c:idx val="10"/>
              <c:layout>
                <c:manualLayout>
                  <c:x val="7.8651043059079495E-3"/>
                  <c:y val="9.467849751409723E-3"/>
                </c:manualLayout>
              </c:layout>
              <c:showVal val="1"/>
            </c:dLbl>
            <c:dLbl>
              <c:idx val="11"/>
              <c:layout>
                <c:manualLayout>
                  <c:x val="4.1520594679028393E-3"/>
                  <c:y val="1.00704934541792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2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2"/>
                <c:pt idx="0">
                  <c:v>105.61</c:v>
                </c:pt>
                <c:pt idx="1">
                  <c:v>106.41000000000012</c:v>
                </c:pt>
                <c:pt idx="2">
                  <c:v>110.79</c:v>
                </c:pt>
                <c:pt idx="3">
                  <c:v>100.57</c:v>
                </c:pt>
                <c:pt idx="4">
                  <c:v>106.49000000000002</c:v>
                </c:pt>
                <c:pt idx="5">
                  <c:v>107.02</c:v>
                </c:pt>
                <c:pt idx="6">
                  <c:v>105.96000000000002</c:v>
                </c:pt>
                <c:pt idx="7">
                  <c:v>101.99000000000002</c:v>
                </c:pt>
                <c:pt idx="8">
                  <c:v>100.54</c:v>
                </c:pt>
                <c:pt idx="9">
                  <c:v>99.19</c:v>
                </c:pt>
                <c:pt idx="10">
                  <c:v>99.990000000000023</c:v>
                </c:pt>
                <c:pt idx="11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</c:strCache>
            </c:strRef>
          </c:cat>
          <c:val>
            <c:numRef>
              <c:f>Лист1!$C$2:$C$15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</c:strCache>
            </c:strRef>
          </c:cat>
          <c:val>
            <c:numRef>
              <c:f>Лист1!$D$2:$D$15</c:f>
            </c:numRef>
          </c:val>
          <c:shape val="box"/>
        </c:ser>
        <c:dLbls>
          <c:showVal val="1"/>
        </c:dLbls>
        <c:shape val="cylinder"/>
        <c:axId val="120069504"/>
        <c:axId val="120099968"/>
        <c:axId val="107912256"/>
      </c:bar3DChart>
      <c:catAx>
        <c:axId val="12006950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20099968"/>
        <c:crossesAt val="0"/>
        <c:auto val="1"/>
        <c:lblAlgn val="ctr"/>
        <c:lblOffset val="100"/>
      </c:catAx>
      <c:valAx>
        <c:axId val="120099968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0069504"/>
        <c:crosses val="autoZero"/>
        <c:crossBetween val="between"/>
        <c:majorUnit val="20"/>
        <c:minorUnit val="20"/>
      </c:valAx>
      <c:serAx>
        <c:axId val="107912256"/>
        <c:scaling>
          <c:orientation val="minMax"/>
        </c:scaling>
        <c:delete val="1"/>
        <c:axPos val="b"/>
        <c:tickLblPos val="none"/>
        <c:crossAx val="120099968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2">
                <a:latin typeface="Times New Roman" pitchFamily="18" charset="0"/>
                <a:cs typeface="Times New Roman" pitchFamily="18" charset="0"/>
              </a:defRPr>
            </a:pPr>
            <a:r>
              <a:rPr lang="ru-RU" sz="1202"/>
              <a:t>январь-март 2016 года</a:t>
            </a:r>
            <a:endParaRPr lang="ru-RU" sz="1200" b="0"/>
          </a:p>
        </c:rich>
      </c:tx>
      <c:layout>
        <c:manualLayout>
          <c:xMode val="edge"/>
          <c:yMode val="edge"/>
          <c:x val="0.2247399247507855"/>
          <c:y val="2.102524795020092E-3"/>
        </c:manualLayout>
      </c:layout>
      <c:spPr>
        <a:noFill/>
        <a:ln w="40482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993418926082595E-2"/>
          <c:y val="0.23037280062214438"/>
          <c:w val="0.56015230854763776"/>
          <c:h val="0.675481675901623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9"/>
          <c:dPt>
            <c:idx val="0"/>
            <c:explosion val="5"/>
            <c:spPr>
              <a:solidFill>
                <a:srgbClr val="66FF33"/>
              </a:solidFill>
            </c:spPr>
          </c:dPt>
          <c:dPt>
            <c:idx val="1"/>
            <c:explosion val="22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explosion val="15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c:spPr>
          </c:dPt>
          <c:dPt>
            <c:idx val="3"/>
            <c:explosion val="21"/>
            <c:spPr>
              <a:solidFill>
                <a:srgbClr val="FF0000"/>
              </a:solidFill>
            </c:spPr>
          </c:dPt>
          <c:dPt>
            <c:idx val="4"/>
            <c:explosion val="15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-8.3709708700205596E-2"/>
                  <c:y val="-0.1234072082453109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30,8%</a:t>
                    </a:r>
                    <a:endParaRPr lang="en-US" sz="900"/>
                  </a:p>
                </c:rich>
              </c:tx>
              <c:dLblPos val="bestFit"/>
            </c:dLbl>
            <c:dLbl>
              <c:idx val="1"/>
              <c:layout>
                <c:manualLayout>
                  <c:x val="7.1984222311194154E-2"/>
                  <c:y val="2.5167473331888471E-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38,8%</a:t>
                    </a:r>
                    <a:endParaRPr lang="en-US" sz="9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2.7454326829835958E-3"/>
                  <c:y val="0.21768750145169921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11,9%</a:t>
                    </a:r>
                    <a:endParaRPr lang="en-US" sz="9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-3.381496804424871E-2"/>
                  <c:y val="-4.8170675913217324E-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9,7%</a:t>
                    </a:r>
                    <a:endParaRPr lang="en-US" sz="9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2.662455328677139E-2"/>
                  <c:y val="-6.5589347203159218E-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8,8%</a:t>
                    </a:r>
                    <a:endParaRPr lang="en-US" sz="9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0.10846652455735872"/>
                  <c:y val="-7.9333561565674091E-3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6,4%</a:t>
                    </a:r>
                    <a:endParaRPr lang="en-US" sz="900"/>
                  </a:p>
                </c:rich>
              </c:tx>
              <c:dLblPos val="bestFit"/>
            </c:dLbl>
            <c:spPr>
              <a:noFill/>
              <a:ln w="40482">
                <a:noFill/>
              </a:ln>
            </c:spPr>
            <c:txPr>
              <a:bodyPr/>
              <a:lstStyle/>
              <a:p>
                <a:pPr>
                  <a:defRPr sz="90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693</c:v>
                </c:pt>
                <c:pt idx="1">
                  <c:v>873.1</c:v>
                </c:pt>
                <c:pt idx="2">
                  <c:v>266.8</c:v>
                </c:pt>
                <c:pt idx="3" formatCode="General">
                  <c:v>217.8</c:v>
                </c:pt>
                <c:pt idx="4">
                  <c:v>197.70000000000005</c:v>
                </c:pt>
              </c:numCache>
            </c:numRef>
          </c:val>
        </c:ser>
      </c:pie3DChart>
      <c:spPr>
        <a:noFill/>
        <a:ln w="25438">
          <a:noFill/>
        </a:ln>
      </c:spPr>
    </c:plotArea>
    <c:legend>
      <c:legendPos val="r"/>
      <c:layout>
        <c:manualLayout>
          <c:xMode val="edge"/>
          <c:yMode val="edge"/>
          <c:x val="0.59374986058754164"/>
          <c:y val="0.21518814424311805"/>
          <c:w val="0.38636360256667768"/>
          <c:h val="0.70539829436409374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023856094421432E-2"/>
          <c:y val="6.425196850393701E-2"/>
          <c:w val="0.92031746827824856"/>
          <c:h val="0.593925379580717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4.8402628015447181E-2"/>
                  <c:y val="0.1390019601980132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933E-2"/>
                  <c:y val="0.1189461694646659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2.8191484026280137E-2"/>
                  <c:y val="0.1167879331539253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541167226811E-2"/>
                  <c:y val="-9.54095023836307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53864286072E-2"/>
                  <c:y val="7.791115733174898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5554106692077631E-2"/>
                  <c:y val="6.13354462767625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70,6%*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3634752662286639E-2"/>
                  <c:y val="9.573482559963288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4.8113412575020484E-2"/>
                  <c:y val="8.134502055167676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094655365531539E-2"/>
                  <c:y val="-0.2125977649020301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4.5908520989016932E-2"/>
                  <c:y val="0.1109486785849881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95,1%*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9.202000693309572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85,3%*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3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633.70000000000005</c:v>
                </c:pt>
                <c:pt idx="1">
                  <c:v>574.6</c:v>
                </c:pt>
                <c:pt idx="2">
                  <c:v>744.8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F79646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F79646">
                  <a:lumMod val="60000"/>
                  <a:lumOff val="40000"/>
                </a:srgbClr>
              </a:solidFill>
              <a:ln>
                <a:solidFill>
                  <a:srgbClr val="F79646">
                    <a:lumMod val="40000"/>
                    <a:lumOff val="6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4.2401491214872092E-2"/>
                  <c:y val="-0.1220273098774045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2795E-2"/>
                  <c:y val="-8.409286468057472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3.500142100071886E-2"/>
                  <c:y val="-9.44144323731685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8958657237908867E-2"/>
                  <c:y val="7.72500371415839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7779560994366164E-2"/>
                  <c:y val="-0.13548136482940007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3">
                  <a:noFill/>
                </a:ln>
              </c:spPr>
              <c:dLblPos val="r"/>
            </c:dLbl>
            <c:dLbl>
              <c:idx val="5"/>
              <c:layout>
                <c:manualLayout>
                  <c:x val="-4.5493755955664794E-2"/>
                  <c:y val="-7.56613678007230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9544109534078942E-2"/>
                  <c:y val="-7.044817511018669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3150275005433244E-2"/>
                  <c:y val="-9.383004011291076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4.1897119547954505E-2"/>
                  <c:y val="-8.168177091071147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4.6219469381613906E-2"/>
                  <c:y val="0.1606999125109362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4.1598375043883862E-2"/>
                  <c:y val="-9.369649548523627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3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612.9</c:v>
                </c:pt>
                <c:pt idx="1">
                  <c:v>736.5</c:v>
                </c:pt>
                <c:pt idx="2" formatCode="General">
                  <c:v>899.1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>
                    <a:lumMod val="60000"/>
                    <a:lumOff val="40000"/>
                  </a:srgbClr>
                </a:solidFill>
                <a:bevel/>
              </a:ln>
            </c:spPr>
          </c:marker>
          <c:trendline>
            <c:trendlineType val="linear"/>
          </c:trendline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633.70000000000005</c:v>
                </c:pt>
                <c:pt idx="1">
                  <c:v>574.6</c:v>
                </c:pt>
                <c:pt idx="2">
                  <c:v>744.8</c:v>
                </c:pt>
              </c:numCache>
            </c:numRef>
          </c:val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612.9</c:v>
                </c:pt>
                <c:pt idx="1">
                  <c:v>736.5</c:v>
                </c:pt>
                <c:pt idx="2" formatCode="General">
                  <c:v>899.1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C0504D">
                  <a:lumMod val="40000"/>
                  <a:lumOff val="60000"/>
                </a:srgbClr>
              </a:solidFill>
            </a:ln>
          </c:spPr>
          <c:marker>
            <c:spPr>
              <a:ln>
                <a:solidFill>
                  <a:srgbClr val="C0504D">
                    <a:lumMod val="40000"/>
                    <a:lumOff val="60000"/>
                  </a:srgbClr>
                </a:solidFill>
              </a:ln>
            </c:spPr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612.9</c:v>
                </c:pt>
                <c:pt idx="1">
                  <c:v>736.5</c:v>
                </c:pt>
                <c:pt idx="2" formatCode="General">
                  <c:v>899.1</c:v>
                </c:pt>
              </c:numCache>
            </c:numRef>
          </c:val>
        </c:ser>
        <c:marker val="1"/>
        <c:axId val="106748160"/>
        <c:axId val="106935040"/>
      </c:lineChart>
      <c:catAx>
        <c:axId val="106748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</a:t>
                </a:r>
                <a:r>
                  <a:rPr lang="ru-RU" sz="85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роста</a:t>
                </a: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</a:t>
                </a:r>
              </a:p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 предыдущему году</a:t>
                </a:r>
              </a:p>
            </c:rich>
          </c:tx>
          <c:layout>
            <c:manualLayout>
              <c:xMode val="edge"/>
              <c:yMode val="edge"/>
              <c:x val="2.7145393233612802E-3"/>
              <c:y val="0.7631992622543875"/>
            </c:manualLayout>
          </c:layout>
          <c:spPr>
            <a:noFill/>
            <a:ln w="24913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935040"/>
        <c:crosses val="autoZero"/>
        <c:auto val="1"/>
        <c:lblAlgn val="ctr"/>
        <c:lblOffset val="100"/>
      </c:catAx>
      <c:valAx>
        <c:axId val="106935040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748160"/>
        <c:crosses val="autoZero"/>
        <c:crossBetween val="between"/>
        <c:majorUnit val="200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0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37232275105739226"/>
          <c:y val="0.8474015748031497"/>
          <c:w val="0.22563050637778542"/>
          <c:h val="0.1525984251968506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5352479978464263E-2"/>
          <c:y val="9.1039654525942884E-2"/>
          <c:w val="0.89483976127187925"/>
          <c:h val="0.626706363197137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4.632024362339323E-2"/>
                  <c:y val="-9.409048006930169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103,4%*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2.6448781814361142E-2"/>
                  <c:y val="7.9196667580731975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89,5%*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3.6119935557506005E-2"/>
                  <c:y val="8.685548634778872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86,9%*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5.8878625748704491E-2"/>
                  <c:y val="-3.8272538767299802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111,9%*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1.3393061444242561E-2"/>
                  <c:y val="4.3045062405173765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85,9%*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9.6626623595128715E-3"/>
                  <c:y val="4.0516116587788732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1204993606568415E-2"/>
                  <c:y val="-4.657742782152251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90,0%*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6.7931893128743523E-2"/>
                  <c:y val="-5.049381485542270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89,9%*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6.1070058550373466E-2"/>
                  <c:y val="-4.599610088109073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90,2%*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1.3866175381923609E-2"/>
                  <c:y val="3.3914343384242332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95,1%*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0376371222827996E-2"/>
                  <c:y val="5.6617993173388538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95,1%*</a:t>
                    </a:r>
                    <a:endParaRPr lang="en-US" sz="85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6.4736978300248729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92,2%*</a:t>
                    </a:r>
                    <a:endParaRPr lang="en-US" sz="850"/>
                  </a:p>
                </c:rich>
              </c:tx>
              <c:dLblPos val="r"/>
            </c:dLbl>
            <c:spPr>
              <a:noFill/>
              <a:ln w="24912">
                <a:noFill/>
              </a:ln>
            </c:spPr>
            <c:txPr>
              <a:bodyPr/>
              <a:lstStyle/>
              <a:p>
                <a:pPr>
                  <a:defRPr sz="8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633.70000000000005</c:v>
                </c:pt>
                <c:pt idx="1">
                  <c:v>1208.3</c:v>
                </c:pt>
                <c:pt idx="2">
                  <c:v>1953.1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  <c:marker>
            <c:spPr>
              <a:solidFill>
                <a:srgbClr val="4BACC6">
                  <a:lumMod val="40000"/>
                  <a:lumOff val="60000"/>
                </a:srgbClr>
              </a:solidFill>
              <a:ln>
                <a:solidFill>
                  <a:srgbClr val="4BACC6">
                    <a:lumMod val="40000"/>
                    <a:lumOff val="6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1.1030856719833221E-2"/>
                  <c:y val="2.242116287188241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9.4778585369136747E-2"/>
                  <c:y val="-5.0609363484736825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111,3%*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5.2275223838778424E-2"/>
                  <c:y val="-7.780937830532379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116,1%*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2.4028534894676587E-2"/>
                  <c:y val="3.5979911959824348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83,0%*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6.7037485698903124E-2"/>
                  <c:y val="-3.6502090781959456E-2"/>
                </c:manualLayout>
              </c:layout>
              <c:tx>
                <c:rich>
                  <a:bodyPr/>
                  <a:lstStyle/>
                  <a:p>
                    <a:pPr>
                      <a:defRPr sz="85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5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107,8%*</a:t>
                    </a:r>
                    <a:endParaRPr lang="en-US" sz="85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2">
                  <a:noFill/>
                </a:ln>
              </c:spPr>
              <c:dLblPos val="r"/>
            </c:dLbl>
            <c:dLbl>
              <c:idx val="5"/>
              <c:layout>
                <c:manualLayout>
                  <c:x val="-6.4724577697018823E-2"/>
                  <c:y val="-3.8275829157718919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102,5%*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6561343293626814E-3"/>
                  <c:y val="3.8020404929698735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96,9%*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9.7684904771518938E-3"/>
                  <c:y val="5.235437675553713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97,7%*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9.9545729860691604E-3"/>
                  <c:y val="4.821129642259284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96,6%*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5.7066592637458932E-2"/>
                  <c:y val="-3.093916410055044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6.0856383336698849E-2"/>
                  <c:y val="-3.4390228780457575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91,5%*</a:t>
                    </a:r>
                    <a:endParaRPr lang="en-US" sz="85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6.590317055438491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94,2%*</a:t>
                    </a:r>
                    <a:endParaRPr lang="en-US" sz="850"/>
                  </a:p>
                </c:rich>
              </c:tx>
              <c:dLblPos val="r"/>
            </c:dLbl>
            <c:spPr>
              <a:noFill/>
              <a:ln w="24912">
                <a:noFill/>
              </a:ln>
            </c:spPr>
            <c:txPr>
              <a:bodyPr/>
              <a:lstStyle/>
              <a:p>
                <a:pPr>
                  <a:defRPr sz="8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612.9</c:v>
                </c:pt>
                <c:pt idx="1">
                  <c:v>1349.4</c:v>
                </c:pt>
                <c:pt idx="2" formatCode="General">
                  <c:v>2248.4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rgbClr val="8064A2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rgbClr val="8064A2">
                    <a:lumMod val="60000"/>
                    <a:lumOff val="40000"/>
                  </a:srgbClr>
                </a:solidFill>
                <a:bevel/>
              </a:ln>
            </c:spPr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633.70000000000005</c:v>
                </c:pt>
                <c:pt idx="1">
                  <c:v>1208.3</c:v>
                </c:pt>
                <c:pt idx="2">
                  <c:v>1953.1</c:v>
                </c:pt>
              </c:numCache>
            </c:numRef>
          </c:val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612.9</c:v>
                </c:pt>
                <c:pt idx="1">
                  <c:v>1349.4</c:v>
                </c:pt>
                <c:pt idx="2" formatCode="General">
                  <c:v>2248.4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4F81BD">
                  <a:lumMod val="40000"/>
                  <a:lumOff val="60000"/>
                </a:srgbClr>
              </a:solidFill>
            </a:ln>
          </c:spP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612.9</c:v>
                </c:pt>
                <c:pt idx="1">
                  <c:v>1349.4</c:v>
                </c:pt>
                <c:pt idx="2" formatCode="General">
                  <c:v>2248.4</c:v>
                </c:pt>
              </c:numCache>
            </c:numRef>
          </c:val>
        </c:ser>
        <c:marker val="1"/>
        <c:axId val="107509248"/>
        <c:axId val="107511168"/>
      </c:lineChart>
      <c:catAx>
        <c:axId val="107509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</a:t>
                </a:r>
                <a:r>
                  <a:rPr lang="ru-RU" sz="85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роста</a:t>
                </a: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</a:t>
                </a:r>
              </a:p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 предыдущему году</a:t>
                </a:r>
              </a:p>
            </c:rich>
          </c:tx>
          <c:layout>
            <c:manualLayout>
              <c:xMode val="edge"/>
              <c:yMode val="edge"/>
              <c:x val="0.12879646025108121"/>
              <c:y val="0.12922455373706571"/>
            </c:manualLayout>
          </c:layout>
          <c:spPr>
            <a:noFill/>
            <a:ln w="24912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11168"/>
        <c:crosses val="autoZero"/>
        <c:auto val="1"/>
        <c:lblAlgn val="ctr"/>
        <c:lblOffset val="100"/>
      </c:catAx>
      <c:valAx>
        <c:axId val="107511168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09248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34900884642166985"/>
          <c:y val="0.88004700904924171"/>
          <c:w val="0.22453577918144849"/>
          <c:h val="0.1199529909507580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0.12153092803698062"/>
          <c:w val="0.91969598134818276"/>
          <c:h val="0.332783954244525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2016 года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4.3172410374201714E-3"/>
                  <c:y val="1.724207550979210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90,0*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8.6859362015484984E-3"/>
                  <c:y val="2.2959219649782607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в 2,4 р.*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6.7440080961666702E-3"/>
                  <c:y val="-8.125357464645275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85,4*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2.1379145788595192E-3"/>
                  <c:y val="-5.6881434712302132E-5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58,6*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8.2054320012506787E-3"/>
                  <c:y val="1.885863338290146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116,6*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38,0*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3.8619857722401963E-3"/>
                  <c:y val="1.23457449174785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64,6*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-4.3016353725015138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103,7*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-3.4420933479853435E-3"/>
                  <c:y val="6.180402998214777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116,8*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3.6142806388446292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105,7*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ysClr val="windowText" lastClr="000000"/>
                        </a:solidFill>
                      </a:rPr>
                      <a:t>44,9*</a:t>
                    </a:r>
                    <a:endParaRPr lang="en-US" sz="80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88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281.7</c:v>
                </c:pt>
                <c:pt idx="1">
                  <c:v>340.9</c:v>
                </c:pt>
                <c:pt idx="2">
                  <c:v>16.600000000000001</c:v>
                </c:pt>
                <c:pt idx="3">
                  <c:v>10.9</c:v>
                </c:pt>
                <c:pt idx="4">
                  <c:v>22.4</c:v>
                </c:pt>
                <c:pt idx="5">
                  <c:v>0.9</c:v>
                </c:pt>
                <c:pt idx="6">
                  <c:v>40.300000000000004</c:v>
                </c:pt>
                <c:pt idx="7">
                  <c:v>99.4</c:v>
                </c:pt>
                <c:pt idx="8">
                  <c:v>74.3</c:v>
                </c:pt>
                <c:pt idx="9">
                  <c:v>9.5</c:v>
                </c:pt>
                <c:pt idx="10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2017 года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dLbls>
            <c:dLbl>
              <c:idx val="0"/>
              <c:layout>
                <c:manualLayout>
                  <c:x val="1.8377640099063062E-3"/>
                  <c:y val="2.9270967994672375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103,7*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1.0160195492804783E-2"/>
                  <c:y val="5.36028518823207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43,6* 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1.0671150366435161E-2"/>
                  <c:y val="-4.154872797763031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82,2*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3.8909321287817111E-3"/>
                  <c:y val="-9.7622125592510087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в 2,1р.*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1.0178132122199438E-2"/>
                  <c:y val="-6.430211148979523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57,4*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1.1749315034680252E-4"/>
                  <c:y val="-1.669228659850350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86,7*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1.5040439694254552E-4"/>
                  <c:y val="3.7607239393583347E-5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119,1*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1.7740807477435252E-3"/>
                  <c:y val="1.9931836878599157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109,4*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3.2417577896806839E-4"/>
                  <c:y val="-3.860383123751325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113,1*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4.1316778976295742E-3"/>
                  <c:y val="-7.1015003721549789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125,8*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5.4390771686454583E-3"/>
                  <c:y val="-1.485642652877345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/>
                      <a:t>64,6*</a:t>
                    </a:r>
                    <a:endParaRPr lang="en-US" sz="800" b="1"/>
                  </a:p>
                </c:rich>
              </c:tx>
            </c:dLbl>
            <c:spPr>
              <a:noFill/>
              <a:ln w="25388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292</c:v>
                </c:pt>
                <c:pt idx="1">
                  <c:v>148.6</c:v>
                </c:pt>
                <c:pt idx="2">
                  <c:v>13.6</c:v>
                </c:pt>
                <c:pt idx="3">
                  <c:v>22.9</c:v>
                </c:pt>
                <c:pt idx="4">
                  <c:v>12.8</c:v>
                </c:pt>
                <c:pt idx="5">
                  <c:v>0.70000000000000062</c:v>
                </c:pt>
                <c:pt idx="6">
                  <c:v>48</c:v>
                </c:pt>
                <c:pt idx="7">
                  <c:v>108.8</c:v>
                </c:pt>
                <c:pt idx="8">
                  <c:v>83.9</c:v>
                </c:pt>
                <c:pt idx="9">
                  <c:v>12</c:v>
                </c:pt>
                <c:pt idx="10">
                  <c:v>1.6</c:v>
                </c:pt>
              </c:numCache>
            </c:numRef>
          </c:val>
        </c:ser>
        <c:shape val="cylinder"/>
        <c:axId val="107337600"/>
        <c:axId val="107339136"/>
        <c:axId val="0"/>
      </c:bar3DChart>
      <c:catAx>
        <c:axId val="107337600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900" b="0"/>
            </a:pPr>
            <a:endParaRPr lang="ru-RU"/>
          </a:p>
        </c:txPr>
        <c:crossAx val="107339136"/>
        <c:crosses val="autoZero"/>
        <c:auto val="1"/>
        <c:lblAlgn val="ctr"/>
        <c:lblOffset val="100"/>
      </c:catAx>
      <c:valAx>
        <c:axId val="107339136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07337600"/>
        <c:crosses val="autoZero"/>
        <c:crossBetween val="between"/>
        <c:majorUnit val="50"/>
      </c:valAx>
      <c:spPr>
        <a:noFill/>
        <a:ln w="2539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55676808398950162"/>
          <c:y val="0.93574306590054623"/>
          <c:w val="0.43969931758530167"/>
          <c:h val="6.425693409945393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7168939047454236E-2"/>
          <c:y val="8.7293730117546181E-2"/>
          <c:w val="0.91969598134818364"/>
          <c:h val="0.392844948822658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январь-март 2016г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1.9786666226008541E-3"/>
                  <c:y val="1.857510757863779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90,0*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2.3899662070048211E-3"/>
                  <c:y val="5.73619822945870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в 2,4р.*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85,4*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4.4829561140022612E-5"/>
                  <c:y val="4.121623258631140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58,6*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6.1068021227443613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116,6*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38,0*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121,2*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1.16912674051336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118,7*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7.5517842536209734E-4"/>
                  <c:y val="6.180456951077877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95,5*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3.6142806388446292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95,2*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2.7098810450891472E-3"/>
                  <c:y val="-1.22803584463184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ysClr val="windowText" lastClr="000000"/>
                        </a:solidFill>
                      </a:rPr>
                      <a:t>42,3*</a:t>
                    </a:r>
                    <a:endParaRPr lang="en-US" sz="80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73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873.1</c:v>
                </c:pt>
                <c:pt idx="1">
                  <c:v>693</c:v>
                </c:pt>
                <c:pt idx="2">
                  <c:v>46.5</c:v>
                </c:pt>
                <c:pt idx="3">
                  <c:v>32.5</c:v>
                </c:pt>
                <c:pt idx="4">
                  <c:v>37.300000000000004</c:v>
                </c:pt>
                <c:pt idx="5">
                  <c:v>1.2</c:v>
                </c:pt>
                <c:pt idx="6">
                  <c:v>51.3</c:v>
                </c:pt>
                <c:pt idx="7">
                  <c:v>266.8</c:v>
                </c:pt>
                <c:pt idx="8">
                  <c:v>217.8</c:v>
                </c:pt>
                <c:pt idx="9">
                  <c:v>24.4</c:v>
                </c:pt>
                <c:pt idx="10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январь-март 2017г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</c:spPr>
          <c:dLbls>
            <c:dLbl>
              <c:idx val="0"/>
              <c:layout>
                <c:manualLayout>
                  <c:x val="1.0188341841885169E-2"/>
                  <c:y val="5.187976144815708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103,2*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5.9695834723956292E-3"/>
                  <c:y val="-5.819401514638750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43,9* 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4.3862099655125634E-3"/>
                  <c:y val="-1.226110049853238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85,6*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5.9807908626806358E-3"/>
                  <c:y val="-5.168584696143746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198,0*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3.8986884881148077E-3"/>
                  <c:y val="-1.231048781624189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97,5*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1.1751278342954408E-4"/>
                  <c:y val="-1.693953936231346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94,5*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1.5047569603250175E-4"/>
                  <c:y val="-7.7156035968876787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111,4*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3.8713292706543606E-3"/>
                  <c:y val="-4.3790088369131458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107,9*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3.3094764253369449E-4"/>
                  <c:y val="-1.336501576356215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104,1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2.0483153891477849E-3"/>
                  <c:y val="-6.9216791688021416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125,9*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/>
                      <a:t>75,2*</a:t>
                    </a:r>
                    <a:endParaRPr lang="en-US" sz="800" b="1"/>
                  </a:p>
                </c:rich>
              </c:tx>
            </c:dLbl>
            <c:spPr>
              <a:noFill/>
              <a:ln w="25373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901.1</c:v>
                </c:pt>
                <c:pt idx="1">
                  <c:v>304.39999999999969</c:v>
                </c:pt>
                <c:pt idx="2">
                  <c:v>39.800000000000004</c:v>
                </c:pt>
                <c:pt idx="3">
                  <c:v>64.3</c:v>
                </c:pt>
                <c:pt idx="4">
                  <c:v>36.4</c:v>
                </c:pt>
                <c:pt idx="5">
                  <c:v>1.1000000000000001</c:v>
                </c:pt>
                <c:pt idx="6">
                  <c:v>57.2</c:v>
                </c:pt>
                <c:pt idx="7">
                  <c:v>287.89999999999969</c:v>
                </c:pt>
                <c:pt idx="8">
                  <c:v>226.7</c:v>
                </c:pt>
                <c:pt idx="9">
                  <c:v>30.7</c:v>
                </c:pt>
                <c:pt idx="10">
                  <c:v>3.5</c:v>
                </c:pt>
              </c:numCache>
            </c:numRef>
          </c:val>
        </c:ser>
        <c:shape val="cylinder"/>
        <c:axId val="119952896"/>
        <c:axId val="119954432"/>
        <c:axId val="0"/>
      </c:bar3DChart>
      <c:catAx>
        <c:axId val="119952896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49" b="1"/>
            </a:pPr>
            <a:endParaRPr lang="ru-RU"/>
          </a:p>
        </c:txPr>
        <c:crossAx val="119954432"/>
        <c:crosses val="autoZero"/>
        <c:auto val="1"/>
        <c:lblAlgn val="ctr"/>
        <c:lblOffset val="100"/>
      </c:catAx>
      <c:valAx>
        <c:axId val="119954432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899" b="1"/>
            </a:pPr>
            <a:endParaRPr lang="ru-RU"/>
          </a:p>
        </c:txPr>
        <c:crossAx val="119952896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99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99"/>
            </a:pPr>
            <a:endParaRPr lang="ru-RU"/>
          </a:p>
        </c:txPr>
      </c:legendEntry>
      <c:layout>
        <c:manualLayout>
          <c:xMode val="edge"/>
          <c:yMode val="edge"/>
          <c:x val="1.7418750656167981E-2"/>
          <c:y val="0.89115811706968584"/>
          <c:w val="0.40372052394549618"/>
          <c:h val="0.10884188293031419"/>
        </c:manualLayout>
      </c:layout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980" b="1" i="0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29">
                <a:solidFill>
                  <a:sysClr val="windowText" lastClr="000000"/>
                </a:solidFill>
              </a:rPr>
              <a:t>Обьем производства в отрасли электроэнергетика,</a:t>
            </a:r>
            <a:r>
              <a:rPr lang="ru-RU" sz="1029" baseline="0">
                <a:solidFill>
                  <a:sysClr val="windowText" lastClr="000000"/>
                </a:solidFill>
              </a:rPr>
              <a:t> </a:t>
            </a:r>
            <a:r>
              <a:rPr lang="ru-RU" sz="1029">
                <a:solidFill>
                  <a:sysClr val="windowText" lastClr="000000"/>
                </a:solidFill>
              </a:rPr>
              <a:t>млн. руб.</a:t>
            </a:r>
          </a:p>
        </c:rich>
      </c:tx>
      <c:layout>
        <c:manualLayout>
          <c:xMode val="edge"/>
          <c:yMode val="edge"/>
          <c:x val="0.20915768862225556"/>
          <c:y val="5.9822458498420194E-3"/>
        </c:manualLayout>
      </c:layout>
      <c:spPr>
        <a:noFill/>
        <a:ln w="24879">
          <a:noFill/>
        </a:ln>
      </c:spPr>
    </c:title>
    <c:plotArea>
      <c:layout>
        <c:manualLayout>
          <c:layoutTarget val="inner"/>
          <c:xMode val="edge"/>
          <c:yMode val="edge"/>
          <c:x val="0.38372470107903567"/>
          <c:y val="0.19942753777399491"/>
          <c:w val="0.51487817522032142"/>
          <c:h val="0.5590870397957011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129">
              <a:noFill/>
            </a:ln>
          </c:spPr>
          <c:dLbls>
            <c:dLbl>
              <c:idx val="0"/>
              <c:layout>
                <c:manualLayout>
                  <c:x val="1.4564846060909062E-4"/>
                  <c:y val="1.169965240831390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95,0%*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3.0126172020099452E-3"/>
                  <c:y val="-3.493505619489871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93,1%*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201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487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873.1</c:v>
                </c:pt>
                <c:pt idx="1">
                  <c:v>653.6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129">
              <a:noFill/>
            </a:ln>
          </c:spPr>
          <c:dLbls>
            <c:dLbl>
              <c:idx val="0"/>
              <c:layout>
                <c:manualLayout>
                  <c:x val="-2.4052281178694032E-3"/>
                  <c:y val="3.3688826871324812E-3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103,2%*</a:t>
                    </a:r>
                    <a:endParaRPr lang="en-US" sz="8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581343998666825E-3"/>
                  <c:y val="-8.4798184010782506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103,1</a:t>
                    </a:r>
                  </a:p>
                </c:rich>
              </c:tx>
              <c:spPr>
                <a:noFill/>
                <a:ln w="24879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879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4879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901.1</c:v>
                </c:pt>
                <c:pt idx="1">
                  <c:v>673.8</c:v>
                </c:pt>
              </c:numCache>
            </c:numRef>
          </c:val>
        </c:ser>
        <c:dLbls>
          <c:showVal val="1"/>
        </c:dLbls>
        <c:axId val="107877504"/>
        <c:axId val="107879040"/>
      </c:barChart>
      <c:catAx>
        <c:axId val="107877504"/>
        <c:scaling>
          <c:orientation val="minMax"/>
        </c:scaling>
        <c:axPos val="l"/>
        <c:numFmt formatCode="General" sourceLinked="1"/>
        <c:tickLblPos val="nextTo"/>
        <c:crossAx val="107879040"/>
        <c:crosses val="autoZero"/>
        <c:auto val="1"/>
        <c:lblAlgn val="ctr"/>
        <c:lblOffset val="100"/>
      </c:catAx>
      <c:valAx>
        <c:axId val="10787904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2.073490813648294E-3"/>
              <c:y val="0.75919578680115973"/>
            </c:manualLayout>
          </c:layout>
          <c:spPr>
            <a:noFill/>
            <a:ln w="24879">
              <a:noFill/>
            </a:ln>
          </c:spPr>
        </c:title>
        <c:numFmt formatCode="0.0" sourceLinked="1"/>
        <c:tickLblPos val="nextTo"/>
        <c:crossAx val="10787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311218355769685"/>
          <c:y val="6.4000137237747723E-2"/>
          <c:w val="6.9510287020574532E-2"/>
          <c:h val="0.51199972552450879"/>
        </c:manualLayout>
      </c:layout>
      <c:txPr>
        <a:bodyPr/>
        <a:lstStyle/>
        <a:p>
          <a:pPr>
            <a:defRPr sz="833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29"/>
              <a:t>Обьем производства по отрасли легкая промышленность,</a:t>
            </a:r>
            <a:r>
              <a:rPr lang="ru-RU" sz="1029" baseline="0"/>
              <a:t> </a:t>
            </a:r>
            <a:r>
              <a:rPr lang="ru-RU" sz="1029"/>
              <a:t>млн. руб.</a:t>
            </a:r>
          </a:p>
        </c:rich>
      </c:tx>
      <c:layout>
        <c:manualLayout>
          <c:xMode val="edge"/>
          <c:yMode val="edge"/>
          <c:x val="0.15336469522779358"/>
          <c:y val="2.2900708839966432E-2"/>
        </c:manualLayout>
      </c:layout>
      <c:spPr>
        <a:noFill/>
        <a:ln w="24887">
          <a:noFill/>
        </a:ln>
      </c:spPr>
    </c:title>
    <c:plotArea>
      <c:layout>
        <c:manualLayout>
          <c:layoutTarget val="inner"/>
          <c:xMode val="edge"/>
          <c:yMode val="edge"/>
          <c:x val="0.32546692064108923"/>
          <c:y val="0.22074339972209792"/>
          <c:w val="0.57282457566459788"/>
          <c:h val="0.525347383047706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8828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1.2925271133561238E-4"/>
                  <c:y val="1.656786532256734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105,4%*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2.279965004374454E-2"/>
                  <c:y val="1.541635321062574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116,5%*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488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266.8</c:v>
                </c:pt>
                <c:pt idx="1">
                  <c:v>138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8828">
              <a:noFill/>
            </a:ln>
          </c:spPr>
          <c:dLbls>
            <c:dLbl>
              <c:idx val="0"/>
              <c:layout>
                <c:manualLayout>
                  <c:x val="-8.9052311857244267E-3"/>
                  <c:y val="4.8334085627831924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107,9% *</a:t>
                    </a:r>
                  </a:p>
                </c:rich>
              </c:tx>
              <c:spPr>
                <a:noFill/>
                <a:ln w="2488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2.3189554135921667E-3"/>
                  <c:y val="2.8714245114265292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112,1% *</a:t>
                    </a:r>
                  </a:p>
                </c:rich>
              </c:tx>
              <c:spPr>
                <a:noFill/>
                <a:ln w="2488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882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4887">
                <a:noFill/>
              </a:ln>
            </c:spPr>
            <c:txPr>
              <a:bodyPr/>
              <a:lstStyle/>
              <a:p>
                <a:pPr>
                  <a:defRPr sz="882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287.89999999999969</c:v>
                </c:pt>
                <c:pt idx="1">
                  <c:v>154.69999999999999</c:v>
                </c:pt>
              </c:numCache>
            </c:numRef>
          </c:val>
        </c:ser>
        <c:dLbls>
          <c:showVal val="1"/>
        </c:dLbls>
        <c:axId val="119616640"/>
        <c:axId val="119618176"/>
      </c:barChart>
      <c:catAx>
        <c:axId val="1196166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82" kern="0" baseline="0"/>
            </a:pPr>
            <a:endParaRPr lang="ru-RU"/>
          </a:p>
        </c:txPr>
        <c:crossAx val="119618176"/>
        <c:crosses val="autoZero"/>
        <c:auto val="1"/>
        <c:lblAlgn val="ctr"/>
        <c:lblOffset val="100"/>
      </c:catAx>
      <c:valAx>
        <c:axId val="11961817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3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72010641517"/>
            </c:manualLayout>
          </c:layout>
          <c:spPr>
            <a:noFill/>
            <a:ln w="2488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2"/>
            </a:pPr>
            <a:endParaRPr lang="ru-RU"/>
          </a:p>
        </c:txPr>
        <c:crossAx val="119616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27861772869666"/>
          <c:y val="0.22900780259610481"/>
          <c:w val="9.8591565830629696E-2"/>
          <c:h val="0.33587801524809652"/>
        </c:manualLayout>
      </c:layout>
      <c:txPr>
        <a:bodyPr/>
        <a:lstStyle/>
        <a:p>
          <a:pPr>
            <a:defRPr sz="882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внешнеторгового оборота </a:t>
            </a:r>
          </a:p>
          <a:p>
            <a:pPr>
              <a:defRPr sz="1200"/>
            </a:pPr>
            <a:r>
              <a:rPr lang="ru-RU" sz="1200"/>
              <a:t>в январе-марте 2016 - 2017 г.г.</a:t>
            </a:r>
          </a:p>
        </c:rich>
      </c:tx>
      <c:layout>
        <c:manualLayout>
          <c:xMode val="edge"/>
          <c:yMode val="edge"/>
          <c:x val="0.36300926034097442"/>
          <c:y val="0"/>
        </c:manualLayout>
      </c:layout>
    </c:title>
    <c:plotArea>
      <c:layout>
        <c:manualLayout>
          <c:layoutTarget val="inner"/>
          <c:xMode val="edge"/>
          <c:yMode val="edge"/>
          <c:x val="0.23831820875762996"/>
          <c:y val="0.27065061578841132"/>
          <c:w val="0.74851471278700132"/>
          <c:h val="0.4345926711084199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март 2016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9.77517106549364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-25,4*</a:t>
                    </a:r>
                    <a:endParaRPr lang="en-US" sz="900"/>
                  </a:p>
                </c:rich>
              </c:tx>
              <c:showVal val="1"/>
            </c:dLbl>
            <c:dLbl>
              <c:idx val="1"/>
              <c:layout>
                <c:manualLayout>
                  <c:x val="-6.7130025169141374E-3"/>
                  <c:y val="1.112204724409450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-1,4*</a:t>
                    </a:r>
                    <a:endParaRPr lang="en-US" sz="900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900"/>
                      <a:t>-35,1*</a:t>
                    </a:r>
                    <a:endParaRPr lang="en-US" sz="900"/>
                  </a:p>
                </c:rich>
              </c:tx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336.82799999999969</c:v>
                </c:pt>
                <c:pt idx="1">
                  <c:v>128.01899999999998</c:v>
                </c:pt>
                <c:pt idx="2">
                  <c:v>208.809</c:v>
                </c:pt>
                <c:pt idx="3">
                  <c:v>-80.789999999999992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март 2017 г.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effectLst>
              <a:outerShdw blurRad="40000" dist="12700" dir="5400000" rotWithShape="0">
                <a:srgbClr val="000000">
                  <a:alpha val="35000"/>
                </a:srgbClr>
              </a:outerShdw>
            </a:effectLst>
          </c:spPr>
          <c:dLbls>
            <c:dLbl>
              <c:idx val="0"/>
              <c:layout>
                <c:manualLayout>
                  <c:x val="2.2073413843797423E-3"/>
                  <c:y val="3.3444377145164629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+1,5*</a:t>
                    </a:r>
                    <a:endParaRPr lang="en-US" sz="900"/>
                  </a:p>
                </c:rich>
              </c:tx>
              <c:showVal val="1"/>
            </c:dLbl>
            <c:dLbl>
              <c:idx val="1"/>
              <c:layout>
                <c:manualLayout>
                  <c:x val="1.0962969804727506E-2"/>
                  <c:y val="9.754694124772870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-3,8*</a:t>
                    </a:r>
                    <a:endParaRPr lang="en-US" sz="900"/>
                  </a:p>
                </c:rich>
              </c:tx>
              <c:showVal val="1"/>
            </c:dLbl>
            <c:dLbl>
              <c:idx val="2"/>
              <c:layout>
                <c:manualLayout>
                  <c:x val="1.0367223158688739E-2"/>
                  <c:y val="1.059105592570159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+4,8*</a:t>
                    </a:r>
                    <a:endParaRPr lang="en-US" sz="900"/>
                  </a:p>
                </c:rich>
              </c:tx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341.94099999999969</c:v>
                </c:pt>
                <c:pt idx="1">
                  <c:v>123.098</c:v>
                </c:pt>
                <c:pt idx="2">
                  <c:v>218.84300000000002</c:v>
                </c:pt>
                <c:pt idx="3">
                  <c:v>-95.745000000000005</c:v>
                </c:pt>
              </c:numCache>
            </c:numRef>
          </c:val>
        </c:ser>
        <c:gapWidth val="76"/>
        <c:overlap val="-6"/>
        <c:axId val="132492672"/>
        <c:axId val="132810624"/>
      </c:barChart>
      <c:catAx>
        <c:axId val="132492672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2810624"/>
        <c:crosses val="autoZero"/>
        <c:lblAlgn val="ctr"/>
        <c:lblOffset val="20"/>
        <c:tickMarkSkip val="1"/>
      </c:catAx>
      <c:valAx>
        <c:axId val="13281062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ru-RU" sz="900"/>
                  <a:t>* - темп прироста (спада) в % к </a:t>
                </a:r>
              </a:p>
              <a:p>
                <a:pPr>
                  <a:defRPr sz="900"/>
                </a:pPr>
                <a:r>
                  <a:rPr lang="ru-RU" sz="900"/>
                  <a:t>предыдущему году</a:t>
                </a:r>
              </a:p>
            </c:rich>
          </c:tx>
          <c:layout>
            <c:manualLayout>
              <c:xMode val="edge"/>
              <c:yMode val="edge"/>
              <c:x val="1.5228485002424562E-2"/>
              <c:y val="0.33583888552392555"/>
            </c:manualLayout>
          </c:layout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32492672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0.30926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984977"/>
          <a:ext cx="1876425" cy="2344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661F-1CB0-45DE-879F-F7D586E8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1937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kovalenko-k</dc:creator>
  <cp:keywords/>
  <dc:description/>
  <cp:lastModifiedBy>kovalenko-k</cp:lastModifiedBy>
  <cp:revision>20</cp:revision>
  <cp:lastPrinted>2017-04-25T08:42:00Z</cp:lastPrinted>
  <dcterms:created xsi:type="dcterms:W3CDTF">2017-03-24T09:21:00Z</dcterms:created>
  <dcterms:modified xsi:type="dcterms:W3CDTF">2017-04-25T08:43:00Z</dcterms:modified>
</cp:coreProperties>
</file>