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.xml" ContentType="application/vnd.openxmlformats-officedocument.themeOverride+xml"/>
  <Default Extension="jpeg" ContentType="image/jpeg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CC" w:rsidRPr="00D14A36" w:rsidRDefault="004E05CC" w:rsidP="00282ABE">
      <w:pPr>
        <w:pStyle w:val="1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A36">
        <w:rPr>
          <w:rFonts w:ascii="Times New Roman" w:hAnsi="Times New Roman" w:cs="Times New Roman"/>
          <w:sz w:val="24"/>
          <w:szCs w:val="24"/>
        </w:rPr>
        <w:t>Краткие итоги социально-экономического развития Приднестровской Молдавской Республики в январе</w:t>
      </w:r>
      <w:r w:rsidR="004D5523" w:rsidRPr="00D14A36">
        <w:rPr>
          <w:rFonts w:ascii="Times New Roman" w:hAnsi="Times New Roman" w:cs="Times New Roman"/>
          <w:sz w:val="24"/>
          <w:szCs w:val="24"/>
        </w:rPr>
        <w:t>-</w:t>
      </w:r>
      <w:r w:rsidR="00DF0510" w:rsidRPr="00D14A36">
        <w:rPr>
          <w:rFonts w:ascii="Times New Roman" w:hAnsi="Times New Roman" w:cs="Times New Roman"/>
          <w:sz w:val="24"/>
          <w:szCs w:val="24"/>
        </w:rPr>
        <w:t>апреле</w:t>
      </w:r>
      <w:r w:rsidRPr="00D14A36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4E05CC" w:rsidRPr="00D14A36" w:rsidRDefault="004E05CC" w:rsidP="00282ABE">
      <w:pPr>
        <w:spacing w:after="0"/>
      </w:pPr>
    </w:p>
    <w:p w:rsidR="00382A15" w:rsidRPr="00D14A36" w:rsidRDefault="00383730" w:rsidP="00D358C9">
      <w:pPr>
        <w:pStyle w:val="a3"/>
        <w:spacing w:before="0" w:beforeAutospacing="0" w:after="0" w:afterAutospacing="0"/>
        <w:ind w:firstLine="709"/>
        <w:jc w:val="both"/>
      </w:pPr>
      <w:r w:rsidRPr="00D14A36">
        <w:t>Действующие</w:t>
      </w:r>
      <w:r w:rsidR="00D358C9" w:rsidRPr="00D14A36">
        <w:t xml:space="preserve"> ограничения и барьеры при осуществлении внешнеэкономической деятельности, </w:t>
      </w:r>
      <w:r w:rsidR="00F972B6" w:rsidRPr="00D14A36">
        <w:t>снижение уровня потребительского спроса,</w:t>
      </w:r>
      <w:r w:rsidR="00D358C9" w:rsidRPr="00D14A36">
        <w:t xml:space="preserve"> </w:t>
      </w:r>
      <w:r w:rsidRPr="00D14A36">
        <w:t>а также сохраняющиеся</w:t>
      </w:r>
      <w:r w:rsidR="00D358C9" w:rsidRPr="00D14A36">
        <w:t xml:space="preserve"> </w:t>
      </w:r>
      <w:r w:rsidRPr="00D14A36">
        <w:t>трудности в функционировании структурообразующих предприятий промышленности</w:t>
      </w:r>
      <w:r w:rsidR="00D358C9" w:rsidRPr="00D14A36">
        <w:t xml:space="preserve"> </w:t>
      </w:r>
      <w:r w:rsidR="00513C0D" w:rsidRPr="00D14A36">
        <w:t xml:space="preserve">продолжали оказывать дестабилизирующее воздействие </w:t>
      </w:r>
      <w:r w:rsidR="00CE2D4A" w:rsidRPr="00D14A36">
        <w:t xml:space="preserve">на </w:t>
      </w:r>
      <w:r w:rsidR="00513C0D" w:rsidRPr="00D14A36">
        <w:t xml:space="preserve">результативность </w:t>
      </w:r>
      <w:r w:rsidR="00313C47" w:rsidRPr="00D14A36">
        <w:t xml:space="preserve">хозяйственной </w:t>
      </w:r>
      <w:r w:rsidR="00513C0D" w:rsidRPr="00D14A36">
        <w:t xml:space="preserve">деятельности предприятий </w:t>
      </w:r>
      <w:r w:rsidR="003A7AEB" w:rsidRPr="00D14A36">
        <w:t>промышленного сектора</w:t>
      </w:r>
      <w:r w:rsidRPr="00D14A36">
        <w:t xml:space="preserve"> в январе-апреле 2017 года</w:t>
      </w:r>
      <w:r w:rsidR="003A7AEB" w:rsidRPr="00D14A36">
        <w:t>, а также</w:t>
      </w:r>
      <w:r w:rsidR="00513C0D" w:rsidRPr="00D14A36">
        <w:t xml:space="preserve"> отража</w:t>
      </w:r>
      <w:r w:rsidR="00382A15" w:rsidRPr="00D14A36">
        <w:t>лись</w:t>
      </w:r>
      <w:r w:rsidR="00513C0D" w:rsidRPr="00D14A36">
        <w:t xml:space="preserve"> на </w:t>
      </w:r>
      <w:r w:rsidR="003A7AEB" w:rsidRPr="00D14A36">
        <w:t>динамике показателей внешнеэкономической деятельности и на развитии экономики в целом.</w:t>
      </w:r>
    </w:p>
    <w:p w:rsidR="00CD2B89" w:rsidRPr="00D14A36" w:rsidRDefault="00CD2B89" w:rsidP="00CD2B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D2B89" w:rsidRPr="00D14A36" w:rsidRDefault="00CD2B89" w:rsidP="00CD2B8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4A36">
        <w:rPr>
          <w:rFonts w:ascii="Times New Roman" w:hAnsi="Times New Roman"/>
          <w:b/>
          <w:sz w:val="24"/>
          <w:szCs w:val="24"/>
          <w:u w:val="single"/>
        </w:rPr>
        <w:t>Промышленность</w:t>
      </w:r>
    </w:p>
    <w:p w:rsidR="00CD2B89" w:rsidRPr="00D14A36" w:rsidRDefault="00CD2B89" w:rsidP="00CD2B8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687B" w:rsidRPr="00D14A36" w:rsidRDefault="0039687B" w:rsidP="003968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14A36">
        <w:rPr>
          <w:rFonts w:ascii="Times New Roman" w:hAnsi="Times New Roman"/>
          <w:sz w:val="24"/>
          <w:szCs w:val="24"/>
        </w:rPr>
        <w:t>Объем п</w:t>
      </w:r>
      <w:r w:rsidRPr="00D14A36">
        <w:rPr>
          <w:rFonts w:ascii="Times New Roman" w:hAnsi="Times New Roman"/>
          <w:snapToGrid w:val="0"/>
          <w:sz w:val="24"/>
          <w:szCs w:val="24"/>
        </w:rPr>
        <w:t>ромышленного производства</w:t>
      </w:r>
      <w:r w:rsidRPr="00D14A36">
        <w:rPr>
          <w:rFonts w:ascii="Times New Roman" w:hAnsi="Times New Roman"/>
          <w:sz w:val="24"/>
          <w:szCs w:val="24"/>
        </w:rPr>
        <w:t xml:space="preserve"> </w:t>
      </w:r>
      <w:r w:rsidR="003A7AEB" w:rsidRPr="00D14A36">
        <w:rPr>
          <w:rFonts w:ascii="Times New Roman" w:hAnsi="Times New Roman"/>
          <w:sz w:val="24"/>
          <w:szCs w:val="24"/>
        </w:rPr>
        <w:t>в январе-</w:t>
      </w:r>
      <w:r w:rsidR="00DF0510" w:rsidRPr="00D14A36">
        <w:rPr>
          <w:rFonts w:ascii="Times New Roman" w:hAnsi="Times New Roman"/>
          <w:sz w:val="24"/>
          <w:szCs w:val="24"/>
        </w:rPr>
        <w:t>апрел</w:t>
      </w:r>
      <w:r w:rsidR="003A7AEB" w:rsidRPr="00D14A36">
        <w:rPr>
          <w:rFonts w:ascii="Times New Roman" w:hAnsi="Times New Roman"/>
          <w:sz w:val="24"/>
          <w:szCs w:val="24"/>
        </w:rPr>
        <w:t xml:space="preserve">е 2017 года </w:t>
      </w:r>
      <w:r w:rsidRPr="00D14A36">
        <w:rPr>
          <w:rFonts w:ascii="Times New Roman" w:hAnsi="Times New Roman"/>
          <w:sz w:val="24"/>
          <w:szCs w:val="24"/>
        </w:rPr>
        <w:t xml:space="preserve">(без учета субъектов малого предпринимательства) </w:t>
      </w:r>
      <w:r w:rsidRPr="00D14A36">
        <w:rPr>
          <w:rFonts w:ascii="Times New Roman" w:hAnsi="Times New Roman"/>
          <w:snapToGrid w:val="0"/>
          <w:sz w:val="24"/>
          <w:szCs w:val="24"/>
        </w:rPr>
        <w:t xml:space="preserve">в текущих ценах </w:t>
      </w:r>
      <w:r w:rsidRPr="00D14A36">
        <w:rPr>
          <w:rFonts w:ascii="Times New Roman" w:hAnsi="Times New Roman"/>
          <w:sz w:val="24"/>
          <w:szCs w:val="24"/>
        </w:rPr>
        <w:t xml:space="preserve">сократился </w:t>
      </w:r>
      <w:r w:rsidR="003A7AEB" w:rsidRPr="00D14A36">
        <w:rPr>
          <w:rFonts w:ascii="Times New Roman" w:hAnsi="Times New Roman"/>
          <w:sz w:val="24"/>
          <w:szCs w:val="24"/>
        </w:rPr>
        <w:t xml:space="preserve">по отношению к сопоставимому уровню показателя 2016 года </w:t>
      </w:r>
      <w:r w:rsidRPr="00D14A36">
        <w:rPr>
          <w:rFonts w:ascii="Times New Roman" w:hAnsi="Times New Roman"/>
          <w:sz w:val="24"/>
          <w:szCs w:val="24"/>
        </w:rPr>
        <w:t xml:space="preserve">на </w:t>
      </w:r>
      <w:r w:rsidR="00DF0510" w:rsidRPr="00D14A36">
        <w:rPr>
          <w:rFonts w:ascii="Times New Roman" w:hAnsi="Times New Roman"/>
          <w:sz w:val="24"/>
          <w:szCs w:val="24"/>
        </w:rPr>
        <w:t>8,6</w:t>
      </w:r>
      <w:r w:rsidRPr="00D14A36">
        <w:rPr>
          <w:rFonts w:ascii="Times New Roman" w:hAnsi="Times New Roman"/>
          <w:sz w:val="24"/>
          <w:szCs w:val="24"/>
        </w:rPr>
        <w:t>%</w:t>
      </w:r>
      <w:r w:rsidR="003A7AEB" w:rsidRPr="00D14A36">
        <w:rPr>
          <w:rFonts w:ascii="Times New Roman" w:hAnsi="Times New Roman"/>
          <w:sz w:val="24"/>
          <w:szCs w:val="24"/>
        </w:rPr>
        <w:t>,</w:t>
      </w:r>
      <w:r w:rsidRPr="00D14A36">
        <w:rPr>
          <w:rFonts w:ascii="Times New Roman" w:hAnsi="Times New Roman"/>
          <w:sz w:val="24"/>
          <w:szCs w:val="24"/>
        </w:rPr>
        <w:t xml:space="preserve"> составив </w:t>
      </w:r>
      <w:r w:rsidR="00DF0510" w:rsidRPr="00D14A36">
        <w:rPr>
          <w:rFonts w:ascii="Times New Roman" w:hAnsi="Times New Roman"/>
          <w:sz w:val="24"/>
          <w:szCs w:val="24"/>
        </w:rPr>
        <w:t>2</w:t>
      </w:r>
      <w:r w:rsidRPr="00D14A36">
        <w:rPr>
          <w:rFonts w:ascii="Times New Roman" w:hAnsi="Times New Roman"/>
          <w:sz w:val="24"/>
          <w:szCs w:val="24"/>
        </w:rPr>
        <w:t> </w:t>
      </w:r>
      <w:r w:rsidR="00DF0510" w:rsidRPr="00D14A36">
        <w:rPr>
          <w:rFonts w:ascii="Times New Roman" w:hAnsi="Times New Roman"/>
          <w:sz w:val="24"/>
          <w:szCs w:val="24"/>
        </w:rPr>
        <w:t>460</w:t>
      </w:r>
      <w:r w:rsidRPr="00D14A36">
        <w:rPr>
          <w:rFonts w:ascii="Times New Roman" w:hAnsi="Times New Roman"/>
          <w:sz w:val="24"/>
          <w:szCs w:val="24"/>
        </w:rPr>
        <w:t>,</w:t>
      </w:r>
      <w:r w:rsidR="00DF0510" w:rsidRPr="00D14A36">
        <w:rPr>
          <w:rFonts w:ascii="Times New Roman" w:hAnsi="Times New Roman"/>
          <w:sz w:val="24"/>
          <w:szCs w:val="24"/>
        </w:rPr>
        <w:t>2</w:t>
      </w:r>
      <w:r w:rsidRPr="00D14A36">
        <w:rPr>
          <w:rFonts w:ascii="Times New Roman" w:hAnsi="Times New Roman"/>
          <w:sz w:val="24"/>
          <w:szCs w:val="24"/>
        </w:rPr>
        <w:t xml:space="preserve"> млн. руб., в сопоставимых ценах данный показатель сложился на 1</w:t>
      </w:r>
      <w:r w:rsidR="00DF0510" w:rsidRPr="00D14A36">
        <w:rPr>
          <w:rFonts w:ascii="Times New Roman" w:hAnsi="Times New Roman"/>
          <w:sz w:val="24"/>
          <w:szCs w:val="24"/>
        </w:rPr>
        <w:t>5</w:t>
      </w:r>
      <w:r w:rsidRPr="00D14A36">
        <w:rPr>
          <w:rFonts w:ascii="Times New Roman" w:hAnsi="Times New Roman"/>
          <w:sz w:val="24"/>
          <w:szCs w:val="24"/>
        </w:rPr>
        <w:t>,</w:t>
      </w:r>
      <w:r w:rsidR="00DF0510" w:rsidRPr="00D14A36">
        <w:rPr>
          <w:rFonts w:ascii="Times New Roman" w:hAnsi="Times New Roman"/>
          <w:sz w:val="24"/>
          <w:szCs w:val="24"/>
        </w:rPr>
        <w:t>0</w:t>
      </w:r>
      <w:r w:rsidRPr="00D14A36">
        <w:rPr>
          <w:rFonts w:ascii="Times New Roman" w:hAnsi="Times New Roman"/>
          <w:sz w:val="24"/>
          <w:szCs w:val="24"/>
        </w:rPr>
        <w:t xml:space="preserve">% ниже базового уровня минувшего года, при этом в долларовом эквиваленте объем произведенной продукции составил </w:t>
      </w:r>
      <w:r w:rsidR="00DF0510" w:rsidRPr="00D14A36">
        <w:rPr>
          <w:rFonts w:ascii="Times New Roman" w:hAnsi="Times New Roman"/>
          <w:sz w:val="24"/>
          <w:szCs w:val="24"/>
        </w:rPr>
        <w:t>217,7</w:t>
      </w:r>
      <w:r w:rsidRPr="00D14A36">
        <w:rPr>
          <w:rFonts w:ascii="Times New Roman" w:hAnsi="Times New Roman"/>
          <w:sz w:val="24"/>
          <w:szCs w:val="24"/>
        </w:rPr>
        <w:t xml:space="preserve"> млн. долл. или </w:t>
      </w:r>
      <w:r w:rsidR="00DF0510" w:rsidRPr="00D14A36">
        <w:rPr>
          <w:rFonts w:ascii="Times New Roman" w:hAnsi="Times New Roman"/>
          <w:sz w:val="24"/>
          <w:szCs w:val="24"/>
        </w:rPr>
        <w:t>90,4</w:t>
      </w:r>
      <w:r w:rsidRPr="00D14A36">
        <w:rPr>
          <w:rFonts w:ascii="Times New Roman" w:hAnsi="Times New Roman"/>
          <w:sz w:val="24"/>
          <w:szCs w:val="24"/>
        </w:rPr>
        <w:t>% к уровню</w:t>
      </w:r>
      <w:proofErr w:type="gramEnd"/>
      <w:r w:rsidRPr="00D14A36">
        <w:rPr>
          <w:rFonts w:ascii="Times New Roman" w:hAnsi="Times New Roman"/>
          <w:sz w:val="24"/>
          <w:szCs w:val="24"/>
        </w:rPr>
        <w:t xml:space="preserve"> аналогичного </w:t>
      </w:r>
      <w:r w:rsidR="004647C4" w:rsidRPr="00D14A36">
        <w:rPr>
          <w:rFonts w:ascii="Times New Roman" w:hAnsi="Times New Roman"/>
          <w:sz w:val="24"/>
          <w:szCs w:val="24"/>
        </w:rPr>
        <w:t>п</w:t>
      </w:r>
      <w:r w:rsidRPr="00D14A36">
        <w:rPr>
          <w:rFonts w:ascii="Times New Roman" w:hAnsi="Times New Roman"/>
          <w:sz w:val="24"/>
          <w:szCs w:val="24"/>
        </w:rPr>
        <w:t xml:space="preserve">оказателя 2016 года. Доход от реализации промышленной продукции в </w:t>
      </w:r>
      <w:r w:rsidR="004647C4" w:rsidRPr="00D14A36">
        <w:rPr>
          <w:rFonts w:ascii="Times New Roman" w:hAnsi="Times New Roman"/>
          <w:sz w:val="24"/>
          <w:szCs w:val="24"/>
        </w:rPr>
        <w:t>обозначенном</w:t>
      </w:r>
      <w:r w:rsidRPr="00D14A36">
        <w:rPr>
          <w:rFonts w:ascii="Times New Roman" w:hAnsi="Times New Roman"/>
          <w:sz w:val="24"/>
          <w:szCs w:val="24"/>
        </w:rPr>
        <w:t xml:space="preserve"> периоде сложился ниже сопоставимого значения 2016 года на </w:t>
      </w:r>
      <w:r w:rsidR="008C6AD0" w:rsidRPr="00D14A36">
        <w:rPr>
          <w:rFonts w:ascii="Times New Roman" w:hAnsi="Times New Roman"/>
          <w:sz w:val="24"/>
          <w:szCs w:val="24"/>
        </w:rPr>
        <w:t>9,1</w:t>
      </w:r>
      <w:r w:rsidRPr="00D14A36">
        <w:rPr>
          <w:rFonts w:ascii="Times New Roman" w:hAnsi="Times New Roman"/>
          <w:sz w:val="24"/>
          <w:szCs w:val="24"/>
        </w:rPr>
        <w:t>%, составив</w:t>
      </w:r>
      <w:r w:rsidR="003A7AEB" w:rsidRPr="00D14A36">
        <w:rPr>
          <w:rFonts w:ascii="Times New Roman" w:hAnsi="Times New Roman"/>
          <w:sz w:val="24"/>
          <w:szCs w:val="24"/>
        </w:rPr>
        <w:t xml:space="preserve"> </w:t>
      </w:r>
      <w:r w:rsidR="008C6AD0" w:rsidRPr="00D14A36">
        <w:rPr>
          <w:rFonts w:ascii="Times New Roman" w:hAnsi="Times New Roman"/>
          <w:sz w:val="24"/>
          <w:szCs w:val="24"/>
        </w:rPr>
        <w:t>2</w:t>
      </w:r>
      <w:r w:rsidR="004647C4" w:rsidRPr="00D14A36">
        <w:rPr>
          <w:rFonts w:ascii="Times New Roman" w:hAnsi="Times New Roman"/>
          <w:sz w:val="24"/>
          <w:szCs w:val="24"/>
        </w:rPr>
        <w:t xml:space="preserve"> </w:t>
      </w:r>
      <w:r w:rsidR="008C6AD0" w:rsidRPr="00D14A36">
        <w:rPr>
          <w:rFonts w:ascii="Times New Roman" w:hAnsi="Times New Roman"/>
          <w:sz w:val="24"/>
          <w:szCs w:val="24"/>
        </w:rPr>
        <w:t>380</w:t>
      </w:r>
      <w:r w:rsidR="004647C4" w:rsidRPr="00D14A36">
        <w:rPr>
          <w:rFonts w:ascii="Times New Roman" w:hAnsi="Times New Roman"/>
          <w:sz w:val="24"/>
          <w:szCs w:val="24"/>
        </w:rPr>
        <w:t>,7</w:t>
      </w:r>
      <w:r w:rsidRPr="00D14A36">
        <w:rPr>
          <w:rFonts w:ascii="Times New Roman" w:hAnsi="Times New Roman"/>
          <w:sz w:val="24"/>
          <w:szCs w:val="24"/>
        </w:rPr>
        <w:t xml:space="preserve"> млн. руб. или </w:t>
      </w:r>
      <w:r w:rsidR="008C6AD0" w:rsidRPr="00D14A36">
        <w:rPr>
          <w:rFonts w:ascii="Times New Roman" w:hAnsi="Times New Roman"/>
          <w:sz w:val="24"/>
          <w:szCs w:val="24"/>
        </w:rPr>
        <w:t>210,7</w:t>
      </w:r>
      <w:r w:rsidRPr="00D14A36">
        <w:rPr>
          <w:rFonts w:ascii="Times New Roman" w:hAnsi="Times New Roman"/>
          <w:sz w:val="24"/>
          <w:szCs w:val="24"/>
        </w:rPr>
        <w:t xml:space="preserve"> млн. долл.</w:t>
      </w:r>
    </w:p>
    <w:p w:rsidR="00A927E5" w:rsidRPr="00D14A36" w:rsidRDefault="00330940" w:rsidP="003A7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A36">
        <w:rPr>
          <w:rFonts w:ascii="Times New Roman" w:hAnsi="Times New Roman"/>
          <w:noProof/>
          <w:sz w:val="24"/>
          <w:szCs w:val="24"/>
        </w:rPr>
        <w:drawing>
          <wp:anchor distT="0" distB="11811" distL="114300" distR="115570" simplePos="0" relativeHeight="251662336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467360</wp:posOffset>
            </wp:positionV>
            <wp:extent cx="2495550" cy="2247900"/>
            <wp:effectExtent l="19050" t="0" r="0" b="0"/>
            <wp:wrapTight wrapText="bothSides">
              <wp:wrapPolygon edited="0">
                <wp:start x="-165" y="0"/>
                <wp:lineTo x="-165" y="21417"/>
                <wp:lineTo x="21600" y="21417"/>
                <wp:lineTo x="21600" y="0"/>
                <wp:lineTo x="-165" y="0"/>
              </wp:wrapPolygon>
            </wp:wrapTight>
            <wp:docPr id="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D14A36">
        <w:rPr>
          <w:rFonts w:ascii="Times New Roman" w:hAnsi="Times New Roman"/>
          <w:noProof/>
          <w:sz w:val="24"/>
          <w:szCs w:val="24"/>
        </w:rPr>
        <w:drawing>
          <wp:anchor distT="0" distB="14859" distL="114300" distR="115443" simplePos="0" relativeHeight="251664384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467360</wp:posOffset>
            </wp:positionV>
            <wp:extent cx="3867150" cy="2247900"/>
            <wp:effectExtent l="19050" t="0" r="0" b="0"/>
            <wp:wrapTight wrapText="bothSides">
              <wp:wrapPolygon edited="0">
                <wp:start x="-106" y="0"/>
                <wp:lineTo x="-106" y="21417"/>
                <wp:lineTo x="21600" y="21417"/>
                <wp:lineTo x="21600" y="0"/>
                <wp:lineTo x="-106" y="0"/>
              </wp:wrapPolygon>
            </wp:wrapTight>
            <wp:docPr id="3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CD2B89" w:rsidRPr="00D14A36">
        <w:rPr>
          <w:rFonts w:ascii="Times New Roman" w:hAnsi="Times New Roman"/>
          <w:sz w:val="24"/>
          <w:szCs w:val="24"/>
        </w:rPr>
        <w:t>Отраслевая структура промышленного производства в январе-</w:t>
      </w:r>
      <w:r w:rsidR="008C6AD0" w:rsidRPr="00D14A36">
        <w:rPr>
          <w:rFonts w:ascii="Times New Roman" w:hAnsi="Times New Roman"/>
          <w:sz w:val="24"/>
          <w:szCs w:val="24"/>
        </w:rPr>
        <w:t>апреле</w:t>
      </w:r>
      <w:r w:rsidR="00CD2B89" w:rsidRPr="00D14A36">
        <w:rPr>
          <w:rFonts w:ascii="Times New Roman" w:hAnsi="Times New Roman"/>
          <w:sz w:val="24"/>
          <w:szCs w:val="24"/>
        </w:rPr>
        <w:t xml:space="preserve"> 2017 года выглядела следующим образом:</w:t>
      </w:r>
    </w:p>
    <w:p w:rsidR="00370426" w:rsidRPr="00D14A36" w:rsidRDefault="00370426" w:rsidP="00CD2B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D2B89" w:rsidRPr="00D14A36" w:rsidRDefault="00CD2B89" w:rsidP="00CD2B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14A36">
        <w:rPr>
          <w:rFonts w:ascii="Times New Roman" w:hAnsi="Times New Roman"/>
          <w:sz w:val="24"/>
          <w:szCs w:val="24"/>
        </w:rPr>
        <w:t xml:space="preserve">В рассматриваемом периоде, на фоне </w:t>
      </w:r>
      <w:r w:rsidR="00213402">
        <w:rPr>
          <w:rFonts w:ascii="Times New Roman" w:hAnsi="Times New Roman"/>
          <w:sz w:val="24"/>
          <w:szCs w:val="24"/>
        </w:rPr>
        <w:t xml:space="preserve">подготовки к запуску </w:t>
      </w:r>
      <w:r w:rsidR="001433D0">
        <w:rPr>
          <w:rFonts w:ascii="Times New Roman" w:hAnsi="Times New Roman"/>
          <w:sz w:val="24"/>
          <w:szCs w:val="24"/>
        </w:rPr>
        <w:t xml:space="preserve">технологического процесса </w:t>
      </w:r>
      <w:r w:rsidR="00213402">
        <w:rPr>
          <w:rFonts w:ascii="Times New Roman" w:hAnsi="Times New Roman"/>
          <w:sz w:val="24"/>
          <w:szCs w:val="24"/>
        </w:rPr>
        <w:t>на</w:t>
      </w:r>
      <w:r w:rsidR="00C03512" w:rsidRPr="00D14A36">
        <w:rPr>
          <w:rFonts w:ascii="Times New Roman" w:hAnsi="Times New Roman"/>
          <w:sz w:val="24"/>
          <w:szCs w:val="24"/>
        </w:rPr>
        <w:t xml:space="preserve"> </w:t>
      </w:r>
      <w:r w:rsidRPr="00D14A36">
        <w:rPr>
          <w:rFonts w:ascii="Times New Roman" w:hAnsi="Times New Roman"/>
          <w:sz w:val="24"/>
          <w:szCs w:val="24"/>
        </w:rPr>
        <w:t>ОАО «Молдавский металлургический завод»</w:t>
      </w:r>
      <w:r w:rsidR="00C03512" w:rsidRPr="00D14A36">
        <w:rPr>
          <w:rFonts w:ascii="Times New Roman" w:hAnsi="Times New Roman"/>
          <w:sz w:val="24"/>
          <w:szCs w:val="24"/>
        </w:rPr>
        <w:t xml:space="preserve"> в феврале и марте 2017 года</w:t>
      </w:r>
      <w:r w:rsidRPr="00D14A36">
        <w:rPr>
          <w:rFonts w:ascii="Times New Roman" w:hAnsi="Times New Roman"/>
          <w:sz w:val="24"/>
          <w:szCs w:val="24"/>
        </w:rPr>
        <w:t xml:space="preserve">, </w:t>
      </w:r>
      <w:r w:rsidR="00C03512" w:rsidRPr="00D14A36">
        <w:rPr>
          <w:rFonts w:ascii="Times New Roman" w:hAnsi="Times New Roman"/>
          <w:sz w:val="24"/>
          <w:szCs w:val="24"/>
        </w:rPr>
        <w:t xml:space="preserve">лидирующую позицию в структуре товарного выпуска предприятий промышленного сектора экономики </w:t>
      </w:r>
      <w:r w:rsidR="00A927E5" w:rsidRPr="00D14A36">
        <w:rPr>
          <w:rFonts w:ascii="Times New Roman" w:hAnsi="Times New Roman"/>
          <w:sz w:val="24"/>
          <w:szCs w:val="24"/>
        </w:rPr>
        <w:t>сохранил энергетическ</w:t>
      </w:r>
      <w:r w:rsidR="00FA4596">
        <w:rPr>
          <w:rFonts w:ascii="Times New Roman" w:hAnsi="Times New Roman"/>
          <w:sz w:val="24"/>
          <w:szCs w:val="24"/>
        </w:rPr>
        <w:t>и</w:t>
      </w:r>
      <w:r w:rsidR="00A927E5" w:rsidRPr="00D14A36">
        <w:rPr>
          <w:rFonts w:ascii="Times New Roman" w:hAnsi="Times New Roman"/>
          <w:sz w:val="24"/>
          <w:szCs w:val="24"/>
        </w:rPr>
        <w:t>й комплекс,</w:t>
      </w:r>
      <w:r w:rsidRPr="00D14A36">
        <w:rPr>
          <w:rFonts w:ascii="Times New Roman" w:hAnsi="Times New Roman"/>
          <w:sz w:val="24"/>
          <w:szCs w:val="24"/>
        </w:rPr>
        <w:t xml:space="preserve"> расшир</w:t>
      </w:r>
      <w:r w:rsidR="00A927E5" w:rsidRPr="00D14A36">
        <w:rPr>
          <w:rFonts w:ascii="Times New Roman" w:hAnsi="Times New Roman"/>
          <w:sz w:val="24"/>
          <w:szCs w:val="24"/>
        </w:rPr>
        <w:t>ив</w:t>
      </w:r>
      <w:r w:rsidRPr="00D14A36">
        <w:rPr>
          <w:rFonts w:ascii="Times New Roman" w:hAnsi="Times New Roman"/>
          <w:sz w:val="24"/>
          <w:szCs w:val="24"/>
        </w:rPr>
        <w:t xml:space="preserve"> дол</w:t>
      </w:r>
      <w:r w:rsidR="00A927E5" w:rsidRPr="00D14A36">
        <w:rPr>
          <w:rFonts w:ascii="Times New Roman" w:hAnsi="Times New Roman"/>
          <w:sz w:val="24"/>
          <w:szCs w:val="24"/>
        </w:rPr>
        <w:t>евое участие</w:t>
      </w:r>
      <w:r w:rsidRPr="00D14A36">
        <w:rPr>
          <w:rFonts w:ascii="Times New Roman" w:hAnsi="Times New Roman"/>
          <w:sz w:val="24"/>
          <w:szCs w:val="24"/>
        </w:rPr>
        <w:t xml:space="preserve"> в совокупном </w:t>
      </w:r>
      <w:r w:rsidR="00425BD1" w:rsidRPr="00D14A36">
        <w:rPr>
          <w:rFonts w:ascii="Times New Roman" w:hAnsi="Times New Roman"/>
          <w:sz w:val="24"/>
          <w:szCs w:val="24"/>
        </w:rPr>
        <w:t xml:space="preserve">объеме </w:t>
      </w:r>
      <w:r w:rsidRPr="00D14A36">
        <w:rPr>
          <w:rFonts w:ascii="Times New Roman" w:hAnsi="Times New Roman"/>
          <w:sz w:val="24"/>
          <w:szCs w:val="24"/>
        </w:rPr>
        <w:t>товарно</w:t>
      </w:r>
      <w:r w:rsidR="00425BD1" w:rsidRPr="00D14A36">
        <w:rPr>
          <w:rFonts w:ascii="Times New Roman" w:hAnsi="Times New Roman"/>
          <w:sz w:val="24"/>
          <w:szCs w:val="24"/>
        </w:rPr>
        <w:t>го</w:t>
      </w:r>
      <w:r w:rsidRPr="00D14A36">
        <w:rPr>
          <w:rFonts w:ascii="Times New Roman" w:hAnsi="Times New Roman"/>
          <w:sz w:val="24"/>
          <w:szCs w:val="24"/>
        </w:rPr>
        <w:t xml:space="preserve"> </w:t>
      </w:r>
      <w:r w:rsidR="00425BD1" w:rsidRPr="00D14A36">
        <w:rPr>
          <w:rFonts w:ascii="Times New Roman" w:hAnsi="Times New Roman"/>
          <w:sz w:val="24"/>
          <w:szCs w:val="24"/>
        </w:rPr>
        <w:t>производства</w:t>
      </w:r>
      <w:r w:rsidRPr="00D14A36">
        <w:rPr>
          <w:rFonts w:ascii="Times New Roman" w:hAnsi="Times New Roman"/>
          <w:sz w:val="24"/>
          <w:szCs w:val="24"/>
        </w:rPr>
        <w:t xml:space="preserve"> на </w:t>
      </w:r>
      <w:r w:rsidR="00C03512" w:rsidRPr="00D14A36">
        <w:rPr>
          <w:rFonts w:ascii="Times New Roman" w:hAnsi="Times New Roman"/>
          <w:sz w:val="24"/>
          <w:szCs w:val="24"/>
        </w:rPr>
        <w:t>1,0</w:t>
      </w:r>
      <w:r w:rsidRPr="00D14A36">
        <w:rPr>
          <w:rFonts w:ascii="Times New Roman" w:hAnsi="Times New Roman"/>
          <w:sz w:val="24"/>
          <w:szCs w:val="24"/>
        </w:rPr>
        <w:t xml:space="preserve"> процентны</w:t>
      </w:r>
      <w:r w:rsidR="00C03512" w:rsidRPr="00D14A36">
        <w:rPr>
          <w:rFonts w:ascii="Times New Roman" w:hAnsi="Times New Roman"/>
          <w:sz w:val="24"/>
          <w:szCs w:val="24"/>
        </w:rPr>
        <w:t>й</w:t>
      </w:r>
      <w:r w:rsidRPr="00D14A36">
        <w:rPr>
          <w:rFonts w:ascii="Times New Roman" w:hAnsi="Times New Roman"/>
          <w:sz w:val="24"/>
          <w:szCs w:val="24"/>
        </w:rPr>
        <w:t xml:space="preserve"> пункт до </w:t>
      </w:r>
      <w:r w:rsidR="00C03512" w:rsidRPr="00D14A36">
        <w:rPr>
          <w:rFonts w:ascii="Times New Roman" w:hAnsi="Times New Roman"/>
          <w:sz w:val="24"/>
          <w:szCs w:val="24"/>
        </w:rPr>
        <w:t>39,5</w:t>
      </w:r>
      <w:r w:rsidRPr="00D14A36">
        <w:rPr>
          <w:rFonts w:ascii="Times New Roman" w:hAnsi="Times New Roman"/>
          <w:sz w:val="24"/>
          <w:szCs w:val="24"/>
        </w:rPr>
        <w:t xml:space="preserve">%. </w:t>
      </w:r>
      <w:r w:rsidR="00A927E5" w:rsidRPr="00D14A36">
        <w:rPr>
          <w:rFonts w:ascii="Times New Roman" w:hAnsi="Times New Roman"/>
          <w:sz w:val="24"/>
          <w:szCs w:val="24"/>
        </w:rPr>
        <w:t>М</w:t>
      </w:r>
      <w:r w:rsidRPr="00D14A36">
        <w:rPr>
          <w:rFonts w:ascii="Times New Roman" w:hAnsi="Times New Roman"/>
          <w:sz w:val="24"/>
          <w:szCs w:val="24"/>
        </w:rPr>
        <w:t xml:space="preserve">еталлургия </w:t>
      </w:r>
      <w:r w:rsidR="00A927E5" w:rsidRPr="00D14A36">
        <w:rPr>
          <w:rFonts w:ascii="Times New Roman" w:hAnsi="Times New Roman"/>
          <w:sz w:val="24"/>
          <w:szCs w:val="24"/>
        </w:rPr>
        <w:t xml:space="preserve">на этом фоне </w:t>
      </w:r>
      <w:r w:rsidRPr="00D14A36">
        <w:rPr>
          <w:rFonts w:ascii="Times New Roman" w:hAnsi="Times New Roman"/>
          <w:sz w:val="24"/>
          <w:szCs w:val="24"/>
        </w:rPr>
        <w:t xml:space="preserve">обеспечила </w:t>
      </w:r>
      <w:r w:rsidR="00C03512" w:rsidRPr="00D14A36">
        <w:rPr>
          <w:rFonts w:ascii="Times New Roman" w:hAnsi="Times New Roman"/>
          <w:sz w:val="24"/>
          <w:szCs w:val="24"/>
        </w:rPr>
        <w:t>19</w:t>
      </w:r>
      <w:r w:rsidR="00A927E5" w:rsidRPr="00D14A36">
        <w:rPr>
          <w:rFonts w:ascii="Times New Roman" w:hAnsi="Times New Roman"/>
          <w:sz w:val="24"/>
          <w:szCs w:val="24"/>
        </w:rPr>
        <w:t>,</w:t>
      </w:r>
      <w:r w:rsidR="00C03512" w:rsidRPr="00D14A36">
        <w:rPr>
          <w:rFonts w:ascii="Times New Roman" w:hAnsi="Times New Roman"/>
          <w:sz w:val="24"/>
          <w:szCs w:val="24"/>
        </w:rPr>
        <w:t>2</w:t>
      </w:r>
      <w:r w:rsidRPr="00D14A36">
        <w:rPr>
          <w:rFonts w:ascii="Times New Roman" w:hAnsi="Times New Roman"/>
          <w:sz w:val="24"/>
          <w:szCs w:val="24"/>
        </w:rPr>
        <w:t xml:space="preserve">% промышленного производства против </w:t>
      </w:r>
      <w:r w:rsidR="00C03512" w:rsidRPr="00D14A36">
        <w:rPr>
          <w:rFonts w:ascii="Times New Roman" w:hAnsi="Times New Roman"/>
          <w:sz w:val="24"/>
          <w:szCs w:val="24"/>
        </w:rPr>
        <w:t>27,9</w:t>
      </w:r>
      <w:r w:rsidRPr="00D14A36">
        <w:rPr>
          <w:rFonts w:ascii="Times New Roman" w:hAnsi="Times New Roman"/>
          <w:sz w:val="24"/>
          <w:szCs w:val="24"/>
        </w:rPr>
        <w:t>% в базовом</w:t>
      </w:r>
      <w:proofErr w:type="gramEnd"/>
      <w:r w:rsidRPr="00D14A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4A36">
        <w:rPr>
          <w:rFonts w:ascii="Times New Roman" w:hAnsi="Times New Roman"/>
          <w:sz w:val="24"/>
          <w:szCs w:val="24"/>
        </w:rPr>
        <w:t>периоде</w:t>
      </w:r>
      <w:proofErr w:type="gramEnd"/>
      <w:r w:rsidRPr="00D14A36">
        <w:rPr>
          <w:rFonts w:ascii="Times New Roman" w:hAnsi="Times New Roman"/>
          <w:sz w:val="24"/>
          <w:szCs w:val="24"/>
        </w:rPr>
        <w:t xml:space="preserve"> минувшего года. Вместе с этим, </w:t>
      </w:r>
      <w:r w:rsidR="00C03512" w:rsidRPr="00D14A36">
        <w:rPr>
          <w:rFonts w:ascii="Times New Roman" w:hAnsi="Times New Roman"/>
          <w:sz w:val="24"/>
          <w:szCs w:val="24"/>
        </w:rPr>
        <w:t xml:space="preserve">достигнутые за четыре месяца показатели </w:t>
      </w:r>
      <w:r w:rsidRPr="00D14A36">
        <w:rPr>
          <w:rFonts w:ascii="Times New Roman" w:hAnsi="Times New Roman"/>
          <w:sz w:val="24"/>
          <w:szCs w:val="24"/>
        </w:rPr>
        <w:t>в легкой и пищевой промышленности</w:t>
      </w:r>
      <w:r w:rsidR="006D5E41" w:rsidRPr="00D14A36">
        <w:rPr>
          <w:rFonts w:ascii="Times New Roman" w:hAnsi="Times New Roman"/>
          <w:sz w:val="24"/>
          <w:szCs w:val="24"/>
        </w:rPr>
        <w:t xml:space="preserve"> </w:t>
      </w:r>
      <w:r w:rsidRPr="00D14A36">
        <w:rPr>
          <w:rFonts w:ascii="Times New Roman" w:hAnsi="Times New Roman"/>
          <w:sz w:val="24"/>
          <w:szCs w:val="24"/>
        </w:rPr>
        <w:t>обеспечил</w:t>
      </w:r>
      <w:r w:rsidR="00C03512" w:rsidRPr="00D14A36">
        <w:rPr>
          <w:rFonts w:ascii="Times New Roman" w:hAnsi="Times New Roman"/>
          <w:sz w:val="24"/>
          <w:szCs w:val="24"/>
        </w:rPr>
        <w:t>и</w:t>
      </w:r>
      <w:r w:rsidRPr="00D14A36">
        <w:rPr>
          <w:rFonts w:ascii="Times New Roman" w:hAnsi="Times New Roman"/>
          <w:sz w:val="24"/>
          <w:szCs w:val="24"/>
        </w:rPr>
        <w:t xml:space="preserve"> расширение долевого участия предприятий данных отраслей в совокупном объеме производства до 14,8% («+»2,</w:t>
      </w:r>
      <w:r w:rsidR="00C03512" w:rsidRPr="00D14A36">
        <w:rPr>
          <w:rFonts w:ascii="Times New Roman" w:hAnsi="Times New Roman"/>
          <w:sz w:val="24"/>
          <w:szCs w:val="24"/>
        </w:rPr>
        <w:t>6</w:t>
      </w:r>
      <w:r w:rsidRPr="00D14A36">
        <w:rPr>
          <w:rFonts w:ascii="Times New Roman" w:hAnsi="Times New Roman"/>
          <w:sz w:val="24"/>
          <w:szCs w:val="24"/>
        </w:rPr>
        <w:t xml:space="preserve"> процентных пункта) и </w:t>
      </w:r>
      <w:r w:rsidR="00C03512" w:rsidRPr="00D14A36">
        <w:rPr>
          <w:rFonts w:ascii="Times New Roman" w:hAnsi="Times New Roman"/>
          <w:sz w:val="24"/>
          <w:szCs w:val="24"/>
        </w:rPr>
        <w:t>12,5</w:t>
      </w:r>
      <w:r w:rsidRPr="00D14A36">
        <w:rPr>
          <w:rFonts w:ascii="Times New Roman" w:hAnsi="Times New Roman"/>
          <w:sz w:val="24"/>
          <w:szCs w:val="24"/>
        </w:rPr>
        <w:t>% («+»1,</w:t>
      </w:r>
      <w:r w:rsidR="00C03512" w:rsidRPr="00D14A36">
        <w:rPr>
          <w:rFonts w:ascii="Times New Roman" w:hAnsi="Times New Roman"/>
          <w:sz w:val="24"/>
          <w:szCs w:val="24"/>
        </w:rPr>
        <w:t>8</w:t>
      </w:r>
      <w:r w:rsidRPr="00D14A36">
        <w:rPr>
          <w:rFonts w:ascii="Times New Roman" w:hAnsi="Times New Roman"/>
          <w:sz w:val="24"/>
          <w:szCs w:val="24"/>
        </w:rPr>
        <w:t xml:space="preserve"> процентных пункта) соответственно.</w:t>
      </w:r>
    </w:p>
    <w:p w:rsidR="00CD2B89" w:rsidRPr="00D14A36" w:rsidRDefault="00A1027A" w:rsidP="00CD2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A36">
        <w:rPr>
          <w:rFonts w:ascii="Times New Roman" w:hAnsi="Times New Roman"/>
          <w:sz w:val="24"/>
          <w:szCs w:val="24"/>
        </w:rPr>
        <w:t xml:space="preserve">В </w:t>
      </w:r>
      <w:r w:rsidR="000E7665" w:rsidRPr="00D14A36">
        <w:rPr>
          <w:rFonts w:ascii="Times New Roman" w:hAnsi="Times New Roman"/>
          <w:sz w:val="24"/>
          <w:szCs w:val="24"/>
        </w:rPr>
        <w:t>апрел</w:t>
      </w:r>
      <w:r w:rsidRPr="00D14A36">
        <w:rPr>
          <w:rFonts w:ascii="Times New Roman" w:hAnsi="Times New Roman"/>
          <w:sz w:val="24"/>
          <w:szCs w:val="24"/>
        </w:rPr>
        <w:t>е 2017 года о</w:t>
      </w:r>
      <w:r w:rsidR="00CD2B89" w:rsidRPr="00D14A36">
        <w:rPr>
          <w:rFonts w:ascii="Times New Roman" w:hAnsi="Times New Roman"/>
          <w:sz w:val="24"/>
          <w:szCs w:val="24"/>
        </w:rPr>
        <w:t xml:space="preserve">бъем промышленного производства </w:t>
      </w:r>
      <w:r w:rsidR="00CA379B" w:rsidRPr="00D14A36">
        <w:rPr>
          <w:rFonts w:ascii="Times New Roman" w:hAnsi="Times New Roman"/>
          <w:sz w:val="24"/>
          <w:szCs w:val="24"/>
        </w:rPr>
        <w:t>в условиях отрицательного результата тендера на поставку электроэнергии вырабатываемой З</w:t>
      </w:r>
      <w:r w:rsidR="00CD2B89" w:rsidRPr="00D14A36">
        <w:rPr>
          <w:rFonts w:ascii="Times New Roman" w:hAnsi="Times New Roman"/>
          <w:sz w:val="24"/>
          <w:szCs w:val="24"/>
        </w:rPr>
        <w:t>АО «Молдавск</w:t>
      </w:r>
      <w:r w:rsidR="00CA379B" w:rsidRPr="00D14A36">
        <w:rPr>
          <w:rFonts w:ascii="Times New Roman" w:hAnsi="Times New Roman"/>
          <w:sz w:val="24"/>
          <w:szCs w:val="24"/>
        </w:rPr>
        <w:t>ая ГРЭС</w:t>
      </w:r>
      <w:r w:rsidR="00CD2B89" w:rsidRPr="00D14A36">
        <w:rPr>
          <w:rFonts w:ascii="Times New Roman" w:hAnsi="Times New Roman"/>
          <w:sz w:val="24"/>
          <w:szCs w:val="24"/>
        </w:rPr>
        <w:t xml:space="preserve">» сократился относительно базового показателя </w:t>
      </w:r>
      <w:r w:rsidR="000E7665" w:rsidRPr="00D14A36">
        <w:rPr>
          <w:rFonts w:ascii="Times New Roman" w:hAnsi="Times New Roman"/>
          <w:sz w:val="24"/>
          <w:szCs w:val="24"/>
        </w:rPr>
        <w:t>апреля</w:t>
      </w:r>
      <w:r w:rsidR="00CD2B89" w:rsidRPr="00D14A36">
        <w:rPr>
          <w:rFonts w:ascii="Times New Roman" w:hAnsi="Times New Roman"/>
          <w:sz w:val="24"/>
          <w:szCs w:val="24"/>
        </w:rPr>
        <w:t xml:space="preserve"> 2016 года на </w:t>
      </w:r>
      <w:r w:rsidR="000E7665" w:rsidRPr="00D14A36">
        <w:rPr>
          <w:rFonts w:ascii="Times New Roman" w:hAnsi="Times New Roman"/>
          <w:sz w:val="24"/>
          <w:szCs w:val="24"/>
        </w:rPr>
        <w:t>21,1</w:t>
      </w:r>
      <w:r w:rsidR="00CD2B89" w:rsidRPr="00D14A36">
        <w:rPr>
          <w:rFonts w:ascii="Times New Roman" w:hAnsi="Times New Roman"/>
          <w:sz w:val="24"/>
          <w:szCs w:val="24"/>
        </w:rPr>
        <w:t xml:space="preserve">%, </w:t>
      </w:r>
      <w:r w:rsidR="000E7665" w:rsidRPr="00D14A36">
        <w:rPr>
          <w:rFonts w:ascii="Times New Roman" w:hAnsi="Times New Roman"/>
          <w:sz w:val="24"/>
          <w:szCs w:val="24"/>
        </w:rPr>
        <w:t xml:space="preserve">а относительно марта 2017 года сокращение зафиксировано </w:t>
      </w:r>
      <w:r w:rsidR="00345F6B" w:rsidRPr="00D14A36">
        <w:rPr>
          <w:rFonts w:ascii="Times New Roman" w:hAnsi="Times New Roman"/>
          <w:sz w:val="24"/>
          <w:szCs w:val="24"/>
        </w:rPr>
        <w:t xml:space="preserve">на </w:t>
      </w:r>
      <w:r w:rsidR="000E7665" w:rsidRPr="00D14A36">
        <w:rPr>
          <w:rFonts w:ascii="Times New Roman" w:hAnsi="Times New Roman"/>
          <w:sz w:val="24"/>
          <w:szCs w:val="24"/>
        </w:rPr>
        <w:t>уровне 26,4</w:t>
      </w:r>
      <w:r w:rsidR="00345F6B" w:rsidRPr="00D14A36">
        <w:rPr>
          <w:rFonts w:ascii="Times New Roman" w:hAnsi="Times New Roman"/>
          <w:sz w:val="24"/>
          <w:szCs w:val="24"/>
        </w:rPr>
        <w:t>%</w:t>
      </w:r>
      <w:r w:rsidR="00CD2B89" w:rsidRPr="00D14A36">
        <w:rPr>
          <w:rFonts w:ascii="Times New Roman" w:hAnsi="Times New Roman"/>
          <w:sz w:val="24"/>
          <w:szCs w:val="24"/>
        </w:rPr>
        <w:t>.</w:t>
      </w:r>
    </w:p>
    <w:p w:rsidR="00650098" w:rsidRPr="00D14A36" w:rsidRDefault="00650098" w:rsidP="00CD2B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0098" w:rsidRPr="00D14A36" w:rsidRDefault="00650098" w:rsidP="00CD2B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2B89" w:rsidRPr="00D14A36" w:rsidRDefault="00CD2B89" w:rsidP="00CD2B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4A36">
        <w:rPr>
          <w:rFonts w:ascii="Times New Roman" w:hAnsi="Times New Roman"/>
          <w:b/>
          <w:sz w:val="24"/>
          <w:szCs w:val="24"/>
        </w:rPr>
        <w:lastRenderedPageBreak/>
        <w:t>Динамика промышленного производства</w:t>
      </w:r>
      <w:r w:rsidRPr="00D14A36">
        <w:rPr>
          <w:rFonts w:ascii="Times New Roman" w:hAnsi="Times New Roman"/>
          <w:sz w:val="24"/>
          <w:szCs w:val="24"/>
        </w:rPr>
        <w:t xml:space="preserve"> (в сопоставимых ценах), </w:t>
      </w:r>
      <w:r w:rsidRPr="00D14A36">
        <w:rPr>
          <w:rFonts w:ascii="Times New Roman" w:hAnsi="Times New Roman"/>
          <w:b/>
          <w:sz w:val="24"/>
          <w:szCs w:val="24"/>
        </w:rPr>
        <w:t>млн. руб.</w:t>
      </w:r>
    </w:p>
    <w:p w:rsidR="003E14D7" w:rsidRPr="00D14A36" w:rsidRDefault="003E14D7" w:rsidP="003E14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4A36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81700" cy="1504950"/>
            <wp:effectExtent l="0" t="0" r="0" b="0"/>
            <wp:docPr id="1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307D3" w:rsidRDefault="00E307D3" w:rsidP="003E14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2162" w:rsidRPr="00D14A36" w:rsidRDefault="00DF2162" w:rsidP="003E14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2B89" w:rsidRPr="00D14A36" w:rsidRDefault="00425BD1" w:rsidP="00CD2B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A36">
        <w:rPr>
          <w:rFonts w:ascii="Times New Roman" w:hAnsi="Times New Roman"/>
          <w:sz w:val="24"/>
          <w:szCs w:val="24"/>
        </w:rPr>
        <w:t>Нарастающим итогом за январь-</w:t>
      </w:r>
      <w:r w:rsidR="007E589E" w:rsidRPr="00D14A36">
        <w:rPr>
          <w:rFonts w:ascii="Times New Roman" w:hAnsi="Times New Roman"/>
          <w:sz w:val="24"/>
          <w:szCs w:val="24"/>
        </w:rPr>
        <w:t>апрель</w:t>
      </w:r>
      <w:r w:rsidRPr="00D14A36">
        <w:rPr>
          <w:rFonts w:ascii="Times New Roman" w:hAnsi="Times New Roman"/>
          <w:sz w:val="24"/>
          <w:szCs w:val="24"/>
        </w:rPr>
        <w:t xml:space="preserve"> 2017 года объем промышленного производства демонстрирует </w:t>
      </w:r>
      <w:r w:rsidR="00CD2B89" w:rsidRPr="00D14A36">
        <w:rPr>
          <w:rFonts w:ascii="Times New Roman" w:hAnsi="Times New Roman"/>
          <w:sz w:val="24"/>
          <w:szCs w:val="24"/>
        </w:rPr>
        <w:t>отрицательную динамику:</w:t>
      </w:r>
    </w:p>
    <w:p w:rsidR="00DB3A99" w:rsidRPr="00D14A36" w:rsidRDefault="00DB3A99" w:rsidP="00DB3A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4A3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67425" cy="1914525"/>
            <wp:effectExtent l="0" t="0" r="0" b="0"/>
            <wp:docPr id="2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3A99" w:rsidRPr="00D14A36" w:rsidRDefault="00DB3A99" w:rsidP="00CD2B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D2B89" w:rsidRPr="00D14A36" w:rsidRDefault="00313C47" w:rsidP="00CD2B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A36">
        <w:rPr>
          <w:rFonts w:ascii="Times New Roman" w:hAnsi="Times New Roman"/>
          <w:sz w:val="24"/>
          <w:szCs w:val="24"/>
        </w:rPr>
        <w:t>В отраслевом</w:t>
      </w:r>
      <w:r w:rsidR="00CD2B89" w:rsidRPr="00D14A36">
        <w:rPr>
          <w:rFonts w:ascii="Times New Roman" w:hAnsi="Times New Roman"/>
          <w:sz w:val="24"/>
          <w:szCs w:val="24"/>
        </w:rPr>
        <w:t xml:space="preserve"> разрезе промышленно</w:t>
      </w:r>
      <w:r w:rsidR="00DB3A99" w:rsidRPr="00D14A36">
        <w:rPr>
          <w:rFonts w:ascii="Times New Roman" w:hAnsi="Times New Roman"/>
          <w:sz w:val="24"/>
          <w:szCs w:val="24"/>
        </w:rPr>
        <w:t>е</w:t>
      </w:r>
      <w:r w:rsidR="00CD2B89" w:rsidRPr="00D14A36">
        <w:rPr>
          <w:rFonts w:ascii="Times New Roman" w:hAnsi="Times New Roman"/>
          <w:sz w:val="24"/>
          <w:szCs w:val="24"/>
        </w:rPr>
        <w:t xml:space="preserve"> производств</w:t>
      </w:r>
      <w:r w:rsidR="00DB3A99" w:rsidRPr="00D14A36">
        <w:rPr>
          <w:rFonts w:ascii="Times New Roman" w:hAnsi="Times New Roman"/>
          <w:sz w:val="24"/>
          <w:szCs w:val="24"/>
        </w:rPr>
        <w:t>о</w:t>
      </w:r>
      <w:r w:rsidR="00CD2B89" w:rsidRPr="00D14A36">
        <w:rPr>
          <w:rFonts w:ascii="Times New Roman" w:hAnsi="Times New Roman"/>
          <w:sz w:val="24"/>
          <w:szCs w:val="24"/>
        </w:rPr>
        <w:t xml:space="preserve"> в </w:t>
      </w:r>
      <w:r w:rsidR="003577E6" w:rsidRPr="00D14A36">
        <w:rPr>
          <w:rFonts w:ascii="Times New Roman" w:hAnsi="Times New Roman"/>
          <w:sz w:val="24"/>
          <w:szCs w:val="24"/>
        </w:rPr>
        <w:t>апрел</w:t>
      </w:r>
      <w:r w:rsidR="00DB3A99" w:rsidRPr="00D14A36">
        <w:rPr>
          <w:rFonts w:ascii="Times New Roman" w:hAnsi="Times New Roman"/>
          <w:sz w:val="24"/>
          <w:szCs w:val="24"/>
        </w:rPr>
        <w:t>е</w:t>
      </w:r>
      <w:r w:rsidR="00CD2B89" w:rsidRPr="00D14A36">
        <w:rPr>
          <w:rFonts w:ascii="Times New Roman" w:hAnsi="Times New Roman"/>
          <w:sz w:val="24"/>
          <w:szCs w:val="24"/>
        </w:rPr>
        <w:t xml:space="preserve"> 2017 года по отношению к базовому показателю 2016 года </w:t>
      </w:r>
      <w:r w:rsidR="00DB3A99" w:rsidRPr="00D14A36">
        <w:rPr>
          <w:rFonts w:ascii="Times New Roman" w:hAnsi="Times New Roman"/>
          <w:sz w:val="24"/>
          <w:szCs w:val="24"/>
        </w:rPr>
        <w:t xml:space="preserve">характеризовалось </w:t>
      </w:r>
      <w:r w:rsidR="00213402">
        <w:rPr>
          <w:rFonts w:ascii="Times New Roman" w:hAnsi="Times New Roman"/>
          <w:sz w:val="24"/>
          <w:szCs w:val="24"/>
        </w:rPr>
        <w:t>преимущественно отрицательной динамикой</w:t>
      </w:r>
      <w:r w:rsidR="00E32232">
        <w:rPr>
          <w:rFonts w:ascii="Times New Roman" w:hAnsi="Times New Roman"/>
          <w:sz w:val="24"/>
          <w:szCs w:val="24"/>
        </w:rPr>
        <w:t xml:space="preserve">, наращивание товарного выпуска было отмечено в черной металлургии, машиностроении и металлообработке и </w:t>
      </w:r>
      <w:proofErr w:type="spellStart"/>
      <w:r w:rsidR="00E32232">
        <w:rPr>
          <w:rFonts w:ascii="Times New Roman" w:hAnsi="Times New Roman"/>
          <w:sz w:val="24"/>
          <w:szCs w:val="24"/>
        </w:rPr>
        <w:t>мукомольно-крупянной</w:t>
      </w:r>
      <w:proofErr w:type="spellEnd"/>
      <w:r w:rsidR="00E32232">
        <w:rPr>
          <w:rFonts w:ascii="Times New Roman" w:hAnsi="Times New Roman"/>
          <w:sz w:val="24"/>
          <w:szCs w:val="24"/>
        </w:rPr>
        <w:t xml:space="preserve"> и комбикормовой промышленности</w:t>
      </w:r>
      <w:r w:rsidR="00CD2B89" w:rsidRPr="00D14A36">
        <w:rPr>
          <w:rFonts w:ascii="Times New Roman" w:hAnsi="Times New Roman"/>
          <w:sz w:val="24"/>
          <w:szCs w:val="24"/>
        </w:rPr>
        <w:t>:</w:t>
      </w:r>
    </w:p>
    <w:p w:rsidR="00E307D3" w:rsidRPr="00D14A36" w:rsidRDefault="00E307D3" w:rsidP="00CD2B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D2B89" w:rsidRPr="00D14A36" w:rsidRDefault="00CD2B89" w:rsidP="00CD2B8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4A36">
        <w:rPr>
          <w:rFonts w:ascii="Times New Roman" w:hAnsi="Times New Roman"/>
          <w:b/>
          <w:sz w:val="24"/>
          <w:szCs w:val="24"/>
        </w:rPr>
        <w:t xml:space="preserve">Динамика промышленной продукции в разрезе </w:t>
      </w:r>
      <w:proofErr w:type="spellStart"/>
      <w:r w:rsidRPr="00D14A36">
        <w:rPr>
          <w:rFonts w:ascii="Times New Roman" w:hAnsi="Times New Roman"/>
          <w:b/>
          <w:sz w:val="24"/>
          <w:szCs w:val="24"/>
        </w:rPr>
        <w:t>подотраслей</w:t>
      </w:r>
      <w:proofErr w:type="spellEnd"/>
      <w:r w:rsidRPr="00D14A36">
        <w:rPr>
          <w:rFonts w:ascii="Times New Roman" w:hAnsi="Times New Roman"/>
          <w:b/>
          <w:sz w:val="24"/>
          <w:szCs w:val="24"/>
        </w:rPr>
        <w:t>, млн. руб.</w:t>
      </w:r>
    </w:p>
    <w:p w:rsidR="00DB3A99" w:rsidRPr="00D14A36" w:rsidRDefault="00DB3A99" w:rsidP="00CD2B8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B3A99" w:rsidRPr="00D14A36" w:rsidRDefault="00DB3A99" w:rsidP="00DB3A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4A36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76950" cy="3190875"/>
            <wp:effectExtent l="19050" t="0" r="19050" b="0"/>
            <wp:docPr id="4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0098" w:rsidRPr="00D14A36" w:rsidRDefault="00650098" w:rsidP="003863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6392" w:rsidRPr="00D14A36" w:rsidRDefault="00386392" w:rsidP="00386392">
      <w:pPr>
        <w:spacing w:after="0" w:line="240" w:lineRule="auto"/>
        <w:ind w:firstLine="709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D14A36">
        <w:rPr>
          <w:rFonts w:ascii="Times New Roman" w:hAnsi="Times New Roman"/>
          <w:sz w:val="24"/>
          <w:szCs w:val="24"/>
        </w:rPr>
        <w:t>Нарастающим итогом</w:t>
      </w:r>
      <w:r w:rsidRPr="00D14A36">
        <w:rPr>
          <w:rFonts w:ascii="Times New Roman" w:eastAsiaTheme="minorHAnsi" w:hAnsi="Times New Roman"/>
          <w:sz w:val="24"/>
          <w:szCs w:val="24"/>
          <w:lang w:eastAsia="en-US"/>
        </w:rPr>
        <w:t xml:space="preserve"> объем промышленного производства в январе-</w:t>
      </w:r>
      <w:r w:rsidR="003E30FE" w:rsidRPr="00D14A36">
        <w:rPr>
          <w:rFonts w:ascii="Times New Roman" w:eastAsiaTheme="minorHAnsi" w:hAnsi="Times New Roman"/>
          <w:sz w:val="24"/>
          <w:szCs w:val="24"/>
          <w:lang w:eastAsia="en-US"/>
        </w:rPr>
        <w:t>апреле</w:t>
      </w:r>
      <w:r w:rsidRPr="00D14A36">
        <w:rPr>
          <w:rFonts w:ascii="Times New Roman" w:eastAsiaTheme="minorHAnsi" w:hAnsi="Times New Roman"/>
          <w:sz w:val="24"/>
          <w:szCs w:val="24"/>
          <w:lang w:eastAsia="en-US"/>
        </w:rPr>
        <w:t xml:space="preserve"> 2017 года в разрезе </w:t>
      </w:r>
      <w:proofErr w:type="spellStart"/>
      <w:r w:rsidRPr="00D14A36">
        <w:rPr>
          <w:rFonts w:ascii="Times New Roman" w:eastAsiaTheme="minorHAnsi" w:hAnsi="Times New Roman"/>
          <w:sz w:val="24"/>
          <w:szCs w:val="24"/>
          <w:lang w:eastAsia="en-US"/>
        </w:rPr>
        <w:t>подотраслей</w:t>
      </w:r>
      <w:proofErr w:type="spellEnd"/>
      <w:r w:rsidRPr="00D14A36">
        <w:rPr>
          <w:rFonts w:ascii="Times New Roman" w:eastAsiaTheme="minorHAnsi" w:hAnsi="Times New Roman"/>
          <w:sz w:val="24"/>
          <w:szCs w:val="24"/>
          <w:lang w:eastAsia="en-US"/>
        </w:rPr>
        <w:t xml:space="preserve"> демонстрировал следующую динамику:</w:t>
      </w:r>
    </w:p>
    <w:p w:rsidR="00386392" w:rsidRPr="00D14A36" w:rsidRDefault="00386392" w:rsidP="00CD2B8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CD2B89" w:rsidRPr="00D14A36" w:rsidRDefault="00CD2B89" w:rsidP="00CD2B8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14A36">
        <w:rPr>
          <w:rFonts w:ascii="Times New Roman" w:hAnsi="Times New Roman"/>
          <w:b/>
        </w:rPr>
        <w:t xml:space="preserve">Динамика промышленной продукции в разрезе </w:t>
      </w:r>
      <w:proofErr w:type="spellStart"/>
      <w:r w:rsidRPr="00D14A36">
        <w:rPr>
          <w:rFonts w:ascii="Times New Roman" w:hAnsi="Times New Roman"/>
          <w:b/>
        </w:rPr>
        <w:t>подотраслей</w:t>
      </w:r>
      <w:proofErr w:type="spellEnd"/>
      <w:r w:rsidRPr="00D14A36">
        <w:rPr>
          <w:rFonts w:ascii="Times New Roman" w:hAnsi="Times New Roman"/>
          <w:b/>
        </w:rPr>
        <w:t>, млн. руб.</w:t>
      </w:r>
    </w:p>
    <w:p w:rsidR="00386392" w:rsidRPr="00D14A36" w:rsidRDefault="00386392" w:rsidP="00386392">
      <w:pPr>
        <w:spacing w:after="0" w:line="240" w:lineRule="auto"/>
        <w:rPr>
          <w:rFonts w:ascii="Times New Roman" w:hAnsi="Times New Roman"/>
          <w:b/>
        </w:rPr>
      </w:pPr>
      <w:r w:rsidRPr="00D14A36">
        <w:rPr>
          <w:rFonts w:ascii="Times New Roman" w:hAnsi="Times New Roman"/>
          <w:b/>
          <w:noProof/>
          <w:color w:val="FF0000"/>
        </w:rPr>
        <w:drawing>
          <wp:inline distT="0" distB="0" distL="0" distR="0">
            <wp:extent cx="6067425" cy="3324225"/>
            <wp:effectExtent l="19050" t="0" r="9525" b="0"/>
            <wp:docPr id="14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6392" w:rsidRPr="00D14A36" w:rsidRDefault="00386392" w:rsidP="00386392">
      <w:pPr>
        <w:spacing w:after="0" w:line="240" w:lineRule="auto"/>
        <w:ind w:firstLine="709"/>
        <w:rPr>
          <w:rFonts w:ascii="Times New Roman" w:hAnsi="Times New Roman"/>
          <w:b/>
        </w:rPr>
      </w:pPr>
    </w:p>
    <w:p w:rsidR="00CD2B89" w:rsidRPr="00D14A36" w:rsidRDefault="00CD2B89" w:rsidP="00CD2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A36">
        <w:rPr>
          <w:rFonts w:ascii="Times New Roman" w:hAnsi="Times New Roman"/>
          <w:sz w:val="24"/>
          <w:szCs w:val="24"/>
        </w:rPr>
        <w:t xml:space="preserve">Увеличение промышленного производства </w:t>
      </w:r>
      <w:r w:rsidR="00D728C6" w:rsidRPr="00D14A36">
        <w:rPr>
          <w:rFonts w:ascii="Times New Roman" w:hAnsi="Times New Roman"/>
          <w:sz w:val="24"/>
          <w:szCs w:val="24"/>
        </w:rPr>
        <w:t>в</w:t>
      </w:r>
      <w:r w:rsidRPr="00D14A36">
        <w:rPr>
          <w:rFonts w:ascii="Times New Roman" w:hAnsi="Times New Roman"/>
          <w:sz w:val="24"/>
          <w:szCs w:val="24"/>
        </w:rPr>
        <w:t xml:space="preserve"> январ</w:t>
      </w:r>
      <w:r w:rsidR="00D728C6" w:rsidRPr="00D14A36">
        <w:rPr>
          <w:rFonts w:ascii="Times New Roman" w:hAnsi="Times New Roman"/>
          <w:sz w:val="24"/>
          <w:szCs w:val="24"/>
        </w:rPr>
        <w:t>е</w:t>
      </w:r>
      <w:r w:rsidRPr="00D14A36">
        <w:rPr>
          <w:rFonts w:ascii="Times New Roman" w:hAnsi="Times New Roman"/>
          <w:sz w:val="24"/>
          <w:szCs w:val="24"/>
        </w:rPr>
        <w:t>-</w:t>
      </w:r>
      <w:r w:rsidR="00A9579A" w:rsidRPr="00D14A36">
        <w:rPr>
          <w:rFonts w:ascii="Times New Roman" w:hAnsi="Times New Roman"/>
          <w:sz w:val="24"/>
          <w:szCs w:val="24"/>
        </w:rPr>
        <w:t>апреле</w:t>
      </w:r>
      <w:r w:rsidRPr="00D14A36">
        <w:rPr>
          <w:rFonts w:ascii="Times New Roman" w:hAnsi="Times New Roman"/>
          <w:sz w:val="24"/>
          <w:szCs w:val="24"/>
        </w:rPr>
        <w:t xml:space="preserve"> 2017 года по отношению к аналогичному периоду 2016 года зафиксировано в </w:t>
      </w:r>
      <w:proofErr w:type="gramStart"/>
      <w:r w:rsidRPr="00D14A36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D14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A36">
        <w:rPr>
          <w:rFonts w:ascii="Times New Roman" w:hAnsi="Times New Roman"/>
          <w:sz w:val="24"/>
          <w:szCs w:val="24"/>
        </w:rPr>
        <w:t>подотраслях</w:t>
      </w:r>
      <w:proofErr w:type="spellEnd"/>
      <w:r w:rsidRPr="00D14A36">
        <w:rPr>
          <w:rFonts w:ascii="Times New Roman" w:hAnsi="Times New Roman"/>
          <w:sz w:val="24"/>
          <w:szCs w:val="24"/>
        </w:rPr>
        <w:t xml:space="preserve"> промышленности:</w:t>
      </w:r>
    </w:p>
    <w:p w:rsidR="00CD2B89" w:rsidRPr="00D14A36" w:rsidRDefault="00630C71" w:rsidP="00CD2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A36">
        <w:rPr>
          <w:rFonts w:ascii="Times New Roman" w:hAnsi="Times New Roman"/>
          <w:sz w:val="24"/>
          <w:szCs w:val="24"/>
        </w:rPr>
        <w:t>а</w:t>
      </w:r>
      <w:r w:rsidR="00CD2B89" w:rsidRPr="00D14A36">
        <w:rPr>
          <w:rFonts w:ascii="Times New Roman" w:hAnsi="Times New Roman"/>
          <w:sz w:val="24"/>
          <w:szCs w:val="24"/>
        </w:rPr>
        <w:t xml:space="preserve">) </w:t>
      </w:r>
      <w:r w:rsidR="00FA4596">
        <w:rPr>
          <w:rFonts w:ascii="Times New Roman" w:hAnsi="Times New Roman"/>
          <w:sz w:val="24"/>
          <w:szCs w:val="24"/>
        </w:rPr>
        <w:t>в отрасли</w:t>
      </w:r>
      <w:r w:rsidR="00CD2B89" w:rsidRPr="00D14A36">
        <w:rPr>
          <w:rFonts w:ascii="Times New Roman" w:hAnsi="Times New Roman"/>
          <w:sz w:val="24"/>
          <w:szCs w:val="24"/>
        </w:rPr>
        <w:t xml:space="preserve"> </w:t>
      </w:r>
      <w:r w:rsidR="00CD2B89" w:rsidRPr="00D14A36">
        <w:rPr>
          <w:rFonts w:ascii="Times New Roman" w:hAnsi="Times New Roman"/>
          <w:b/>
          <w:sz w:val="24"/>
          <w:szCs w:val="24"/>
        </w:rPr>
        <w:t>машиностроени</w:t>
      </w:r>
      <w:r w:rsidR="00FA4596">
        <w:rPr>
          <w:rFonts w:ascii="Times New Roman" w:hAnsi="Times New Roman"/>
          <w:b/>
          <w:sz w:val="24"/>
          <w:szCs w:val="24"/>
        </w:rPr>
        <w:t>е</w:t>
      </w:r>
      <w:r w:rsidR="00CD2B89" w:rsidRPr="00D14A36">
        <w:rPr>
          <w:rFonts w:ascii="Times New Roman" w:hAnsi="Times New Roman"/>
          <w:b/>
          <w:sz w:val="24"/>
          <w:szCs w:val="24"/>
        </w:rPr>
        <w:t xml:space="preserve"> и металлообработк</w:t>
      </w:r>
      <w:r w:rsidR="00FA4596">
        <w:rPr>
          <w:rFonts w:ascii="Times New Roman" w:hAnsi="Times New Roman"/>
          <w:b/>
          <w:sz w:val="24"/>
          <w:szCs w:val="24"/>
        </w:rPr>
        <w:t>а</w:t>
      </w:r>
      <w:r w:rsidR="00CD2B89" w:rsidRPr="00D14A36">
        <w:rPr>
          <w:rFonts w:ascii="Times New Roman" w:hAnsi="Times New Roman"/>
          <w:sz w:val="24"/>
          <w:szCs w:val="24"/>
        </w:rPr>
        <w:t xml:space="preserve"> по итогам января-</w:t>
      </w:r>
      <w:r w:rsidR="003879A3" w:rsidRPr="00D14A36">
        <w:rPr>
          <w:rFonts w:ascii="Times New Roman" w:hAnsi="Times New Roman"/>
          <w:sz w:val="24"/>
          <w:szCs w:val="24"/>
        </w:rPr>
        <w:t>апреля</w:t>
      </w:r>
      <w:r w:rsidR="00CD2B89" w:rsidRPr="00D14A36">
        <w:rPr>
          <w:rFonts w:ascii="Times New Roman" w:hAnsi="Times New Roman"/>
          <w:sz w:val="24"/>
          <w:szCs w:val="24"/>
        </w:rPr>
        <w:t xml:space="preserve">            2017 года</w:t>
      </w:r>
      <w:r w:rsidR="00C95F45" w:rsidRPr="00D14A36">
        <w:rPr>
          <w:rFonts w:ascii="Times New Roman" w:hAnsi="Times New Roman"/>
          <w:sz w:val="24"/>
          <w:szCs w:val="24"/>
        </w:rPr>
        <w:t>,</w:t>
      </w:r>
      <w:r w:rsidR="00CD2B89" w:rsidRPr="00D14A36">
        <w:rPr>
          <w:rFonts w:ascii="Times New Roman" w:hAnsi="Times New Roman"/>
          <w:sz w:val="24"/>
          <w:szCs w:val="24"/>
        </w:rPr>
        <w:t xml:space="preserve"> </w:t>
      </w:r>
      <w:r w:rsidR="00C95F45" w:rsidRPr="00D14A36">
        <w:rPr>
          <w:rFonts w:ascii="Times New Roman" w:hAnsi="Times New Roman"/>
          <w:sz w:val="24"/>
          <w:szCs w:val="24"/>
        </w:rPr>
        <w:t xml:space="preserve">в условиях увеличения выпуска </w:t>
      </w:r>
      <w:r w:rsidR="00E32232">
        <w:rPr>
          <w:rFonts w:ascii="Times New Roman" w:hAnsi="Times New Roman"/>
          <w:sz w:val="24"/>
          <w:szCs w:val="24"/>
        </w:rPr>
        <w:t>на предприятиях ориентированных на российский рынок</w:t>
      </w:r>
      <w:r w:rsidR="00C350FB">
        <w:rPr>
          <w:rFonts w:ascii="Times New Roman" w:hAnsi="Times New Roman"/>
          <w:sz w:val="24"/>
          <w:szCs w:val="24"/>
        </w:rPr>
        <w:t>,</w:t>
      </w:r>
      <w:r w:rsidR="00C95F45" w:rsidRPr="00D14A36">
        <w:rPr>
          <w:rFonts w:ascii="Times New Roman" w:hAnsi="Times New Roman"/>
          <w:sz w:val="24"/>
          <w:szCs w:val="24"/>
        </w:rPr>
        <w:t xml:space="preserve"> отмечается</w:t>
      </w:r>
      <w:r w:rsidR="00CD2B89" w:rsidRPr="00D14A36">
        <w:rPr>
          <w:rFonts w:ascii="Times New Roman" w:hAnsi="Times New Roman"/>
          <w:sz w:val="24"/>
          <w:szCs w:val="24"/>
        </w:rPr>
        <w:t xml:space="preserve"> </w:t>
      </w:r>
      <w:r w:rsidR="00C543BF" w:rsidRPr="00D14A36">
        <w:rPr>
          <w:rFonts w:ascii="Times New Roman" w:hAnsi="Times New Roman"/>
          <w:sz w:val="24"/>
          <w:szCs w:val="24"/>
        </w:rPr>
        <w:t>расширение</w:t>
      </w:r>
      <w:r w:rsidR="00CD2B89" w:rsidRPr="00D14A36">
        <w:rPr>
          <w:rFonts w:ascii="Times New Roman" w:hAnsi="Times New Roman"/>
          <w:sz w:val="24"/>
          <w:szCs w:val="24"/>
        </w:rPr>
        <w:t xml:space="preserve"> объема производства на </w:t>
      </w:r>
      <w:r w:rsidR="00C95F45" w:rsidRPr="00D14A36">
        <w:rPr>
          <w:rFonts w:ascii="Times New Roman" w:hAnsi="Times New Roman"/>
          <w:sz w:val="24"/>
          <w:szCs w:val="24"/>
        </w:rPr>
        <w:t>71,5</w:t>
      </w:r>
      <w:r w:rsidR="00CD2B89" w:rsidRPr="00D14A36">
        <w:rPr>
          <w:rFonts w:ascii="Times New Roman" w:hAnsi="Times New Roman"/>
          <w:sz w:val="24"/>
          <w:szCs w:val="24"/>
        </w:rPr>
        <w:t>% по отношению к сопоставимым параметрам 2016 года;</w:t>
      </w:r>
    </w:p>
    <w:p w:rsidR="00712DF1" w:rsidRPr="006C558E" w:rsidRDefault="00630C71" w:rsidP="00712D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4A36">
        <w:rPr>
          <w:rFonts w:ascii="Times New Roman" w:hAnsi="Times New Roman"/>
          <w:sz w:val="24"/>
          <w:szCs w:val="24"/>
        </w:rPr>
        <w:t>б</w:t>
      </w:r>
      <w:r w:rsidR="00CE2D4A" w:rsidRPr="00D14A36">
        <w:rPr>
          <w:rFonts w:ascii="Times New Roman" w:hAnsi="Times New Roman"/>
          <w:sz w:val="24"/>
          <w:szCs w:val="24"/>
        </w:rPr>
        <w:t xml:space="preserve">) </w:t>
      </w:r>
      <w:r w:rsidR="00712DF1" w:rsidRPr="00D14A36">
        <w:rPr>
          <w:rFonts w:ascii="Times New Roman" w:hAnsi="Times New Roman"/>
          <w:sz w:val="24"/>
          <w:szCs w:val="24"/>
        </w:rPr>
        <w:t>п</w:t>
      </w:r>
      <w:r w:rsidR="00CE2D4A" w:rsidRPr="00D14A36">
        <w:rPr>
          <w:rFonts w:ascii="Times New Roman" w:hAnsi="Times New Roman"/>
          <w:sz w:val="24"/>
          <w:szCs w:val="24"/>
        </w:rPr>
        <w:t>риобретени</w:t>
      </w:r>
      <w:r w:rsidR="00712DF1" w:rsidRPr="00D14A36">
        <w:rPr>
          <w:rFonts w:ascii="Times New Roman" w:hAnsi="Times New Roman"/>
          <w:sz w:val="24"/>
          <w:szCs w:val="24"/>
        </w:rPr>
        <w:t>е</w:t>
      </w:r>
      <w:r w:rsidR="00CE2D4A" w:rsidRPr="00D14A36">
        <w:rPr>
          <w:rFonts w:ascii="Times New Roman" w:hAnsi="Times New Roman"/>
          <w:sz w:val="24"/>
          <w:szCs w:val="24"/>
        </w:rPr>
        <w:t xml:space="preserve"> емких рынков </w:t>
      </w:r>
      <w:r w:rsidR="00712DF1" w:rsidRPr="00D14A36">
        <w:rPr>
          <w:rFonts w:ascii="Times New Roman" w:hAnsi="Times New Roman"/>
          <w:sz w:val="24"/>
          <w:szCs w:val="24"/>
        </w:rPr>
        <w:t xml:space="preserve">сбыта готовой продукции </w:t>
      </w:r>
      <w:r w:rsidR="00573B0B" w:rsidRPr="00D14A36">
        <w:rPr>
          <w:rFonts w:ascii="Times New Roman" w:hAnsi="Times New Roman"/>
          <w:sz w:val="24"/>
          <w:szCs w:val="24"/>
        </w:rPr>
        <w:t>ЗАО «</w:t>
      </w:r>
      <w:proofErr w:type="spellStart"/>
      <w:r w:rsidR="00573B0B" w:rsidRPr="00D14A36">
        <w:rPr>
          <w:rFonts w:ascii="Times New Roman" w:hAnsi="Times New Roman"/>
          <w:sz w:val="24"/>
          <w:szCs w:val="24"/>
        </w:rPr>
        <w:t>Рыбницкий</w:t>
      </w:r>
      <w:proofErr w:type="spellEnd"/>
      <w:r w:rsidR="00573B0B" w:rsidRPr="00D14A36">
        <w:rPr>
          <w:rFonts w:ascii="Times New Roman" w:hAnsi="Times New Roman"/>
          <w:sz w:val="24"/>
          <w:szCs w:val="24"/>
        </w:rPr>
        <w:t xml:space="preserve"> цементный комбинат» </w:t>
      </w:r>
      <w:r w:rsidR="00712DF1" w:rsidRPr="00D14A36">
        <w:rPr>
          <w:rFonts w:ascii="Times New Roman" w:hAnsi="Times New Roman"/>
          <w:sz w:val="24"/>
          <w:szCs w:val="24"/>
        </w:rPr>
        <w:t>в</w:t>
      </w:r>
      <w:r w:rsidR="00CE2D4A" w:rsidRPr="00D14A36">
        <w:rPr>
          <w:rFonts w:ascii="Times New Roman" w:hAnsi="Times New Roman"/>
          <w:sz w:val="24"/>
          <w:szCs w:val="24"/>
        </w:rPr>
        <w:t xml:space="preserve"> Украине и Республике Молдова </w:t>
      </w:r>
      <w:r w:rsidR="00573B0B" w:rsidRPr="00D14A36">
        <w:rPr>
          <w:rFonts w:ascii="Times New Roman" w:hAnsi="Times New Roman"/>
          <w:sz w:val="24"/>
          <w:szCs w:val="24"/>
        </w:rPr>
        <w:t>обеспечило рост спроса на продукцию предприятия</w:t>
      </w:r>
      <w:r w:rsidR="00D728C6" w:rsidRPr="00D14A36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573B0B" w:rsidRPr="00D14A36">
        <w:rPr>
          <w:rFonts w:ascii="Times New Roman" w:hAnsi="Times New Roman"/>
          <w:sz w:val="24"/>
          <w:szCs w:val="24"/>
          <w:shd w:val="clear" w:color="auto" w:fill="FFFFFF"/>
        </w:rPr>
        <w:t xml:space="preserve"> что</w:t>
      </w:r>
      <w:r w:rsidR="00712DF1" w:rsidRPr="00D14A36">
        <w:rPr>
          <w:rFonts w:ascii="Times New Roman" w:hAnsi="Times New Roman"/>
          <w:sz w:val="24"/>
          <w:szCs w:val="24"/>
          <w:shd w:val="clear" w:color="auto" w:fill="FFFFFF"/>
        </w:rPr>
        <w:t xml:space="preserve"> способствовало увеличению выпуска промышленного производства в рассматриваемом периоде по отношению к базовым параметрам минувшего года на </w:t>
      </w:r>
      <w:r w:rsidR="00573B0B" w:rsidRPr="00D14A36">
        <w:rPr>
          <w:rFonts w:ascii="Times New Roman" w:hAnsi="Times New Roman"/>
          <w:sz w:val="24"/>
          <w:szCs w:val="24"/>
          <w:shd w:val="clear" w:color="auto" w:fill="FFFFFF"/>
        </w:rPr>
        <w:t>11,4</w:t>
      </w:r>
      <w:r w:rsidR="00712DF1" w:rsidRPr="00D14A36">
        <w:rPr>
          <w:rFonts w:ascii="Times New Roman" w:hAnsi="Times New Roman"/>
          <w:sz w:val="24"/>
          <w:szCs w:val="24"/>
          <w:shd w:val="clear" w:color="auto" w:fill="FFFFFF"/>
        </w:rPr>
        <w:t xml:space="preserve">% до </w:t>
      </w:r>
      <w:r w:rsidR="00573B0B" w:rsidRPr="00D14A36">
        <w:rPr>
          <w:rFonts w:ascii="Times New Roman" w:hAnsi="Times New Roman"/>
          <w:sz w:val="24"/>
          <w:szCs w:val="24"/>
          <w:shd w:val="clear" w:color="auto" w:fill="FFFFFF"/>
        </w:rPr>
        <w:t xml:space="preserve">102,0 </w:t>
      </w:r>
      <w:r w:rsidR="00712DF1" w:rsidRPr="00D14A36">
        <w:rPr>
          <w:rFonts w:ascii="Times New Roman" w:hAnsi="Times New Roman"/>
          <w:sz w:val="24"/>
          <w:szCs w:val="24"/>
          <w:shd w:val="clear" w:color="auto" w:fill="FFFFFF"/>
        </w:rPr>
        <w:t xml:space="preserve">млн. руб., что составляет </w:t>
      </w:r>
      <w:r w:rsidR="00F26F90">
        <w:rPr>
          <w:rFonts w:ascii="Times New Roman" w:hAnsi="Times New Roman"/>
          <w:sz w:val="24"/>
          <w:szCs w:val="24"/>
          <w:shd w:val="clear" w:color="auto" w:fill="FFFFFF"/>
        </w:rPr>
        <w:t>порядка 93</w:t>
      </w:r>
      <w:r w:rsidR="00712DF1" w:rsidRPr="00D14A36">
        <w:rPr>
          <w:rFonts w:ascii="Times New Roman" w:hAnsi="Times New Roman"/>
          <w:sz w:val="24"/>
          <w:szCs w:val="24"/>
          <w:shd w:val="clear" w:color="auto" w:fill="FFFFFF"/>
        </w:rPr>
        <w:t xml:space="preserve">% </w:t>
      </w:r>
      <w:r w:rsidR="00D728C6" w:rsidRPr="00D14A36">
        <w:rPr>
          <w:rFonts w:ascii="Times New Roman" w:hAnsi="Times New Roman"/>
          <w:sz w:val="24"/>
          <w:szCs w:val="24"/>
          <w:shd w:val="clear" w:color="auto" w:fill="FFFFFF"/>
        </w:rPr>
        <w:t>в совокупном выпуске</w:t>
      </w:r>
      <w:r w:rsidR="00F679CF" w:rsidRPr="00D14A36">
        <w:rPr>
          <w:rFonts w:ascii="Times New Roman" w:hAnsi="Times New Roman"/>
          <w:sz w:val="24"/>
          <w:szCs w:val="24"/>
        </w:rPr>
        <w:t xml:space="preserve"> </w:t>
      </w:r>
      <w:r w:rsidR="00D728C6" w:rsidRPr="00D14A36">
        <w:rPr>
          <w:rFonts w:ascii="Times New Roman" w:hAnsi="Times New Roman"/>
          <w:b/>
          <w:sz w:val="24"/>
          <w:szCs w:val="24"/>
        </w:rPr>
        <w:t>отрасли</w:t>
      </w:r>
      <w:r w:rsidR="00712DF1" w:rsidRPr="00D14A36">
        <w:rPr>
          <w:rFonts w:ascii="Times New Roman" w:hAnsi="Times New Roman"/>
          <w:b/>
          <w:sz w:val="24"/>
          <w:szCs w:val="24"/>
        </w:rPr>
        <w:t xml:space="preserve"> строительных материалов</w:t>
      </w:r>
      <w:r w:rsidR="00712DF1" w:rsidRPr="00D14A36">
        <w:rPr>
          <w:rFonts w:ascii="Times New Roman" w:hAnsi="Times New Roman"/>
          <w:sz w:val="24"/>
          <w:szCs w:val="24"/>
        </w:rPr>
        <w:t xml:space="preserve"> </w:t>
      </w:r>
      <w:r w:rsidR="00712DF1" w:rsidRPr="00D14A36">
        <w:rPr>
          <w:rFonts w:ascii="Times New Roman" w:hAnsi="Times New Roman"/>
          <w:sz w:val="24"/>
          <w:szCs w:val="24"/>
          <w:shd w:val="clear" w:color="auto" w:fill="FFFFFF"/>
        </w:rPr>
        <w:t xml:space="preserve">и обеспечило расширение </w:t>
      </w:r>
      <w:r w:rsidR="00F679CF" w:rsidRPr="00D14A36">
        <w:rPr>
          <w:rFonts w:ascii="Times New Roman" w:hAnsi="Times New Roman"/>
          <w:sz w:val="24"/>
          <w:szCs w:val="24"/>
        </w:rPr>
        <w:t>производственных показателей в</w:t>
      </w:r>
      <w:proofErr w:type="gramEnd"/>
      <w:r w:rsidR="00F679CF" w:rsidRPr="00D14A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79CF" w:rsidRPr="00D14A36">
        <w:rPr>
          <w:rFonts w:ascii="Times New Roman" w:hAnsi="Times New Roman"/>
          <w:sz w:val="24"/>
          <w:szCs w:val="24"/>
        </w:rPr>
        <w:t>целом</w:t>
      </w:r>
      <w:proofErr w:type="gramEnd"/>
      <w:r w:rsidR="00F679CF" w:rsidRPr="00D14A36">
        <w:rPr>
          <w:rFonts w:ascii="Times New Roman" w:hAnsi="Times New Roman"/>
          <w:sz w:val="24"/>
          <w:szCs w:val="24"/>
        </w:rPr>
        <w:t xml:space="preserve"> по </w:t>
      </w:r>
      <w:r w:rsidR="00F30328" w:rsidRPr="00D14A36">
        <w:rPr>
          <w:rFonts w:ascii="Times New Roman" w:hAnsi="Times New Roman"/>
          <w:sz w:val="24"/>
          <w:szCs w:val="24"/>
        </w:rPr>
        <w:t xml:space="preserve">данной </w:t>
      </w:r>
      <w:r w:rsidR="00F679CF" w:rsidRPr="00D14A36">
        <w:rPr>
          <w:rFonts w:ascii="Times New Roman" w:hAnsi="Times New Roman"/>
          <w:sz w:val="24"/>
          <w:szCs w:val="24"/>
        </w:rPr>
        <w:t xml:space="preserve">отрасли на </w:t>
      </w:r>
      <w:r w:rsidR="00573B0B" w:rsidRPr="00D14A36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712DF1" w:rsidRPr="00D14A36">
        <w:rPr>
          <w:rFonts w:ascii="Times New Roman" w:hAnsi="Times New Roman"/>
          <w:sz w:val="24"/>
          <w:szCs w:val="24"/>
          <w:shd w:val="clear" w:color="auto" w:fill="FFFFFF"/>
        </w:rPr>
        <w:t xml:space="preserve">,4% до </w:t>
      </w:r>
      <w:r w:rsidR="00573B0B" w:rsidRPr="00D14A36">
        <w:rPr>
          <w:rFonts w:ascii="Times New Roman" w:hAnsi="Times New Roman"/>
          <w:sz w:val="24"/>
          <w:szCs w:val="24"/>
          <w:shd w:val="clear" w:color="auto" w:fill="FFFFFF"/>
        </w:rPr>
        <w:t>109,6</w:t>
      </w:r>
      <w:r w:rsidR="00712DF1" w:rsidRPr="00D14A36">
        <w:rPr>
          <w:rFonts w:ascii="Times New Roman" w:hAnsi="Times New Roman"/>
          <w:sz w:val="24"/>
          <w:szCs w:val="24"/>
          <w:shd w:val="clear" w:color="auto" w:fill="FFFFFF"/>
        </w:rPr>
        <w:t xml:space="preserve"> млн. руб.</w:t>
      </w:r>
      <w:r w:rsidR="006C558E" w:rsidRPr="006C558E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CD2B89" w:rsidRPr="00D14A36" w:rsidRDefault="00630C71" w:rsidP="00CD2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A36">
        <w:rPr>
          <w:rFonts w:ascii="Times New Roman" w:hAnsi="Times New Roman"/>
          <w:sz w:val="24"/>
          <w:szCs w:val="24"/>
        </w:rPr>
        <w:t>в</w:t>
      </w:r>
      <w:r w:rsidR="00CD2B89" w:rsidRPr="00D14A36">
        <w:rPr>
          <w:rFonts w:ascii="Times New Roman" w:hAnsi="Times New Roman"/>
          <w:sz w:val="24"/>
          <w:szCs w:val="24"/>
        </w:rPr>
        <w:t xml:space="preserve">) на предприятиях </w:t>
      </w:r>
      <w:r w:rsidR="00CD2B89" w:rsidRPr="00D14A36">
        <w:rPr>
          <w:rFonts w:ascii="Times New Roman" w:hAnsi="Times New Roman"/>
          <w:b/>
          <w:sz w:val="24"/>
          <w:szCs w:val="24"/>
        </w:rPr>
        <w:t xml:space="preserve">легкой промышленности </w:t>
      </w:r>
      <w:r w:rsidR="00CD2B89" w:rsidRPr="00D14A36">
        <w:rPr>
          <w:rFonts w:ascii="Times New Roman" w:hAnsi="Times New Roman"/>
          <w:sz w:val="24"/>
          <w:szCs w:val="24"/>
        </w:rPr>
        <w:t>в январе-</w:t>
      </w:r>
      <w:r w:rsidR="008D3075" w:rsidRPr="00D14A36">
        <w:rPr>
          <w:rFonts w:ascii="Times New Roman" w:hAnsi="Times New Roman"/>
          <w:sz w:val="24"/>
          <w:szCs w:val="24"/>
        </w:rPr>
        <w:t>апрел</w:t>
      </w:r>
      <w:r w:rsidR="00F679CF" w:rsidRPr="00D14A36">
        <w:rPr>
          <w:rFonts w:ascii="Times New Roman" w:hAnsi="Times New Roman"/>
          <w:sz w:val="24"/>
          <w:szCs w:val="24"/>
        </w:rPr>
        <w:t>е</w:t>
      </w:r>
      <w:r w:rsidR="00CD2B89" w:rsidRPr="00D14A36">
        <w:rPr>
          <w:rFonts w:ascii="Times New Roman" w:hAnsi="Times New Roman"/>
          <w:sz w:val="24"/>
          <w:szCs w:val="24"/>
        </w:rPr>
        <w:t xml:space="preserve"> 2017 года</w:t>
      </w:r>
      <w:r w:rsidR="00706AEA" w:rsidRPr="00D14A36">
        <w:rPr>
          <w:rFonts w:ascii="Times New Roman" w:hAnsi="Times New Roman"/>
          <w:sz w:val="24"/>
          <w:szCs w:val="24"/>
        </w:rPr>
        <w:t>,</w:t>
      </w:r>
      <w:r w:rsidR="00CD2B89" w:rsidRPr="00D14A36">
        <w:rPr>
          <w:rFonts w:ascii="Times New Roman" w:hAnsi="Times New Roman"/>
          <w:sz w:val="24"/>
          <w:szCs w:val="24"/>
        </w:rPr>
        <w:t xml:space="preserve"> в результате </w:t>
      </w:r>
      <w:r w:rsidR="00706AEA" w:rsidRPr="00D14A36">
        <w:rPr>
          <w:rFonts w:ascii="Times New Roman" w:hAnsi="Times New Roman"/>
          <w:sz w:val="24"/>
          <w:szCs w:val="24"/>
        </w:rPr>
        <w:t>продолжающейся работы по расширению ассортимента выпускаемой продукции</w:t>
      </w:r>
      <w:r w:rsidR="00CD2B89" w:rsidRPr="00D14A36">
        <w:rPr>
          <w:rFonts w:ascii="Times New Roman" w:hAnsi="Times New Roman"/>
          <w:sz w:val="24"/>
          <w:szCs w:val="24"/>
        </w:rPr>
        <w:t xml:space="preserve"> </w:t>
      </w:r>
      <w:r w:rsidR="00706AEA" w:rsidRPr="00D14A36">
        <w:rPr>
          <w:rFonts w:ascii="Times New Roman" w:hAnsi="Times New Roman"/>
          <w:sz w:val="24"/>
          <w:szCs w:val="24"/>
        </w:rPr>
        <w:t>на                 ЗАО «</w:t>
      </w:r>
      <w:proofErr w:type="spellStart"/>
      <w:r w:rsidR="00706AEA" w:rsidRPr="00D14A36">
        <w:rPr>
          <w:rFonts w:ascii="Times New Roman" w:hAnsi="Times New Roman"/>
          <w:sz w:val="24"/>
          <w:szCs w:val="24"/>
        </w:rPr>
        <w:t>Тиротекс</w:t>
      </w:r>
      <w:proofErr w:type="spellEnd"/>
      <w:r w:rsidR="00706AEA" w:rsidRPr="00D14A36">
        <w:rPr>
          <w:rFonts w:ascii="Times New Roman" w:hAnsi="Times New Roman"/>
          <w:sz w:val="24"/>
          <w:szCs w:val="24"/>
        </w:rPr>
        <w:t xml:space="preserve">» (56,5% отраслевого выпуска) </w:t>
      </w:r>
      <w:r w:rsidR="00CD2B89" w:rsidRPr="00D14A36">
        <w:rPr>
          <w:rFonts w:ascii="Times New Roman" w:hAnsi="Times New Roman"/>
          <w:sz w:val="24"/>
          <w:szCs w:val="24"/>
        </w:rPr>
        <w:t xml:space="preserve">отмечен прирост </w:t>
      </w:r>
      <w:r w:rsidR="00F679CF" w:rsidRPr="00D14A36">
        <w:rPr>
          <w:rFonts w:ascii="Times New Roman" w:hAnsi="Times New Roman"/>
          <w:sz w:val="24"/>
          <w:szCs w:val="24"/>
        </w:rPr>
        <w:t xml:space="preserve">отраслевого </w:t>
      </w:r>
      <w:r w:rsidR="00CD2B89" w:rsidRPr="00D14A36">
        <w:rPr>
          <w:rFonts w:ascii="Times New Roman" w:hAnsi="Times New Roman"/>
          <w:sz w:val="24"/>
          <w:szCs w:val="24"/>
        </w:rPr>
        <w:t xml:space="preserve">товарного выпуска </w:t>
      </w:r>
      <w:r w:rsidR="00F679CF" w:rsidRPr="00D14A36">
        <w:rPr>
          <w:rFonts w:ascii="Times New Roman" w:hAnsi="Times New Roman"/>
          <w:sz w:val="24"/>
          <w:szCs w:val="24"/>
        </w:rPr>
        <w:t>в ст</w:t>
      </w:r>
      <w:r w:rsidR="00792938" w:rsidRPr="00D14A36">
        <w:rPr>
          <w:rFonts w:ascii="Times New Roman" w:hAnsi="Times New Roman"/>
          <w:sz w:val="24"/>
          <w:szCs w:val="24"/>
        </w:rPr>
        <w:t>о</w:t>
      </w:r>
      <w:r w:rsidR="00F679CF" w:rsidRPr="00D14A36">
        <w:rPr>
          <w:rFonts w:ascii="Times New Roman" w:hAnsi="Times New Roman"/>
          <w:sz w:val="24"/>
          <w:szCs w:val="24"/>
        </w:rPr>
        <w:t>имостном выражении на</w:t>
      </w:r>
      <w:r w:rsidR="00CD2B89" w:rsidRPr="00D14A36">
        <w:rPr>
          <w:rFonts w:ascii="Times New Roman" w:hAnsi="Times New Roman"/>
          <w:sz w:val="24"/>
          <w:szCs w:val="24"/>
        </w:rPr>
        <w:t xml:space="preserve"> </w:t>
      </w:r>
      <w:r w:rsidR="008D3075" w:rsidRPr="00D14A36">
        <w:rPr>
          <w:rFonts w:ascii="Times New Roman" w:hAnsi="Times New Roman"/>
          <w:sz w:val="24"/>
          <w:szCs w:val="24"/>
        </w:rPr>
        <w:t>2</w:t>
      </w:r>
      <w:r w:rsidR="00CD2B89" w:rsidRPr="00D14A36">
        <w:rPr>
          <w:rFonts w:ascii="Times New Roman" w:hAnsi="Times New Roman"/>
          <w:sz w:val="24"/>
          <w:szCs w:val="24"/>
        </w:rPr>
        <w:t>,</w:t>
      </w:r>
      <w:r w:rsidR="00F679CF" w:rsidRPr="00D14A36">
        <w:rPr>
          <w:rFonts w:ascii="Times New Roman" w:hAnsi="Times New Roman"/>
          <w:sz w:val="24"/>
          <w:szCs w:val="24"/>
        </w:rPr>
        <w:t>9</w:t>
      </w:r>
      <w:r w:rsidR="00CD2B89" w:rsidRPr="00D14A36">
        <w:rPr>
          <w:rFonts w:ascii="Times New Roman" w:hAnsi="Times New Roman"/>
          <w:sz w:val="24"/>
          <w:szCs w:val="24"/>
        </w:rPr>
        <w:t>%</w:t>
      </w:r>
      <w:r w:rsidR="00F679CF" w:rsidRPr="00D14A36">
        <w:rPr>
          <w:rFonts w:ascii="Times New Roman" w:hAnsi="Times New Roman"/>
          <w:sz w:val="24"/>
          <w:szCs w:val="24"/>
        </w:rPr>
        <w:t xml:space="preserve"> до</w:t>
      </w:r>
      <w:r w:rsidR="0075450C" w:rsidRPr="00D14A36">
        <w:rPr>
          <w:rFonts w:ascii="Times New Roman" w:hAnsi="Times New Roman"/>
          <w:sz w:val="24"/>
          <w:szCs w:val="24"/>
        </w:rPr>
        <w:t xml:space="preserve"> </w:t>
      </w:r>
      <w:r w:rsidR="008D3075" w:rsidRPr="00D14A36">
        <w:rPr>
          <w:rFonts w:ascii="Times New Roman" w:hAnsi="Times New Roman"/>
          <w:sz w:val="24"/>
          <w:szCs w:val="24"/>
        </w:rPr>
        <w:t>369,1</w:t>
      </w:r>
      <w:r w:rsidR="00792938" w:rsidRPr="00D14A36">
        <w:rPr>
          <w:rFonts w:ascii="Times New Roman" w:hAnsi="Times New Roman"/>
          <w:sz w:val="24"/>
          <w:szCs w:val="24"/>
        </w:rPr>
        <w:t xml:space="preserve"> млн. руб.</w:t>
      </w:r>
    </w:p>
    <w:p w:rsidR="00CD2B89" w:rsidRPr="00D14A36" w:rsidRDefault="00CD2B89" w:rsidP="00CD2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A36">
        <w:rPr>
          <w:noProof/>
        </w:rPr>
        <w:drawing>
          <wp:inline distT="0" distB="0" distL="0" distR="0">
            <wp:extent cx="6057900" cy="1571625"/>
            <wp:effectExtent l="19050" t="0" r="0" b="0"/>
            <wp:docPr id="20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07D3" w:rsidRPr="00D14A36" w:rsidRDefault="00E307D3" w:rsidP="00CD2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2B89" w:rsidRPr="00D14A36" w:rsidRDefault="00630C71" w:rsidP="00CD2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A36">
        <w:rPr>
          <w:rFonts w:ascii="Times New Roman" w:hAnsi="Times New Roman"/>
          <w:sz w:val="24"/>
          <w:szCs w:val="24"/>
        </w:rPr>
        <w:t>г</w:t>
      </w:r>
      <w:r w:rsidR="003B73D3" w:rsidRPr="00D14A36">
        <w:rPr>
          <w:rFonts w:ascii="Times New Roman" w:hAnsi="Times New Roman"/>
          <w:sz w:val="24"/>
          <w:szCs w:val="24"/>
        </w:rPr>
        <w:t xml:space="preserve">) </w:t>
      </w:r>
      <w:r w:rsidR="00CD2B89" w:rsidRPr="00D14A36">
        <w:rPr>
          <w:rFonts w:ascii="Times New Roman" w:hAnsi="Times New Roman"/>
          <w:sz w:val="24"/>
          <w:szCs w:val="24"/>
        </w:rPr>
        <w:t xml:space="preserve">в </w:t>
      </w:r>
      <w:r w:rsidR="00CD2B89" w:rsidRPr="00D14A36">
        <w:rPr>
          <w:rFonts w:ascii="Times New Roman" w:hAnsi="Times New Roman"/>
          <w:b/>
          <w:sz w:val="24"/>
          <w:szCs w:val="24"/>
        </w:rPr>
        <w:t>мукомольно-крупяной и комбикормовой промышленности</w:t>
      </w:r>
      <w:r w:rsidR="00CD2B89" w:rsidRPr="00D14A36">
        <w:rPr>
          <w:rFonts w:ascii="Times New Roman" w:hAnsi="Times New Roman"/>
          <w:sz w:val="24"/>
          <w:szCs w:val="24"/>
        </w:rPr>
        <w:t xml:space="preserve"> в </w:t>
      </w:r>
      <w:r w:rsidR="003B73D3" w:rsidRPr="00D14A36">
        <w:rPr>
          <w:rFonts w:ascii="Times New Roman" w:hAnsi="Times New Roman"/>
          <w:sz w:val="24"/>
          <w:szCs w:val="24"/>
        </w:rPr>
        <w:t>январе-</w:t>
      </w:r>
      <w:r w:rsidR="00643EAB" w:rsidRPr="00D14A36">
        <w:rPr>
          <w:rFonts w:ascii="Times New Roman" w:hAnsi="Times New Roman"/>
          <w:sz w:val="24"/>
          <w:szCs w:val="24"/>
        </w:rPr>
        <w:t>апреле</w:t>
      </w:r>
      <w:r w:rsidR="003B73D3" w:rsidRPr="00D14A36">
        <w:rPr>
          <w:rFonts w:ascii="Times New Roman" w:hAnsi="Times New Roman"/>
          <w:sz w:val="24"/>
          <w:szCs w:val="24"/>
        </w:rPr>
        <w:t xml:space="preserve"> текущего года</w:t>
      </w:r>
      <w:r w:rsidR="0075450C" w:rsidRPr="00D14A36">
        <w:rPr>
          <w:rFonts w:ascii="Times New Roman" w:hAnsi="Times New Roman"/>
          <w:sz w:val="24"/>
          <w:szCs w:val="24"/>
        </w:rPr>
        <w:t>,</w:t>
      </w:r>
      <w:r w:rsidR="00CD2B89" w:rsidRPr="00D14A36">
        <w:rPr>
          <w:rFonts w:ascii="Times New Roman" w:hAnsi="Times New Roman"/>
          <w:sz w:val="24"/>
          <w:szCs w:val="24"/>
        </w:rPr>
        <w:t xml:space="preserve"> фиксир</w:t>
      </w:r>
      <w:r w:rsidR="003B73D3" w:rsidRPr="00D14A36">
        <w:rPr>
          <w:rFonts w:ascii="Times New Roman" w:hAnsi="Times New Roman"/>
          <w:sz w:val="24"/>
          <w:szCs w:val="24"/>
        </w:rPr>
        <w:t>уемый</w:t>
      </w:r>
      <w:r w:rsidR="00CD2B89" w:rsidRPr="00D14A36">
        <w:rPr>
          <w:rFonts w:ascii="Times New Roman" w:hAnsi="Times New Roman"/>
          <w:sz w:val="24"/>
          <w:szCs w:val="24"/>
        </w:rPr>
        <w:t xml:space="preserve"> </w:t>
      </w:r>
      <w:r w:rsidR="003B73D3" w:rsidRPr="00D14A36">
        <w:rPr>
          <w:rFonts w:ascii="Times New Roman" w:hAnsi="Times New Roman"/>
          <w:sz w:val="24"/>
          <w:szCs w:val="24"/>
        </w:rPr>
        <w:t>при</w:t>
      </w:r>
      <w:r w:rsidR="00CD2B89" w:rsidRPr="00D14A36">
        <w:rPr>
          <w:rFonts w:ascii="Times New Roman" w:hAnsi="Times New Roman"/>
          <w:sz w:val="24"/>
          <w:szCs w:val="24"/>
        </w:rPr>
        <w:t>рост по производству основных видов продукции в натуральном выражении</w:t>
      </w:r>
      <w:r w:rsidR="003B73D3" w:rsidRPr="00D14A36">
        <w:rPr>
          <w:rFonts w:ascii="Times New Roman" w:hAnsi="Times New Roman"/>
          <w:sz w:val="24"/>
          <w:szCs w:val="24"/>
        </w:rPr>
        <w:t xml:space="preserve"> </w:t>
      </w:r>
      <w:r w:rsidR="0075450C" w:rsidRPr="00D14A36">
        <w:rPr>
          <w:rFonts w:ascii="Times New Roman" w:hAnsi="Times New Roman"/>
          <w:sz w:val="24"/>
          <w:szCs w:val="24"/>
        </w:rPr>
        <w:t>(</w:t>
      </w:r>
      <w:r w:rsidR="003B73D3" w:rsidRPr="00D14A36">
        <w:rPr>
          <w:rFonts w:ascii="Times New Roman" w:hAnsi="Times New Roman"/>
          <w:sz w:val="24"/>
          <w:szCs w:val="24"/>
        </w:rPr>
        <w:t xml:space="preserve">муки </w:t>
      </w:r>
      <w:r w:rsidR="0075450C" w:rsidRPr="00D14A36">
        <w:rPr>
          <w:rFonts w:ascii="Times New Roman" w:hAnsi="Times New Roman"/>
          <w:sz w:val="24"/>
          <w:szCs w:val="24"/>
        </w:rPr>
        <w:t xml:space="preserve">на </w:t>
      </w:r>
      <w:r w:rsidR="00643EAB" w:rsidRPr="00D14A36">
        <w:rPr>
          <w:rFonts w:ascii="Times New Roman" w:hAnsi="Times New Roman"/>
          <w:sz w:val="24"/>
          <w:szCs w:val="24"/>
        </w:rPr>
        <w:t>17,5</w:t>
      </w:r>
      <w:r w:rsidR="003B73D3" w:rsidRPr="00D14A36">
        <w:rPr>
          <w:rFonts w:ascii="Times New Roman" w:hAnsi="Times New Roman"/>
          <w:sz w:val="24"/>
          <w:szCs w:val="24"/>
        </w:rPr>
        <w:t>%</w:t>
      </w:r>
      <w:r w:rsidR="0075450C" w:rsidRPr="00D14A36">
        <w:rPr>
          <w:rFonts w:ascii="Times New Roman" w:hAnsi="Times New Roman"/>
          <w:sz w:val="24"/>
          <w:szCs w:val="24"/>
        </w:rPr>
        <w:t xml:space="preserve"> и</w:t>
      </w:r>
      <w:r w:rsidR="003B73D3" w:rsidRPr="00D14A36">
        <w:rPr>
          <w:rFonts w:ascii="Times New Roman" w:hAnsi="Times New Roman"/>
          <w:sz w:val="24"/>
          <w:szCs w:val="24"/>
        </w:rPr>
        <w:t xml:space="preserve"> круп </w:t>
      </w:r>
      <w:r w:rsidR="0075450C" w:rsidRPr="00D14A36">
        <w:rPr>
          <w:rFonts w:ascii="Times New Roman" w:hAnsi="Times New Roman"/>
          <w:sz w:val="24"/>
          <w:szCs w:val="24"/>
        </w:rPr>
        <w:t xml:space="preserve">на </w:t>
      </w:r>
      <w:r w:rsidR="00643EAB" w:rsidRPr="00D14A36">
        <w:rPr>
          <w:rFonts w:ascii="Times New Roman" w:hAnsi="Times New Roman"/>
          <w:sz w:val="24"/>
          <w:szCs w:val="24"/>
        </w:rPr>
        <w:t>35,0</w:t>
      </w:r>
      <w:r w:rsidR="003B73D3" w:rsidRPr="00D14A36">
        <w:rPr>
          <w:rFonts w:ascii="Times New Roman" w:hAnsi="Times New Roman"/>
          <w:sz w:val="24"/>
          <w:szCs w:val="24"/>
        </w:rPr>
        <w:t>%)</w:t>
      </w:r>
      <w:r w:rsidR="00CD2B89" w:rsidRPr="00D14A36">
        <w:rPr>
          <w:rFonts w:ascii="Times New Roman" w:hAnsi="Times New Roman"/>
          <w:sz w:val="24"/>
          <w:szCs w:val="24"/>
        </w:rPr>
        <w:t xml:space="preserve"> </w:t>
      </w:r>
      <w:r w:rsidR="003B73D3" w:rsidRPr="00D14A36">
        <w:rPr>
          <w:rFonts w:ascii="Times New Roman" w:hAnsi="Times New Roman"/>
          <w:sz w:val="24"/>
          <w:szCs w:val="24"/>
        </w:rPr>
        <w:t>обеспечил</w:t>
      </w:r>
      <w:r w:rsidR="00CD2B89" w:rsidRPr="00D14A36">
        <w:rPr>
          <w:rFonts w:ascii="Times New Roman" w:hAnsi="Times New Roman"/>
          <w:sz w:val="24"/>
          <w:szCs w:val="24"/>
        </w:rPr>
        <w:t xml:space="preserve"> </w:t>
      </w:r>
      <w:r w:rsidR="003B73D3" w:rsidRPr="00D14A36">
        <w:rPr>
          <w:rFonts w:ascii="Times New Roman" w:hAnsi="Times New Roman"/>
          <w:sz w:val="24"/>
          <w:szCs w:val="24"/>
        </w:rPr>
        <w:t xml:space="preserve">расширение </w:t>
      </w:r>
      <w:r w:rsidR="00CD2B89" w:rsidRPr="00D14A36">
        <w:rPr>
          <w:rFonts w:ascii="Times New Roman" w:hAnsi="Times New Roman"/>
          <w:sz w:val="24"/>
          <w:szCs w:val="24"/>
        </w:rPr>
        <w:t>совокупн</w:t>
      </w:r>
      <w:r w:rsidR="003B73D3" w:rsidRPr="00D14A36">
        <w:rPr>
          <w:rFonts w:ascii="Times New Roman" w:hAnsi="Times New Roman"/>
          <w:sz w:val="24"/>
          <w:szCs w:val="24"/>
        </w:rPr>
        <w:t>ого</w:t>
      </w:r>
      <w:r w:rsidR="00CD2B89" w:rsidRPr="00D14A36">
        <w:rPr>
          <w:rFonts w:ascii="Times New Roman" w:hAnsi="Times New Roman"/>
          <w:sz w:val="24"/>
          <w:szCs w:val="24"/>
        </w:rPr>
        <w:t xml:space="preserve"> отраслево</w:t>
      </w:r>
      <w:r w:rsidR="003B73D3" w:rsidRPr="00D14A36">
        <w:rPr>
          <w:rFonts w:ascii="Times New Roman" w:hAnsi="Times New Roman"/>
          <w:sz w:val="24"/>
          <w:szCs w:val="24"/>
        </w:rPr>
        <w:t>го</w:t>
      </w:r>
      <w:r w:rsidR="00CD2B89" w:rsidRPr="00D14A36">
        <w:rPr>
          <w:rFonts w:ascii="Times New Roman" w:hAnsi="Times New Roman"/>
          <w:sz w:val="24"/>
          <w:szCs w:val="24"/>
        </w:rPr>
        <w:t xml:space="preserve"> товарного выпуска в стоимостном выражении на </w:t>
      </w:r>
      <w:r w:rsidR="00643EAB" w:rsidRPr="00D14A36">
        <w:rPr>
          <w:rFonts w:ascii="Times New Roman" w:hAnsi="Times New Roman"/>
          <w:sz w:val="24"/>
          <w:szCs w:val="24"/>
        </w:rPr>
        <w:t>19,7</w:t>
      </w:r>
      <w:r w:rsidR="00CD2B89" w:rsidRPr="00D14A36">
        <w:rPr>
          <w:rFonts w:ascii="Times New Roman" w:hAnsi="Times New Roman"/>
          <w:sz w:val="24"/>
          <w:szCs w:val="24"/>
        </w:rPr>
        <w:t>%.</w:t>
      </w:r>
    </w:p>
    <w:p w:rsidR="00CD2B89" w:rsidRPr="00D14A36" w:rsidRDefault="00CD2B89" w:rsidP="00CD2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A36">
        <w:rPr>
          <w:rFonts w:ascii="Times New Roman" w:hAnsi="Times New Roman"/>
          <w:sz w:val="24"/>
          <w:szCs w:val="24"/>
        </w:rPr>
        <w:lastRenderedPageBreak/>
        <w:t xml:space="preserve">Спад промышленного производства в рассматриваемом периоде по отношению к аналогичному периоду 2016 года наблюдается в </w:t>
      </w:r>
      <w:proofErr w:type="gramStart"/>
      <w:r w:rsidRPr="00D14A36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D14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A36">
        <w:rPr>
          <w:rFonts w:ascii="Times New Roman" w:hAnsi="Times New Roman"/>
          <w:sz w:val="24"/>
          <w:szCs w:val="24"/>
        </w:rPr>
        <w:t>подотраслях</w:t>
      </w:r>
      <w:proofErr w:type="spellEnd"/>
      <w:r w:rsidRPr="00D14A36">
        <w:rPr>
          <w:rFonts w:ascii="Times New Roman" w:hAnsi="Times New Roman"/>
          <w:sz w:val="24"/>
          <w:szCs w:val="24"/>
        </w:rPr>
        <w:t xml:space="preserve"> промышленности:</w:t>
      </w:r>
    </w:p>
    <w:p w:rsidR="00630C71" w:rsidRDefault="00630C71" w:rsidP="00630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A36">
        <w:rPr>
          <w:rFonts w:ascii="Times New Roman" w:hAnsi="Times New Roman"/>
          <w:sz w:val="24"/>
          <w:szCs w:val="24"/>
        </w:rPr>
        <w:t xml:space="preserve">а) в </w:t>
      </w:r>
      <w:r w:rsidRPr="00D14A36">
        <w:rPr>
          <w:rFonts w:ascii="Times New Roman" w:hAnsi="Times New Roman"/>
          <w:b/>
          <w:sz w:val="24"/>
          <w:szCs w:val="24"/>
        </w:rPr>
        <w:t>электроэнергетическом комплексе</w:t>
      </w:r>
      <w:r w:rsidRPr="00D14A36">
        <w:rPr>
          <w:rFonts w:ascii="Times New Roman" w:hAnsi="Times New Roman"/>
          <w:sz w:val="24"/>
          <w:szCs w:val="24"/>
        </w:rPr>
        <w:t xml:space="preserve"> республики</w:t>
      </w:r>
      <w:r w:rsidR="00550FC5" w:rsidRPr="00D14A36">
        <w:rPr>
          <w:rFonts w:ascii="Times New Roman" w:hAnsi="Times New Roman"/>
          <w:sz w:val="24"/>
          <w:szCs w:val="24"/>
        </w:rPr>
        <w:t>,</w:t>
      </w:r>
      <w:r w:rsidRPr="00D14A36">
        <w:rPr>
          <w:rFonts w:ascii="Times New Roman" w:hAnsi="Times New Roman"/>
          <w:sz w:val="24"/>
          <w:szCs w:val="24"/>
        </w:rPr>
        <w:t xml:space="preserve"> в результате </w:t>
      </w:r>
      <w:r w:rsidR="00550FC5" w:rsidRPr="00D14A36">
        <w:rPr>
          <w:rFonts w:ascii="Times New Roman" w:hAnsi="Times New Roman"/>
          <w:sz w:val="24"/>
          <w:szCs w:val="24"/>
        </w:rPr>
        <w:t xml:space="preserve">окончания действия </w:t>
      </w:r>
      <w:r w:rsidR="00550FC5" w:rsidRPr="00D14A3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контракта на поставки электроэнергии</w:t>
      </w:r>
      <w:r w:rsidRPr="00D14A36">
        <w:rPr>
          <w:rFonts w:ascii="Times New Roman" w:hAnsi="Times New Roman"/>
          <w:sz w:val="24"/>
          <w:szCs w:val="24"/>
        </w:rPr>
        <w:t xml:space="preserve"> </w:t>
      </w:r>
      <w:r w:rsidR="00550FC5" w:rsidRPr="00D14A36">
        <w:rPr>
          <w:rFonts w:ascii="Times New Roman" w:hAnsi="Times New Roman"/>
          <w:sz w:val="24"/>
          <w:szCs w:val="24"/>
        </w:rPr>
        <w:t xml:space="preserve">в Республику Молдова, </w:t>
      </w:r>
      <w:r w:rsidRPr="00D14A36">
        <w:rPr>
          <w:rFonts w:ascii="Times New Roman" w:hAnsi="Times New Roman"/>
          <w:sz w:val="24"/>
          <w:szCs w:val="24"/>
        </w:rPr>
        <w:t xml:space="preserve">отмечается </w:t>
      </w:r>
      <w:r w:rsidR="00BE520A" w:rsidRPr="00D14A36">
        <w:rPr>
          <w:rFonts w:ascii="Times New Roman" w:hAnsi="Times New Roman"/>
          <w:sz w:val="24"/>
          <w:szCs w:val="24"/>
        </w:rPr>
        <w:t>спад</w:t>
      </w:r>
      <w:r w:rsidRPr="00D14A36">
        <w:rPr>
          <w:rFonts w:ascii="Times New Roman" w:hAnsi="Times New Roman"/>
          <w:sz w:val="24"/>
          <w:szCs w:val="24"/>
        </w:rPr>
        <w:t xml:space="preserve"> товарного выпуска в электроэнергетическом комплексе в стоимостном выражении на </w:t>
      </w:r>
      <w:r w:rsidR="00BE520A" w:rsidRPr="00D14A36">
        <w:rPr>
          <w:rFonts w:ascii="Times New Roman" w:hAnsi="Times New Roman"/>
          <w:sz w:val="24"/>
          <w:szCs w:val="24"/>
        </w:rPr>
        <w:t>12,8</w:t>
      </w:r>
      <w:r w:rsidRPr="00D14A36">
        <w:rPr>
          <w:rFonts w:ascii="Times New Roman" w:hAnsi="Times New Roman"/>
          <w:sz w:val="24"/>
          <w:szCs w:val="24"/>
        </w:rPr>
        <w:t>%.</w:t>
      </w:r>
    </w:p>
    <w:p w:rsidR="00DF2162" w:rsidRPr="00D14A36" w:rsidRDefault="00DF2162" w:rsidP="00630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30C71" w:rsidRPr="00D14A36" w:rsidRDefault="00630C71" w:rsidP="00630C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4A3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00750" cy="1495425"/>
            <wp:effectExtent l="19050" t="0" r="0" b="0"/>
            <wp:docPr id="1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30C71" w:rsidRPr="00D14A36" w:rsidRDefault="00630C71" w:rsidP="00630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D2B89" w:rsidRPr="00D14A36" w:rsidRDefault="00630C71" w:rsidP="001A3F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4A36">
        <w:rPr>
          <w:rFonts w:ascii="Times New Roman" w:hAnsi="Times New Roman"/>
          <w:sz w:val="24"/>
          <w:szCs w:val="24"/>
        </w:rPr>
        <w:t>б</w:t>
      </w:r>
      <w:r w:rsidR="00CD2B89" w:rsidRPr="00D14A36">
        <w:rPr>
          <w:rFonts w:ascii="Times New Roman" w:hAnsi="Times New Roman"/>
          <w:sz w:val="24"/>
          <w:szCs w:val="24"/>
        </w:rPr>
        <w:t xml:space="preserve">) </w:t>
      </w:r>
      <w:r w:rsidR="006B7CEB" w:rsidRPr="00D14A36">
        <w:rPr>
          <w:rFonts w:ascii="Times New Roman" w:hAnsi="Times New Roman"/>
          <w:sz w:val="24"/>
          <w:szCs w:val="24"/>
        </w:rPr>
        <w:t xml:space="preserve">функционирование </w:t>
      </w:r>
      <w:r w:rsidR="006B57CA" w:rsidRPr="00D14A36">
        <w:rPr>
          <w:rFonts w:ascii="Times New Roman" w:hAnsi="Times New Roman"/>
          <w:sz w:val="24"/>
          <w:szCs w:val="24"/>
        </w:rPr>
        <w:t xml:space="preserve">ЗАО «Молдавский металлургический завод» </w:t>
      </w:r>
      <w:r w:rsidR="006B7CEB" w:rsidRPr="00D14A36">
        <w:rPr>
          <w:rFonts w:ascii="Times New Roman" w:hAnsi="Times New Roman"/>
          <w:sz w:val="24"/>
          <w:szCs w:val="24"/>
        </w:rPr>
        <w:t>согласно утвержденному на 2017 год бизнес плану</w:t>
      </w:r>
      <w:r w:rsidR="001A3F74" w:rsidRPr="00D14A36">
        <w:rPr>
          <w:rFonts w:ascii="Times New Roman" w:hAnsi="Times New Roman"/>
          <w:sz w:val="24"/>
          <w:szCs w:val="24"/>
        </w:rPr>
        <w:t xml:space="preserve"> </w:t>
      </w:r>
      <w:r w:rsidR="007E48CA" w:rsidRPr="00D14A36">
        <w:rPr>
          <w:rFonts w:ascii="Times New Roman" w:hAnsi="Times New Roman"/>
          <w:sz w:val="24"/>
          <w:szCs w:val="24"/>
        </w:rPr>
        <w:t>обеспечил</w:t>
      </w:r>
      <w:r w:rsidR="006B7CEB" w:rsidRPr="00D14A36">
        <w:rPr>
          <w:rFonts w:ascii="Times New Roman" w:hAnsi="Times New Roman"/>
          <w:sz w:val="24"/>
          <w:szCs w:val="24"/>
        </w:rPr>
        <w:t>о</w:t>
      </w:r>
      <w:r w:rsidR="001A3F74" w:rsidRPr="00D14A36">
        <w:rPr>
          <w:rFonts w:ascii="Times New Roman" w:hAnsi="Times New Roman"/>
          <w:sz w:val="24"/>
          <w:szCs w:val="24"/>
        </w:rPr>
        <w:t xml:space="preserve"> увеличение товарного выпуска </w:t>
      </w:r>
      <w:r w:rsidR="007E48CA" w:rsidRPr="00D14A36">
        <w:rPr>
          <w:rFonts w:ascii="Times New Roman" w:hAnsi="Times New Roman"/>
          <w:sz w:val="24"/>
          <w:szCs w:val="24"/>
        </w:rPr>
        <w:t xml:space="preserve">в </w:t>
      </w:r>
      <w:r w:rsidR="006B7CEB" w:rsidRPr="00D14A36">
        <w:rPr>
          <w:rFonts w:ascii="Times New Roman" w:hAnsi="Times New Roman"/>
          <w:sz w:val="24"/>
          <w:szCs w:val="24"/>
        </w:rPr>
        <w:t>апреле</w:t>
      </w:r>
      <w:r w:rsidR="007E48CA" w:rsidRPr="00D14A36">
        <w:rPr>
          <w:rFonts w:ascii="Times New Roman" w:hAnsi="Times New Roman"/>
          <w:sz w:val="24"/>
          <w:szCs w:val="24"/>
        </w:rPr>
        <w:t xml:space="preserve"> текущего года </w:t>
      </w:r>
      <w:r w:rsidR="001A3F74" w:rsidRPr="00D14A36">
        <w:rPr>
          <w:rFonts w:ascii="Times New Roman" w:hAnsi="Times New Roman"/>
          <w:sz w:val="24"/>
          <w:szCs w:val="24"/>
        </w:rPr>
        <w:t xml:space="preserve">к уровню </w:t>
      </w:r>
      <w:r w:rsidR="001913C1" w:rsidRPr="00D14A36">
        <w:rPr>
          <w:rFonts w:ascii="Times New Roman" w:hAnsi="Times New Roman"/>
          <w:sz w:val="24"/>
          <w:szCs w:val="24"/>
        </w:rPr>
        <w:t>марта 2017 года на 18,8%</w:t>
      </w:r>
      <w:r w:rsidR="001A3F74" w:rsidRPr="00D14A36">
        <w:rPr>
          <w:rFonts w:ascii="Times New Roman" w:hAnsi="Times New Roman"/>
          <w:sz w:val="24"/>
          <w:szCs w:val="24"/>
        </w:rPr>
        <w:t xml:space="preserve">, </w:t>
      </w:r>
      <w:r w:rsidR="001913C1" w:rsidRPr="00D14A36">
        <w:rPr>
          <w:rFonts w:ascii="Times New Roman" w:hAnsi="Times New Roman"/>
          <w:sz w:val="24"/>
          <w:szCs w:val="24"/>
        </w:rPr>
        <w:t>а по отношению к апрелю 2016 года прирост показателя составил 37,0%</w:t>
      </w:r>
      <w:r w:rsidR="001A3F74" w:rsidRPr="00D14A36">
        <w:rPr>
          <w:rFonts w:ascii="Times New Roman" w:hAnsi="Times New Roman"/>
          <w:sz w:val="24"/>
          <w:szCs w:val="24"/>
        </w:rPr>
        <w:t xml:space="preserve">. </w:t>
      </w:r>
      <w:r w:rsidR="00113DEF" w:rsidRPr="00D14A36">
        <w:rPr>
          <w:rFonts w:ascii="Times New Roman" w:hAnsi="Times New Roman"/>
          <w:sz w:val="24"/>
          <w:szCs w:val="24"/>
        </w:rPr>
        <w:t xml:space="preserve">В целом </w:t>
      </w:r>
      <w:r w:rsidR="007E48CA" w:rsidRPr="00D14A36">
        <w:rPr>
          <w:rFonts w:ascii="Times New Roman" w:hAnsi="Times New Roman"/>
          <w:sz w:val="24"/>
          <w:szCs w:val="24"/>
        </w:rPr>
        <w:t xml:space="preserve">в </w:t>
      </w:r>
      <w:r w:rsidR="007E48CA" w:rsidRPr="00D14A36">
        <w:rPr>
          <w:rFonts w:ascii="Times New Roman" w:hAnsi="Times New Roman"/>
          <w:b/>
          <w:sz w:val="24"/>
          <w:szCs w:val="24"/>
        </w:rPr>
        <w:t>черной металлургии</w:t>
      </w:r>
      <w:r w:rsidR="001A3F74" w:rsidRPr="00D14A36">
        <w:rPr>
          <w:rFonts w:ascii="Times New Roman" w:hAnsi="Times New Roman"/>
          <w:sz w:val="24"/>
          <w:szCs w:val="24"/>
        </w:rPr>
        <w:t>,</w:t>
      </w:r>
      <w:r w:rsidR="007E48CA" w:rsidRPr="00D14A36">
        <w:rPr>
          <w:rFonts w:ascii="Times New Roman" w:hAnsi="Times New Roman"/>
          <w:sz w:val="24"/>
          <w:szCs w:val="24"/>
        </w:rPr>
        <w:t xml:space="preserve"> </w:t>
      </w:r>
      <w:r w:rsidR="001913C1" w:rsidRPr="00D14A36">
        <w:rPr>
          <w:rFonts w:ascii="Times New Roman" w:hAnsi="Times New Roman"/>
          <w:sz w:val="24"/>
          <w:szCs w:val="24"/>
        </w:rPr>
        <w:t>учитывая значительное снижение производственных показателей относительно аналогичного периода прошлого года в феврале («-»79,2%) и марте («-»56,4</w:t>
      </w:r>
      <w:proofErr w:type="gramEnd"/>
      <w:r w:rsidR="001913C1" w:rsidRPr="00D14A36">
        <w:rPr>
          <w:rFonts w:ascii="Times New Roman" w:hAnsi="Times New Roman"/>
          <w:sz w:val="24"/>
          <w:szCs w:val="24"/>
        </w:rPr>
        <w:t>%)</w:t>
      </w:r>
      <w:r w:rsidR="007E48CA" w:rsidRPr="00D14A36">
        <w:rPr>
          <w:rFonts w:ascii="Times New Roman" w:hAnsi="Times New Roman"/>
          <w:sz w:val="24"/>
          <w:szCs w:val="24"/>
        </w:rPr>
        <w:t>,</w:t>
      </w:r>
      <w:r w:rsidR="00CD2B89" w:rsidRPr="00D14A36">
        <w:rPr>
          <w:rFonts w:ascii="Times New Roman" w:hAnsi="Times New Roman"/>
          <w:sz w:val="24"/>
          <w:szCs w:val="24"/>
        </w:rPr>
        <w:t xml:space="preserve"> </w:t>
      </w:r>
      <w:r w:rsidR="001A3F74" w:rsidRPr="00D14A36">
        <w:rPr>
          <w:rFonts w:ascii="Times New Roman" w:hAnsi="Times New Roman"/>
          <w:sz w:val="24"/>
          <w:szCs w:val="24"/>
        </w:rPr>
        <w:t>объем промышленного производства</w:t>
      </w:r>
      <w:r w:rsidR="001A3F74" w:rsidRPr="00D14A36">
        <w:rPr>
          <w:rFonts w:ascii="Times New Roman" w:hAnsi="Times New Roman"/>
          <w:b/>
          <w:sz w:val="24"/>
          <w:szCs w:val="24"/>
        </w:rPr>
        <w:t xml:space="preserve"> </w:t>
      </w:r>
      <w:r w:rsidR="001913C1" w:rsidRPr="00D14A36">
        <w:rPr>
          <w:rFonts w:ascii="Times New Roman" w:hAnsi="Times New Roman"/>
          <w:sz w:val="24"/>
          <w:szCs w:val="24"/>
        </w:rPr>
        <w:t xml:space="preserve">за январь-апрель текущего года </w:t>
      </w:r>
      <w:r w:rsidR="001A3F74" w:rsidRPr="00D14A36">
        <w:rPr>
          <w:rFonts w:ascii="Times New Roman" w:hAnsi="Times New Roman"/>
          <w:sz w:val="24"/>
          <w:szCs w:val="24"/>
        </w:rPr>
        <w:t xml:space="preserve">составил </w:t>
      </w:r>
      <w:r w:rsidR="001913C1" w:rsidRPr="00D14A36">
        <w:rPr>
          <w:rFonts w:ascii="Times New Roman" w:hAnsi="Times New Roman"/>
          <w:sz w:val="24"/>
          <w:szCs w:val="24"/>
        </w:rPr>
        <w:t>480,9</w:t>
      </w:r>
      <w:r w:rsidR="001A3F74" w:rsidRPr="00D14A36">
        <w:rPr>
          <w:rFonts w:ascii="Times New Roman" w:hAnsi="Times New Roman"/>
          <w:sz w:val="24"/>
          <w:szCs w:val="24"/>
        </w:rPr>
        <w:t xml:space="preserve"> млн. руб. </w:t>
      </w:r>
      <w:r w:rsidR="000D6602" w:rsidRPr="00D14A36">
        <w:rPr>
          <w:rFonts w:ascii="Times New Roman" w:hAnsi="Times New Roman"/>
          <w:sz w:val="24"/>
          <w:szCs w:val="24"/>
        </w:rPr>
        <w:t xml:space="preserve">(в сопоставимых ценах) </w:t>
      </w:r>
      <w:r w:rsidR="001A3F74" w:rsidRPr="00D14A36">
        <w:rPr>
          <w:rFonts w:ascii="Times New Roman" w:hAnsi="Times New Roman"/>
          <w:sz w:val="24"/>
          <w:szCs w:val="24"/>
        </w:rPr>
        <w:t xml:space="preserve">или </w:t>
      </w:r>
      <w:r w:rsidR="001913C1" w:rsidRPr="00D14A36">
        <w:rPr>
          <w:rFonts w:ascii="Times New Roman" w:hAnsi="Times New Roman"/>
          <w:sz w:val="24"/>
          <w:szCs w:val="24"/>
        </w:rPr>
        <w:t>58,5</w:t>
      </w:r>
      <w:r w:rsidR="000D6602" w:rsidRPr="00D14A36">
        <w:rPr>
          <w:rFonts w:ascii="Times New Roman" w:hAnsi="Times New Roman"/>
          <w:sz w:val="24"/>
          <w:szCs w:val="24"/>
        </w:rPr>
        <w:t>% по отношению к показателю 2016</w:t>
      </w:r>
      <w:r w:rsidR="001913C1" w:rsidRPr="00D14A36">
        <w:rPr>
          <w:rFonts w:ascii="Times New Roman" w:hAnsi="Times New Roman"/>
          <w:sz w:val="24"/>
          <w:szCs w:val="24"/>
        </w:rPr>
        <w:t xml:space="preserve"> </w:t>
      </w:r>
      <w:r w:rsidR="000D6602" w:rsidRPr="00D14A36">
        <w:rPr>
          <w:rFonts w:ascii="Times New Roman" w:hAnsi="Times New Roman"/>
          <w:sz w:val="24"/>
          <w:szCs w:val="24"/>
        </w:rPr>
        <w:t xml:space="preserve">года, </w:t>
      </w:r>
      <w:r w:rsidR="00CD2B89" w:rsidRPr="00D14A36">
        <w:rPr>
          <w:rFonts w:ascii="Times New Roman" w:hAnsi="Times New Roman"/>
          <w:sz w:val="24"/>
          <w:szCs w:val="24"/>
        </w:rPr>
        <w:t xml:space="preserve">при этом </w:t>
      </w:r>
      <w:r w:rsidR="001A3F74" w:rsidRPr="00D14A36">
        <w:rPr>
          <w:rFonts w:ascii="Times New Roman" w:hAnsi="Times New Roman"/>
          <w:sz w:val="24"/>
          <w:szCs w:val="24"/>
        </w:rPr>
        <w:t xml:space="preserve">на фоне </w:t>
      </w:r>
      <w:r w:rsidR="007E48CA" w:rsidRPr="00D14A36">
        <w:rPr>
          <w:rFonts w:ascii="Times New Roman" w:hAnsi="Times New Roman"/>
          <w:sz w:val="24"/>
          <w:szCs w:val="24"/>
        </w:rPr>
        <w:t xml:space="preserve">благоприятной ценовой </w:t>
      </w:r>
      <w:proofErr w:type="gramStart"/>
      <w:r w:rsidR="001A3F74" w:rsidRPr="00D14A36">
        <w:rPr>
          <w:rFonts w:ascii="Times New Roman" w:hAnsi="Times New Roman"/>
          <w:sz w:val="24"/>
          <w:szCs w:val="24"/>
        </w:rPr>
        <w:t>конъюнктуры</w:t>
      </w:r>
      <w:proofErr w:type="gramEnd"/>
      <w:r w:rsidR="001A3F74" w:rsidRPr="00D14A36">
        <w:rPr>
          <w:rFonts w:ascii="Times New Roman" w:hAnsi="Times New Roman"/>
          <w:sz w:val="24"/>
          <w:szCs w:val="24"/>
        </w:rPr>
        <w:t xml:space="preserve"> </w:t>
      </w:r>
      <w:r w:rsidR="00CD2B89" w:rsidRPr="00D14A36">
        <w:rPr>
          <w:rFonts w:ascii="Times New Roman" w:hAnsi="Times New Roman"/>
          <w:sz w:val="24"/>
          <w:szCs w:val="24"/>
        </w:rPr>
        <w:t xml:space="preserve">на рынке черных металлов, </w:t>
      </w:r>
      <w:r w:rsidR="001A3F74" w:rsidRPr="00D14A36">
        <w:rPr>
          <w:rFonts w:ascii="Times New Roman" w:hAnsi="Times New Roman"/>
          <w:sz w:val="24"/>
          <w:szCs w:val="24"/>
        </w:rPr>
        <w:t xml:space="preserve">в текущих ценах </w:t>
      </w:r>
      <w:r w:rsidR="00CD2B89" w:rsidRPr="00D14A36">
        <w:rPr>
          <w:rFonts w:ascii="Times New Roman" w:hAnsi="Times New Roman"/>
          <w:sz w:val="24"/>
          <w:szCs w:val="24"/>
        </w:rPr>
        <w:t xml:space="preserve">отрасль демонстрирует </w:t>
      </w:r>
      <w:r w:rsidR="001913C1" w:rsidRPr="00D14A36">
        <w:rPr>
          <w:rFonts w:ascii="Times New Roman" w:hAnsi="Times New Roman"/>
          <w:sz w:val="24"/>
          <w:szCs w:val="24"/>
        </w:rPr>
        <w:t>незначительное</w:t>
      </w:r>
      <w:r w:rsidR="00CD2B89" w:rsidRPr="00D14A36">
        <w:rPr>
          <w:rFonts w:ascii="Times New Roman" w:hAnsi="Times New Roman"/>
          <w:sz w:val="24"/>
          <w:szCs w:val="24"/>
        </w:rPr>
        <w:t xml:space="preserve"> снижение показателя («-»</w:t>
      </w:r>
      <w:r w:rsidR="001913C1" w:rsidRPr="00D14A36">
        <w:rPr>
          <w:rFonts w:ascii="Times New Roman" w:hAnsi="Times New Roman"/>
          <w:sz w:val="24"/>
          <w:szCs w:val="24"/>
        </w:rPr>
        <w:t>3,1</w:t>
      </w:r>
      <w:r w:rsidR="00CD2B89" w:rsidRPr="00D14A36">
        <w:rPr>
          <w:rFonts w:ascii="Times New Roman" w:hAnsi="Times New Roman"/>
          <w:sz w:val="24"/>
          <w:szCs w:val="24"/>
        </w:rPr>
        <w:t>%);</w:t>
      </w:r>
    </w:p>
    <w:p w:rsidR="00CD2B89" w:rsidRPr="00D14A36" w:rsidRDefault="00630C71" w:rsidP="00CD2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A36">
        <w:rPr>
          <w:rFonts w:ascii="Times New Roman" w:hAnsi="Times New Roman"/>
          <w:sz w:val="24"/>
          <w:szCs w:val="24"/>
        </w:rPr>
        <w:t>в</w:t>
      </w:r>
      <w:r w:rsidR="00CD2B89" w:rsidRPr="00D14A36">
        <w:rPr>
          <w:rFonts w:ascii="Times New Roman" w:hAnsi="Times New Roman"/>
          <w:sz w:val="24"/>
          <w:szCs w:val="24"/>
        </w:rPr>
        <w:t xml:space="preserve">) </w:t>
      </w:r>
      <w:r w:rsidR="00CD2B89" w:rsidRPr="00D14A36">
        <w:rPr>
          <w:rFonts w:ascii="Times New Roman" w:hAnsi="Times New Roman"/>
          <w:b/>
          <w:sz w:val="24"/>
          <w:szCs w:val="24"/>
        </w:rPr>
        <w:t xml:space="preserve">в химической промышленности </w:t>
      </w:r>
      <w:r w:rsidR="00CD2B89" w:rsidRPr="00D14A36">
        <w:rPr>
          <w:rFonts w:ascii="Times New Roman" w:hAnsi="Times New Roman"/>
          <w:sz w:val="24"/>
          <w:szCs w:val="24"/>
        </w:rPr>
        <w:t>в рассматриваемом периоде снижение товарного выпуска на ЗАО «</w:t>
      </w:r>
      <w:proofErr w:type="spellStart"/>
      <w:r w:rsidR="00CD2B89" w:rsidRPr="00D14A36">
        <w:rPr>
          <w:rFonts w:ascii="Times New Roman" w:hAnsi="Times New Roman"/>
          <w:sz w:val="24"/>
          <w:szCs w:val="24"/>
        </w:rPr>
        <w:t>Молдавизолит</w:t>
      </w:r>
      <w:proofErr w:type="spellEnd"/>
      <w:r w:rsidR="00CD2B89" w:rsidRPr="00D14A36">
        <w:rPr>
          <w:rFonts w:ascii="Times New Roman" w:hAnsi="Times New Roman"/>
          <w:sz w:val="24"/>
          <w:szCs w:val="24"/>
        </w:rPr>
        <w:t>» на 1</w:t>
      </w:r>
      <w:r w:rsidR="008E419D" w:rsidRPr="00D14A36">
        <w:rPr>
          <w:rFonts w:ascii="Times New Roman" w:hAnsi="Times New Roman"/>
          <w:sz w:val="24"/>
          <w:szCs w:val="24"/>
        </w:rPr>
        <w:t>0</w:t>
      </w:r>
      <w:r w:rsidR="00CD2B89" w:rsidRPr="00D14A36">
        <w:rPr>
          <w:rFonts w:ascii="Times New Roman" w:hAnsi="Times New Roman"/>
          <w:sz w:val="24"/>
          <w:szCs w:val="24"/>
        </w:rPr>
        <w:t>,</w:t>
      </w:r>
      <w:r w:rsidR="000D6602" w:rsidRPr="00D14A36">
        <w:rPr>
          <w:rFonts w:ascii="Times New Roman" w:hAnsi="Times New Roman"/>
          <w:sz w:val="24"/>
          <w:szCs w:val="24"/>
        </w:rPr>
        <w:t>3</w:t>
      </w:r>
      <w:r w:rsidR="00CD2B89" w:rsidRPr="00D14A36">
        <w:rPr>
          <w:rFonts w:ascii="Times New Roman" w:hAnsi="Times New Roman"/>
          <w:sz w:val="24"/>
          <w:szCs w:val="24"/>
        </w:rPr>
        <w:t xml:space="preserve">%, </w:t>
      </w:r>
      <w:r w:rsidR="007E48CA" w:rsidRPr="00D14A36">
        <w:rPr>
          <w:rFonts w:ascii="Times New Roman" w:hAnsi="Times New Roman"/>
          <w:sz w:val="24"/>
          <w:szCs w:val="24"/>
        </w:rPr>
        <w:t>в</w:t>
      </w:r>
      <w:r w:rsidR="00CD2B89" w:rsidRPr="00D14A36">
        <w:rPr>
          <w:rFonts w:ascii="Times New Roman" w:hAnsi="Times New Roman"/>
          <w:sz w:val="24"/>
          <w:szCs w:val="24"/>
        </w:rPr>
        <w:t xml:space="preserve"> </w:t>
      </w:r>
      <w:r w:rsidR="007E48CA" w:rsidRPr="00D14A36">
        <w:rPr>
          <w:rFonts w:ascii="Times New Roman" w:hAnsi="Times New Roman"/>
          <w:sz w:val="24"/>
          <w:szCs w:val="24"/>
        </w:rPr>
        <w:t>условиях</w:t>
      </w:r>
      <w:r w:rsidR="00CD2B89" w:rsidRPr="00D14A36">
        <w:rPr>
          <w:rFonts w:ascii="Times New Roman" w:hAnsi="Times New Roman"/>
          <w:sz w:val="24"/>
          <w:szCs w:val="24"/>
        </w:rPr>
        <w:t xml:space="preserve"> снижения спроса на продукцию отрасли, обусловило сокращение товарного выпуска отрасли на </w:t>
      </w:r>
      <w:r w:rsidR="008E419D" w:rsidRPr="00D14A36">
        <w:rPr>
          <w:rFonts w:ascii="Times New Roman" w:hAnsi="Times New Roman"/>
          <w:sz w:val="24"/>
          <w:szCs w:val="24"/>
        </w:rPr>
        <w:t>11,7</w:t>
      </w:r>
      <w:r w:rsidR="00CD2B89" w:rsidRPr="00D14A36">
        <w:rPr>
          <w:rFonts w:ascii="Times New Roman" w:hAnsi="Times New Roman"/>
          <w:sz w:val="24"/>
          <w:szCs w:val="24"/>
        </w:rPr>
        <w:t>%;</w:t>
      </w:r>
    </w:p>
    <w:p w:rsidR="00CE2D4A" w:rsidRPr="00D14A36" w:rsidRDefault="00630C71" w:rsidP="00DF25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4A36">
        <w:rPr>
          <w:rFonts w:ascii="Times New Roman" w:hAnsi="Times New Roman"/>
          <w:sz w:val="24"/>
          <w:szCs w:val="24"/>
        </w:rPr>
        <w:t>г</w:t>
      </w:r>
      <w:r w:rsidR="00DF25DA" w:rsidRPr="00D14A36">
        <w:rPr>
          <w:rFonts w:ascii="Times New Roman" w:hAnsi="Times New Roman"/>
          <w:sz w:val="24"/>
          <w:szCs w:val="24"/>
        </w:rPr>
        <w:t xml:space="preserve">) </w:t>
      </w:r>
      <w:r w:rsidR="00CE2D4A" w:rsidRPr="00D14A36">
        <w:rPr>
          <w:rFonts w:ascii="Times New Roman" w:hAnsi="Times New Roman"/>
          <w:sz w:val="24"/>
          <w:szCs w:val="24"/>
        </w:rPr>
        <w:t>в</w:t>
      </w:r>
      <w:r w:rsidR="00CE2D4A" w:rsidRPr="00D14A36">
        <w:rPr>
          <w:rFonts w:ascii="Times New Roman" w:hAnsi="Times New Roman"/>
          <w:b/>
          <w:sz w:val="24"/>
          <w:szCs w:val="24"/>
        </w:rPr>
        <w:t xml:space="preserve"> электротехнической промышленности</w:t>
      </w:r>
      <w:r w:rsidR="00830013" w:rsidRPr="00D14A36">
        <w:rPr>
          <w:rFonts w:ascii="Times New Roman" w:hAnsi="Times New Roman"/>
          <w:sz w:val="24"/>
          <w:szCs w:val="24"/>
        </w:rPr>
        <w:t xml:space="preserve"> расширение производства кабельной продукции (проводов обмоточных - на </w:t>
      </w:r>
      <w:r w:rsidR="008E419D" w:rsidRPr="00D14A36">
        <w:rPr>
          <w:rFonts w:ascii="Times New Roman" w:hAnsi="Times New Roman"/>
          <w:sz w:val="24"/>
          <w:szCs w:val="24"/>
        </w:rPr>
        <w:t>27,3</w:t>
      </w:r>
      <w:r w:rsidR="00830013" w:rsidRPr="00D14A36">
        <w:rPr>
          <w:rFonts w:ascii="Times New Roman" w:hAnsi="Times New Roman"/>
          <w:sz w:val="24"/>
          <w:szCs w:val="24"/>
        </w:rPr>
        <w:t>%</w:t>
      </w:r>
      <w:r w:rsidR="008E419D" w:rsidRPr="00D14A36">
        <w:rPr>
          <w:rFonts w:ascii="Times New Roman" w:hAnsi="Times New Roman"/>
          <w:sz w:val="24"/>
          <w:szCs w:val="24"/>
        </w:rPr>
        <w:t>, кабелей</w:t>
      </w:r>
      <w:r w:rsidR="00830013" w:rsidRPr="00D14A36">
        <w:rPr>
          <w:rFonts w:ascii="Times New Roman" w:hAnsi="Times New Roman"/>
          <w:sz w:val="24"/>
          <w:szCs w:val="24"/>
        </w:rPr>
        <w:t xml:space="preserve"> </w:t>
      </w:r>
      <w:r w:rsidR="008E419D" w:rsidRPr="00D14A36">
        <w:rPr>
          <w:rFonts w:ascii="Times New Roman" w:hAnsi="Times New Roman"/>
          <w:sz w:val="24"/>
          <w:szCs w:val="24"/>
        </w:rPr>
        <w:t>силовых с медной жилкой</w:t>
      </w:r>
      <w:r w:rsidR="00830013" w:rsidRPr="00D14A36">
        <w:rPr>
          <w:rFonts w:ascii="Times New Roman" w:hAnsi="Times New Roman"/>
          <w:sz w:val="24"/>
          <w:szCs w:val="24"/>
        </w:rPr>
        <w:t xml:space="preserve"> - на </w:t>
      </w:r>
      <w:r w:rsidR="008E419D" w:rsidRPr="00D14A36">
        <w:rPr>
          <w:rFonts w:ascii="Times New Roman" w:hAnsi="Times New Roman"/>
          <w:sz w:val="24"/>
          <w:szCs w:val="24"/>
        </w:rPr>
        <w:t>1</w:t>
      </w:r>
      <w:r w:rsidR="00830013" w:rsidRPr="00D14A36">
        <w:rPr>
          <w:rFonts w:ascii="Times New Roman" w:hAnsi="Times New Roman"/>
          <w:sz w:val="24"/>
          <w:szCs w:val="24"/>
        </w:rPr>
        <w:t>9,</w:t>
      </w:r>
      <w:r w:rsidR="008E419D" w:rsidRPr="00D14A36">
        <w:rPr>
          <w:rFonts w:ascii="Times New Roman" w:hAnsi="Times New Roman"/>
          <w:sz w:val="24"/>
          <w:szCs w:val="24"/>
        </w:rPr>
        <w:t>7</w:t>
      </w:r>
      <w:r w:rsidR="00830013" w:rsidRPr="00D14A36">
        <w:rPr>
          <w:rFonts w:ascii="Times New Roman" w:hAnsi="Times New Roman"/>
          <w:sz w:val="24"/>
          <w:szCs w:val="24"/>
        </w:rPr>
        <w:t>%)</w:t>
      </w:r>
      <w:r w:rsidR="00365C54" w:rsidRPr="00D14A36">
        <w:rPr>
          <w:rFonts w:ascii="Times New Roman" w:hAnsi="Times New Roman"/>
          <w:sz w:val="24"/>
          <w:szCs w:val="24"/>
        </w:rPr>
        <w:t>,</w:t>
      </w:r>
      <w:r w:rsidR="00830013" w:rsidRPr="00D14A36">
        <w:rPr>
          <w:rFonts w:ascii="Times New Roman" w:hAnsi="Times New Roman"/>
          <w:sz w:val="24"/>
          <w:szCs w:val="24"/>
        </w:rPr>
        <w:t xml:space="preserve"> в совокупнос</w:t>
      </w:r>
      <w:r w:rsidR="002B417F" w:rsidRPr="00D14A36">
        <w:rPr>
          <w:rFonts w:ascii="Times New Roman" w:hAnsi="Times New Roman"/>
          <w:sz w:val="24"/>
          <w:szCs w:val="24"/>
        </w:rPr>
        <w:t>ти с сокращением выпуска крупных электродвигателей – на 26% и проводов и шнуров осветительных - на 24,3% обеспечило снижение промышленного производства в целом по отрасли в январе-апреле текущего года по отношению к уровню базовых показателей 2016 года в сопоставимых ценах на 3,5</w:t>
      </w:r>
      <w:proofErr w:type="gramEnd"/>
      <w:r w:rsidR="002B417F" w:rsidRPr="00D14A36">
        <w:rPr>
          <w:rFonts w:ascii="Times New Roman" w:hAnsi="Times New Roman"/>
          <w:sz w:val="24"/>
          <w:szCs w:val="24"/>
        </w:rPr>
        <w:t>%, в текущих ценах значение показателя выросло на 16,3%</w:t>
      </w:r>
      <w:r w:rsidR="00CE2D4A" w:rsidRPr="00D14A36">
        <w:rPr>
          <w:rFonts w:ascii="Times New Roman" w:hAnsi="Times New Roman"/>
          <w:sz w:val="24"/>
          <w:szCs w:val="24"/>
        </w:rPr>
        <w:t>;</w:t>
      </w:r>
    </w:p>
    <w:p w:rsidR="00630C71" w:rsidRPr="00D14A36" w:rsidRDefault="00630C71" w:rsidP="00630C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14A36">
        <w:rPr>
          <w:rFonts w:ascii="Times New Roman" w:hAnsi="Times New Roman"/>
          <w:sz w:val="24"/>
          <w:szCs w:val="24"/>
        </w:rPr>
        <w:t>д</w:t>
      </w:r>
      <w:proofErr w:type="spellEnd"/>
      <w:r w:rsidRPr="00D14A36">
        <w:rPr>
          <w:rFonts w:ascii="Times New Roman" w:hAnsi="Times New Roman"/>
          <w:sz w:val="24"/>
          <w:szCs w:val="24"/>
        </w:rPr>
        <w:t xml:space="preserve">) в </w:t>
      </w:r>
      <w:r w:rsidRPr="00D14A36">
        <w:rPr>
          <w:rFonts w:ascii="Times New Roman" w:hAnsi="Times New Roman"/>
          <w:b/>
          <w:snapToGrid w:val="0"/>
          <w:sz w:val="24"/>
          <w:szCs w:val="24"/>
        </w:rPr>
        <w:t xml:space="preserve">пищевой промышленности </w:t>
      </w:r>
      <w:r w:rsidR="002653E5" w:rsidRPr="00D14A36">
        <w:rPr>
          <w:rFonts w:ascii="Times New Roman" w:hAnsi="Times New Roman"/>
          <w:snapToGrid w:val="0"/>
          <w:sz w:val="24"/>
          <w:szCs w:val="24"/>
        </w:rPr>
        <w:t>падение объема производства в апреле месяце текущего года относительно апреля 2016 года на</w:t>
      </w:r>
      <w:r w:rsidR="002653E5" w:rsidRPr="00D14A36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2653E5" w:rsidRPr="00D14A36">
        <w:rPr>
          <w:rFonts w:ascii="Times New Roman" w:hAnsi="Times New Roman"/>
          <w:snapToGrid w:val="0"/>
          <w:sz w:val="24"/>
          <w:szCs w:val="24"/>
        </w:rPr>
        <w:t xml:space="preserve">12,6% обусловило снижение товарного </w:t>
      </w:r>
      <w:r w:rsidR="002653E5" w:rsidRPr="00D14A36">
        <w:rPr>
          <w:rFonts w:ascii="Times New Roman" w:hAnsi="Times New Roman"/>
          <w:sz w:val="24"/>
          <w:szCs w:val="24"/>
        </w:rPr>
        <w:t xml:space="preserve">выпуска в сопоставимых ценах </w:t>
      </w:r>
      <w:r w:rsidR="002653E5" w:rsidRPr="00D14A36">
        <w:rPr>
          <w:rFonts w:ascii="Times New Roman" w:hAnsi="Times New Roman"/>
          <w:snapToGrid w:val="0"/>
          <w:sz w:val="24"/>
          <w:szCs w:val="24"/>
        </w:rPr>
        <w:t xml:space="preserve">по итогам января – апреля 2017 года </w:t>
      </w:r>
      <w:r w:rsidRPr="00D14A36">
        <w:rPr>
          <w:rFonts w:ascii="Times New Roman" w:hAnsi="Times New Roman"/>
          <w:sz w:val="24"/>
          <w:szCs w:val="24"/>
        </w:rPr>
        <w:t xml:space="preserve">на </w:t>
      </w:r>
      <w:r w:rsidR="00F10DD5" w:rsidRPr="00D14A36">
        <w:rPr>
          <w:rFonts w:ascii="Times New Roman" w:hAnsi="Times New Roman"/>
          <w:sz w:val="24"/>
          <w:szCs w:val="24"/>
        </w:rPr>
        <w:t>1,1</w:t>
      </w:r>
      <w:r w:rsidRPr="00D14A36">
        <w:rPr>
          <w:rFonts w:ascii="Times New Roman" w:hAnsi="Times New Roman"/>
          <w:sz w:val="24"/>
          <w:szCs w:val="24"/>
        </w:rPr>
        <w:t>%, при этом, учитывая положительный ценовой тренд на рынке пищевых продуктов, в текущих ценах отмечается прирост выпуска в целом по отрасли по отношению к январю-</w:t>
      </w:r>
      <w:r w:rsidR="00F10DD5" w:rsidRPr="00D14A36">
        <w:rPr>
          <w:rFonts w:ascii="Times New Roman" w:hAnsi="Times New Roman"/>
          <w:sz w:val="24"/>
          <w:szCs w:val="24"/>
        </w:rPr>
        <w:t>апрелю</w:t>
      </w:r>
      <w:r w:rsidRPr="00D14A36">
        <w:rPr>
          <w:rFonts w:ascii="Times New Roman" w:hAnsi="Times New Roman"/>
          <w:sz w:val="24"/>
          <w:szCs w:val="24"/>
        </w:rPr>
        <w:t xml:space="preserve"> 2016 года на</w:t>
      </w:r>
      <w:proofErr w:type="gramEnd"/>
      <w:r w:rsidRPr="00D14A36">
        <w:rPr>
          <w:rFonts w:ascii="Times New Roman" w:hAnsi="Times New Roman"/>
          <w:sz w:val="24"/>
          <w:szCs w:val="24"/>
        </w:rPr>
        <w:t xml:space="preserve"> </w:t>
      </w:r>
      <w:r w:rsidR="00F10DD5" w:rsidRPr="00D14A36">
        <w:rPr>
          <w:rFonts w:ascii="Times New Roman" w:hAnsi="Times New Roman"/>
          <w:sz w:val="24"/>
          <w:szCs w:val="24"/>
        </w:rPr>
        <w:t>4,6</w:t>
      </w:r>
      <w:r w:rsidRPr="00D14A36">
        <w:rPr>
          <w:rFonts w:ascii="Times New Roman" w:hAnsi="Times New Roman"/>
          <w:sz w:val="24"/>
          <w:szCs w:val="24"/>
        </w:rPr>
        <w:t>%.</w:t>
      </w:r>
    </w:p>
    <w:p w:rsidR="00630C71" w:rsidRPr="00D14A36" w:rsidRDefault="00630C71" w:rsidP="00630C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A36">
        <w:rPr>
          <w:rFonts w:ascii="Times New Roman" w:hAnsi="Times New Roman"/>
          <w:sz w:val="24"/>
          <w:szCs w:val="24"/>
        </w:rPr>
        <w:t xml:space="preserve">Положительная динамика объемов производства отрасли в натуральном выражении отмечена по выпуску </w:t>
      </w:r>
      <w:r w:rsidR="00D81912" w:rsidRPr="00D14A36">
        <w:rPr>
          <w:rFonts w:ascii="Times New Roman" w:hAnsi="Times New Roman"/>
          <w:sz w:val="24"/>
          <w:szCs w:val="24"/>
        </w:rPr>
        <w:t>безалкогольных напитков</w:t>
      </w:r>
      <w:r w:rsidRPr="00D14A36">
        <w:rPr>
          <w:rFonts w:ascii="Times New Roman" w:hAnsi="Times New Roman"/>
          <w:sz w:val="24"/>
          <w:szCs w:val="24"/>
        </w:rPr>
        <w:t xml:space="preserve"> («+»</w:t>
      </w:r>
      <w:r w:rsidR="00D81912" w:rsidRPr="00D14A36">
        <w:rPr>
          <w:rFonts w:ascii="Times New Roman" w:hAnsi="Times New Roman"/>
          <w:sz w:val="24"/>
          <w:szCs w:val="24"/>
        </w:rPr>
        <w:t>43</w:t>
      </w:r>
      <w:r w:rsidRPr="00D14A36">
        <w:rPr>
          <w:rFonts w:ascii="Times New Roman" w:hAnsi="Times New Roman"/>
          <w:sz w:val="24"/>
          <w:szCs w:val="24"/>
        </w:rPr>
        <w:t>,</w:t>
      </w:r>
      <w:r w:rsidR="00D81912" w:rsidRPr="00D14A36">
        <w:rPr>
          <w:rFonts w:ascii="Times New Roman" w:hAnsi="Times New Roman"/>
          <w:sz w:val="24"/>
          <w:szCs w:val="24"/>
        </w:rPr>
        <w:t>0</w:t>
      </w:r>
      <w:r w:rsidRPr="00D14A36">
        <w:rPr>
          <w:rFonts w:ascii="Times New Roman" w:hAnsi="Times New Roman"/>
          <w:sz w:val="24"/>
          <w:szCs w:val="24"/>
        </w:rPr>
        <w:t>%), макаронных изделий («+»</w:t>
      </w:r>
      <w:r w:rsidR="00D81912" w:rsidRPr="00D14A36">
        <w:rPr>
          <w:rFonts w:ascii="Times New Roman" w:hAnsi="Times New Roman"/>
          <w:sz w:val="24"/>
          <w:szCs w:val="24"/>
        </w:rPr>
        <w:t>5</w:t>
      </w:r>
      <w:r w:rsidRPr="00D14A36">
        <w:rPr>
          <w:rFonts w:ascii="Times New Roman" w:hAnsi="Times New Roman"/>
          <w:sz w:val="24"/>
          <w:szCs w:val="24"/>
        </w:rPr>
        <w:t>0,0%), кондитерских изделий («+»</w:t>
      </w:r>
      <w:r w:rsidR="00D81912" w:rsidRPr="00D14A36">
        <w:rPr>
          <w:rFonts w:ascii="Times New Roman" w:hAnsi="Times New Roman"/>
          <w:sz w:val="24"/>
          <w:szCs w:val="24"/>
        </w:rPr>
        <w:t>58,0</w:t>
      </w:r>
      <w:r w:rsidRPr="00D14A36">
        <w:rPr>
          <w:rFonts w:ascii="Times New Roman" w:hAnsi="Times New Roman"/>
          <w:sz w:val="24"/>
          <w:szCs w:val="24"/>
        </w:rPr>
        <w:t>%), и др.;</w:t>
      </w:r>
    </w:p>
    <w:p w:rsidR="00214413" w:rsidRPr="00D14A36" w:rsidRDefault="00630C71" w:rsidP="00214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A36">
        <w:rPr>
          <w:rFonts w:ascii="Times New Roman" w:hAnsi="Times New Roman"/>
          <w:sz w:val="24"/>
          <w:szCs w:val="24"/>
        </w:rPr>
        <w:t>е</w:t>
      </w:r>
      <w:r w:rsidR="00CD2B89" w:rsidRPr="00D14A36">
        <w:rPr>
          <w:rFonts w:ascii="Times New Roman" w:hAnsi="Times New Roman"/>
          <w:sz w:val="24"/>
          <w:szCs w:val="24"/>
        </w:rPr>
        <w:t xml:space="preserve">) в </w:t>
      </w:r>
      <w:r w:rsidR="00CD2B89" w:rsidRPr="00D14A36">
        <w:rPr>
          <w:rFonts w:ascii="Times New Roman" w:hAnsi="Times New Roman"/>
          <w:b/>
          <w:sz w:val="24"/>
          <w:szCs w:val="24"/>
        </w:rPr>
        <w:t>полиграфической промышленности</w:t>
      </w:r>
      <w:r w:rsidR="00CD2B89" w:rsidRPr="00D14A36">
        <w:rPr>
          <w:rFonts w:ascii="Times New Roman" w:hAnsi="Times New Roman"/>
          <w:sz w:val="24"/>
          <w:szCs w:val="24"/>
        </w:rPr>
        <w:t xml:space="preserve"> </w:t>
      </w:r>
      <w:r w:rsidR="00214413" w:rsidRPr="00D14A36">
        <w:rPr>
          <w:rFonts w:ascii="Times New Roman" w:hAnsi="Times New Roman"/>
          <w:sz w:val="24"/>
          <w:szCs w:val="24"/>
        </w:rPr>
        <w:t>в условиях конкуренции с более дешевыми импортными товарами</w:t>
      </w:r>
      <w:r w:rsidR="00CA379B" w:rsidRPr="00D14A36">
        <w:rPr>
          <w:rFonts w:ascii="Times New Roman" w:hAnsi="Times New Roman"/>
          <w:sz w:val="24"/>
          <w:szCs w:val="24"/>
        </w:rPr>
        <w:t>, по итогам</w:t>
      </w:r>
      <w:r w:rsidR="00214413" w:rsidRPr="00D14A36">
        <w:rPr>
          <w:rFonts w:ascii="Times New Roman" w:hAnsi="Times New Roman"/>
          <w:sz w:val="24"/>
          <w:szCs w:val="24"/>
        </w:rPr>
        <w:t xml:space="preserve"> </w:t>
      </w:r>
      <w:r w:rsidR="00CA379B" w:rsidRPr="00D14A36">
        <w:rPr>
          <w:rFonts w:ascii="Times New Roman" w:hAnsi="Times New Roman"/>
          <w:sz w:val="24"/>
          <w:szCs w:val="24"/>
        </w:rPr>
        <w:t xml:space="preserve">января-апреля 2017 года </w:t>
      </w:r>
      <w:r w:rsidR="00214413" w:rsidRPr="00D14A36">
        <w:rPr>
          <w:rFonts w:ascii="Times New Roman" w:hAnsi="Times New Roman"/>
          <w:sz w:val="24"/>
          <w:szCs w:val="24"/>
        </w:rPr>
        <w:t xml:space="preserve">зафиксирован спад объема промышленного производства </w:t>
      </w:r>
      <w:r w:rsidR="001433D0">
        <w:rPr>
          <w:rFonts w:ascii="Times New Roman" w:hAnsi="Times New Roman"/>
          <w:sz w:val="24"/>
          <w:szCs w:val="24"/>
        </w:rPr>
        <w:t xml:space="preserve">по </w:t>
      </w:r>
      <w:r w:rsidR="00214413" w:rsidRPr="00D14A36">
        <w:rPr>
          <w:rFonts w:ascii="Times New Roman" w:hAnsi="Times New Roman"/>
          <w:sz w:val="24"/>
          <w:szCs w:val="24"/>
        </w:rPr>
        <w:t xml:space="preserve">отношению к уровню базового показателя 2016 года на </w:t>
      </w:r>
      <w:r w:rsidR="00CA379B" w:rsidRPr="00D14A36">
        <w:rPr>
          <w:rFonts w:ascii="Times New Roman" w:hAnsi="Times New Roman"/>
          <w:sz w:val="24"/>
          <w:szCs w:val="24"/>
        </w:rPr>
        <w:t>23,6</w:t>
      </w:r>
      <w:r w:rsidR="00214413" w:rsidRPr="00D14A36">
        <w:rPr>
          <w:rFonts w:ascii="Times New Roman" w:hAnsi="Times New Roman"/>
          <w:sz w:val="24"/>
          <w:szCs w:val="24"/>
        </w:rPr>
        <w:t>%.</w:t>
      </w:r>
    </w:p>
    <w:p w:rsidR="004E05CC" w:rsidRDefault="00CD2B89" w:rsidP="00631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A36">
        <w:rPr>
          <w:rFonts w:ascii="Times New Roman" w:hAnsi="Times New Roman"/>
          <w:sz w:val="24"/>
          <w:szCs w:val="24"/>
        </w:rPr>
        <w:t>Таким образом</w:t>
      </w:r>
      <w:r w:rsidR="00214413" w:rsidRPr="00D14A36">
        <w:rPr>
          <w:rFonts w:ascii="Times New Roman" w:hAnsi="Times New Roman"/>
          <w:sz w:val="24"/>
          <w:szCs w:val="24"/>
        </w:rPr>
        <w:t xml:space="preserve">, достигнутые значения показателей промышленного производства </w:t>
      </w:r>
      <w:r w:rsidR="009C1B37" w:rsidRPr="00D14A36">
        <w:rPr>
          <w:rFonts w:ascii="Times New Roman" w:hAnsi="Times New Roman"/>
          <w:sz w:val="24"/>
          <w:szCs w:val="24"/>
        </w:rPr>
        <w:t>характеризовались рядом негативных тенденций, действие которых отражалось в индустрии низкой загрузкой производственных мощностей, неритмичной работой отдельных крупных предприятий, а также действием барьеров в части осуществления внешнеэкономической деятельности.</w:t>
      </w:r>
    </w:p>
    <w:p w:rsidR="00DF2162" w:rsidRDefault="00DF2162" w:rsidP="00631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162" w:rsidRDefault="00DF2162" w:rsidP="00DF21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A384B">
        <w:rPr>
          <w:rFonts w:ascii="Times New Roman" w:hAnsi="Times New Roman"/>
          <w:b/>
          <w:sz w:val="24"/>
          <w:szCs w:val="24"/>
          <w:u w:val="single"/>
        </w:rPr>
        <w:lastRenderedPageBreak/>
        <w:t>В</w:t>
      </w:r>
      <w:r w:rsidRPr="000A384B">
        <w:rPr>
          <w:rFonts w:ascii="Times New Roman" w:hAnsi="Times New Roman"/>
          <w:b/>
          <w:color w:val="000000"/>
          <w:sz w:val="24"/>
          <w:szCs w:val="24"/>
          <w:u w:val="single"/>
        </w:rPr>
        <w:t>нешнеэкономическая деятельность</w:t>
      </w:r>
    </w:p>
    <w:p w:rsidR="00DF2162" w:rsidRDefault="00DF2162" w:rsidP="00DF21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F2162" w:rsidRDefault="00DF2162" w:rsidP="00DF21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22D15">
        <w:rPr>
          <w:rFonts w:ascii="Times New Roman" w:hAnsi="Times New Roman"/>
          <w:sz w:val="24"/>
          <w:szCs w:val="24"/>
        </w:rPr>
        <w:t xml:space="preserve">бъем внешнеторгового оборота республики </w:t>
      </w:r>
      <w:r>
        <w:rPr>
          <w:rFonts w:ascii="Times New Roman" w:hAnsi="Times New Roman"/>
          <w:sz w:val="24"/>
          <w:szCs w:val="24"/>
        </w:rPr>
        <w:t xml:space="preserve">в январе-апреле 2017 года составил 482,0 млн. долл. США, превысив </w:t>
      </w:r>
      <w:r w:rsidRPr="00722D15">
        <w:rPr>
          <w:rFonts w:ascii="Times New Roman" w:hAnsi="Times New Roman"/>
          <w:sz w:val="24"/>
          <w:szCs w:val="24"/>
        </w:rPr>
        <w:t>базово</w:t>
      </w:r>
      <w:r>
        <w:rPr>
          <w:rFonts w:ascii="Times New Roman" w:hAnsi="Times New Roman"/>
          <w:sz w:val="24"/>
          <w:szCs w:val="24"/>
        </w:rPr>
        <w:t>й</w:t>
      </w:r>
      <w:r w:rsidRPr="00722D15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ь</w:t>
      </w:r>
      <w:r w:rsidRPr="00722D1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722D15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на 0,8%. При этом </w:t>
      </w:r>
      <w:r w:rsidRPr="00722D15">
        <w:rPr>
          <w:rFonts w:ascii="Times New Roman" w:hAnsi="Times New Roman"/>
          <w:sz w:val="24"/>
          <w:szCs w:val="24"/>
        </w:rPr>
        <w:t>экспортны</w:t>
      </w:r>
      <w:r>
        <w:rPr>
          <w:rFonts w:ascii="Times New Roman" w:hAnsi="Times New Roman"/>
          <w:sz w:val="24"/>
          <w:szCs w:val="24"/>
        </w:rPr>
        <w:t>е поставки сократились до 169,6</w:t>
      </w:r>
      <w:r w:rsidRPr="001C2F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млн. долл. США или на 1,8%, импорт товаров возрос на 2,3% до 312,3 млн. долл. США. </w:t>
      </w:r>
      <w:r w:rsidRPr="00722D15">
        <w:rPr>
          <w:rFonts w:ascii="Times New Roman" w:hAnsi="Times New Roman"/>
          <w:sz w:val="24"/>
          <w:szCs w:val="24"/>
        </w:rPr>
        <w:t xml:space="preserve">На этом фоне </w:t>
      </w:r>
      <w:r>
        <w:rPr>
          <w:rFonts w:ascii="Times New Roman" w:hAnsi="Times New Roman"/>
          <w:sz w:val="24"/>
          <w:szCs w:val="24"/>
        </w:rPr>
        <w:t>отрицательное с</w:t>
      </w:r>
      <w:r w:rsidRPr="00722D15">
        <w:rPr>
          <w:rFonts w:ascii="Times New Roman" w:hAnsi="Times New Roman"/>
          <w:sz w:val="24"/>
          <w:szCs w:val="24"/>
        </w:rPr>
        <w:t xml:space="preserve">альдо внешнеторгового оборота составило </w:t>
      </w:r>
      <w:r>
        <w:rPr>
          <w:rFonts w:ascii="Times New Roman" w:hAnsi="Times New Roman"/>
          <w:sz w:val="24"/>
          <w:szCs w:val="24"/>
        </w:rPr>
        <w:t>142,7 </w:t>
      </w:r>
      <w:r w:rsidRPr="00722D15">
        <w:rPr>
          <w:rFonts w:ascii="Times New Roman" w:hAnsi="Times New Roman"/>
          <w:sz w:val="24"/>
          <w:szCs w:val="24"/>
        </w:rPr>
        <w:t xml:space="preserve">млн. долл., против </w:t>
      </w:r>
      <w:r>
        <w:rPr>
          <w:rFonts w:ascii="Times New Roman" w:hAnsi="Times New Roman"/>
          <w:sz w:val="24"/>
          <w:szCs w:val="24"/>
        </w:rPr>
        <w:t>132,6 </w:t>
      </w:r>
      <w:r w:rsidRPr="00722D15">
        <w:rPr>
          <w:rFonts w:ascii="Times New Roman" w:hAnsi="Times New Roman"/>
          <w:sz w:val="24"/>
          <w:szCs w:val="24"/>
        </w:rPr>
        <w:t xml:space="preserve">млн. долл. в </w:t>
      </w:r>
      <w:r>
        <w:rPr>
          <w:rFonts w:ascii="Times New Roman" w:hAnsi="Times New Roman"/>
          <w:sz w:val="24"/>
          <w:szCs w:val="24"/>
        </w:rPr>
        <w:t xml:space="preserve">сопоставимом периоде минувшего </w:t>
      </w:r>
      <w:r w:rsidRPr="00722D15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</w:t>
      </w:r>
      <w:r w:rsidRPr="00722D15">
        <w:rPr>
          <w:rFonts w:ascii="Times New Roman" w:hAnsi="Times New Roman"/>
          <w:sz w:val="24"/>
          <w:szCs w:val="24"/>
        </w:rPr>
        <w:t>.</w:t>
      </w:r>
    </w:p>
    <w:p w:rsidR="00DF2162" w:rsidRDefault="00DF2162" w:rsidP="00DF216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A384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96050" cy="1981200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F2162" w:rsidRDefault="00DF2162" w:rsidP="00DF21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Помесячная динамика</w:t>
      </w:r>
      <w:r w:rsidRPr="000A38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внешнеторгового оборота характеризовалась сокращением объема внешнеторговых операций</w:t>
      </w:r>
      <w:r w:rsidRPr="003A0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апреле текущего года по отношению к </w:t>
      </w:r>
      <w:r w:rsidRPr="000A384B">
        <w:rPr>
          <w:rFonts w:ascii="Times New Roman" w:hAnsi="Times New Roman"/>
          <w:sz w:val="24"/>
          <w:szCs w:val="24"/>
        </w:rPr>
        <w:t>уровн</w:t>
      </w:r>
      <w:r>
        <w:rPr>
          <w:rFonts w:ascii="Times New Roman" w:hAnsi="Times New Roman"/>
          <w:sz w:val="24"/>
          <w:szCs w:val="24"/>
        </w:rPr>
        <w:t>ю</w:t>
      </w:r>
      <w:r w:rsidRPr="000A38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 на 14,7%, экспорт</w:t>
      </w:r>
      <w:r w:rsidRPr="00806D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снизился</w:t>
      </w:r>
      <w:r w:rsidRPr="00806D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17,3%, импорт на 13,3% соответственн</w:t>
      </w:r>
      <w:r w:rsidRPr="00806DE8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2162" w:rsidRDefault="00DF2162" w:rsidP="00DF2162">
      <w:pPr>
        <w:spacing w:after="0" w:line="240" w:lineRule="auto"/>
        <w:ind w:firstLine="709"/>
        <w:jc w:val="both"/>
      </w:pPr>
      <w:r w:rsidRPr="00806DE8">
        <w:rPr>
          <w:rFonts w:ascii="Times New Roman" w:hAnsi="Times New Roman"/>
          <w:sz w:val="24"/>
          <w:szCs w:val="24"/>
        </w:rPr>
        <w:t xml:space="preserve">Основное влияние на снижение </w:t>
      </w:r>
      <w:proofErr w:type="spellStart"/>
      <w:r w:rsidRPr="00806DE8">
        <w:rPr>
          <w:rFonts w:ascii="Times New Roman" w:hAnsi="Times New Roman"/>
          <w:sz w:val="24"/>
          <w:szCs w:val="24"/>
        </w:rPr>
        <w:t>экспорто-импортных</w:t>
      </w:r>
      <w:proofErr w:type="spellEnd"/>
      <w:r w:rsidRPr="00806DE8">
        <w:rPr>
          <w:rFonts w:ascii="Times New Roman" w:hAnsi="Times New Roman"/>
          <w:sz w:val="24"/>
          <w:szCs w:val="24"/>
        </w:rPr>
        <w:t xml:space="preserve"> операций</w:t>
      </w:r>
      <w:r>
        <w:rPr>
          <w:rFonts w:ascii="Times New Roman" w:hAnsi="Times New Roman"/>
          <w:sz w:val="24"/>
          <w:szCs w:val="24"/>
        </w:rPr>
        <w:t xml:space="preserve"> по итогам первых четырех месяцев 2017 года,</w:t>
      </w:r>
      <w:r w:rsidRPr="00806DE8">
        <w:rPr>
          <w:rFonts w:ascii="Times New Roman" w:hAnsi="Times New Roman"/>
          <w:sz w:val="24"/>
          <w:szCs w:val="24"/>
        </w:rPr>
        <w:t xml:space="preserve"> оказало прекращение поставок электроэнергии, вырабатываемой ЗАО «Молдавская ГРЭС», в Республику Молдова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B13B5">
        <w:rPr>
          <w:rFonts w:ascii="Times New Roman" w:hAnsi="Times New Roman"/>
          <w:sz w:val="24"/>
          <w:szCs w:val="24"/>
        </w:rPr>
        <w:t xml:space="preserve">Данный факт обусловил сокращение экспортных потоков топливно-энергетических товаров к уровню января-апреля 2016 года на 34,8%, сократив долевое участие в товарной структуре </w:t>
      </w:r>
      <w:r>
        <w:rPr>
          <w:rFonts w:ascii="Times New Roman" w:hAnsi="Times New Roman"/>
          <w:sz w:val="24"/>
          <w:szCs w:val="24"/>
        </w:rPr>
        <w:t xml:space="preserve">экспорта </w:t>
      </w:r>
      <w:r w:rsidRPr="003B13B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12,8</w:t>
      </w:r>
      <w:r w:rsidRPr="003B13B5">
        <w:rPr>
          <w:rFonts w:ascii="Times New Roman" w:hAnsi="Times New Roman"/>
          <w:sz w:val="24"/>
          <w:szCs w:val="24"/>
        </w:rPr>
        <w:t xml:space="preserve"> процентных пункта</w:t>
      </w:r>
      <w:r>
        <w:rPr>
          <w:rFonts w:ascii="Times New Roman" w:hAnsi="Times New Roman"/>
          <w:sz w:val="24"/>
          <w:szCs w:val="24"/>
        </w:rPr>
        <w:t xml:space="preserve"> до 25,1%</w:t>
      </w:r>
      <w:r w:rsidRPr="003B13B5">
        <w:rPr>
          <w:rFonts w:ascii="Times New Roman" w:hAnsi="Times New Roman"/>
          <w:sz w:val="24"/>
          <w:szCs w:val="24"/>
        </w:rPr>
        <w:t>.</w:t>
      </w:r>
    </w:p>
    <w:p w:rsidR="00DF2162" w:rsidRDefault="00DF2162" w:rsidP="00DF2162">
      <w:pPr>
        <w:pStyle w:val="a5"/>
      </w:pPr>
      <w:r>
        <w:rPr>
          <w:szCs w:val="24"/>
        </w:rPr>
        <w:t xml:space="preserve">Экспорт </w:t>
      </w:r>
      <w:r w:rsidRPr="00950176">
        <w:t>металл</w:t>
      </w:r>
      <w:r>
        <w:t>ов</w:t>
      </w:r>
      <w:r w:rsidRPr="00950176">
        <w:t xml:space="preserve"> и издели</w:t>
      </w:r>
      <w:r>
        <w:t>й</w:t>
      </w:r>
      <w:r w:rsidRPr="00950176">
        <w:t xml:space="preserve"> из них</w:t>
      </w:r>
      <w:r>
        <w:t xml:space="preserve"> в январе-апреле текущего года сократился к базовому уровню 2016 года на 4,6%, а </w:t>
      </w:r>
      <w:r w:rsidRPr="00950176">
        <w:t xml:space="preserve">удельный вес </w:t>
      </w:r>
      <w:r>
        <w:t>в товарной структуре экспорта сузился на 0,6 процентных пункта до 20,6% .</w:t>
      </w:r>
    </w:p>
    <w:p w:rsidR="00DF2162" w:rsidRPr="000A384B" w:rsidRDefault="00DF2162" w:rsidP="00DF2162">
      <w:pPr>
        <w:pStyle w:val="a5"/>
        <w:ind w:left="-426" w:firstLine="0"/>
        <w:jc w:val="center"/>
        <w:rPr>
          <w:b/>
        </w:rPr>
      </w:pPr>
      <w:r w:rsidRPr="000A384B">
        <w:rPr>
          <w:b/>
          <w:noProof/>
        </w:rPr>
        <w:drawing>
          <wp:inline distT="0" distB="0" distL="0" distR="0">
            <wp:extent cx="6200775" cy="2943225"/>
            <wp:effectExtent l="0" t="0" r="0" b="0"/>
            <wp:docPr id="8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F2162" w:rsidRDefault="00DF2162" w:rsidP="00DF2162">
      <w:pPr>
        <w:pStyle w:val="a5"/>
      </w:pPr>
      <w:r>
        <w:t>При этом нивелирующее воздействие на динамику экспорта оказала реализация за рубеж:</w:t>
      </w:r>
    </w:p>
    <w:p w:rsidR="00DF2162" w:rsidRDefault="00DF2162" w:rsidP="00DF2162">
      <w:pPr>
        <w:pStyle w:val="a5"/>
      </w:pPr>
      <w:r>
        <w:t xml:space="preserve">- товаров </w:t>
      </w:r>
      <w:r w:rsidRPr="000A384B">
        <w:t>легкой промышленности (текстильные материалы, одежда, текстильные изделия, обувь)</w:t>
      </w:r>
      <w:r>
        <w:t>.</w:t>
      </w:r>
      <w:r w:rsidRPr="000A384B">
        <w:t xml:space="preserve"> </w:t>
      </w:r>
      <w:r>
        <w:t xml:space="preserve">Экспорт текстильных материалов и одежды возрос на 26,3% и на 8,1% соответственно, обеспечив прирост совокупной величины экспорта товаров </w:t>
      </w:r>
      <w:r w:rsidRPr="000A384B">
        <w:t xml:space="preserve">легкой </w:t>
      </w:r>
      <w:r w:rsidRPr="000A384B">
        <w:lastRenderedPageBreak/>
        <w:t>промышленности</w:t>
      </w:r>
      <w:r>
        <w:t xml:space="preserve"> к уровню базового показателя 2016 года на 6,0%. Долевое участие данной товарной группы расширилось на 1,6 процентных пункта до 21,3%;</w:t>
      </w:r>
    </w:p>
    <w:p w:rsidR="00DF2162" w:rsidRDefault="00DF2162" w:rsidP="00DF2162">
      <w:pPr>
        <w:pStyle w:val="a5"/>
      </w:pPr>
      <w:r>
        <w:t>- продовольственных товаров и сырья, абсолютная величина которых увеличилась к уровню января-апреля 2016 года на 57,3%, а долевое представительство в товарной структуре достигло18,5% против 11,6% в минувшем году;</w:t>
      </w:r>
    </w:p>
    <w:p w:rsidR="00DF2162" w:rsidRDefault="00DF2162" w:rsidP="00DF2162">
      <w:pPr>
        <w:pStyle w:val="a5"/>
      </w:pPr>
      <w:r>
        <w:t xml:space="preserve">- машиностроительной продукции, величина которой в стоимостном выражении в январе-апреле 2017 года приросла на 89,1% к базисному значению прошлого года, долевое участие в товарной структуре увеличилось на 3,2 </w:t>
      </w:r>
      <w:proofErr w:type="gramStart"/>
      <w:r>
        <w:t>процентных</w:t>
      </w:r>
      <w:proofErr w:type="gramEnd"/>
      <w:r>
        <w:t xml:space="preserve"> пункта до 6,6%.</w:t>
      </w:r>
    </w:p>
    <w:p w:rsidR="00DF2162" w:rsidRDefault="00DF2162" w:rsidP="00DF2162">
      <w:pPr>
        <w:pStyle w:val="a5"/>
        <w:ind w:left="-284" w:firstLine="0"/>
      </w:pPr>
      <w:r w:rsidRPr="000A384B">
        <w:rPr>
          <w:noProof/>
        </w:rPr>
        <w:drawing>
          <wp:inline distT="0" distB="0" distL="0" distR="0">
            <wp:extent cx="6315075" cy="2847975"/>
            <wp:effectExtent l="0" t="0" r="0" b="0"/>
            <wp:docPr id="9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F2162" w:rsidRDefault="00DF2162" w:rsidP="00DF2162">
      <w:pPr>
        <w:pStyle w:val="a5"/>
      </w:pPr>
      <w:r>
        <w:t>О</w:t>
      </w:r>
      <w:r w:rsidRPr="000A384B">
        <w:t xml:space="preserve">сновными торговыми партнерами по экспортным </w:t>
      </w:r>
      <w:r>
        <w:t>операциям</w:t>
      </w:r>
      <w:r w:rsidRPr="000A384B">
        <w:t xml:space="preserve"> </w:t>
      </w:r>
      <w:r>
        <w:t>являлись</w:t>
      </w:r>
      <w:r w:rsidRPr="000A384B">
        <w:t xml:space="preserve"> </w:t>
      </w:r>
      <w:r>
        <w:t xml:space="preserve">представители </w:t>
      </w:r>
      <w:proofErr w:type="gramStart"/>
      <w:r>
        <w:t>из</w:t>
      </w:r>
      <w:proofErr w:type="gramEnd"/>
      <w:r>
        <w:t xml:space="preserve">: </w:t>
      </w:r>
      <w:proofErr w:type="gramStart"/>
      <w:r w:rsidRPr="000A384B">
        <w:t>Республик</w:t>
      </w:r>
      <w:r>
        <w:t>и</w:t>
      </w:r>
      <w:r w:rsidRPr="000A384B">
        <w:t xml:space="preserve"> Молдова (</w:t>
      </w:r>
      <w:r>
        <w:t>40,2</w:t>
      </w:r>
      <w:r w:rsidRPr="000A384B">
        <w:t xml:space="preserve">% совокупного экспорта, </w:t>
      </w:r>
      <w:r>
        <w:t>сократившись на</w:t>
      </w:r>
      <w:r w:rsidRPr="000A384B">
        <w:t xml:space="preserve"> </w:t>
      </w:r>
      <w:r>
        <w:t>14,0</w:t>
      </w:r>
      <w:r w:rsidRPr="000A384B">
        <w:t xml:space="preserve">% </w:t>
      </w:r>
      <w:r>
        <w:t xml:space="preserve">в стоимостном выражении </w:t>
      </w:r>
      <w:r w:rsidRPr="000A384B">
        <w:t xml:space="preserve">к уровню января – </w:t>
      </w:r>
      <w:r>
        <w:t>апреля</w:t>
      </w:r>
      <w:r w:rsidRPr="000A384B">
        <w:t xml:space="preserve"> 201</w:t>
      </w:r>
      <w:r>
        <w:t>6</w:t>
      </w:r>
      <w:r w:rsidRPr="000A384B">
        <w:t xml:space="preserve"> года), Украин</w:t>
      </w:r>
      <w:r>
        <w:t>ы</w:t>
      </w:r>
      <w:r w:rsidRPr="000A384B">
        <w:t xml:space="preserve"> (</w:t>
      </w:r>
      <w:r>
        <w:t>14,4</w:t>
      </w:r>
      <w:r w:rsidRPr="000A384B">
        <w:t xml:space="preserve">%, </w:t>
      </w:r>
      <w:r>
        <w:t xml:space="preserve">         «+» 63,5% к уровню </w:t>
      </w:r>
      <w:r w:rsidRPr="000A384B">
        <w:t xml:space="preserve">января – </w:t>
      </w:r>
      <w:r>
        <w:t>апреля</w:t>
      </w:r>
      <w:r w:rsidRPr="000A384B">
        <w:t xml:space="preserve"> 201</w:t>
      </w:r>
      <w:r>
        <w:t>6</w:t>
      </w:r>
      <w:r w:rsidRPr="000A384B">
        <w:t xml:space="preserve"> года)</w:t>
      </w:r>
      <w:r>
        <w:t xml:space="preserve">, </w:t>
      </w:r>
      <w:r w:rsidRPr="000A384B">
        <w:t>Российск</w:t>
      </w:r>
      <w:r>
        <w:t>ой</w:t>
      </w:r>
      <w:r w:rsidRPr="000A384B">
        <w:t xml:space="preserve"> Федераци</w:t>
      </w:r>
      <w:r>
        <w:t>и</w:t>
      </w:r>
      <w:r w:rsidRPr="000A384B">
        <w:t xml:space="preserve"> (</w:t>
      </w:r>
      <w:r>
        <w:t>11,7</w:t>
      </w:r>
      <w:r w:rsidRPr="000A384B">
        <w:t>%, «</w:t>
      </w:r>
      <w:r>
        <w:t>+</w:t>
      </w:r>
      <w:r w:rsidRPr="000A384B">
        <w:t xml:space="preserve">» </w:t>
      </w:r>
      <w:r>
        <w:t>72,5</w:t>
      </w:r>
      <w:r w:rsidRPr="000A384B">
        <w:t xml:space="preserve">% к уровню января – </w:t>
      </w:r>
      <w:r>
        <w:t>апреля</w:t>
      </w:r>
      <w:r w:rsidRPr="000A384B">
        <w:t xml:space="preserve"> 201</w:t>
      </w:r>
      <w:r>
        <w:t>6</w:t>
      </w:r>
      <w:r w:rsidRPr="000A384B">
        <w:t xml:space="preserve"> года),</w:t>
      </w:r>
      <w:r>
        <w:t xml:space="preserve"> </w:t>
      </w:r>
      <w:r w:rsidRPr="000A384B">
        <w:t>Румыни</w:t>
      </w:r>
      <w:r>
        <w:t>и</w:t>
      </w:r>
      <w:r w:rsidRPr="000A384B">
        <w:t xml:space="preserve"> (</w:t>
      </w:r>
      <w:r>
        <w:t>11,9</w:t>
      </w:r>
      <w:r w:rsidRPr="000A384B">
        <w:t xml:space="preserve">%, «-» </w:t>
      </w:r>
      <w:r>
        <w:t>31,3</w:t>
      </w:r>
      <w:r w:rsidRPr="000A384B">
        <w:t xml:space="preserve">% к уровню января – </w:t>
      </w:r>
      <w:r>
        <w:t>апреля</w:t>
      </w:r>
      <w:r w:rsidRPr="000A384B">
        <w:t xml:space="preserve"> 201</w:t>
      </w:r>
      <w:r>
        <w:t>6</w:t>
      </w:r>
      <w:r w:rsidRPr="000A384B">
        <w:t xml:space="preserve"> года),</w:t>
      </w:r>
      <w:r w:rsidRPr="00A63313">
        <w:t xml:space="preserve"> </w:t>
      </w:r>
      <w:r w:rsidRPr="000A384B">
        <w:t>Итали</w:t>
      </w:r>
      <w:r>
        <w:t>и</w:t>
      </w:r>
      <w:r w:rsidRPr="000A384B">
        <w:t xml:space="preserve"> (</w:t>
      </w:r>
      <w:r>
        <w:t>7,4</w:t>
      </w:r>
      <w:r w:rsidRPr="000A384B">
        <w:t>%, «</w:t>
      </w:r>
      <w:r>
        <w:t>-</w:t>
      </w:r>
      <w:r w:rsidRPr="000A384B">
        <w:t>»</w:t>
      </w:r>
      <w:r>
        <w:t xml:space="preserve"> 3,1</w:t>
      </w:r>
      <w:r w:rsidRPr="000A384B">
        <w:t xml:space="preserve">% к уровню января – </w:t>
      </w:r>
      <w:r>
        <w:t>апреля</w:t>
      </w:r>
      <w:r w:rsidRPr="000A384B">
        <w:t xml:space="preserve"> 201</w:t>
      </w:r>
      <w:r>
        <w:t>6</w:t>
      </w:r>
      <w:r w:rsidRPr="000A384B">
        <w:t xml:space="preserve"> года)</w:t>
      </w:r>
      <w:r>
        <w:t xml:space="preserve">, </w:t>
      </w:r>
      <w:r w:rsidRPr="000A384B">
        <w:t>Германи</w:t>
      </w:r>
      <w:r>
        <w:t>и</w:t>
      </w:r>
      <w:r w:rsidRPr="000A384B">
        <w:t xml:space="preserve"> (</w:t>
      </w:r>
      <w:r>
        <w:t>4,3</w:t>
      </w:r>
      <w:r w:rsidRPr="000A384B">
        <w:t xml:space="preserve">%, </w:t>
      </w:r>
      <w:r>
        <w:t xml:space="preserve">        </w:t>
      </w:r>
      <w:r w:rsidRPr="000A384B">
        <w:t>«-»</w:t>
      </w:r>
      <w:r>
        <w:t xml:space="preserve"> 29,2</w:t>
      </w:r>
      <w:r w:rsidRPr="000A384B">
        <w:t xml:space="preserve">% к </w:t>
      </w:r>
      <w:r>
        <w:t>уровню</w:t>
      </w:r>
      <w:r w:rsidRPr="000A384B">
        <w:t xml:space="preserve"> января</w:t>
      </w:r>
      <w:proofErr w:type="gramEnd"/>
      <w:r w:rsidRPr="000A384B">
        <w:t xml:space="preserve"> – </w:t>
      </w:r>
      <w:r>
        <w:t>апреля</w:t>
      </w:r>
      <w:r w:rsidRPr="000A384B">
        <w:t xml:space="preserve"> 201</w:t>
      </w:r>
      <w:r>
        <w:t>6</w:t>
      </w:r>
      <w:r w:rsidRPr="000A384B">
        <w:t xml:space="preserve"> года).</w:t>
      </w:r>
      <w:r>
        <w:t xml:space="preserve"> </w:t>
      </w:r>
    </w:p>
    <w:p w:rsidR="00DF2162" w:rsidRPr="00601CA8" w:rsidRDefault="00DF2162" w:rsidP="00DF2162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январе-апреле 2017 года </w:t>
      </w:r>
      <w:proofErr w:type="spellStart"/>
      <w:r>
        <w:rPr>
          <w:sz w:val="24"/>
          <w:szCs w:val="24"/>
        </w:rPr>
        <w:t>востребованость</w:t>
      </w:r>
      <w:proofErr w:type="spellEnd"/>
      <w:r w:rsidRPr="0071462E">
        <w:rPr>
          <w:sz w:val="24"/>
          <w:szCs w:val="24"/>
        </w:rPr>
        <w:t xml:space="preserve"> крупных предприятий индустрии в сырьевых материалах и ресурсах</w:t>
      </w:r>
      <w:r>
        <w:rPr>
          <w:sz w:val="24"/>
          <w:szCs w:val="24"/>
        </w:rPr>
        <w:t xml:space="preserve"> предопределила прирост объема импорта по большинству товарных групп. Однако, снижение объемов производственной деятельности на крупнейшем предприятии электроэнергетического комплекса, привело к </w:t>
      </w:r>
      <w:r w:rsidRPr="00601CA8">
        <w:rPr>
          <w:sz w:val="24"/>
          <w:szCs w:val="24"/>
        </w:rPr>
        <w:t>сокращени</w:t>
      </w:r>
      <w:r>
        <w:rPr>
          <w:sz w:val="24"/>
          <w:szCs w:val="24"/>
        </w:rPr>
        <w:t>ю</w:t>
      </w:r>
      <w:r w:rsidRPr="00601CA8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поставок на территорию республики</w:t>
      </w:r>
      <w:r w:rsidRPr="00601CA8">
        <w:rPr>
          <w:sz w:val="24"/>
          <w:szCs w:val="24"/>
        </w:rPr>
        <w:t xml:space="preserve"> топливно-энергетических товаров</w:t>
      </w:r>
      <w:r>
        <w:rPr>
          <w:sz w:val="24"/>
          <w:szCs w:val="24"/>
        </w:rPr>
        <w:t>,</w:t>
      </w:r>
      <w:r w:rsidRPr="00601C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абсолютная величина которых </w:t>
      </w:r>
      <w:r w:rsidRPr="00601CA8">
        <w:rPr>
          <w:sz w:val="24"/>
          <w:szCs w:val="24"/>
        </w:rPr>
        <w:t xml:space="preserve">сократилась к базовому значению 2016 года на </w:t>
      </w:r>
      <w:r>
        <w:rPr>
          <w:sz w:val="24"/>
          <w:szCs w:val="24"/>
        </w:rPr>
        <w:t>20,1</w:t>
      </w:r>
      <w:r w:rsidRPr="00601CA8">
        <w:rPr>
          <w:sz w:val="24"/>
          <w:szCs w:val="24"/>
        </w:rPr>
        <w:t xml:space="preserve">%, сократив долевое участие в структуре импорта до </w:t>
      </w:r>
      <w:r>
        <w:rPr>
          <w:sz w:val="24"/>
          <w:szCs w:val="24"/>
        </w:rPr>
        <w:t>41,9</w:t>
      </w:r>
      <w:r w:rsidRPr="00601CA8">
        <w:rPr>
          <w:sz w:val="24"/>
          <w:szCs w:val="24"/>
        </w:rPr>
        <w:t xml:space="preserve">% против </w:t>
      </w:r>
      <w:r>
        <w:rPr>
          <w:sz w:val="24"/>
          <w:szCs w:val="24"/>
        </w:rPr>
        <w:t>53,6</w:t>
      </w:r>
      <w:r w:rsidRPr="00601CA8">
        <w:rPr>
          <w:sz w:val="24"/>
          <w:szCs w:val="24"/>
        </w:rPr>
        <w:t xml:space="preserve">% в январе – </w:t>
      </w:r>
      <w:r>
        <w:rPr>
          <w:sz w:val="24"/>
          <w:szCs w:val="24"/>
        </w:rPr>
        <w:t>апреле</w:t>
      </w:r>
      <w:r w:rsidRPr="00601CA8">
        <w:rPr>
          <w:sz w:val="24"/>
          <w:szCs w:val="24"/>
        </w:rPr>
        <w:t xml:space="preserve"> 2016 года.</w:t>
      </w:r>
    </w:p>
    <w:p w:rsidR="00DF2162" w:rsidRDefault="00DF2162" w:rsidP="00DF2162">
      <w:pPr>
        <w:pStyle w:val="20"/>
        <w:ind w:firstLine="142"/>
        <w:rPr>
          <w:sz w:val="24"/>
          <w:szCs w:val="24"/>
        </w:rPr>
      </w:pPr>
      <w:r w:rsidRPr="000A384B">
        <w:rPr>
          <w:noProof/>
        </w:rPr>
        <w:drawing>
          <wp:inline distT="0" distB="0" distL="0" distR="0">
            <wp:extent cx="5943600" cy="2800350"/>
            <wp:effectExtent l="0" t="0" r="0" b="0"/>
            <wp:docPr id="10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F2162" w:rsidRDefault="00DF2162" w:rsidP="00DF2162">
      <w:pPr>
        <w:pStyle w:val="a5"/>
      </w:pPr>
      <w:r>
        <w:lastRenderedPageBreak/>
        <w:t xml:space="preserve">В анализируемом периоде импорт </w:t>
      </w:r>
      <w:r w:rsidRPr="000A384B">
        <w:t>продовольственны</w:t>
      </w:r>
      <w:r>
        <w:t>х</w:t>
      </w:r>
      <w:r w:rsidRPr="000A384B">
        <w:t xml:space="preserve"> товар</w:t>
      </w:r>
      <w:r>
        <w:t>ов</w:t>
      </w:r>
      <w:r w:rsidRPr="000A384B">
        <w:t xml:space="preserve"> (сырь</w:t>
      </w:r>
      <w:r>
        <w:t>я</w:t>
      </w:r>
      <w:r w:rsidRPr="000A384B">
        <w:t xml:space="preserve">) </w:t>
      </w:r>
      <w:r>
        <w:t>возрос на 20,2%, расширив долевое участие в товарной структуре на 2,0 процентных пункта до 13,4%.</w:t>
      </w:r>
    </w:p>
    <w:p w:rsidR="00DF2162" w:rsidRPr="00F76F90" w:rsidRDefault="00DF2162" w:rsidP="00DF2162">
      <w:pPr>
        <w:pStyle w:val="a5"/>
      </w:pPr>
      <w:r>
        <w:t>Восстановление</w:t>
      </w:r>
      <w:r w:rsidRPr="00EB3CC9">
        <w:t xml:space="preserve"> производственной </w:t>
      </w:r>
      <w:r>
        <w:t>деятельности на</w:t>
      </w:r>
      <w:r w:rsidRPr="00EB3CC9">
        <w:t xml:space="preserve"> ОАО «Молдавский металлургический завод»</w:t>
      </w:r>
      <w:r>
        <w:t xml:space="preserve"> послужило толчком </w:t>
      </w:r>
      <w:r w:rsidRPr="00EB3CC9">
        <w:t xml:space="preserve">к </w:t>
      </w:r>
      <w:r>
        <w:t>увеличению</w:t>
      </w:r>
      <w:r w:rsidRPr="00EB3CC9">
        <w:t xml:space="preserve"> </w:t>
      </w:r>
      <w:r>
        <w:t>ввоза</w:t>
      </w:r>
      <w:r w:rsidRPr="00EB3CC9">
        <w:t xml:space="preserve"> металлов и изделий из них </w:t>
      </w:r>
      <w:r>
        <w:t>в 2,4 раза,</w:t>
      </w:r>
      <w:r w:rsidRPr="00F76F90">
        <w:t xml:space="preserve"> </w:t>
      </w:r>
      <w:r>
        <w:t>расширив</w:t>
      </w:r>
      <w:r w:rsidRPr="00F76F90">
        <w:t xml:space="preserve"> долевое представительство в товарной структуре </w:t>
      </w:r>
      <w:r>
        <w:t xml:space="preserve">импорта </w:t>
      </w:r>
      <w:r w:rsidRPr="00F76F90">
        <w:t xml:space="preserve">на </w:t>
      </w:r>
      <w:r>
        <w:t>5,8 процентных пункта до 10,1%.</w:t>
      </w:r>
    </w:p>
    <w:p w:rsidR="00DF2162" w:rsidRDefault="00DF2162" w:rsidP="00DF2162">
      <w:pPr>
        <w:pStyle w:val="a5"/>
      </w:pPr>
      <w:r w:rsidRPr="00DD68B6">
        <w:t xml:space="preserve">Импортные поставки машиностроительной продукции в </w:t>
      </w:r>
      <w:r>
        <w:t>абсолютном выражении</w:t>
      </w:r>
      <w:r w:rsidRPr="00DD68B6">
        <w:t xml:space="preserve"> </w:t>
      </w:r>
      <w:r>
        <w:t xml:space="preserve">выросли </w:t>
      </w:r>
      <w:r w:rsidRPr="00DD68B6">
        <w:t xml:space="preserve">на </w:t>
      </w:r>
      <w:r>
        <w:t>8,0</w:t>
      </w:r>
      <w:r w:rsidRPr="00DD68B6">
        <w:t>%</w:t>
      </w:r>
      <w:r>
        <w:t xml:space="preserve"> к уровню января-апреля 2016 года</w:t>
      </w:r>
      <w:r w:rsidRPr="00DD68B6">
        <w:t xml:space="preserve">, </w:t>
      </w:r>
      <w:r>
        <w:t xml:space="preserve">а </w:t>
      </w:r>
      <w:r w:rsidRPr="00DD68B6">
        <w:t xml:space="preserve">долевое представительство </w:t>
      </w:r>
      <w:r>
        <w:t>на 0,4 </w:t>
      </w:r>
      <w:proofErr w:type="gramStart"/>
      <w:r>
        <w:t>процентных</w:t>
      </w:r>
      <w:proofErr w:type="gramEnd"/>
      <w:r>
        <w:t xml:space="preserve"> пункта до 8,7%.</w:t>
      </w:r>
    </w:p>
    <w:p w:rsidR="00DF2162" w:rsidRDefault="00DF2162" w:rsidP="00DF2162">
      <w:pPr>
        <w:pStyle w:val="a5"/>
      </w:pPr>
      <w:r>
        <w:t xml:space="preserve">Импорт </w:t>
      </w:r>
      <w:r w:rsidRPr="000A384B">
        <w:t>товаров легкой промышленности (текстильные материалы, одежда, текстильные изделия, обувь)</w:t>
      </w:r>
      <w:r>
        <w:t xml:space="preserve"> в отчетном периоде увеличился на 76,9% к сопоставимому значению минувшего года, поднявшись в товарной структуре на 3,4 процентных пункта до 8,0%.</w:t>
      </w:r>
    </w:p>
    <w:p w:rsidR="00DF2162" w:rsidRDefault="00DF2162" w:rsidP="00DF2162">
      <w:pPr>
        <w:pStyle w:val="a5"/>
        <w:ind w:left="-426" w:firstLine="0"/>
        <w:jc w:val="center"/>
      </w:pPr>
      <w:r w:rsidRPr="000A384B">
        <w:rPr>
          <w:noProof/>
        </w:rPr>
        <w:drawing>
          <wp:inline distT="0" distB="0" distL="0" distR="0">
            <wp:extent cx="6267450" cy="2971800"/>
            <wp:effectExtent l="0" t="0" r="0" b="0"/>
            <wp:docPr id="1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F2162" w:rsidRDefault="00DF2162" w:rsidP="00DF2162">
      <w:pPr>
        <w:pStyle w:val="a5"/>
      </w:pPr>
      <w:r>
        <w:t xml:space="preserve">Большая часть ввозимой на территорию </w:t>
      </w:r>
      <w:r w:rsidRPr="00950176">
        <w:t>Приднестровья</w:t>
      </w:r>
      <w:r>
        <w:t xml:space="preserve"> продукции поступала из таких стран как:</w:t>
      </w:r>
      <w:r w:rsidRPr="00C872C0">
        <w:t xml:space="preserve"> </w:t>
      </w:r>
      <w:proofErr w:type="gramStart"/>
      <w:r w:rsidRPr="000A384B">
        <w:t>Российск</w:t>
      </w:r>
      <w:r>
        <w:t>ая</w:t>
      </w:r>
      <w:r w:rsidRPr="000A384B">
        <w:t xml:space="preserve"> Федераци</w:t>
      </w:r>
      <w:r>
        <w:t>я</w:t>
      </w:r>
      <w:r w:rsidRPr="000A384B">
        <w:t xml:space="preserve"> (</w:t>
      </w:r>
      <w:r>
        <w:t>44,8</w:t>
      </w:r>
      <w:r w:rsidRPr="000A384B">
        <w:t xml:space="preserve">% совокупного импорта, </w:t>
      </w:r>
      <w:r>
        <w:t>сократившись на</w:t>
      </w:r>
      <w:r w:rsidRPr="000A384B">
        <w:t xml:space="preserve"> </w:t>
      </w:r>
      <w:r>
        <w:t>18,1</w:t>
      </w:r>
      <w:r w:rsidRPr="000A384B">
        <w:t xml:space="preserve">% </w:t>
      </w:r>
      <w:r>
        <w:t xml:space="preserve">в стоимостном выражении </w:t>
      </w:r>
      <w:r w:rsidRPr="000A384B">
        <w:t>к уровню базового показателя 201</w:t>
      </w:r>
      <w:r>
        <w:t>6</w:t>
      </w:r>
      <w:r w:rsidRPr="000A384B">
        <w:t xml:space="preserve"> года)</w:t>
      </w:r>
      <w:r>
        <w:t>,</w:t>
      </w:r>
      <w:r w:rsidRPr="00C872C0">
        <w:t xml:space="preserve"> </w:t>
      </w:r>
      <w:r w:rsidRPr="000A384B">
        <w:t>Украин</w:t>
      </w:r>
      <w:r>
        <w:t>а</w:t>
      </w:r>
      <w:r w:rsidRPr="000A384B">
        <w:t xml:space="preserve"> (</w:t>
      </w:r>
      <w:r>
        <w:t>13,8</w:t>
      </w:r>
      <w:r w:rsidRPr="000A384B">
        <w:t>%, «</w:t>
      </w:r>
      <w:r>
        <w:t>+</w:t>
      </w:r>
      <w:r w:rsidRPr="000A384B">
        <w:t>»</w:t>
      </w:r>
      <w:r>
        <w:t xml:space="preserve"> 32,7</w:t>
      </w:r>
      <w:r w:rsidRPr="000A384B">
        <w:t>%</w:t>
      </w:r>
      <w:r w:rsidRPr="00C872C0">
        <w:t xml:space="preserve"> </w:t>
      </w:r>
      <w:r w:rsidRPr="000A384B">
        <w:t xml:space="preserve">к уровню января – </w:t>
      </w:r>
      <w:r>
        <w:t>апреля</w:t>
      </w:r>
      <w:r w:rsidRPr="000A384B">
        <w:t xml:space="preserve"> 201</w:t>
      </w:r>
      <w:r>
        <w:t>6 </w:t>
      </w:r>
      <w:r w:rsidRPr="000A384B">
        <w:t>года</w:t>
      </w:r>
      <w:r>
        <w:t xml:space="preserve">), </w:t>
      </w:r>
      <w:r w:rsidRPr="000A384B">
        <w:t>Республик</w:t>
      </w:r>
      <w:r>
        <w:t xml:space="preserve">а </w:t>
      </w:r>
      <w:r w:rsidRPr="000A384B">
        <w:t>Молдова (</w:t>
      </w:r>
      <w:r>
        <w:t>10,1</w:t>
      </w:r>
      <w:r w:rsidRPr="000A384B">
        <w:t>%, «</w:t>
      </w:r>
      <w:r>
        <w:t>+</w:t>
      </w:r>
      <w:r w:rsidRPr="000A384B">
        <w:t>»</w:t>
      </w:r>
      <w:r>
        <w:t xml:space="preserve"> 48,2% </w:t>
      </w:r>
      <w:r w:rsidRPr="000A384B">
        <w:t xml:space="preserve">к </w:t>
      </w:r>
      <w:r>
        <w:t>базовому уровню</w:t>
      </w:r>
      <w:r w:rsidRPr="000A384B">
        <w:t xml:space="preserve"> 201</w:t>
      </w:r>
      <w:r>
        <w:t>6 </w:t>
      </w:r>
      <w:r w:rsidRPr="000A384B">
        <w:t>года</w:t>
      </w:r>
      <w:r>
        <w:t xml:space="preserve">), </w:t>
      </w:r>
      <w:r w:rsidRPr="000A384B">
        <w:t>Республик</w:t>
      </w:r>
      <w:r>
        <w:t>а</w:t>
      </w:r>
      <w:r w:rsidRPr="000A384B">
        <w:t xml:space="preserve"> Казахстан</w:t>
      </w:r>
      <w:r>
        <w:t xml:space="preserve"> (3,8</w:t>
      </w:r>
      <w:r w:rsidRPr="000A384B">
        <w:t xml:space="preserve">%, </w:t>
      </w:r>
      <w:r>
        <w:t>увеличение</w:t>
      </w:r>
      <w:r w:rsidRPr="000A384B">
        <w:t xml:space="preserve"> </w:t>
      </w:r>
      <w:r>
        <w:t>в 2,2 раза</w:t>
      </w:r>
      <w:r w:rsidRPr="00C872C0">
        <w:t xml:space="preserve"> </w:t>
      </w:r>
      <w:r w:rsidRPr="000A384B">
        <w:t xml:space="preserve">к уровню января – </w:t>
      </w:r>
      <w:r>
        <w:t>апреля</w:t>
      </w:r>
      <w:r w:rsidRPr="000A384B">
        <w:t xml:space="preserve"> 201</w:t>
      </w:r>
      <w:r>
        <w:t xml:space="preserve">6 </w:t>
      </w:r>
      <w:r w:rsidRPr="000A384B">
        <w:t>года</w:t>
      </w:r>
      <w:r>
        <w:t>),</w:t>
      </w:r>
      <w:r w:rsidRPr="00F15750">
        <w:t xml:space="preserve"> </w:t>
      </w:r>
      <w:r w:rsidRPr="000A384B">
        <w:t>Германи</w:t>
      </w:r>
      <w:r>
        <w:t>я</w:t>
      </w:r>
      <w:r w:rsidRPr="000A384B">
        <w:t xml:space="preserve"> (</w:t>
      </w:r>
      <w:r>
        <w:t>3,4</w:t>
      </w:r>
      <w:r w:rsidRPr="000A384B">
        <w:t>%, «-»</w:t>
      </w:r>
      <w:r>
        <w:t xml:space="preserve"> 8,6</w:t>
      </w:r>
      <w:r w:rsidRPr="000A384B">
        <w:t>%</w:t>
      </w:r>
      <w:r w:rsidRPr="00F15750">
        <w:t xml:space="preserve"> </w:t>
      </w:r>
      <w:r w:rsidRPr="000A384B">
        <w:t>к уровню базового показателя 201</w:t>
      </w:r>
      <w:r>
        <w:t>6 </w:t>
      </w:r>
      <w:r w:rsidRPr="000A384B">
        <w:t>года)</w:t>
      </w:r>
      <w:r>
        <w:t>.</w:t>
      </w:r>
      <w:proofErr w:type="gramEnd"/>
    </w:p>
    <w:p w:rsidR="00DF2162" w:rsidRDefault="00DF2162" w:rsidP="00631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2D2" w:rsidRPr="005912D2" w:rsidRDefault="005912D2" w:rsidP="005912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12D2">
        <w:rPr>
          <w:rFonts w:ascii="Times New Roman" w:hAnsi="Times New Roman"/>
          <w:b/>
          <w:sz w:val="24"/>
          <w:szCs w:val="24"/>
          <w:u w:val="single"/>
        </w:rPr>
        <w:t>Инфляционные процессы</w:t>
      </w:r>
    </w:p>
    <w:p w:rsidR="005912D2" w:rsidRPr="005912D2" w:rsidRDefault="005912D2" w:rsidP="005912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2D2" w:rsidRPr="005912D2" w:rsidRDefault="005912D2" w:rsidP="005912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2D2">
        <w:rPr>
          <w:rFonts w:ascii="Times New Roman" w:hAnsi="Times New Roman"/>
          <w:sz w:val="24"/>
        </w:rPr>
        <w:t xml:space="preserve">После дефляционных процессов в январе-марте 2017 года («-»0,30%), в апреле на фоне </w:t>
      </w:r>
      <w:r w:rsidRPr="005912D2">
        <w:rPr>
          <w:rFonts w:ascii="Times New Roman" w:hAnsi="Times New Roman"/>
          <w:sz w:val="24"/>
          <w:szCs w:val="24"/>
        </w:rPr>
        <w:t>сезонных</w:t>
      </w:r>
      <w:r w:rsidRPr="005912D2">
        <w:rPr>
          <w:rFonts w:ascii="Times New Roman" w:hAnsi="Times New Roman"/>
          <w:sz w:val="24"/>
        </w:rPr>
        <w:t xml:space="preserve"> колебаний, наряду с сохраняющимся дисбалансом на валютном рынке, отмечался восходящий ценовой тренд </w:t>
      </w:r>
      <w:r w:rsidRPr="005912D2">
        <w:rPr>
          <w:rFonts w:ascii="Times New Roman" w:hAnsi="Times New Roman"/>
          <w:sz w:val="24"/>
          <w:szCs w:val="24"/>
        </w:rPr>
        <w:t xml:space="preserve">на продукты питания и непродовольственные товары, что стало основным фактором </w:t>
      </w:r>
      <w:r w:rsidRPr="005912D2">
        <w:rPr>
          <w:rFonts w:ascii="Times New Roman" w:hAnsi="Times New Roman"/>
          <w:sz w:val="24"/>
        </w:rPr>
        <w:t xml:space="preserve">усиления инфляционного давления на внутреннем потребительском рынке республики (+1,57%). В целом по итогам 4 месяцев текущего года сводный индекс потребительских цен (инфляция) зафиксирован на отметке </w:t>
      </w:r>
      <w:r w:rsidRPr="005912D2">
        <w:rPr>
          <w:rFonts w:ascii="Times New Roman" w:hAnsi="Times New Roman"/>
          <w:sz w:val="24"/>
          <w:szCs w:val="24"/>
        </w:rPr>
        <w:t>101,26% против 100,67% в январе-апреле 2016 года.</w:t>
      </w:r>
    </w:p>
    <w:p w:rsidR="005912D2" w:rsidRPr="005912D2" w:rsidRDefault="005912D2" w:rsidP="005912D2">
      <w:pPr>
        <w:shd w:val="clear" w:color="auto" w:fill="FFFFFF"/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5912D2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362700" cy="2276475"/>
            <wp:effectExtent l="0" t="0" r="0" b="0"/>
            <wp:docPr id="15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912D2" w:rsidRPr="005912D2" w:rsidRDefault="005912D2" w:rsidP="00591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2D2">
        <w:rPr>
          <w:rFonts w:ascii="Times New Roman" w:hAnsi="Times New Roman"/>
          <w:sz w:val="24"/>
          <w:szCs w:val="24"/>
        </w:rPr>
        <w:t>Динамика сводного индекса потребительских цен (инфляции) за предыдущие годы представлена в следующем виде:</w:t>
      </w:r>
    </w:p>
    <w:p w:rsidR="005912D2" w:rsidRPr="005912D2" w:rsidRDefault="005912D2" w:rsidP="005912D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hd w:val="clear" w:color="auto" w:fill="FFFFFF"/>
        </w:rPr>
      </w:pPr>
      <w:r w:rsidRPr="005912D2">
        <w:rPr>
          <w:rFonts w:ascii="Times New Roman" w:hAnsi="Times New Roman"/>
          <w:bCs/>
          <w:noProof/>
          <w:color w:val="00B0F0"/>
          <w:sz w:val="24"/>
          <w:shd w:val="clear" w:color="auto" w:fill="FFFFFF"/>
        </w:rPr>
        <w:drawing>
          <wp:inline distT="0" distB="0" distL="0" distR="0">
            <wp:extent cx="5943600" cy="2286000"/>
            <wp:effectExtent l="19050" t="0" r="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912D2" w:rsidRPr="005912D2" w:rsidRDefault="005912D2" w:rsidP="005912D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5912D2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В продовольственном сегменте </w:t>
      </w:r>
      <w:r w:rsidRPr="005912D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потребительского рынка </w:t>
      </w:r>
      <w:r w:rsidRPr="005912D2">
        <w:rPr>
          <w:rFonts w:ascii="Times New Roman" w:hAnsi="Times New Roman"/>
          <w:sz w:val="24"/>
          <w:szCs w:val="24"/>
        </w:rPr>
        <w:t xml:space="preserve">в январе-апреле                      2017 года </w:t>
      </w:r>
      <w:r w:rsidRPr="005912D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снижение стоимости по большинству видов продуктов питания (удешевление яиц –  на 34,67%, сыра – на 3,81%, масла растительного – на 0,96%, меда – на 0,87%, муки – на 0,22%, мясопродуктов – на 0,79%), в совокупности с повышением цен на плодоовощную продукцию, включая картофель – на 16,57%, масло сливочное на 7,13%, маргарин и маргариновую продукцию – на 5,48%, рыбопродукты – на</w:t>
      </w:r>
      <w:proofErr w:type="gramEnd"/>
      <w:r w:rsidRPr="005912D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1,94%,  кондитерские изделия – на 1,69%, обусловили в данном секторе потребительского рынка выраженный инфляционный тренд – </w:t>
      </w:r>
      <w:r w:rsidRPr="005912D2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«+»2,21%</w:t>
      </w:r>
      <w:r w:rsidRPr="005912D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(в январе-апреле 2016 года «+»0,63%).</w:t>
      </w:r>
    </w:p>
    <w:p w:rsidR="005912D2" w:rsidRPr="005912D2" w:rsidRDefault="005912D2" w:rsidP="005912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2D2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В</w:t>
      </w:r>
      <w:r w:rsidRPr="005912D2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5912D2">
        <w:rPr>
          <w:rFonts w:ascii="Times New Roman" w:hAnsi="Times New Roman"/>
          <w:b/>
          <w:i/>
          <w:sz w:val="24"/>
          <w:szCs w:val="24"/>
        </w:rPr>
        <w:t>непродовольственном сегменте</w:t>
      </w:r>
      <w:r w:rsidRPr="005912D2">
        <w:rPr>
          <w:rFonts w:ascii="Times New Roman" w:hAnsi="Times New Roman"/>
          <w:b/>
          <w:sz w:val="24"/>
          <w:szCs w:val="24"/>
        </w:rPr>
        <w:t xml:space="preserve"> </w:t>
      </w:r>
      <w:r w:rsidRPr="005912D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фиксировалась инфляция</w:t>
      </w:r>
      <w:r w:rsidRPr="005912D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912D2">
        <w:rPr>
          <w:rFonts w:ascii="Times New Roman" w:hAnsi="Times New Roman"/>
          <w:b/>
          <w:i/>
          <w:sz w:val="24"/>
          <w:szCs w:val="24"/>
        </w:rPr>
        <w:t>«+»1,54%</w:t>
      </w:r>
      <w:r w:rsidRPr="005912D2">
        <w:rPr>
          <w:rFonts w:ascii="Times New Roman" w:hAnsi="Times New Roman"/>
          <w:sz w:val="24"/>
          <w:szCs w:val="24"/>
        </w:rPr>
        <w:t xml:space="preserve"> (в январе-апреле 2016 года </w:t>
      </w:r>
      <w:r w:rsidRPr="005912D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–</w:t>
      </w:r>
      <w:r w:rsidRPr="005912D2">
        <w:rPr>
          <w:rFonts w:ascii="Times New Roman" w:hAnsi="Times New Roman"/>
          <w:sz w:val="24"/>
          <w:szCs w:val="24"/>
        </w:rPr>
        <w:t xml:space="preserve"> «+»0,61%). Понижательный ценовой тренд в данном сегменте потребительского рынка установлен по следующим товарным позициям: </w:t>
      </w:r>
      <w:proofErr w:type="spellStart"/>
      <w:r w:rsidRPr="005912D2">
        <w:rPr>
          <w:rFonts w:ascii="Times New Roman" w:hAnsi="Times New Roman"/>
          <w:sz w:val="24"/>
          <w:szCs w:val="24"/>
        </w:rPr>
        <w:t>телерадиотовары</w:t>
      </w:r>
      <w:proofErr w:type="spellEnd"/>
      <w:r w:rsidRPr="005912D2">
        <w:rPr>
          <w:rFonts w:ascii="Times New Roman" w:hAnsi="Times New Roman"/>
          <w:sz w:val="24"/>
          <w:szCs w:val="24"/>
        </w:rPr>
        <w:t xml:space="preserve"> («-»3,94%), электротовары и другие бытовые приборы («-»3,15%), вычислительная техника («-»4,48%), мебель («-»2,14%), моющие средства («-»1,12%), строительные материалы          («-»0,52%). В то же время отмечался рост стоимости топлива (бензин) на 7,16%, медикаментов на 5,81%, табачных изделий на 4,51%, печатных изданий на 2,71%, одежды и белья  на 1,35%, трикотажных изделий </w:t>
      </w:r>
      <w:proofErr w:type="gramStart"/>
      <w:r w:rsidRPr="005912D2">
        <w:rPr>
          <w:rFonts w:ascii="Times New Roman" w:hAnsi="Times New Roman"/>
          <w:sz w:val="24"/>
          <w:szCs w:val="24"/>
        </w:rPr>
        <w:t>на</w:t>
      </w:r>
      <w:proofErr w:type="gramEnd"/>
      <w:r w:rsidRPr="005912D2">
        <w:rPr>
          <w:rFonts w:ascii="Times New Roman" w:hAnsi="Times New Roman"/>
          <w:sz w:val="24"/>
          <w:szCs w:val="24"/>
        </w:rPr>
        <w:t xml:space="preserve"> 0,43%.  </w:t>
      </w:r>
    </w:p>
    <w:p w:rsidR="005912D2" w:rsidRPr="005912D2" w:rsidRDefault="005912D2" w:rsidP="005912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2D2">
        <w:rPr>
          <w:rFonts w:ascii="Times New Roman" w:hAnsi="Times New Roman"/>
          <w:b/>
          <w:i/>
          <w:sz w:val="24"/>
          <w:szCs w:val="24"/>
        </w:rPr>
        <w:t>В сфере услуг</w:t>
      </w:r>
      <w:r w:rsidRPr="005912D2">
        <w:rPr>
          <w:rFonts w:ascii="Times New Roman" w:hAnsi="Times New Roman"/>
          <w:sz w:val="24"/>
          <w:szCs w:val="24"/>
        </w:rPr>
        <w:t xml:space="preserve"> в обозначенном периоде была зафиксирована дефляция </w:t>
      </w:r>
      <w:r w:rsidRPr="005912D2">
        <w:rPr>
          <w:rFonts w:ascii="Times New Roman" w:hAnsi="Times New Roman"/>
          <w:b/>
          <w:i/>
          <w:sz w:val="24"/>
          <w:szCs w:val="24"/>
        </w:rPr>
        <w:t>(«-»0,81%</w:t>
      </w:r>
      <w:r w:rsidRPr="005912D2">
        <w:rPr>
          <w:rFonts w:ascii="Times New Roman" w:hAnsi="Times New Roman"/>
          <w:sz w:val="24"/>
          <w:szCs w:val="24"/>
        </w:rPr>
        <w:t xml:space="preserve"> против «+»0,83% в январе-апреле 2016 года), что стало следствием заморозки тарифов в сфере естественных монополий. Кроме того, снижены тарифы на медицинские услуги                («-»0,40%), услуги дошкольного воспитания («-»4,89%), услуги пассажирского транспорта («-»7,48%), услуги образования («-»3,31%), ритуальные услуги («-»4,80%). При этом подорожали бытовые услуги (ремонт обуви) на 4,06%, услуги банков на 1,55%, услуги фотоателье на 0,63%, услуги связи на 0,70%. Стоимость санаторно-оздоровительных услуг, услуг правового характера, а также услуг организаций культуры сохранилась на базовом уровне 2016 года.</w:t>
      </w:r>
    </w:p>
    <w:p w:rsidR="005912D2" w:rsidRPr="005912D2" w:rsidRDefault="005912D2" w:rsidP="005912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2D2">
        <w:rPr>
          <w:rFonts w:ascii="Times New Roman" w:hAnsi="Times New Roman"/>
          <w:sz w:val="24"/>
          <w:szCs w:val="24"/>
        </w:rPr>
        <w:lastRenderedPageBreak/>
        <w:t>Таким образом, в январе-апреле 2017 года в рамках проводимой социально-ориентированной государственной политики в сфере естественных монополий, в совокупности с антиинфляционными мерами по оптимизации таможенной политики отмечается умеренное ускорение инфляционных процессов на внутреннем потребительском рынке.</w:t>
      </w:r>
    </w:p>
    <w:p w:rsidR="005912D2" w:rsidRPr="005912D2" w:rsidRDefault="005912D2" w:rsidP="005912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12D2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5912D2">
        <w:rPr>
          <w:rFonts w:ascii="Times New Roman" w:hAnsi="Times New Roman"/>
          <w:i/>
          <w:sz w:val="24"/>
          <w:szCs w:val="24"/>
        </w:rPr>
        <w:t xml:space="preserve">: </w:t>
      </w:r>
      <w:r w:rsidRPr="005912D2">
        <w:rPr>
          <w:rFonts w:ascii="Times New Roman" w:hAnsi="Times New Roman"/>
          <w:sz w:val="24"/>
          <w:szCs w:val="24"/>
        </w:rPr>
        <w:t>Сводный индекс потребительских цен (инфляция) в январе-апреле              2017 года в Приднестровской Молдавской Республике составил 101,3%, в Республике Молдова составил 104,3%, в Украине – 104,9%, в Российской Федерации – 101,3%,                          в Республике Беларусь – 102,4%, в Казахстане – 102,7%.</w:t>
      </w:r>
    </w:p>
    <w:sectPr w:rsidR="005912D2" w:rsidRPr="005912D2" w:rsidSect="00A0469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DEC"/>
    <w:rsid w:val="00001C29"/>
    <w:rsid w:val="00003746"/>
    <w:rsid w:val="00017592"/>
    <w:rsid w:val="00020133"/>
    <w:rsid w:val="000219A4"/>
    <w:rsid w:val="0002279E"/>
    <w:rsid w:val="000305E9"/>
    <w:rsid w:val="0003062F"/>
    <w:rsid w:val="00037B3D"/>
    <w:rsid w:val="000405C5"/>
    <w:rsid w:val="00042239"/>
    <w:rsid w:val="00044C6D"/>
    <w:rsid w:val="00046024"/>
    <w:rsid w:val="00047577"/>
    <w:rsid w:val="00056431"/>
    <w:rsid w:val="00061793"/>
    <w:rsid w:val="00063B8E"/>
    <w:rsid w:val="00064B19"/>
    <w:rsid w:val="00064B31"/>
    <w:rsid w:val="00076BB3"/>
    <w:rsid w:val="00081C5E"/>
    <w:rsid w:val="00081D04"/>
    <w:rsid w:val="000846D9"/>
    <w:rsid w:val="000909D1"/>
    <w:rsid w:val="00090B6F"/>
    <w:rsid w:val="00094655"/>
    <w:rsid w:val="000961CF"/>
    <w:rsid w:val="000A384B"/>
    <w:rsid w:val="000A4735"/>
    <w:rsid w:val="000B437C"/>
    <w:rsid w:val="000B5425"/>
    <w:rsid w:val="000B6B6F"/>
    <w:rsid w:val="000C3CCD"/>
    <w:rsid w:val="000D23C3"/>
    <w:rsid w:val="000D3CC2"/>
    <w:rsid w:val="000D6602"/>
    <w:rsid w:val="000E09F9"/>
    <w:rsid w:val="000E280E"/>
    <w:rsid w:val="000E7665"/>
    <w:rsid w:val="000F2186"/>
    <w:rsid w:val="000F26E5"/>
    <w:rsid w:val="000F2BA8"/>
    <w:rsid w:val="000F7B84"/>
    <w:rsid w:val="001020FF"/>
    <w:rsid w:val="001041A7"/>
    <w:rsid w:val="00105A28"/>
    <w:rsid w:val="0011037F"/>
    <w:rsid w:val="00113CF6"/>
    <w:rsid w:val="00113DEF"/>
    <w:rsid w:val="00113E30"/>
    <w:rsid w:val="00114233"/>
    <w:rsid w:val="0011547A"/>
    <w:rsid w:val="00116A2B"/>
    <w:rsid w:val="0011718F"/>
    <w:rsid w:val="00123C7C"/>
    <w:rsid w:val="001368DD"/>
    <w:rsid w:val="00136DE8"/>
    <w:rsid w:val="001433D0"/>
    <w:rsid w:val="001440EC"/>
    <w:rsid w:val="00151AEC"/>
    <w:rsid w:val="00155790"/>
    <w:rsid w:val="00160485"/>
    <w:rsid w:val="00160924"/>
    <w:rsid w:val="00167BAE"/>
    <w:rsid w:val="00167E69"/>
    <w:rsid w:val="00174AAB"/>
    <w:rsid w:val="001771B8"/>
    <w:rsid w:val="00180E5D"/>
    <w:rsid w:val="00184255"/>
    <w:rsid w:val="00185AE9"/>
    <w:rsid w:val="0019048F"/>
    <w:rsid w:val="001913C1"/>
    <w:rsid w:val="001927F2"/>
    <w:rsid w:val="00196DA0"/>
    <w:rsid w:val="00196FC1"/>
    <w:rsid w:val="001A0094"/>
    <w:rsid w:val="001A3F74"/>
    <w:rsid w:val="001B0022"/>
    <w:rsid w:val="001B3B72"/>
    <w:rsid w:val="001B6369"/>
    <w:rsid w:val="001C4F2D"/>
    <w:rsid w:val="001C7C2C"/>
    <w:rsid w:val="001D1EFC"/>
    <w:rsid w:val="001D4CEE"/>
    <w:rsid w:val="001D4F01"/>
    <w:rsid w:val="001E0A18"/>
    <w:rsid w:val="001E2784"/>
    <w:rsid w:val="001E499A"/>
    <w:rsid w:val="001F1600"/>
    <w:rsid w:val="001F247C"/>
    <w:rsid w:val="001F6A87"/>
    <w:rsid w:val="001F6FD6"/>
    <w:rsid w:val="002028CE"/>
    <w:rsid w:val="00202E11"/>
    <w:rsid w:val="00211A7D"/>
    <w:rsid w:val="00213402"/>
    <w:rsid w:val="00214413"/>
    <w:rsid w:val="0021585C"/>
    <w:rsid w:val="002164E9"/>
    <w:rsid w:val="00217234"/>
    <w:rsid w:val="00220412"/>
    <w:rsid w:val="00222343"/>
    <w:rsid w:val="00222865"/>
    <w:rsid w:val="00226161"/>
    <w:rsid w:val="00226A88"/>
    <w:rsid w:val="00230453"/>
    <w:rsid w:val="00230981"/>
    <w:rsid w:val="002310E0"/>
    <w:rsid w:val="002377E0"/>
    <w:rsid w:val="00252564"/>
    <w:rsid w:val="00253D67"/>
    <w:rsid w:val="00254733"/>
    <w:rsid w:val="00257C8B"/>
    <w:rsid w:val="00260B7A"/>
    <w:rsid w:val="00263D1A"/>
    <w:rsid w:val="002653E5"/>
    <w:rsid w:val="00265D9B"/>
    <w:rsid w:val="00277AC6"/>
    <w:rsid w:val="00282ABE"/>
    <w:rsid w:val="002912A1"/>
    <w:rsid w:val="00294D54"/>
    <w:rsid w:val="002A2B79"/>
    <w:rsid w:val="002B417F"/>
    <w:rsid w:val="002B64F4"/>
    <w:rsid w:val="002C09E0"/>
    <w:rsid w:val="002C260E"/>
    <w:rsid w:val="002C460A"/>
    <w:rsid w:val="002C5ED5"/>
    <w:rsid w:val="002D296E"/>
    <w:rsid w:val="002D6C59"/>
    <w:rsid w:val="002E6176"/>
    <w:rsid w:val="002F1C11"/>
    <w:rsid w:val="00301D42"/>
    <w:rsid w:val="00302FAD"/>
    <w:rsid w:val="00311447"/>
    <w:rsid w:val="0031204F"/>
    <w:rsid w:val="00313C47"/>
    <w:rsid w:val="0032340B"/>
    <w:rsid w:val="00330458"/>
    <w:rsid w:val="00330940"/>
    <w:rsid w:val="00332C26"/>
    <w:rsid w:val="0033315E"/>
    <w:rsid w:val="003341A3"/>
    <w:rsid w:val="00340151"/>
    <w:rsid w:val="00341FC0"/>
    <w:rsid w:val="00343FF7"/>
    <w:rsid w:val="00344D8A"/>
    <w:rsid w:val="00345F6B"/>
    <w:rsid w:val="003501DF"/>
    <w:rsid w:val="00352E74"/>
    <w:rsid w:val="0035315D"/>
    <w:rsid w:val="00356EB9"/>
    <w:rsid w:val="003577E6"/>
    <w:rsid w:val="003621AA"/>
    <w:rsid w:val="0036301F"/>
    <w:rsid w:val="0036563E"/>
    <w:rsid w:val="00365C54"/>
    <w:rsid w:val="00370426"/>
    <w:rsid w:val="003725B8"/>
    <w:rsid w:val="0037290E"/>
    <w:rsid w:val="003775CD"/>
    <w:rsid w:val="003801E5"/>
    <w:rsid w:val="00382A15"/>
    <w:rsid w:val="00383730"/>
    <w:rsid w:val="00386392"/>
    <w:rsid w:val="0038795A"/>
    <w:rsid w:val="003879A3"/>
    <w:rsid w:val="00387F84"/>
    <w:rsid w:val="00391389"/>
    <w:rsid w:val="00394E6B"/>
    <w:rsid w:val="00395172"/>
    <w:rsid w:val="0039687B"/>
    <w:rsid w:val="003A3A1C"/>
    <w:rsid w:val="003A45F9"/>
    <w:rsid w:val="003A7AEB"/>
    <w:rsid w:val="003B1336"/>
    <w:rsid w:val="003B26CC"/>
    <w:rsid w:val="003B440E"/>
    <w:rsid w:val="003B638E"/>
    <w:rsid w:val="003B657A"/>
    <w:rsid w:val="003B7054"/>
    <w:rsid w:val="003B73D3"/>
    <w:rsid w:val="003C1AB0"/>
    <w:rsid w:val="003C1EB9"/>
    <w:rsid w:val="003C4D23"/>
    <w:rsid w:val="003D1646"/>
    <w:rsid w:val="003D7D52"/>
    <w:rsid w:val="003E137A"/>
    <w:rsid w:val="003E14D7"/>
    <w:rsid w:val="003E30FE"/>
    <w:rsid w:val="003E4141"/>
    <w:rsid w:val="003E51B2"/>
    <w:rsid w:val="003E5C7A"/>
    <w:rsid w:val="003F1DBB"/>
    <w:rsid w:val="003F71A2"/>
    <w:rsid w:val="004007C8"/>
    <w:rsid w:val="004023E9"/>
    <w:rsid w:val="00402E72"/>
    <w:rsid w:val="00405A24"/>
    <w:rsid w:val="0040745A"/>
    <w:rsid w:val="00414B3A"/>
    <w:rsid w:val="004161DC"/>
    <w:rsid w:val="00416A2B"/>
    <w:rsid w:val="00420994"/>
    <w:rsid w:val="00422BEF"/>
    <w:rsid w:val="00425BD1"/>
    <w:rsid w:val="004261B5"/>
    <w:rsid w:val="00426D9F"/>
    <w:rsid w:val="00433103"/>
    <w:rsid w:val="004405CC"/>
    <w:rsid w:val="004414F4"/>
    <w:rsid w:val="004616D9"/>
    <w:rsid w:val="00463945"/>
    <w:rsid w:val="004647C4"/>
    <w:rsid w:val="00464996"/>
    <w:rsid w:val="004674C5"/>
    <w:rsid w:val="00470742"/>
    <w:rsid w:val="004767EF"/>
    <w:rsid w:val="004769DC"/>
    <w:rsid w:val="00476D0B"/>
    <w:rsid w:val="004827FE"/>
    <w:rsid w:val="00483DF6"/>
    <w:rsid w:val="00490F9C"/>
    <w:rsid w:val="00491608"/>
    <w:rsid w:val="004924D1"/>
    <w:rsid w:val="00492AA2"/>
    <w:rsid w:val="00493F52"/>
    <w:rsid w:val="00495EB6"/>
    <w:rsid w:val="00496024"/>
    <w:rsid w:val="004A0E79"/>
    <w:rsid w:val="004A1B66"/>
    <w:rsid w:val="004A3C58"/>
    <w:rsid w:val="004A49DC"/>
    <w:rsid w:val="004A5D65"/>
    <w:rsid w:val="004B1F57"/>
    <w:rsid w:val="004B22DD"/>
    <w:rsid w:val="004B2C21"/>
    <w:rsid w:val="004B4A53"/>
    <w:rsid w:val="004B54C2"/>
    <w:rsid w:val="004B5CD4"/>
    <w:rsid w:val="004D5523"/>
    <w:rsid w:val="004E05CC"/>
    <w:rsid w:val="004F0C35"/>
    <w:rsid w:val="004F3F9B"/>
    <w:rsid w:val="004F7E99"/>
    <w:rsid w:val="00507776"/>
    <w:rsid w:val="005114AC"/>
    <w:rsid w:val="00513C0D"/>
    <w:rsid w:val="00513E00"/>
    <w:rsid w:val="0051619B"/>
    <w:rsid w:val="005166E3"/>
    <w:rsid w:val="0051689D"/>
    <w:rsid w:val="0051770E"/>
    <w:rsid w:val="00520BA6"/>
    <w:rsid w:val="00527C9D"/>
    <w:rsid w:val="0053006C"/>
    <w:rsid w:val="00530559"/>
    <w:rsid w:val="00530F38"/>
    <w:rsid w:val="00531827"/>
    <w:rsid w:val="0053494D"/>
    <w:rsid w:val="00536DF2"/>
    <w:rsid w:val="005400AA"/>
    <w:rsid w:val="0054024A"/>
    <w:rsid w:val="00540C2F"/>
    <w:rsid w:val="00542C6E"/>
    <w:rsid w:val="005434B4"/>
    <w:rsid w:val="00543DD7"/>
    <w:rsid w:val="0054698C"/>
    <w:rsid w:val="00550FC5"/>
    <w:rsid w:val="00552B19"/>
    <w:rsid w:val="0055615F"/>
    <w:rsid w:val="00556168"/>
    <w:rsid w:val="005618DE"/>
    <w:rsid w:val="005625CF"/>
    <w:rsid w:val="0056267F"/>
    <w:rsid w:val="00563846"/>
    <w:rsid w:val="00566734"/>
    <w:rsid w:val="005679DD"/>
    <w:rsid w:val="00570D1A"/>
    <w:rsid w:val="005712FA"/>
    <w:rsid w:val="00573B0B"/>
    <w:rsid w:val="00574A6F"/>
    <w:rsid w:val="0057637B"/>
    <w:rsid w:val="005816E1"/>
    <w:rsid w:val="005846BF"/>
    <w:rsid w:val="005868DE"/>
    <w:rsid w:val="005912D2"/>
    <w:rsid w:val="005935BB"/>
    <w:rsid w:val="00594CFC"/>
    <w:rsid w:val="00595C20"/>
    <w:rsid w:val="005A0F36"/>
    <w:rsid w:val="005A6CE5"/>
    <w:rsid w:val="005A70DA"/>
    <w:rsid w:val="005B15FA"/>
    <w:rsid w:val="005B3C55"/>
    <w:rsid w:val="005B6116"/>
    <w:rsid w:val="005C2454"/>
    <w:rsid w:val="005C4664"/>
    <w:rsid w:val="005C6058"/>
    <w:rsid w:val="005E4946"/>
    <w:rsid w:val="005F204F"/>
    <w:rsid w:val="005F4659"/>
    <w:rsid w:val="005F592A"/>
    <w:rsid w:val="006110BB"/>
    <w:rsid w:val="00611366"/>
    <w:rsid w:val="006119B5"/>
    <w:rsid w:val="00612D8A"/>
    <w:rsid w:val="00617794"/>
    <w:rsid w:val="006249B6"/>
    <w:rsid w:val="00630C71"/>
    <w:rsid w:val="00631938"/>
    <w:rsid w:val="00633CD1"/>
    <w:rsid w:val="006422D2"/>
    <w:rsid w:val="00643EAB"/>
    <w:rsid w:val="00650098"/>
    <w:rsid w:val="00650967"/>
    <w:rsid w:val="0065102A"/>
    <w:rsid w:val="006512C3"/>
    <w:rsid w:val="00652C27"/>
    <w:rsid w:val="0066346E"/>
    <w:rsid w:val="00665124"/>
    <w:rsid w:val="00672D5B"/>
    <w:rsid w:val="006769F4"/>
    <w:rsid w:val="00676F42"/>
    <w:rsid w:val="0067709A"/>
    <w:rsid w:val="00680AD6"/>
    <w:rsid w:val="00683733"/>
    <w:rsid w:val="0069027B"/>
    <w:rsid w:val="00690EE9"/>
    <w:rsid w:val="006A0030"/>
    <w:rsid w:val="006A1595"/>
    <w:rsid w:val="006B0D44"/>
    <w:rsid w:val="006B2DA7"/>
    <w:rsid w:val="006B31F8"/>
    <w:rsid w:val="006B57CA"/>
    <w:rsid w:val="006B60B9"/>
    <w:rsid w:val="006B6DC8"/>
    <w:rsid w:val="006B7CEB"/>
    <w:rsid w:val="006C2B82"/>
    <w:rsid w:val="006C558E"/>
    <w:rsid w:val="006C75AC"/>
    <w:rsid w:val="006D15B4"/>
    <w:rsid w:val="006D15C4"/>
    <w:rsid w:val="006D45FF"/>
    <w:rsid w:val="006D4D54"/>
    <w:rsid w:val="006D5E41"/>
    <w:rsid w:val="006D6433"/>
    <w:rsid w:val="006E4F3B"/>
    <w:rsid w:val="006E51AF"/>
    <w:rsid w:val="006E6475"/>
    <w:rsid w:val="006F0E69"/>
    <w:rsid w:val="006F10C2"/>
    <w:rsid w:val="006F40CA"/>
    <w:rsid w:val="006F4A01"/>
    <w:rsid w:val="006F4E82"/>
    <w:rsid w:val="006F5A14"/>
    <w:rsid w:val="006F624C"/>
    <w:rsid w:val="00701BFA"/>
    <w:rsid w:val="007044FC"/>
    <w:rsid w:val="00706AEA"/>
    <w:rsid w:val="007075A0"/>
    <w:rsid w:val="00712DF1"/>
    <w:rsid w:val="00720DE3"/>
    <w:rsid w:val="00724B62"/>
    <w:rsid w:val="007278EA"/>
    <w:rsid w:val="0073158C"/>
    <w:rsid w:val="0073222B"/>
    <w:rsid w:val="0074094E"/>
    <w:rsid w:val="007413D3"/>
    <w:rsid w:val="00743D22"/>
    <w:rsid w:val="0075034F"/>
    <w:rsid w:val="0075038C"/>
    <w:rsid w:val="00750798"/>
    <w:rsid w:val="007540ED"/>
    <w:rsid w:val="0075450C"/>
    <w:rsid w:val="007610CA"/>
    <w:rsid w:val="00767E71"/>
    <w:rsid w:val="007708BE"/>
    <w:rsid w:val="00770AE3"/>
    <w:rsid w:val="007718D3"/>
    <w:rsid w:val="00772F3A"/>
    <w:rsid w:val="00791022"/>
    <w:rsid w:val="00792938"/>
    <w:rsid w:val="007A3CFD"/>
    <w:rsid w:val="007A5017"/>
    <w:rsid w:val="007A59FD"/>
    <w:rsid w:val="007A6DDF"/>
    <w:rsid w:val="007A70F7"/>
    <w:rsid w:val="007B1C68"/>
    <w:rsid w:val="007B4DB3"/>
    <w:rsid w:val="007C2396"/>
    <w:rsid w:val="007C58F9"/>
    <w:rsid w:val="007D4E39"/>
    <w:rsid w:val="007D6ED3"/>
    <w:rsid w:val="007E3331"/>
    <w:rsid w:val="007E4805"/>
    <w:rsid w:val="007E48CA"/>
    <w:rsid w:val="007E589E"/>
    <w:rsid w:val="007E6E2C"/>
    <w:rsid w:val="007F6E9D"/>
    <w:rsid w:val="008006DF"/>
    <w:rsid w:val="008042F0"/>
    <w:rsid w:val="00805EA8"/>
    <w:rsid w:val="008065C1"/>
    <w:rsid w:val="00813052"/>
    <w:rsid w:val="00813DE2"/>
    <w:rsid w:val="0081400F"/>
    <w:rsid w:val="00821220"/>
    <w:rsid w:val="00824AC7"/>
    <w:rsid w:val="00830013"/>
    <w:rsid w:val="008309DB"/>
    <w:rsid w:val="00850B75"/>
    <w:rsid w:val="00855038"/>
    <w:rsid w:val="008576D0"/>
    <w:rsid w:val="00875091"/>
    <w:rsid w:val="008767CF"/>
    <w:rsid w:val="008770F3"/>
    <w:rsid w:val="00880E02"/>
    <w:rsid w:val="00881EDE"/>
    <w:rsid w:val="00882179"/>
    <w:rsid w:val="00883D88"/>
    <w:rsid w:val="0088773B"/>
    <w:rsid w:val="00887C17"/>
    <w:rsid w:val="0089178D"/>
    <w:rsid w:val="00891FE2"/>
    <w:rsid w:val="00895782"/>
    <w:rsid w:val="008A2664"/>
    <w:rsid w:val="008A501A"/>
    <w:rsid w:val="008B04C2"/>
    <w:rsid w:val="008B352D"/>
    <w:rsid w:val="008B4760"/>
    <w:rsid w:val="008B5D2D"/>
    <w:rsid w:val="008B71A5"/>
    <w:rsid w:val="008B7DDB"/>
    <w:rsid w:val="008C0939"/>
    <w:rsid w:val="008C6345"/>
    <w:rsid w:val="008C6AD0"/>
    <w:rsid w:val="008D3075"/>
    <w:rsid w:val="008D7C6A"/>
    <w:rsid w:val="008E2496"/>
    <w:rsid w:val="008E2FBC"/>
    <w:rsid w:val="008E3229"/>
    <w:rsid w:val="008E327A"/>
    <w:rsid w:val="008E419D"/>
    <w:rsid w:val="008E7938"/>
    <w:rsid w:val="008F14C7"/>
    <w:rsid w:val="008F420C"/>
    <w:rsid w:val="008F75CA"/>
    <w:rsid w:val="0090409C"/>
    <w:rsid w:val="00904644"/>
    <w:rsid w:val="009129F9"/>
    <w:rsid w:val="00914E37"/>
    <w:rsid w:val="009248E8"/>
    <w:rsid w:val="00930AFC"/>
    <w:rsid w:val="00931B7A"/>
    <w:rsid w:val="00932F18"/>
    <w:rsid w:val="009350CF"/>
    <w:rsid w:val="00945FAF"/>
    <w:rsid w:val="00946D12"/>
    <w:rsid w:val="00950176"/>
    <w:rsid w:val="0095035B"/>
    <w:rsid w:val="00950728"/>
    <w:rsid w:val="00951371"/>
    <w:rsid w:val="0095457B"/>
    <w:rsid w:val="009642C5"/>
    <w:rsid w:val="00965827"/>
    <w:rsid w:val="009659C0"/>
    <w:rsid w:val="00965F28"/>
    <w:rsid w:val="00966CAD"/>
    <w:rsid w:val="00971138"/>
    <w:rsid w:val="009722ED"/>
    <w:rsid w:val="00973B8B"/>
    <w:rsid w:val="009745C5"/>
    <w:rsid w:val="00975C18"/>
    <w:rsid w:val="00976210"/>
    <w:rsid w:val="00982E7D"/>
    <w:rsid w:val="0098383C"/>
    <w:rsid w:val="00983EF3"/>
    <w:rsid w:val="009842F7"/>
    <w:rsid w:val="00984747"/>
    <w:rsid w:val="00984D43"/>
    <w:rsid w:val="0098743A"/>
    <w:rsid w:val="00991840"/>
    <w:rsid w:val="00991D87"/>
    <w:rsid w:val="009935F9"/>
    <w:rsid w:val="00995C97"/>
    <w:rsid w:val="00997A37"/>
    <w:rsid w:val="009A4289"/>
    <w:rsid w:val="009A6344"/>
    <w:rsid w:val="009B00EF"/>
    <w:rsid w:val="009C1B37"/>
    <w:rsid w:val="009C306B"/>
    <w:rsid w:val="009C5460"/>
    <w:rsid w:val="009D69B2"/>
    <w:rsid w:val="009E410B"/>
    <w:rsid w:val="009E64E1"/>
    <w:rsid w:val="009F0330"/>
    <w:rsid w:val="009F2901"/>
    <w:rsid w:val="009F3899"/>
    <w:rsid w:val="009F47F9"/>
    <w:rsid w:val="009F4DA0"/>
    <w:rsid w:val="009F519D"/>
    <w:rsid w:val="009F5988"/>
    <w:rsid w:val="009F64DA"/>
    <w:rsid w:val="009F7867"/>
    <w:rsid w:val="009F7C3B"/>
    <w:rsid w:val="00A02CFE"/>
    <w:rsid w:val="00A04699"/>
    <w:rsid w:val="00A06EF2"/>
    <w:rsid w:val="00A1027A"/>
    <w:rsid w:val="00A115BA"/>
    <w:rsid w:val="00A11669"/>
    <w:rsid w:val="00A11D13"/>
    <w:rsid w:val="00A175E8"/>
    <w:rsid w:val="00A24491"/>
    <w:rsid w:val="00A30D3D"/>
    <w:rsid w:val="00A32D66"/>
    <w:rsid w:val="00A3354E"/>
    <w:rsid w:val="00A36670"/>
    <w:rsid w:val="00A42CC4"/>
    <w:rsid w:val="00A46D37"/>
    <w:rsid w:val="00A52E23"/>
    <w:rsid w:val="00A60A8D"/>
    <w:rsid w:val="00A626A3"/>
    <w:rsid w:val="00A63C19"/>
    <w:rsid w:val="00A64987"/>
    <w:rsid w:val="00A6558C"/>
    <w:rsid w:val="00A66695"/>
    <w:rsid w:val="00A700B7"/>
    <w:rsid w:val="00A7173D"/>
    <w:rsid w:val="00A7366B"/>
    <w:rsid w:val="00A76A04"/>
    <w:rsid w:val="00A76FCB"/>
    <w:rsid w:val="00A81BFA"/>
    <w:rsid w:val="00A831AD"/>
    <w:rsid w:val="00A83585"/>
    <w:rsid w:val="00A835C5"/>
    <w:rsid w:val="00A86B25"/>
    <w:rsid w:val="00A87EB2"/>
    <w:rsid w:val="00A90777"/>
    <w:rsid w:val="00A927E5"/>
    <w:rsid w:val="00A95095"/>
    <w:rsid w:val="00A9579A"/>
    <w:rsid w:val="00A95E15"/>
    <w:rsid w:val="00A973A6"/>
    <w:rsid w:val="00AB066E"/>
    <w:rsid w:val="00AB0CCE"/>
    <w:rsid w:val="00AB26E2"/>
    <w:rsid w:val="00AC1BD7"/>
    <w:rsid w:val="00AC5F52"/>
    <w:rsid w:val="00AC71C1"/>
    <w:rsid w:val="00AD0632"/>
    <w:rsid w:val="00AD446B"/>
    <w:rsid w:val="00AE6915"/>
    <w:rsid w:val="00AE6C27"/>
    <w:rsid w:val="00AE6D32"/>
    <w:rsid w:val="00AE772B"/>
    <w:rsid w:val="00AE7DC7"/>
    <w:rsid w:val="00AF09A4"/>
    <w:rsid w:val="00AF2ACC"/>
    <w:rsid w:val="00B0304D"/>
    <w:rsid w:val="00B16874"/>
    <w:rsid w:val="00B24E0E"/>
    <w:rsid w:val="00B30953"/>
    <w:rsid w:val="00B32A9A"/>
    <w:rsid w:val="00B3408A"/>
    <w:rsid w:val="00B453C6"/>
    <w:rsid w:val="00B56A25"/>
    <w:rsid w:val="00B5741A"/>
    <w:rsid w:val="00B57810"/>
    <w:rsid w:val="00B6607C"/>
    <w:rsid w:val="00B77AE1"/>
    <w:rsid w:val="00B77D40"/>
    <w:rsid w:val="00B83348"/>
    <w:rsid w:val="00B84FFA"/>
    <w:rsid w:val="00B92595"/>
    <w:rsid w:val="00B92921"/>
    <w:rsid w:val="00BA5253"/>
    <w:rsid w:val="00BA7046"/>
    <w:rsid w:val="00BB015C"/>
    <w:rsid w:val="00BB77E4"/>
    <w:rsid w:val="00BC0A2E"/>
    <w:rsid w:val="00BC2256"/>
    <w:rsid w:val="00BC7CB9"/>
    <w:rsid w:val="00BD079B"/>
    <w:rsid w:val="00BD163C"/>
    <w:rsid w:val="00BD28DE"/>
    <w:rsid w:val="00BD6BCB"/>
    <w:rsid w:val="00BE00D1"/>
    <w:rsid w:val="00BE295F"/>
    <w:rsid w:val="00BE520A"/>
    <w:rsid w:val="00BE6CB2"/>
    <w:rsid w:val="00BE7610"/>
    <w:rsid w:val="00BE7A01"/>
    <w:rsid w:val="00BF0F55"/>
    <w:rsid w:val="00BF28FE"/>
    <w:rsid w:val="00BF389A"/>
    <w:rsid w:val="00BF62F2"/>
    <w:rsid w:val="00C0172E"/>
    <w:rsid w:val="00C02823"/>
    <w:rsid w:val="00C03512"/>
    <w:rsid w:val="00C03DCE"/>
    <w:rsid w:val="00C05B5D"/>
    <w:rsid w:val="00C077EF"/>
    <w:rsid w:val="00C101F5"/>
    <w:rsid w:val="00C1644B"/>
    <w:rsid w:val="00C217CA"/>
    <w:rsid w:val="00C228AA"/>
    <w:rsid w:val="00C2300D"/>
    <w:rsid w:val="00C27D34"/>
    <w:rsid w:val="00C350FB"/>
    <w:rsid w:val="00C36066"/>
    <w:rsid w:val="00C377F3"/>
    <w:rsid w:val="00C37FA1"/>
    <w:rsid w:val="00C43A5E"/>
    <w:rsid w:val="00C4590F"/>
    <w:rsid w:val="00C53A3C"/>
    <w:rsid w:val="00C543BF"/>
    <w:rsid w:val="00C54703"/>
    <w:rsid w:val="00C60233"/>
    <w:rsid w:val="00C65DB2"/>
    <w:rsid w:val="00C67421"/>
    <w:rsid w:val="00C705C7"/>
    <w:rsid w:val="00C76D47"/>
    <w:rsid w:val="00C84B26"/>
    <w:rsid w:val="00C8746B"/>
    <w:rsid w:val="00C91C6D"/>
    <w:rsid w:val="00C95F45"/>
    <w:rsid w:val="00C97ABE"/>
    <w:rsid w:val="00CA0410"/>
    <w:rsid w:val="00CA07DD"/>
    <w:rsid w:val="00CA093E"/>
    <w:rsid w:val="00CA379B"/>
    <w:rsid w:val="00CA7EE4"/>
    <w:rsid w:val="00CB12C3"/>
    <w:rsid w:val="00CC03C6"/>
    <w:rsid w:val="00CC1F44"/>
    <w:rsid w:val="00CC7B4C"/>
    <w:rsid w:val="00CD2B89"/>
    <w:rsid w:val="00CD4D21"/>
    <w:rsid w:val="00CE23DF"/>
    <w:rsid w:val="00CE2D4A"/>
    <w:rsid w:val="00CE4E67"/>
    <w:rsid w:val="00CF0EFB"/>
    <w:rsid w:val="00CF1D2F"/>
    <w:rsid w:val="00CF27EC"/>
    <w:rsid w:val="00CF5245"/>
    <w:rsid w:val="00D01EAB"/>
    <w:rsid w:val="00D03052"/>
    <w:rsid w:val="00D048CF"/>
    <w:rsid w:val="00D13E0D"/>
    <w:rsid w:val="00D14A36"/>
    <w:rsid w:val="00D15964"/>
    <w:rsid w:val="00D16922"/>
    <w:rsid w:val="00D209A6"/>
    <w:rsid w:val="00D24540"/>
    <w:rsid w:val="00D31FBF"/>
    <w:rsid w:val="00D32C7C"/>
    <w:rsid w:val="00D358C9"/>
    <w:rsid w:val="00D36077"/>
    <w:rsid w:val="00D444AF"/>
    <w:rsid w:val="00D45D49"/>
    <w:rsid w:val="00D622C4"/>
    <w:rsid w:val="00D627C9"/>
    <w:rsid w:val="00D728C6"/>
    <w:rsid w:val="00D7422C"/>
    <w:rsid w:val="00D81912"/>
    <w:rsid w:val="00D84ADA"/>
    <w:rsid w:val="00DA5A3F"/>
    <w:rsid w:val="00DB25E5"/>
    <w:rsid w:val="00DB3A99"/>
    <w:rsid w:val="00DB4004"/>
    <w:rsid w:val="00DB5C4F"/>
    <w:rsid w:val="00DC2C70"/>
    <w:rsid w:val="00DC415F"/>
    <w:rsid w:val="00DC48F5"/>
    <w:rsid w:val="00DC75A7"/>
    <w:rsid w:val="00DD6758"/>
    <w:rsid w:val="00DD68B6"/>
    <w:rsid w:val="00DE009C"/>
    <w:rsid w:val="00DE06A9"/>
    <w:rsid w:val="00DE0A62"/>
    <w:rsid w:val="00DE18FC"/>
    <w:rsid w:val="00DE6440"/>
    <w:rsid w:val="00DF02B5"/>
    <w:rsid w:val="00DF0510"/>
    <w:rsid w:val="00DF0CBE"/>
    <w:rsid w:val="00DF2162"/>
    <w:rsid w:val="00DF25DA"/>
    <w:rsid w:val="00DF6CED"/>
    <w:rsid w:val="00E05386"/>
    <w:rsid w:val="00E05799"/>
    <w:rsid w:val="00E115D2"/>
    <w:rsid w:val="00E136AE"/>
    <w:rsid w:val="00E25320"/>
    <w:rsid w:val="00E307D3"/>
    <w:rsid w:val="00E3119E"/>
    <w:rsid w:val="00E31DD6"/>
    <w:rsid w:val="00E32232"/>
    <w:rsid w:val="00E40771"/>
    <w:rsid w:val="00E458E9"/>
    <w:rsid w:val="00E4653D"/>
    <w:rsid w:val="00E51184"/>
    <w:rsid w:val="00E56137"/>
    <w:rsid w:val="00E6295D"/>
    <w:rsid w:val="00E64025"/>
    <w:rsid w:val="00E64CD7"/>
    <w:rsid w:val="00E657AE"/>
    <w:rsid w:val="00E832AF"/>
    <w:rsid w:val="00E8569A"/>
    <w:rsid w:val="00E872E9"/>
    <w:rsid w:val="00E95312"/>
    <w:rsid w:val="00E978EB"/>
    <w:rsid w:val="00EA13AD"/>
    <w:rsid w:val="00EA4570"/>
    <w:rsid w:val="00EA613D"/>
    <w:rsid w:val="00EA627D"/>
    <w:rsid w:val="00EB3345"/>
    <w:rsid w:val="00EB3CC9"/>
    <w:rsid w:val="00EB5E8F"/>
    <w:rsid w:val="00EC1CAC"/>
    <w:rsid w:val="00EC2D57"/>
    <w:rsid w:val="00ED5783"/>
    <w:rsid w:val="00ED6BFB"/>
    <w:rsid w:val="00EE2728"/>
    <w:rsid w:val="00EE390B"/>
    <w:rsid w:val="00EE418E"/>
    <w:rsid w:val="00EF3887"/>
    <w:rsid w:val="00EF3E09"/>
    <w:rsid w:val="00EF68B0"/>
    <w:rsid w:val="00F0235E"/>
    <w:rsid w:val="00F10DD5"/>
    <w:rsid w:val="00F157DB"/>
    <w:rsid w:val="00F16D55"/>
    <w:rsid w:val="00F26F90"/>
    <w:rsid w:val="00F27186"/>
    <w:rsid w:val="00F30328"/>
    <w:rsid w:val="00F31398"/>
    <w:rsid w:val="00F32A70"/>
    <w:rsid w:val="00F34817"/>
    <w:rsid w:val="00F36DEC"/>
    <w:rsid w:val="00F41560"/>
    <w:rsid w:val="00F41D1B"/>
    <w:rsid w:val="00F43B2A"/>
    <w:rsid w:val="00F47EFD"/>
    <w:rsid w:val="00F53E2B"/>
    <w:rsid w:val="00F569AB"/>
    <w:rsid w:val="00F6217A"/>
    <w:rsid w:val="00F65B1D"/>
    <w:rsid w:val="00F679CF"/>
    <w:rsid w:val="00F711F6"/>
    <w:rsid w:val="00F744BF"/>
    <w:rsid w:val="00F7536D"/>
    <w:rsid w:val="00F76F90"/>
    <w:rsid w:val="00F813AD"/>
    <w:rsid w:val="00F85787"/>
    <w:rsid w:val="00F86214"/>
    <w:rsid w:val="00F879E2"/>
    <w:rsid w:val="00F87A29"/>
    <w:rsid w:val="00F92572"/>
    <w:rsid w:val="00F9390A"/>
    <w:rsid w:val="00F93B94"/>
    <w:rsid w:val="00F95279"/>
    <w:rsid w:val="00F972B6"/>
    <w:rsid w:val="00F97BBC"/>
    <w:rsid w:val="00F97E64"/>
    <w:rsid w:val="00FA0626"/>
    <w:rsid w:val="00FA0FEA"/>
    <w:rsid w:val="00FA4596"/>
    <w:rsid w:val="00FA4692"/>
    <w:rsid w:val="00FA5218"/>
    <w:rsid w:val="00FA66BF"/>
    <w:rsid w:val="00FA707C"/>
    <w:rsid w:val="00FC20F8"/>
    <w:rsid w:val="00FC27C1"/>
    <w:rsid w:val="00FC4564"/>
    <w:rsid w:val="00FD20BF"/>
    <w:rsid w:val="00FD39B1"/>
    <w:rsid w:val="00FD5BBF"/>
    <w:rsid w:val="00FE0946"/>
    <w:rsid w:val="00FE1F8F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62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295D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aliases w:val="Обычный (веб)1,Обычный (веб) Знак,Обычный (веб) Знак1,Обычный (веб) Знак Знак,Знак Знак3,Знак4,Знак4 Знак Знак,Знак4 Знак,Обычный (Web)1,Обычный (веб) Знак Знак1,Знак Знак1 Знак,Обычный (веб) Знак Знак Знак,Знак Знак1 Знак Знак"/>
    <w:basedOn w:val="a"/>
    <w:link w:val="2"/>
    <w:uiPriority w:val="99"/>
    <w:rsid w:val="00F36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F36DEC"/>
    <w:rPr>
      <w:rFonts w:ascii="Times New Roman" w:hAnsi="Times New Roman"/>
      <w:sz w:val="24"/>
      <w:szCs w:val="22"/>
      <w:lang w:val="ru-RU" w:eastAsia="ru-RU" w:bidi="ar-SA"/>
    </w:rPr>
  </w:style>
  <w:style w:type="paragraph" w:styleId="a5">
    <w:name w:val="No Spacing"/>
    <w:link w:val="a4"/>
    <w:uiPriority w:val="99"/>
    <w:qFormat/>
    <w:rsid w:val="00F36DEC"/>
    <w:pPr>
      <w:ind w:firstLine="709"/>
      <w:jc w:val="both"/>
    </w:pPr>
    <w:rPr>
      <w:rFonts w:ascii="Times New Roman" w:hAnsi="Times New Roman"/>
      <w:sz w:val="24"/>
      <w:szCs w:val="22"/>
    </w:rPr>
  </w:style>
  <w:style w:type="paragraph" w:styleId="a6">
    <w:name w:val="Balloon Text"/>
    <w:basedOn w:val="a"/>
    <w:link w:val="a7"/>
    <w:uiPriority w:val="99"/>
    <w:semiHidden/>
    <w:rsid w:val="00F3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36DEC"/>
    <w:rPr>
      <w:rFonts w:ascii="Tahoma" w:hAnsi="Tahoma" w:cs="Tahoma"/>
      <w:sz w:val="16"/>
      <w:szCs w:val="16"/>
    </w:rPr>
  </w:style>
  <w:style w:type="character" w:customStyle="1" w:styleId="a8">
    <w:name w:val="Подпись к таблице_"/>
    <w:basedOn w:val="a0"/>
    <w:link w:val="a9"/>
    <w:locked/>
    <w:rsid w:val="006F0E69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F0E69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aa">
    <w:name w:val="Основной текст_"/>
    <w:basedOn w:val="a0"/>
    <w:rsid w:val="006F0E69"/>
    <w:rPr>
      <w:rFonts w:ascii="Times New Roman" w:hAnsi="Times New Roman" w:cs="Times New Roman"/>
      <w:sz w:val="27"/>
      <w:szCs w:val="27"/>
      <w:u w:val="none"/>
      <w:effect w:val="none"/>
    </w:rPr>
  </w:style>
  <w:style w:type="character" w:customStyle="1" w:styleId="FontStyle183">
    <w:name w:val="Font Style183"/>
    <w:basedOn w:val="a0"/>
    <w:uiPriority w:val="99"/>
    <w:rsid w:val="006F0E69"/>
    <w:rPr>
      <w:rFonts w:ascii="Sylfaen" w:hAnsi="Sylfaen" w:cs="Sylfaen"/>
      <w:sz w:val="20"/>
      <w:szCs w:val="20"/>
    </w:rPr>
  </w:style>
  <w:style w:type="paragraph" w:styleId="ab">
    <w:name w:val="List Paragraph"/>
    <w:basedOn w:val="a"/>
    <w:uiPriority w:val="99"/>
    <w:qFormat/>
    <w:rsid w:val="00984D43"/>
    <w:pPr>
      <w:ind w:left="720"/>
      <w:contextualSpacing/>
    </w:pPr>
  </w:style>
  <w:style w:type="paragraph" w:customStyle="1" w:styleId="20">
    <w:name w:val="сновной текст с отступом 2"/>
    <w:basedOn w:val="a"/>
    <w:rsid w:val="00984D43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2">
    <w:name w:val="Обычный (веб) Знак2"/>
    <w:aliases w:val="Обычный (веб)1 Знак,Обычный (веб) Знак Знак2,Обычный (веб) Знак1 Знак,Обычный (веб) Знак Знак Знак1,Знак Знак3 Знак,Знак4 Знак1,Знак4 Знак Знак Знак,Знак4 Знак Знак1,Обычный (Web)1 Знак,Обычный (веб) Знак Знак1 Знак"/>
    <w:basedOn w:val="a0"/>
    <w:link w:val="a3"/>
    <w:uiPriority w:val="99"/>
    <w:locked/>
    <w:rsid w:val="00984D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Relationship Id="rId5" Type="http://schemas.openxmlformats.org/officeDocument/2006/relationships/package" Target="../embeddings/_____Microsoft_Office_Excel1.xlsx"/><Relationship Id="rId4" Type="http://schemas.openxmlformats.org/officeDocument/2006/relationships/image" Target="../media/image3.jpeg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2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Relationship Id="rId5" Type="http://schemas.openxmlformats.org/officeDocument/2006/relationships/package" Target="../embeddings/_____Microsoft_Office_Excel2.xlsx"/><Relationship Id="rId4" Type="http://schemas.openxmlformats.org/officeDocument/2006/relationships/image" Target="../media/image3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910">
                <a:latin typeface="Times New Roman" pitchFamily="18" charset="0"/>
                <a:cs typeface="Times New Roman" pitchFamily="18" charset="0"/>
              </a:defRPr>
            </a:pPr>
            <a:r>
              <a:rPr lang="ru-RU" sz="1201"/>
              <a:t>январь-апрель 2017 года</a:t>
            </a:r>
          </a:p>
        </c:rich>
      </c:tx>
      <c:layout>
        <c:manualLayout>
          <c:xMode val="edge"/>
          <c:yMode val="edge"/>
          <c:x val="0.15682434733826242"/>
          <c:y val="3.4943725254682188E-3"/>
        </c:manualLayout>
      </c:layout>
      <c:spPr>
        <a:noFill/>
        <a:ln w="40429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6692111959287563E-2"/>
          <c:y val="0.1515605676409093"/>
          <c:w val="0.8652124782112155"/>
          <c:h val="0.848439432359092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explosion val="19"/>
          <c:dPt>
            <c:idx val="0"/>
            <c:explosion val="10"/>
            <c:spPr>
              <a:solidFill>
                <a:srgbClr val="66FF33"/>
              </a:solidFill>
            </c:spPr>
          </c:dPt>
          <c:dPt>
            <c:idx val="1"/>
            <c:explosion val="12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2"/>
            <c:explosion val="9"/>
            <c:spPr>
              <a:gradFill>
                <a:gsLst>
                  <a:gs pos="0">
                    <a:srgbClr val="825600"/>
                  </a:gs>
                  <a:gs pos="13000">
                    <a:srgbClr val="FFA800"/>
                  </a:gs>
                  <a:gs pos="28000">
                    <a:srgbClr val="825600"/>
                  </a:gs>
                  <a:gs pos="42999">
                    <a:srgbClr val="FFA800"/>
                  </a:gs>
                  <a:gs pos="58000">
                    <a:srgbClr val="825600"/>
                  </a:gs>
                  <a:gs pos="72000">
                    <a:srgbClr val="FFA800"/>
                  </a:gs>
                  <a:gs pos="87000">
                    <a:srgbClr val="825600"/>
                  </a:gs>
                  <a:gs pos="100000">
                    <a:srgbClr val="FFA800"/>
                  </a:gs>
                </a:gsLst>
                <a:lin ang="5400000" scaled="0"/>
              </a:gradFill>
            </c:spPr>
          </c:dPt>
          <c:dPt>
            <c:idx val="3"/>
            <c:explosion val="12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</c:dPt>
          <c:dPt>
            <c:idx val="4"/>
            <c:explosion val="12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</c:spPr>
          </c:dPt>
          <c:dPt>
            <c:idx val="5"/>
            <c:spPr>
              <a:gradFill>
                <a:gsLst>
                  <a:gs pos="0">
                    <a:srgbClr val="CBCBCB"/>
                  </a:gs>
                  <a:gs pos="13000">
                    <a:srgbClr val="5F5F5F"/>
                  </a:gs>
                  <a:gs pos="21001">
                    <a:srgbClr val="5F5F5F"/>
                  </a:gs>
                  <a:gs pos="63000">
                    <a:srgbClr val="FFFFFF"/>
                  </a:gs>
                  <a:gs pos="67000">
                    <a:srgbClr val="B2B2B2"/>
                  </a:gs>
                  <a:gs pos="69000">
                    <a:srgbClr val="292929"/>
                  </a:gs>
                  <a:gs pos="82001">
                    <a:srgbClr val="777777"/>
                  </a:gs>
                  <a:gs pos="100000">
                    <a:srgbClr val="EAEAEA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4.2102141812426171E-2"/>
                  <c:y val="-8.95911739846081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19,2%</a:t>
                    </a:r>
                    <a:endParaRPr lang="en-US" sz="900"/>
                  </a:p>
                </c:rich>
              </c:tx>
              <c:dLblPos val="bestFit"/>
            </c:dLbl>
            <c:dLbl>
              <c:idx val="1"/>
              <c:layout>
                <c:manualLayout>
                  <c:x val="-4.5650858528180002E-2"/>
                  <c:y val="7.6052704467217999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39,5%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</c:dLbl>
            <c:dLbl>
              <c:idx val="2"/>
              <c:layout>
                <c:manualLayout>
                  <c:x val="1.5193845044178663E-2"/>
                  <c:y val="8.546243160282925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4,4%</a:t>
                    </a:r>
                    <a:endParaRPr lang="en-US" sz="900"/>
                  </a:p>
                </c:rich>
              </c:tx>
              <c:dLblPos val="bestFit"/>
            </c:dLbl>
            <c:dLbl>
              <c:idx val="3"/>
              <c:layout>
                <c:manualLayout>
                  <c:x val="3.9678627957764889E-3"/>
                  <c:y val="8.4732416922461085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14,8%</a:t>
                    </a:r>
                    <a:endParaRPr lang="en-US" sz="900"/>
                  </a:p>
                </c:rich>
              </c:tx>
              <c:dLblPos val="bestFit"/>
            </c:dLbl>
            <c:dLbl>
              <c:idx val="4"/>
              <c:layout>
                <c:manualLayout>
                  <c:x val="-2.229167918895647E-2"/>
                  <c:y val="-0.10335557831055871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12,5%</a:t>
                    </a:r>
                    <a:endParaRPr lang="en-US" sz="900"/>
                  </a:p>
                </c:rich>
              </c:tx>
              <c:dLblPos val="bestFit"/>
            </c:dLbl>
            <c:dLbl>
              <c:idx val="5"/>
              <c:layout>
                <c:manualLayout>
                  <c:x val="5.4186852597623812E-2"/>
                  <c:y val="-5.473597579963534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9,6%</a:t>
                    </a:r>
                    <a:endParaRPr lang="en-US" sz="900"/>
                  </a:p>
                </c:rich>
              </c:tx>
              <c:dLblPos val="bestFit"/>
            </c:dLbl>
            <c:dLbl>
              <c:idx val="6"/>
              <c:delete val="1"/>
            </c:dLbl>
            <c:spPr>
              <a:noFill/>
              <a:ln w="40429">
                <a:noFill/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промышленность строительных материалов</c:v>
                </c:pt>
                <c:pt idx="3">
                  <c:v>легкая промышленность</c:v>
                </c:pt>
                <c:pt idx="4">
                  <c:v>пищевая промышленность</c:v>
                </c:pt>
                <c:pt idx="5">
                  <c:v>прочие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 formatCode="General">
                  <c:v>480.9</c:v>
                </c:pt>
                <c:pt idx="1">
                  <c:v>988.8</c:v>
                </c:pt>
                <c:pt idx="2">
                  <c:v>109.6</c:v>
                </c:pt>
                <c:pt idx="3">
                  <c:v>369.1</c:v>
                </c:pt>
                <c:pt idx="4" formatCode="General">
                  <c:v>311.7</c:v>
                </c:pt>
                <c:pt idx="5">
                  <c:v>241.09999999999977</c:v>
                </c:pt>
                <c:pt idx="6">
                  <c:v>0</c:v>
                </c:pt>
              </c:numCache>
            </c:numRef>
          </c:val>
        </c:ser>
      </c:pie3DChart>
      <c:spPr>
        <a:noFill/>
        <a:ln w="25412">
          <a:noFill/>
        </a:ln>
      </c:spPr>
    </c:plotArea>
    <c:plotVisOnly val="1"/>
    <c:dispBlanksAs val="zero"/>
  </c:chart>
  <c:spPr>
    <a:ln>
      <a:noFill/>
    </a:ln>
  </c:spPr>
  <c:externalData r:id="rId5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Товарная структура экспорта, млн. дол. США</a:t>
            </a:r>
          </a:p>
        </c:rich>
      </c:tx>
      <c:layout>
        <c:manualLayout>
          <c:xMode val="edge"/>
          <c:yMode val="edge"/>
          <c:x val="0.28697090283069687"/>
          <c:y val="0"/>
        </c:manualLayout>
      </c:layout>
    </c:title>
    <c:plotArea>
      <c:layout>
        <c:manualLayout>
          <c:layoutTarget val="inner"/>
          <c:xMode val="edge"/>
          <c:yMode val="edge"/>
          <c:x val="7.1631852470053714E-2"/>
          <c:y val="8.5041068895514285E-2"/>
          <c:w val="0.92836811128945951"/>
          <c:h val="0.3746210364481137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апрель 2016 г.</c:v>
                </c:pt>
              </c:strCache>
            </c:strRef>
          </c:tx>
          <c:spPr>
            <a:gradFill flip="none" rotWithShape="1">
              <a:gsLst>
                <a:gs pos="0">
                  <a:srgbClr val="FC9FCB"/>
                </a:gs>
                <a:gs pos="13000">
                  <a:srgbClr val="F8B049"/>
                </a:gs>
                <a:gs pos="21001">
                  <a:srgbClr val="F8B049"/>
                </a:gs>
                <a:gs pos="63000">
                  <a:srgbClr val="FEE7F2"/>
                </a:gs>
                <a:gs pos="67000">
                  <a:srgbClr val="F952A0"/>
                </a:gs>
                <a:gs pos="69000">
                  <a:srgbClr val="C50849"/>
                </a:gs>
                <a:gs pos="82001">
                  <a:srgbClr val="B43E85"/>
                </a:gs>
                <a:gs pos="100000">
                  <a:srgbClr val="F8B049"/>
                </a:gs>
              </a:gsLst>
              <a:lin ang="5400000" scaled="0"/>
              <a:tileRect r="-100000" b="-100000"/>
            </a:gradFill>
          </c:spPr>
          <c:dLbls>
            <c:dLbl>
              <c:idx val="0"/>
              <c:layout>
                <c:manualLayout>
                  <c:x val="-4.3723566812213224E-3"/>
                  <c:y val="2.9912765758649202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21,2*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-6.4204877616104439E-3"/>
                  <c:y val="1.332008256249522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37,9*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8.5607276618512567E-3"/>
                  <c:y val="1.1693046843720804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19,7*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6.1443932411674364E-3"/>
                  <c:y val="1.2944983818770227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11,6*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2.1401819154629074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3,4*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-6.1443932411674364E-3"/>
                  <c:y val="8.6299892125135027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3,0*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-1.0424825929016971E-2"/>
                  <c:y val="1.7259978425026964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3,2*</a:t>
                    </a:r>
                    <a:endParaRPr lang="en-US" sz="900"/>
                  </a:p>
                </c:rich>
              </c:tx>
              <c:dLblPos val="outEnd"/>
              <c:showVal val="1"/>
            </c:dLbl>
            <c:spPr>
              <a:noFill/>
              <a:ln w="25363">
                <a:noFill/>
              </a:ln>
            </c:spPr>
            <c:txPr>
              <a:bodyPr rot="0" vert="horz"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36.586000000000006</c:v>
                </c:pt>
                <c:pt idx="1">
                  <c:v>65.448000000000022</c:v>
                </c:pt>
                <c:pt idx="2">
                  <c:v>34.016999999999996</c:v>
                </c:pt>
                <c:pt idx="3">
                  <c:v>19.959</c:v>
                </c:pt>
                <c:pt idx="4">
                  <c:v>5.915</c:v>
                </c:pt>
                <c:pt idx="5">
                  <c:v>5.2539999999999996</c:v>
                </c:pt>
                <c:pt idx="6">
                  <c:v>5.5050000000000185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апрель 2017 г.</c:v>
                </c:pt>
              </c:strCache>
            </c:strRef>
          </c:tx>
          <c:spPr>
            <a:gradFill flip="none" rotWithShape="1"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path path="circle">
                <a:fillToRect l="100000" t="100000"/>
              </a:path>
              <a:tileRect r="-100000" b="-100000"/>
            </a:gradFill>
            <a:scene3d>
              <a:camera prst="orthographicFront"/>
              <a:lightRig rig="threePt" dir="t">
                <a:rot lat="0" lon="0" rev="18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8.5607276618512567E-3"/>
                  <c:y val="4.0041409166483672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20,6*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6.4205457463884395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25,1*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8.5607276618512567E-3"/>
                  <c:y val="6.0606060606060629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21,3*</a:t>
                    </a:r>
                  </a:p>
                  <a:p>
                    <a:endParaRPr lang="en-US" sz="900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8.5607276618512567E-3"/>
                  <c:y val="1.0101010101010105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18,5*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4.280363830925582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6,6*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1.070090957731407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4,8*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4.2803638309256934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3,1*</a:t>
                    </a:r>
                    <a:endParaRPr lang="en-US" sz="900"/>
                  </a:p>
                </c:rich>
              </c:tx>
              <c:dLblPos val="outEnd"/>
              <c:showVal val="1"/>
            </c:dLbl>
            <c:spPr>
              <a:noFill/>
              <a:ln w="25363">
                <a:noFill/>
              </a:ln>
            </c:spPr>
            <c:txPr>
              <a:bodyPr rot="0" vert="horz"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Sheet1!$B$3:$H$3</c:f>
              <c:numCache>
                <c:formatCode>0.0</c:formatCode>
                <c:ptCount val="7"/>
                <c:pt idx="0">
                  <c:v>34.892000000000003</c:v>
                </c:pt>
                <c:pt idx="1">
                  <c:v>42.653000000000006</c:v>
                </c:pt>
                <c:pt idx="2">
                  <c:v>36.059000000000005</c:v>
                </c:pt>
                <c:pt idx="3">
                  <c:v>31.387</c:v>
                </c:pt>
                <c:pt idx="4">
                  <c:v>11.185</c:v>
                </c:pt>
                <c:pt idx="5">
                  <c:v>8.2009999999999987</c:v>
                </c:pt>
                <c:pt idx="6">
                  <c:v>5.2700000000000093</c:v>
                </c:pt>
              </c:numCache>
            </c:numRef>
          </c:val>
        </c:ser>
        <c:dLbls>
          <c:showVal val="1"/>
        </c:dLbls>
        <c:gapWidth val="160"/>
        <c:axId val="111488000"/>
        <c:axId val="118645504"/>
      </c:barChart>
      <c:catAx>
        <c:axId val="111488000"/>
        <c:scaling>
          <c:orientation val="minMax"/>
        </c:scaling>
        <c:axPos val="b"/>
        <c:numFmt formatCode="General" sourceLinked="1"/>
        <c:tickLblPos val="low"/>
        <c:txPr>
          <a:bodyPr rot="-5400000" vert="horz" anchor="ctr" anchorCtr="1"/>
          <a:lstStyle/>
          <a:p>
            <a:pPr>
              <a:defRPr sz="900" b="1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645504"/>
        <c:crosses val="autoZero"/>
        <c:lblAlgn val="ctr"/>
        <c:lblOffset val="160"/>
        <c:tickLblSkip val="1"/>
        <c:tickMarkSkip val="1"/>
      </c:catAx>
      <c:valAx>
        <c:axId val="11864550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sz="900"/>
                </a:pPr>
                <a:r>
                  <a:rPr lang="ru-RU" sz="900">
                    <a:latin typeface="Times New Roman" pitchFamily="18" charset="0"/>
                    <a:cs typeface="Times New Roman" pitchFamily="18" charset="0"/>
                  </a:rPr>
                  <a:t>*- удельный вес в общем объеме экспорта,%</a:t>
                </a:r>
              </a:p>
            </c:rich>
          </c:tx>
          <c:layout>
            <c:manualLayout>
              <c:xMode val="edge"/>
              <c:yMode val="edge"/>
              <c:x val="0.79755143510287063"/>
              <c:y val="0.15069829863500148"/>
            </c:manualLayout>
          </c:layout>
        </c:title>
        <c:numFmt formatCode="0.0" sourceLinked="1"/>
        <c:tickLblPos val="nextTo"/>
        <c:txPr>
          <a:bodyPr rot="0" vert="horz"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488000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945430208320741"/>
          <c:y val="0.92418894240161731"/>
          <c:w val="0.74230076079199758"/>
          <c:h val="7.3466690450102068E-2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76">
                <a:latin typeface="Times New Roman" pitchFamily="18" charset="0"/>
                <a:cs typeface="Times New Roman" pitchFamily="18" charset="0"/>
              </a:rPr>
              <a:t>Экспорт товаров в разрезе основных стран, млн. долл. США</a:t>
            </a:r>
          </a:p>
        </c:rich>
      </c:tx>
      <c:layout>
        <c:manualLayout>
          <c:xMode val="edge"/>
          <c:yMode val="edge"/>
          <c:x val="0.24426007724644191"/>
          <c:y val="0"/>
        </c:manualLayout>
      </c:layout>
      <c:spPr>
        <a:solidFill>
          <a:sysClr val="window" lastClr="FFFFFF"/>
        </a:solidFill>
        <a:ln w="24889">
          <a:noFill/>
        </a:ln>
      </c:spPr>
    </c:title>
    <c:plotArea>
      <c:layout>
        <c:manualLayout>
          <c:layoutTarget val="inner"/>
          <c:xMode val="edge"/>
          <c:yMode val="edge"/>
          <c:x val="0.21454499801874541"/>
          <c:y val="0.11613502691725627"/>
          <c:w val="0.76742493161205561"/>
          <c:h val="0.506068591426071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апрель 2016 г.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dLbls>
            <c:dLbl>
              <c:idx val="0"/>
              <c:layout>
                <c:manualLayout>
                  <c:x val="-2.113048071843615E-3"/>
                  <c:y val="1.8115942028985508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45,9*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4.2906021033850559E-3"/>
                  <c:y val="1.3442448764611961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6,7*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6.3840218170926914E-3"/>
                  <c:y val="1.1839780896953101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8,6*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7.5040394725434103E-3"/>
                  <c:y val="1.0085739282589701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7,5*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1.0091052406087941E-3"/>
                  <c:y val="9.9600593404085766E-3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6,0*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8.4156597542425268E-3"/>
                  <c:y val="1.2211951766898703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17,0*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3.3236415970983252E-3"/>
                  <c:y val="1.5872988702499143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8,2*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6173653968929561E-4"/>
                  <c:y val="3.1051770702576181E-3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7,9*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9">
                <a:noFill/>
              </a:ln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Прочие страны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79.292000000000002</c:v>
                </c:pt>
                <c:pt idx="1">
                  <c:v>11.514000000000001</c:v>
                </c:pt>
                <c:pt idx="2">
                  <c:v>14.926</c:v>
                </c:pt>
                <c:pt idx="3">
                  <c:v>12.968</c:v>
                </c:pt>
                <c:pt idx="4">
                  <c:v>10.316000000000004</c:v>
                </c:pt>
                <c:pt idx="5">
                  <c:v>29.437000000000001</c:v>
                </c:pt>
                <c:pt idx="6">
                  <c:v>14.230999999999996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апрель 2017 г.</c:v>
                </c:pt>
              </c:strCache>
            </c:strRef>
          </c:tx>
          <c:spPr>
            <a:solidFill>
              <a:srgbClr val="C0504D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1.6700320263281155E-2"/>
                  <c:y val="1.6605101897897972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40,2*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388888888888957E-2"/>
                  <c:y val="1.1904761904761921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11,7*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6.7986522148579002E-3"/>
                  <c:y val="6.6061942257217843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14,4*</a:t>
                    </a:r>
                  </a:p>
                  <a:p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6435608563360374E-3"/>
                  <c:y val="1.0963299889331866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7,4*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388888888888957E-2"/>
                  <c:y val="7.9365079365078823E-3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4,3*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1.1984310202113012E-2"/>
                  <c:y val="3.9444254250827352E-3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11,9*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6.4095591654648896E-3"/>
                  <c:y val="1.4009509680855351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10,0*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415226249871919E-2"/>
                  <c:y val="7.8058503556620914E-3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8,1*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9">
                <a:noFill/>
              </a:ln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Прочие страны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68.186999999999998</c:v>
                </c:pt>
                <c:pt idx="1">
                  <c:v>19.866</c:v>
                </c:pt>
                <c:pt idx="2">
                  <c:v>24.4</c:v>
                </c:pt>
                <c:pt idx="3">
                  <c:v>12.563000000000002</c:v>
                </c:pt>
                <c:pt idx="4">
                  <c:v>7.3010000000000002</c:v>
                </c:pt>
                <c:pt idx="5">
                  <c:v>20.219000000000001</c:v>
                </c:pt>
                <c:pt idx="6">
                  <c:v>17.11099999999999</c:v>
                </c:pt>
              </c:numCache>
            </c:numRef>
          </c:val>
        </c:ser>
        <c:dLbls>
          <c:showVal val="1"/>
        </c:dLbls>
        <c:axId val="125069952"/>
        <c:axId val="125198720"/>
      </c:barChart>
      <c:catAx>
        <c:axId val="125069952"/>
        <c:scaling>
          <c:orientation val="minMax"/>
        </c:scaling>
        <c:axPos val="b"/>
        <c:numFmt formatCode="General" sourceLinked="1"/>
        <c:tickLblPos val="nextTo"/>
        <c:crossAx val="125198720"/>
        <c:crosses val="autoZero"/>
        <c:auto val="1"/>
        <c:lblAlgn val="ctr"/>
        <c:lblOffset val="100"/>
      </c:catAx>
      <c:valAx>
        <c:axId val="12519872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07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82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 удельный вес в общем объеме экспорта, %</a:t>
                </a:r>
              </a:p>
            </c:rich>
          </c:tx>
          <c:layout>
            <c:manualLayout>
              <c:xMode val="edge"/>
              <c:yMode val="edge"/>
              <c:x val="3.6150120410206616E-4"/>
              <c:y val="0.3219093051324815"/>
            </c:manualLayout>
          </c:layout>
          <c:spPr>
            <a:noFill/>
            <a:ln w="24889">
              <a:noFill/>
            </a:ln>
          </c:spPr>
        </c:title>
        <c:numFmt formatCode="0.0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069952"/>
        <c:crosses val="autoZero"/>
        <c:crossBetween val="midCat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82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b"/>
      <c:layout>
        <c:manualLayout>
          <c:xMode val="edge"/>
          <c:yMode val="edge"/>
          <c:x val="5.6614687869898921E-2"/>
          <c:y val="0.89923752841931548"/>
          <c:w val="0.82928231515398909"/>
          <c:h val="7.4006649168853911E-2"/>
        </c:manualLayout>
      </c:layout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Товарная структура импорта ПМР, млн. долл. США</a:t>
            </a:r>
          </a:p>
        </c:rich>
      </c:tx>
      <c:layout>
        <c:manualLayout>
          <c:xMode val="edge"/>
          <c:yMode val="edge"/>
          <c:x val="0.17318830338515379"/>
          <c:y val="3.9303751291016426E-4"/>
        </c:manualLayout>
      </c:layout>
      <c:spPr>
        <a:solidFill>
          <a:sysClr val="window" lastClr="FFFFFF"/>
        </a:solidFill>
        <a:ln w="23365">
          <a:noFill/>
        </a:ln>
      </c:spPr>
    </c:title>
    <c:plotArea>
      <c:layout>
        <c:manualLayout>
          <c:layoutTarget val="inner"/>
          <c:xMode val="edge"/>
          <c:yMode val="edge"/>
          <c:x val="6.4038461538461891E-2"/>
          <c:y val="0.11432009626955475"/>
          <c:w val="0.93596153846153862"/>
          <c:h val="0.3564129483814543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апрель 2016 г.</c:v>
                </c:pt>
              </c:strCache>
            </c:strRef>
          </c:tx>
          <c:spPr>
            <a:gradFill flip="none" rotWithShape="1"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path path="circle">
                <a:fillToRect l="100000" t="100000"/>
              </a:path>
              <a:tileRect r="-100000" b="-100000"/>
            </a:gradFill>
          </c:spPr>
          <c:dLbls>
            <c:dLbl>
              <c:idx val="0"/>
              <c:layout>
                <c:manualLayout>
                  <c:x val="3.4046705700249398E-3"/>
                  <c:y val="1.92537374834415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53,6*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-1.5731287177619545E-3"/>
                  <c:y val="2.0290865281184192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4,3*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1.3042837844093721E-3"/>
                  <c:y val="1.083627848081298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11,4*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6.2825471241537301E-3"/>
                  <c:y val="9.9798016300667279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8,3*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1.2039404165388417E-3"/>
                  <c:y val="3.9873514104252416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4,6*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-1.5628511428054401E-3"/>
                  <c:y val="1.6254776229738328E-3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17,8*</a:t>
                    </a:r>
                    <a:endParaRPr lang="en-US" sz="900" b="1"/>
                  </a:p>
                </c:rich>
              </c:tx>
              <c:dLblPos val="outEnd"/>
            </c:dLbl>
            <c:dLbl>
              <c:idx val="6"/>
              <c:layout>
                <c:manualLayout>
                  <c:x val="-7.5617342090612003E-4"/>
                  <c:y val="1.6455402091132061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8</a:t>
                    </a:r>
                    <a:r>
                      <a:rPr lang="en-US" sz="900" b="1"/>
                      <a:t>,2</a:t>
                    </a:r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2802197802197965"/>
                  <c:y val="0.43750000000000488"/>
                </c:manualLayout>
              </c:layout>
              <c:dLblPos val="outEnd"/>
              <c:showVal val="1"/>
            </c:dLbl>
            <c:spPr>
              <a:noFill/>
              <a:ln w="23365">
                <a:noFill/>
              </a:ln>
            </c:spPr>
            <c:txPr>
              <a:bodyPr rot="0" vert="horz" anchor="ctr" anchorCtr="0"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163.77899999999997</c:v>
                </c:pt>
                <c:pt idx="1">
                  <c:v>13.082000000000004</c:v>
                </c:pt>
                <c:pt idx="2">
                  <c:v>34.885999999999996</c:v>
                </c:pt>
                <c:pt idx="3">
                  <c:v>25.239000000000001</c:v>
                </c:pt>
                <c:pt idx="4">
                  <c:v>14.08</c:v>
                </c:pt>
                <c:pt idx="5">
                  <c:v>54.232000000000063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апрель 2017 г.</c:v>
                </c:pt>
              </c:strCache>
            </c:strRef>
          </c:tx>
          <c:spPr>
            <a:gradFill flip="none" rotWithShape="1"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path path="circle">
                <a:fillToRect l="100000" t="100000"/>
              </a:path>
              <a:tileRect r="-100000" b="-100000"/>
            </a:gradFill>
          </c:spPr>
          <c:dLbls>
            <c:dLbl>
              <c:idx val="0"/>
              <c:layout>
                <c:manualLayout>
                  <c:x val="5.2558529061472684E-3"/>
                  <c:y val="6.0188774629529422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41,9*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9.1876075299204753E-4"/>
                  <c:y val="1.6703670237941701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10,1*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7.8852944023365523E-3"/>
                  <c:y val="8.9476556052448357E-3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13,4*</a:t>
                    </a:r>
                    <a:endParaRPr lang="en-US" sz="900" b="1"/>
                  </a:p>
                </c:rich>
              </c:tx>
              <c:dLblPos val="outEnd"/>
            </c:dLbl>
            <c:dLbl>
              <c:idx val="3"/>
              <c:layout>
                <c:manualLayout>
                  <c:x val="7.6798573255266404E-3"/>
                  <c:y val="3.5813380470298469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8,7*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1.0924639230358434E-2"/>
                  <c:y val="4.854462476932078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8,0*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1.6322401175000143E-2"/>
                  <c:y val="-8.9551842841340545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17,8*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4.0251667106205027E-3"/>
                  <c:y val="1.0088636461425918E-2"/>
                </c:manualLayout>
              </c:layout>
              <c:tx>
                <c:rich>
                  <a:bodyPr/>
                  <a:lstStyle/>
                  <a:p>
                    <a:r>
                      <a:rPr lang="en-US" sz="900" b="1"/>
                      <a:t>9,</a:t>
                    </a:r>
                    <a:r>
                      <a:rPr lang="ru-RU" sz="900" b="1"/>
                      <a:t>6</a:t>
                    </a:r>
                    <a:endParaRPr lang="en-US" sz="900" b="1"/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5274725274725274"/>
                  <c:y val="0.4821428571428899"/>
                </c:manualLayout>
              </c:layout>
              <c:dLblPos val="outEnd"/>
              <c:showVal val="1"/>
            </c:dLbl>
            <c:spPr>
              <a:noFill/>
              <a:ln w="23365">
                <a:noFill/>
              </a:ln>
            </c:spPr>
            <c:txPr>
              <a:bodyPr rot="0" vert="horz"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130.92100000000025</c:v>
                </c:pt>
                <c:pt idx="1">
                  <c:v>31.603999999999999</c:v>
                </c:pt>
                <c:pt idx="2">
                  <c:v>41.924000000000007</c:v>
                </c:pt>
                <c:pt idx="3">
                  <c:v>27.268999999999959</c:v>
                </c:pt>
                <c:pt idx="4">
                  <c:v>24.907</c:v>
                </c:pt>
                <c:pt idx="5">
                  <c:v>55.70000000000001</c:v>
                </c:pt>
              </c:numCache>
            </c:numRef>
          </c:val>
        </c:ser>
        <c:gapWidth val="160"/>
        <c:axId val="125136256"/>
        <c:axId val="125305984"/>
      </c:barChart>
      <c:catAx>
        <c:axId val="125136256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900" b="1"/>
            </a:pPr>
            <a:endParaRPr lang="ru-RU"/>
          </a:p>
        </c:txPr>
        <c:crossAx val="125305984"/>
        <c:crosses val="autoZero"/>
        <c:lblAlgn val="ctr"/>
        <c:lblOffset val="160"/>
        <c:tickLblSkip val="1"/>
        <c:tickMarkSkip val="1"/>
      </c:catAx>
      <c:valAx>
        <c:axId val="12530598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sz="900"/>
                </a:pPr>
                <a:r>
                  <a:rPr lang="ru-RU" sz="900"/>
                  <a:t>*-удельный</a:t>
                </a:r>
              </a:p>
              <a:p>
                <a:pPr>
                  <a:defRPr sz="900"/>
                </a:pPr>
                <a:r>
                  <a:rPr lang="ru-RU" sz="900"/>
                  <a:t> вес в общем </a:t>
                </a:r>
              </a:p>
              <a:p>
                <a:pPr>
                  <a:defRPr sz="900"/>
                </a:pPr>
                <a:r>
                  <a:rPr lang="ru-RU" sz="900"/>
                  <a:t>объеме импорта,%</a:t>
                </a:r>
              </a:p>
            </c:rich>
          </c:tx>
          <c:layout>
            <c:manualLayout>
              <c:xMode val="edge"/>
              <c:yMode val="edge"/>
              <c:x val="0.80836135461688363"/>
              <c:y val="8.7301603571637965E-2"/>
            </c:manualLayout>
          </c:layout>
        </c:title>
        <c:numFmt formatCode="0.0" sourceLinked="1"/>
        <c:tickLblPos val="nextTo"/>
        <c:txPr>
          <a:bodyPr rot="0" vert="horz"/>
          <a:lstStyle/>
          <a:p>
            <a:pPr>
              <a:defRPr sz="900" b="1"/>
            </a:pPr>
            <a:endParaRPr lang="ru-RU"/>
          </a:p>
        </c:txPr>
        <c:crossAx val="125136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92852464870462559"/>
          <c:w val="0.93440288713910769"/>
          <c:h val="7.1475351295373787E-2"/>
        </c:manualLayout>
      </c:layout>
      <c:txPr>
        <a:bodyPr/>
        <a:lstStyle/>
        <a:p>
          <a:pPr>
            <a:defRPr sz="1000"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 sz="1197">
                <a:latin typeface="Times New Roman" pitchFamily="18" charset="0"/>
                <a:cs typeface="Times New Roman" pitchFamily="18" charset="0"/>
              </a:defRPr>
            </a:pPr>
            <a:r>
              <a:rPr lang="ru-RU" sz="1197">
                <a:latin typeface="Times New Roman" pitchFamily="18" charset="0"/>
                <a:cs typeface="Times New Roman" pitchFamily="18" charset="0"/>
              </a:rPr>
              <a:t>Импорт товаров в разрезе стран, млн. долл. США</a:t>
            </a:r>
          </a:p>
        </c:rich>
      </c:tx>
      <c:layout>
        <c:manualLayout>
          <c:xMode val="edge"/>
          <c:yMode val="edge"/>
          <c:x val="0.28778462820421596"/>
          <c:y val="3.5633496168670209E-3"/>
        </c:manualLayout>
      </c:layout>
      <c:spPr>
        <a:solidFill>
          <a:sysClr val="window" lastClr="FFFFFF"/>
        </a:solidFill>
        <a:ln w="25335">
          <a:noFill/>
        </a:ln>
      </c:spPr>
    </c:title>
    <c:plotArea>
      <c:layout>
        <c:manualLayout>
          <c:layoutTarget val="inner"/>
          <c:xMode val="edge"/>
          <c:yMode val="edge"/>
          <c:x val="0.21558560499086551"/>
          <c:y val="8.5643913716083528E-2"/>
          <c:w val="0.7892282508692483"/>
          <c:h val="0.61368339044074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апрель 2016 г.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</c:spPr>
          <c:dLbls>
            <c:dLbl>
              <c:idx val="0"/>
              <c:layout>
                <c:manualLayout>
                  <c:x val="-6.9443883617112123E-3"/>
                  <c:y val="1.6468920613410237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56,0*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6.9444444444447806E-3"/>
                  <c:y val="1.3773866501981372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10,6*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2.1241315423808447E-3"/>
                  <c:y val="1.34226764700770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7,0*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1.2527404662652768E-3"/>
                  <c:y val="1.8752672472232362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3.5208973683888566E-3"/>
                  <c:y val="1.342270877850316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3,8*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6.944444444444784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1.0165556228548401E-3"/>
                  <c:y val="1.085380893653354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19,0*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-1.2636096958468426E-2"/>
                  <c:y val="8.9485668596063911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16,9*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35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Казахстан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Прочие страны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170.83600000000001</c:v>
                </c:pt>
                <c:pt idx="1">
                  <c:v>32.428000000000011</c:v>
                </c:pt>
                <c:pt idx="2">
                  <c:v>21.364000000000001</c:v>
                </c:pt>
                <c:pt idx="3">
                  <c:v>5.4690000000000003</c:v>
                </c:pt>
                <c:pt idx="4">
                  <c:v>11.487</c:v>
                </c:pt>
                <c:pt idx="5">
                  <c:v>5.8539999999999965</c:v>
                </c:pt>
                <c:pt idx="6">
                  <c:v>57.860000000000014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апрель 2017 г.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1.058097884823258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44,8*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1864597807626987E-2"/>
                  <c:y val="6.5359545288627002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13,8*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1.1029488960938721E-2"/>
                  <c:y val="1.31310076306687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10,1*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8794194843293721E-3"/>
                  <c:y val="-4.4741096104709034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3,8*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0321290721012817E-2"/>
                  <c:y val="8.829674436390816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3,4*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9.9672687972827047E-3"/>
                  <c:y val="-1.7764335749422566E-4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3,4*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9.437378020055163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20,7*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0951829550718203E-2"/>
                  <c:y val="-8.2143540004519303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17,6*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35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Казахстан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Прочие страны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139.96200000000007</c:v>
                </c:pt>
                <c:pt idx="1">
                  <c:v>43.047000000000004</c:v>
                </c:pt>
                <c:pt idx="2">
                  <c:v>31.658000000000001</c:v>
                </c:pt>
                <c:pt idx="3">
                  <c:v>11.911</c:v>
                </c:pt>
                <c:pt idx="4">
                  <c:v>10.499000000000002</c:v>
                </c:pt>
                <c:pt idx="5">
                  <c:v>10.687000000000001</c:v>
                </c:pt>
                <c:pt idx="6">
                  <c:v>64.560999999999964</c:v>
                </c:pt>
              </c:numCache>
            </c:numRef>
          </c:val>
        </c:ser>
        <c:dLbls>
          <c:showVal val="1"/>
        </c:dLbls>
        <c:axId val="125151872"/>
        <c:axId val="125518208"/>
      </c:barChart>
      <c:catAx>
        <c:axId val="125151872"/>
        <c:scaling>
          <c:orientation val="minMax"/>
        </c:scaling>
        <c:axPos val="b"/>
        <c:numFmt formatCode="General" sourceLinked="1"/>
        <c:tickLblPos val="nextTo"/>
        <c:crossAx val="125518208"/>
        <c:crosses val="autoZero"/>
        <c:auto val="1"/>
        <c:lblAlgn val="ctr"/>
        <c:lblOffset val="100"/>
        <c:tickLblSkip val="1"/>
      </c:catAx>
      <c:valAx>
        <c:axId val="125518208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8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b="1"/>
                  <a:t>*- удельный вес страны в общем импорте,%</a:t>
                </a:r>
              </a:p>
            </c:rich>
          </c:tx>
          <c:layout>
            <c:manualLayout>
              <c:xMode val="edge"/>
              <c:yMode val="edge"/>
              <c:x val="0.80919422572178479"/>
              <c:y val="0.12238827762423737"/>
            </c:manualLayout>
          </c:layout>
          <c:spPr>
            <a:noFill/>
            <a:ln w="25335">
              <a:noFill/>
            </a:ln>
          </c:spPr>
        </c:title>
        <c:numFmt formatCode="0.0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1518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7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основных составляющих инфляции,%</a:t>
            </a:r>
          </a:p>
        </c:rich>
      </c:tx>
      <c:layout>
        <c:manualLayout>
          <c:xMode val="edge"/>
          <c:yMode val="edge"/>
          <c:x val="0.2673318456915732"/>
          <c:y val="2.7452482869171811E-2"/>
        </c:manualLayout>
      </c:layout>
    </c:title>
    <c:plotArea>
      <c:layout>
        <c:manualLayout>
          <c:layoutTarget val="inner"/>
          <c:xMode val="edge"/>
          <c:yMode val="edge"/>
          <c:x val="0.19329417839163604"/>
          <c:y val="0.13314529056351176"/>
          <c:w val="0.80670582160836979"/>
          <c:h val="0.461321560746329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 апрель 2016 г.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2.5966155620178802E-3"/>
                  <c:y val="1.905799928339766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+0,67*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3.630632313283E-4"/>
                  <c:y val="2.335737814652398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+0,63*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3.3172477021709817E-3"/>
                  <c:y val="1.906097169508556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+0,61*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5.7719775941958533E-3"/>
                  <c:y val="2.1991345670357407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+0,83*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100.66999999999999</c:v>
                </c:pt>
                <c:pt idx="1">
                  <c:v>100.63</c:v>
                </c:pt>
                <c:pt idx="2">
                  <c:v>100.61</c:v>
                </c:pt>
                <c:pt idx="3">
                  <c:v>100.83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январь-апрель 2017 г.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3.5867792366552818E-3"/>
                  <c:y val="2.751573945413688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+1,26*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3.3731773565666085E-3"/>
                  <c:y val="2.544473607465744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+2,21*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1.7374699420057561E-3"/>
                  <c:y val="2.247485423382480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+1,54*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2.1035095164002836E-3"/>
                  <c:y val="2.199087530166119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-0,81*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101.26</c:v>
                </c:pt>
                <c:pt idx="1">
                  <c:v>102.21000000000002</c:v>
                </c:pt>
                <c:pt idx="2">
                  <c:v>101.54</c:v>
                </c:pt>
                <c:pt idx="3">
                  <c:v>99.19</c:v>
                </c:pt>
              </c:numCache>
            </c:numRef>
          </c:val>
        </c:ser>
        <c:axId val="125549568"/>
        <c:axId val="125731584"/>
      </c:barChart>
      <c:catAx>
        <c:axId val="125549568"/>
        <c:scaling>
          <c:orientation val="minMax"/>
        </c:scaling>
        <c:axPos val="b"/>
        <c:tickLblPos val="nextTo"/>
        <c:crossAx val="125731584"/>
        <c:crosses val="autoZero"/>
        <c:auto val="1"/>
        <c:lblAlgn val="ctr"/>
        <c:lblOffset val="100"/>
      </c:catAx>
      <c:valAx>
        <c:axId val="12573158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* - прирост (снижение)  индекса цен,%</a:t>
                </a:r>
              </a:p>
            </c:rich>
          </c:tx>
          <c:layout>
            <c:manualLayout>
              <c:xMode val="edge"/>
              <c:yMode val="edge"/>
              <c:x val="1.8732750619287621E-2"/>
              <c:y val="0.59476650989095126"/>
            </c:manualLayout>
          </c:layout>
        </c:title>
        <c:numFmt formatCode="0.00" sourceLinked="1"/>
        <c:tickLblPos val="nextTo"/>
        <c:crossAx val="125549568"/>
        <c:crosses val="autoZero"/>
        <c:crossBetween val="between"/>
        <c:minorUnit val="4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50"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</c:chart>
  <c:spPr>
    <a:noFill/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Сводный индекс потребительских цен (инфляция) в ПМР </a:t>
            </a:r>
          </a:p>
          <a:p>
            <a:pPr>
              <a:defRPr sz="1200"/>
            </a:pPr>
            <a:r>
              <a:rPr lang="ru-RU" sz="1200"/>
              <a:t>в январе-апрель, %</a:t>
            </a:r>
          </a:p>
        </c:rich>
      </c:tx>
      <c:layout>
        <c:manualLayout>
          <c:xMode val="edge"/>
          <c:yMode val="edge"/>
          <c:x val="0.20372481466722639"/>
          <c:y val="3.0393336249635462E-3"/>
        </c:manualLayout>
      </c:layout>
      <c:spPr>
        <a:ln>
          <a:noFill/>
        </a:ln>
      </c:spPr>
    </c:title>
    <c:view3D>
      <c:rotX val="10"/>
      <c:rotY val="10"/>
      <c:perspective val="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0689728806320688E-2"/>
          <c:y val="2.9624887314617591E-2"/>
          <c:w val="0.90861868228012665"/>
          <c:h val="0.6904476473312808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00B0F0"/>
            </a:solidFill>
          </c:spPr>
          <c:dPt>
            <c:idx val="3"/>
            <c:spPr>
              <a:solidFill>
                <a:schemeClr val="accent1">
                  <a:lumMod val="20000"/>
                  <a:lumOff val="80000"/>
                </a:schemeClr>
              </a:solidFill>
            </c:spPr>
          </c:dPt>
          <c:dPt>
            <c:idx val="9"/>
            <c:spPr>
              <a:solidFill>
                <a:schemeClr val="accent1">
                  <a:lumMod val="20000"/>
                  <a:lumOff val="80000"/>
                </a:schemeClr>
              </a:solidFill>
            </c:spPr>
          </c:dPt>
          <c:dPt>
            <c:idx val="1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5.9348523138644934E-3"/>
                  <c:y val="9.228774650902773E-3"/>
                </c:manualLayout>
              </c:layout>
              <c:showVal val="1"/>
            </c:dLbl>
            <c:dLbl>
              <c:idx val="1"/>
              <c:layout>
                <c:manualLayout>
                  <c:x val="4.0156975893709014E-3"/>
                  <c:y val="9.6474534338796773E-3"/>
                </c:manualLayout>
              </c:layout>
              <c:showVal val="1"/>
            </c:dLbl>
            <c:dLbl>
              <c:idx val="2"/>
              <c:layout>
                <c:manualLayout>
                  <c:x val="1.0374600035982061E-2"/>
                  <c:y val="1.51141222188216E-2"/>
                </c:manualLayout>
              </c:layout>
              <c:showVal val="1"/>
            </c:dLbl>
            <c:dLbl>
              <c:idx val="3"/>
              <c:layout>
                <c:manualLayout>
                  <c:x val="6.0791167920154114E-3"/>
                  <c:y val="1.5642771216098302E-2"/>
                </c:manualLayout>
              </c:layout>
              <c:showVal val="1"/>
            </c:dLbl>
            <c:dLbl>
              <c:idx val="4"/>
              <c:layout>
                <c:manualLayout>
                  <c:x val="6.1399836231234104E-3"/>
                  <c:y val="1.8877021037023003E-2"/>
                </c:manualLayout>
              </c:layout>
              <c:showVal val="1"/>
            </c:dLbl>
            <c:dLbl>
              <c:idx val="5"/>
              <c:layout>
                <c:manualLayout>
                  <c:x val="1.7732088421682781E-3"/>
                  <c:y val="1.4260056616790025E-2"/>
                </c:manualLayout>
              </c:layout>
              <c:showVal val="1"/>
            </c:dLbl>
            <c:dLbl>
              <c:idx val="6"/>
              <c:layout>
                <c:manualLayout>
                  <c:x val="8.2383760325923389E-3"/>
                  <c:y val="1.4080452934319766E-2"/>
                </c:manualLayout>
              </c:layout>
              <c:showVal val="1"/>
            </c:dLbl>
            <c:dLbl>
              <c:idx val="7"/>
              <c:layout>
                <c:manualLayout>
                  <c:x val="5.9815953499087124E-3"/>
                  <c:y val="9.2248098897003503E-3"/>
                </c:manualLayout>
              </c:layout>
              <c:showVal val="1"/>
            </c:dLbl>
            <c:dLbl>
              <c:idx val="8"/>
              <c:layout>
                <c:manualLayout>
                  <c:x val="3.9677775704047621E-3"/>
                  <c:y val="8.4425625044605226E-3"/>
                </c:manualLayout>
              </c:layout>
              <c:showVal val="1"/>
            </c:dLbl>
            <c:dLbl>
              <c:idx val="9"/>
              <c:layout>
                <c:manualLayout>
                  <c:x val="6.0675151032129953E-3"/>
                  <c:y val="9.2335323643457246E-3"/>
                </c:manualLayout>
              </c:layout>
              <c:showVal val="1"/>
            </c:dLbl>
            <c:dLbl>
              <c:idx val="10"/>
              <c:layout>
                <c:manualLayout>
                  <c:x val="7.8651043059079495E-3"/>
                  <c:y val="9.467849751409808E-3"/>
                </c:manualLayout>
              </c:layout>
              <c:showVal val="1"/>
            </c:dLbl>
            <c:dLbl>
              <c:idx val="11"/>
              <c:layout>
                <c:manualLayout>
                  <c:x val="4.1520594679028393E-3"/>
                  <c:y val="1.007049345417925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Лист1!$A$2:$A$15</c:f>
              <c:strCache>
                <c:ptCount val="12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  <c:pt idx="10">
                  <c:v>2016 г.</c:v>
                </c:pt>
                <c:pt idx="11">
                  <c:v>2017 г.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2"/>
                <c:pt idx="0">
                  <c:v>105.46000000000002</c:v>
                </c:pt>
                <c:pt idx="1">
                  <c:v>108.56</c:v>
                </c:pt>
                <c:pt idx="2">
                  <c:v>115.78</c:v>
                </c:pt>
                <c:pt idx="3">
                  <c:v>99.11999999999999</c:v>
                </c:pt>
                <c:pt idx="4">
                  <c:v>107.31</c:v>
                </c:pt>
                <c:pt idx="5">
                  <c:v>108.51</c:v>
                </c:pt>
                <c:pt idx="6">
                  <c:v>106.6</c:v>
                </c:pt>
                <c:pt idx="7">
                  <c:v>102.56</c:v>
                </c:pt>
                <c:pt idx="8">
                  <c:v>100.8</c:v>
                </c:pt>
                <c:pt idx="9">
                  <c:v>99.06</c:v>
                </c:pt>
                <c:pt idx="10">
                  <c:v>100.66999999999999</c:v>
                </c:pt>
                <c:pt idx="11">
                  <c:v>101.26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2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  <c:pt idx="10">
                  <c:v>2016 г.</c:v>
                </c:pt>
                <c:pt idx="11">
                  <c:v>2017 г.</c:v>
                </c:pt>
              </c:strCache>
            </c:strRef>
          </c:cat>
          <c:val>
            <c:numRef>
              <c:f>Лист1!$C$2:$C$15</c:f>
            </c:numRef>
          </c:val>
          <c:shape val="box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2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  <c:pt idx="10">
                  <c:v>2016 г.</c:v>
                </c:pt>
                <c:pt idx="11">
                  <c:v>2017 г.</c:v>
                </c:pt>
              </c:strCache>
            </c:strRef>
          </c:cat>
          <c:val>
            <c:numRef>
              <c:f>Лист1!$D$2:$D$15</c:f>
            </c:numRef>
          </c:val>
          <c:shape val="box"/>
        </c:ser>
        <c:dLbls>
          <c:showVal val="1"/>
        </c:dLbls>
        <c:shape val="cylinder"/>
        <c:axId val="125688064"/>
        <c:axId val="125841408"/>
        <c:axId val="125716224"/>
      </c:bar3DChart>
      <c:catAx>
        <c:axId val="125688064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b="1"/>
            </a:pPr>
            <a:endParaRPr lang="ru-RU"/>
          </a:p>
        </c:txPr>
        <c:crossAx val="125841408"/>
        <c:crossesAt val="0"/>
        <c:auto val="1"/>
        <c:lblAlgn val="ctr"/>
        <c:lblOffset val="100"/>
      </c:catAx>
      <c:valAx>
        <c:axId val="125841408"/>
        <c:scaling>
          <c:orientation val="minMax"/>
          <c:max val="140"/>
          <c:min val="80"/>
        </c:scaling>
        <c:axPos val="l"/>
        <c:numFmt formatCode="#,##0.0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5688064"/>
        <c:crosses val="autoZero"/>
        <c:crossBetween val="between"/>
        <c:majorUnit val="20"/>
        <c:minorUnit val="20"/>
      </c:valAx>
      <c:serAx>
        <c:axId val="125716224"/>
        <c:scaling>
          <c:orientation val="minMax"/>
        </c:scaling>
        <c:delete val="1"/>
        <c:axPos val="b"/>
        <c:tickLblPos val="none"/>
        <c:crossAx val="125841408"/>
        <c:crosses val="autoZero"/>
      </c:ser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2">
                <a:latin typeface="Times New Roman" pitchFamily="18" charset="0"/>
                <a:cs typeface="Times New Roman" pitchFamily="18" charset="0"/>
              </a:defRPr>
            </a:pPr>
            <a:r>
              <a:rPr lang="ru-RU" sz="1202"/>
              <a:t>январь-апрель 2016 года</a:t>
            </a:r>
            <a:endParaRPr lang="ru-RU" sz="1200" b="0"/>
          </a:p>
        </c:rich>
      </c:tx>
      <c:layout>
        <c:manualLayout>
          <c:xMode val="edge"/>
          <c:yMode val="edge"/>
          <c:x val="0.2247399247507855"/>
          <c:y val="2.1025247950201015E-3"/>
        </c:manualLayout>
      </c:layout>
      <c:spPr>
        <a:noFill/>
        <a:ln w="40482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2993418926082637E-2"/>
          <c:y val="0.20212420481338139"/>
          <c:w val="0.57657266979558586"/>
          <c:h val="0.698080430624139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explosion val="29"/>
          <c:dPt>
            <c:idx val="0"/>
            <c:explosion val="5"/>
            <c:spPr>
              <a:solidFill>
                <a:srgbClr val="66FF33"/>
              </a:solidFill>
            </c:spPr>
          </c:dPt>
          <c:dPt>
            <c:idx val="1"/>
            <c:explosion val="22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2"/>
            <c:explosion val="15"/>
            <c:spPr>
              <a:gradFill>
                <a:gsLst>
                  <a:gs pos="0">
                    <a:srgbClr val="825600"/>
                  </a:gs>
                  <a:gs pos="13000">
                    <a:srgbClr val="FFA800"/>
                  </a:gs>
                  <a:gs pos="28000">
                    <a:srgbClr val="825600"/>
                  </a:gs>
                  <a:gs pos="42999">
                    <a:srgbClr val="FFA800"/>
                  </a:gs>
                  <a:gs pos="58000">
                    <a:srgbClr val="825600"/>
                  </a:gs>
                  <a:gs pos="72000">
                    <a:srgbClr val="FFA800"/>
                  </a:gs>
                  <a:gs pos="87000">
                    <a:srgbClr val="825600"/>
                  </a:gs>
                  <a:gs pos="100000">
                    <a:srgbClr val="FFA800"/>
                  </a:gs>
                </a:gsLst>
                <a:lin ang="5400000" scaled="0"/>
              </a:gradFill>
            </c:spPr>
          </c:dPt>
          <c:dPt>
            <c:idx val="3"/>
            <c:explosion val="21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</c:dPt>
          <c:dPt>
            <c:idx val="4"/>
            <c:explosion val="15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</c:spPr>
          </c:dPt>
          <c:dPt>
            <c:idx val="5"/>
            <c:spPr>
              <a:gradFill>
                <a:gsLst>
                  <a:gs pos="0">
                    <a:srgbClr val="CBCBCB"/>
                  </a:gs>
                  <a:gs pos="13000">
                    <a:srgbClr val="5F5F5F"/>
                  </a:gs>
                  <a:gs pos="21001">
                    <a:srgbClr val="5F5F5F"/>
                  </a:gs>
                  <a:gs pos="63000">
                    <a:srgbClr val="FFFFFF"/>
                  </a:gs>
                  <a:gs pos="67000">
                    <a:srgbClr val="B2B2B2"/>
                  </a:gs>
                  <a:gs pos="69000">
                    <a:srgbClr val="292929"/>
                  </a:gs>
                  <a:gs pos="82001">
                    <a:srgbClr val="777777"/>
                  </a:gs>
                  <a:gs pos="100000">
                    <a:srgbClr val="EAEAEA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-8.3709708700205596E-2"/>
                  <c:y val="-0.12340720824531104"/>
                </c:manualLayout>
              </c:layout>
              <c:tx>
                <c:rich>
                  <a:bodyPr/>
                  <a:lstStyle/>
                  <a:p>
                    <a:r>
                      <a:rPr lang="ru-RU" sz="901"/>
                      <a:t>27,9%</a:t>
                    </a:r>
                    <a:endParaRPr lang="en-US" sz="900"/>
                  </a:p>
                </c:rich>
              </c:tx>
              <c:dLblPos val="bestFit"/>
            </c:dLbl>
            <c:dLbl>
              <c:idx val="1"/>
              <c:layout>
                <c:manualLayout>
                  <c:x val="7.1984222311194154E-2"/>
                  <c:y val="2.5167473331888381E-2"/>
                </c:manualLayout>
              </c:layout>
              <c:tx>
                <c:rich>
                  <a:bodyPr/>
                  <a:lstStyle/>
                  <a:p>
                    <a:r>
                      <a:rPr lang="ru-RU" sz="901"/>
                      <a:t>38,5%</a:t>
                    </a:r>
                    <a:endParaRPr lang="en-US" sz="900"/>
                  </a:p>
                </c:rich>
              </c:tx>
              <c:dLblPos val="bestFit"/>
            </c:dLbl>
            <c:dLbl>
              <c:idx val="2"/>
              <c:layout>
                <c:manualLayout>
                  <c:x val="9.3135771821625749E-3"/>
                  <c:y val="0.11599270430179279"/>
                </c:manualLayout>
              </c:layout>
              <c:tx>
                <c:rich>
                  <a:bodyPr/>
                  <a:lstStyle/>
                  <a:p>
                    <a:r>
                      <a:rPr lang="ru-RU" sz="901"/>
                      <a:t>3,6%</a:t>
                    </a:r>
                    <a:endParaRPr lang="en-US" sz="900"/>
                  </a:p>
                </c:rich>
              </c:tx>
              <c:dLblPos val="bestFit"/>
            </c:dLbl>
            <c:dLbl>
              <c:idx val="3"/>
              <c:layout>
                <c:manualLayout>
                  <c:x val="-6.5681444991789817E-3"/>
                  <c:y val="-7.641932470305618E-2"/>
                </c:manualLayout>
              </c:layout>
              <c:tx>
                <c:rich>
                  <a:bodyPr/>
                  <a:lstStyle/>
                  <a:p>
                    <a:r>
                      <a:rPr lang="ru-RU" sz="901"/>
                      <a:t>12,2%</a:t>
                    </a:r>
                    <a:endParaRPr lang="en-US" sz="900"/>
                  </a:p>
                </c:rich>
              </c:tx>
              <c:dLblPos val="bestFit"/>
            </c:dLbl>
            <c:dLbl>
              <c:idx val="4"/>
              <c:layout>
                <c:manualLayout>
                  <c:x val="-2.662455328677139E-2"/>
                  <c:y val="-6.5589347203159218E-2"/>
                </c:manualLayout>
              </c:layout>
              <c:tx>
                <c:rich>
                  <a:bodyPr/>
                  <a:lstStyle/>
                  <a:p>
                    <a:r>
                      <a:rPr lang="ru-RU" sz="901"/>
                      <a:t>10,7%</a:t>
                    </a:r>
                    <a:endParaRPr lang="en-US" sz="900"/>
                  </a:p>
                </c:rich>
              </c:tx>
              <c:dLblPos val="bestFit"/>
            </c:dLbl>
            <c:dLbl>
              <c:idx val="5"/>
              <c:layout>
                <c:manualLayout>
                  <c:x val="7.890979144848273E-2"/>
                  <c:y val="-3.1532297400878054E-2"/>
                </c:manualLayout>
              </c:layout>
              <c:tx>
                <c:rich>
                  <a:bodyPr/>
                  <a:lstStyle/>
                  <a:p>
                    <a:r>
                      <a:rPr lang="ru-RU" sz="901"/>
                      <a:t>7,1%</a:t>
                    </a:r>
                    <a:endParaRPr lang="en-US" sz="900"/>
                  </a:p>
                </c:rich>
              </c:tx>
              <c:dLblPos val="bestFit"/>
            </c:dLbl>
            <c:spPr>
              <a:noFill/>
              <a:ln w="40482">
                <a:noFill/>
              </a:ln>
            </c:spPr>
            <c:txPr>
              <a:bodyPr/>
              <a:lstStyle/>
              <a:p>
                <a:pPr>
                  <a:defRPr sz="90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промышленность строительных материалов</c:v>
                </c:pt>
                <c:pt idx="3">
                  <c:v>легкая промышленность</c:v>
                </c:pt>
                <c:pt idx="4">
                  <c:v>пищевая промышленность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821.8</c:v>
                </c:pt>
                <c:pt idx="1">
                  <c:v>1133.3</c:v>
                </c:pt>
                <c:pt idx="2">
                  <c:v>106</c:v>
                </c:pt>
                <c:pt idx="3">
                  <c:v>358.6</c:v>
                </c:pt>
                <c:pt idx="4" formatCode="General">
                  <c:v>315.10000000000002</c:v>
                </c:pt>
                <c:pt idx="5">
                  <c:v>208.39999999999964</c:v>
                </c:pt>
              </c:numCache>
            </c:numRef>
          </c:val>
        </c:ser>
      </c:pie3DChart>
      <c:spPr>
        <a:noFill/>
        <a:ln w="25438">
          <a:noFill/>
        </a:ln>
      </c:spPr>
    </c:plotArea>
    <c:legend>
      <c:legendPos val="r"/>
      <c:legendEntry>
        <c:idx val="2"/>
        <c:txPr>
          <a:bodyPr/>
          <a:lstStyle/>
          <a:p>
            <a:pPr>
              <a:spcAft>
                <a:spcPts val="200"/>
              </a:spcAft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9046584694154558"/>
          <c:y val="0.23313715022910275"/>
          <c:w val="0.40606803459912333"/>
          <c:h val="0.76414564704835786"/>
        </c:manualLayout>
      </c:layout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9023856094421432E-2"/>
          <c:y val="6.425196850393701E-2"/>
          <c:w val="0.92031746827824856"/>
          <c:h val="0.5939253795807170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4.8402628015447362E-2"/>
                  <c:y val="0.1390019601980132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101,9%*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3368273233361933E-2"/>
                  <c:y val="0.11894616946466599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78,0%*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3.8807195278934149E-2"/>
                  <c:y val="0.14210438885012833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82,8%*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3.7483825668288347E-2"/>
                  <c:y val="-0.21355393866905878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99,9%*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3.9034053864286072E-2"/>
                  <c:y val="7.791115733174898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94,0%*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3.7440397230098982E-2"/>
                  <c:y val="8.653543307086826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81,6%*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1.5554106692077657E-2"/>
                  <c:y val="6.133544627676254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70,6%*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3.3634752662286639E-2"/>
                  <c:y val="9.573482559963351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103,6%*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4.8113412575020484E-2"/>
                  <c:y val="8.134502055167676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87,5%*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3.094655365531539E-2"/>
                  <c:y val="-0.21259776490203044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92,1%*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4.5908520989016932E-2"/>
                  <c:y val="0.11094867858498818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95,1%*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9.2020006933095727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85,3%*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3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633.70000000000005</c:v>
                </c:pt>
                <c:pt idx="1">
                  <c:v>574.6</c:v>
                </c:pt>
                <c:pt idx="2">
                  <c:v>744.8</c:v>
                </c:pt>
                <c:pt idx="3">
                  <c:v>548.1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rgbClr val="F79646">
                  <a:lumMod val="60000"/>
                  <a:lumOff val="40000"/>
                </a:srgbClr>
              </a:solidFill>
            </a:ln>
          </c:spPr>
          <c:marker>
            <c:spPr>
              <a:solidFill>
                <a:srgbClr val="F79646">
                  <a:lumMod val="60000"/>
                  <a:lumOff val="40000"/>
                </a:srgbClr>
              </a:solidFill>
              <a:ln>
                <a:solidFill>
                  <a:srgbClr val="F79646">
                    <a:lumMod val="40000"/>
                    <a:lumOff val="60000"/>
                  </a:srgbClr>
                </a:solidFill>
              </a:ln>
            </c:spPr>
          </c:marker>
          <c:dLbls>
            <c:dLbl>
              <c:idx val="0"/>
              <c:layout>
                <c:manualLayout>
                  <c:x val="-4.2401491214872113E-2"/>
                  <c:y val="-0.12202730987740457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103,4%*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7770031930722982E-2"/>
                  <c:y val="-8.409286468057472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120,5%*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3.500142100071886E-2"/>
                  <c:y val="-9.441443237316854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124,4%*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3.8958657237908943E-2"/>
                  <c:y val="0.20383202099737541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78,9%*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4.7779560994366164E-2"/>
                  <c:y val="-0.13548136482940049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solidFill>
                          <a:srgbClr val="FF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8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97,4%*</a:t>
                    </a:r>
                    <a:endParaRPr lang="en-US" sz="80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4913">
                  <a:noFill/>
                </a:ln>
              </c:spPr>
              <c:dLblPos val="r"/>
            </c:dLbl>
            <c:dLbl>
              <c:idx val="5"/>
              <c:layout>
                <c:manualLayout>
                  <c:x val="-4.5493755955664794E-2"/>
                  <c:y val="-7.566136780072302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94,3%*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3.9544109534078942E-2"/>
                  <c:y val="-7.044817511018669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103,8%*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3.3150275005433244E-2"/>
                  <c:y val="-9.383004011291076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89,6%*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4.1897119547954505E-2"/>
                  <c:y val="-8.168177091071147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4.6219469381613906E-2"/>
                  <c:y val="0.16069991251093621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82,7%*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4.1598375043883862E-2"/>
                  <c:y val="-9.36964954852368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104,3%*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-9.720195188407712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100,4%*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3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 formatCode="General">
                  <c:v>612.9</c:v>
                </c:pt>
                <c:pt idx="1">
                  <c:v>736.5</c:v>
                </c:pt>
                <c:pt idx="2" formatCode="General">
                  <c:v>899.1</c:v>
                </c:pt>
                <c:pt idx="3" formatCode="General">
                  <c:v>694.8</c:v>
                </c:pt>
              </c:numCache>
            </c:numRef>
          </c:val>
        </c:ser>
        <c:ser>
          <c:idx val="2"/>
          <c:order val="2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rgbClr val="1F497D">
                  <a:lumMod val="60000"/>
                  <a:lumOff val="40000"/>
                </a:srgbClr>
              </a:solidFill>
            </a:ln>
          </c:spPr>
          <c:marker>
            <c:spPr>
              <a:solidFill>
                <a:srgbClr val="1F497D">
                  <a:lumMod val="60000"/>
                  <a:lumOff val="40000"/>
                </a:srgbClr>
              </a:solidFill>
              <a:ln>
                <a:solidFill>
                  <a:srgbClr val="4F81BD">
                    <a:lumMod val="60000"/>
                    <a:lumOff val="40000"/>
                  </a:srgbClr>
                </a:solidFill>
                <a:bevel/>
              </a:ln>
            </c:spPr>
          </c:marker>
          <c:trendline>
            <c:trendlineType val="linear"/>
          </c:trendline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633.70000000000005</c:v>
                </c:pt>
                <c:pt idx="1">
                  <c:v>574.6</c:v>
                </c:pt>
                <c:pt idx="2">
                  <c:v>744.8</c:v>
                </c:pt>
                <c:pt idx="3">
                  <c:v>548.1</c:v>
                </c:pt>
              </c:numCache>
            </c:numRef>
          </c:val>
        </c:ser>
        <c:ser>
          <c:idx val="3"/>
          <c:order val="3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 formatCode="General">
                  <c:v>612.9</c:v>
                </c:pt>
                <c:pt idx="1">
                  <c:v>736.5</c:v>
                </c:pt>
                <c:pt idx="2" formatCode="General">
                  <c:v>899.1</c:v>
                </c:pt>
                <c:pt idx="3" formatCode="General">
                  <c:v>694.8</c:v>
                </c:pt>
              </c:numCache>
            </c:numRef>
          </c:val>
        </c:ser>
        <c:ser>
          <c:idx val="4"/>
          <c:order val="4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rgbClr val="C0504D">
                  <a:lumMod val="40000"/>
                  <a:lumOff val="60000"/>
                </a:srgbClr>
              </a:solidFill>
            </a:ln>
          </c:spPr>
          <c:marker>
            <c:spPr>
              <a:ln>
                <a:solidFill>
                  <a:srgbClr val="C0504D">
                    <a:lumMod val="40000"/>
                    <a:lumOff val="60000"/>
                  </a:srgbClr>
                </a:solidFill>
              </a:ln>
            </c:spPr>
          </c:marker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 formatCode="General">
                  <c:v>612.9</c:v>
                </c:pt>
                <c:pt idx="1">
                  <c:v>736.5</c:v>
                </c:pt>
                <c:pt idx="2" formatCode="General">
                  <c:v>899.1</c:v>
                </c:pt>
                <c:pt idx="3" formatCode="General">
                  <c:v>694.8</c:v>
                </c:pt>
              </c:numCache>
            </c:numRef>
          </c:val>
        </c:ser>
        <c:marker val="1"/>
        <c:axId val="86778624"/>
        <c:axId val="86780928"/>
      </c:lineChart>
      <c:catAx>
        <c:axId val="867786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0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 - темп </a:t>
                </a:r>
                <a:r>
                  <a:rPr lang="ru-RU" sz="85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роста</a:t>
                </a:r>
                <a:r>
                  <a:rPr lang="ru-RU" sz="80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</a:t>
                </a:r>
              </a:p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0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к предыдущему году</a:t>
                </a:r>
              </a:p>
            </c:rich>
          </c:tx>
          <c:layout>
            <c:manualLayout>
              <c:xMode val="edge"/>
              <c:yMode val="edge"/>
              <c:x val="2.7146129026865292E-3"/>
              <c:y val="0.81383235323432668"/>
            </c:manualLayout>
          </c:layout>
          <c:spPr>
            <a:noFill/>
            <a:ln w="24913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780928"/>
        <c:crosses val="autoZero"/>
        <c:auto val="1"/>
        <c:lblAlgn val="ctr"/>
        <c:lblOffset val="100"/>
      </c:catAx>
      <c:valAx>
        <c:axId val="86780928"/>
        <c:scaling>
          <c:orientation val="minMax"/>
          <c:min val="3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778624"/>
        <c:crosses val="autoZero"/>
        <c:crossBetween val="between"/>
        <c:majorUnit val="200"/>
      </c:valAx>
    </c:plotArea>
    <c:legend>
      <c:legendPos val="b"/>
      <c:legendEntry>
        <c:idx val="5"/>
        <c:delete val="1"/>
      </c:legendEntry>
      <c:legendEntry>
        <c:idx val="0"/>
        <c:delete val="1"/>
      </c:legendEntry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37232275105739326"/>
          <c:y val="0.8474015748031497"/>
          <c:w val="0.22563050637778537"/>
          <c:h val="0.15259842519685107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5352479978464263E-2"/>
          <c:y val="9.1039654525942884E-2"/>
          <c:w val="0.89483976127187925"/>
          <c:h val="0.6267063631971376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4.632024362339323E-2"/>
                  <c:y val="-9.4090480069301693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103,4%*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2.6448781814361142E-2"/>
                  <c:y val="7.9196667580732155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89,5%*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3.6119935557506012E-2"/>
                  <c:y val="8.6855486347788724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86,9%*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4.6319814418802063E-2"/>
                  <c:y val="8.1130306472885008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85,0%*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1.3393061444242561E-2"/>
                  <c:y val="4.3045062405173765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85,9%*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9.6626623595128767E-3"/>
                  <c:y val="4.0516116587788732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87,5%*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7.1204993606568415E-2"/>
                  <c:y val="-4.6577427821522514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90,0%*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6.7931893128743523E-2"/>
                  <c:y val="-5.0493814855422911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89,9%*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6.1070058550373466E-2"/>
                  <c:y val="-4.5996100881090733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90,2%*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1.3866175381923649E-2"/>
                  <c:y val="3.3914343384242332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95,1%*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2.0376371222827996E-2"/>
                  <c:y val="5.6617993173388538E-2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95,1%*</a:t>
                    </a:r>
                    <a:endParaRPr lang="en-US" sz="85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6.4736978300248951E-2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92,2%*</a:t>
                    </a:r>
                    <a:endParaRPr lang="en-US" sz="850"/>
                  </a:p>
                </c:rich>
              </c:tx>
              <c:dLblPos val="r"/>
            </c:dLbl>
            <c:spPr>
              <a:noFill/>
              <a:ln w="24912">
                <a:noFill/>
              </a:ln>
            </c:spPr>
            <c:txPr>
              <a:bodyPr/>
              <a:lstStyle/>
              <a:p>
                <a:pPr>
                  <a:defRPr sz="8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633.70000000000005</c:v>
                </c:pt>
                <c:pt idx="1">
                  <c:v>1208.3</c:v>
                </c:pt>
                <c:pt idx="2">
                  <c:v>1953.1</c:v>
                </c:pt>
                <c:pt idx="3">
                  <c:v>2501.1999999999998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rgbClr val="4BACC6">
                  <a:lumMod val="40000"/>
                  <a:lumOff val="60000"/>
                </a:srgbClr>
              </a:solidFill>
            </a:ln>
          </c:spPr>
          <c:marker>
            <c:spPr>
              <a:solidFill>
                <a:srgbClr val="4BACC6">
                  <a:lumMod val="40000"/>
                  <a:lumOff val="60000"/>
                </a:srgbClr>
              </a:solidFill>
              <a:ln>
                <a:solidFill>
                  <a:srgbClr val="4BACC6">
                    <a:lumMod val="40000"/>
                    <a:lumOff val="60000"/>
                  </a:srgbClr>
                </a:solidFill>
              </a:ln>
            </c:spPr>
          </c:marker>
          <c:dLbls>
            <c:dLbl>
              <c:idx val="0"/>
              <c:layout>
                <c:manualLayout>
                  <c:x val="1.1030856719833254E-2"/>
                  <c:y val="2.2421162871882411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101,9%*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9.4778585369136747E-2"/>
                  <c:y val="-5.0609363484736825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111,3%*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5.2275223838778424E-2"/>
                  <c:y val="-7.7809378305323793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116,1%*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3.0970304536108812E-3"/>
                  <c:y val="-3.0355310063854044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111,9%*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6.7037485698903124E-2"/>
                  <c:y val="-3.6502090781959456E-2"/>
                </c:manualLayout>
              </c:layout>
              <c:tx>
                <c:rich>
                  <a:bodyPr/>
                  <a:lstStyle/>
                  <a:p>
                    <a:pPr>
                      <a:defRPr sz="850" b="1">
                        <a:solidFill>
                          <a:srgbClr val="FF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85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107,8%*</a:t>
                    </a:r>
                    <a:endParaRPr lang="en-US" sz="85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4912">
                  <a:noFill/>
                </a:ln>
              </c:spPr>
              <c:dLblPos val="r"/>
            </c:dLbl>
            <c:dLbl>
              <c:idx val="5"/>
              <c:layout>
                <c:manualLayout>
                  <c:x val="-6.4724577697018823E-2"/>
                  <c:y val="-3.8275829157718919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102,5%*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7.6561343293626814E-3"/>
                  <c:y val="3.8020404929698735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96,9%*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9.7684904771518938E-3"/>
                  <c:y val="5.2354376755537134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97,7%*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9.9545729860691812E-3"/>
                  <c:y val="4.8211296422592843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96,6%*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5.7066592637458932E-2"/>
                  <c:y val="-3.0939164100550441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90,4%*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6.0856383336698933E-2"/>
                  <c:y val="-3.4390228780457575E-2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91,5%*</a:t>
                    </a:r>
                    <a:endParaRPr lang="en-US" sz="85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-6.590317055438491E-2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94,2%*</a:t>
                    </a:r>
                    <a:endParaRPr lang="en-US" sz="850"/>
                  </a:p>
                </c:rich>
              </c:tx>
              <c:dLblPos val="r"/>
            </c:dLbl>
            <c:spPr>
              <a:noFill/>
              <a:ln w="24912">
                <a:noFill/>
              </a:ln>
            </c:spPr>
            <c:txPr>
              <a:bodyPr/>
              <a:lstStyle/>
              <a:p>
                <a:pPr>
                  <a:defRPr sz="8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 formatCode="General">
                  <c:v>612.9</c:v>
                </c:pt>
                <c:pt idx="1">
                  <c:v>1349.4</c:v>
                </c:pt>
                <c:pt idx="2" formatCode="General">
                  <c:v>2248.4</c:v>
                </c:pt>
                <c:pt idx="3" formatCode="General">
                  <c:v>2943.2</c:v>
                </c:pt>
              </c:numCache>
            </c:numRef>
          </c:val>
        </c:ser>
        <c:ser>
          <c:idx val="2"/>
          <c:order val="2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rgbClr val="8064A2">
                  <a:lumMod val="60000"/>
                  <a:lumOff val="40000"/>
                </a:srgbClr>
              </a:solidFill>
            </a:ln>
          </c:spPr>
          <c:marker>
            <c:spPr>
              <a:solidFill>
                <a:srgbClr val="8064A2">
                  <a:lumMod val="60000"/>
                  <a:lumOff val="40000"/>
                </a:srgbClr>
              </a:solidFill>
              <a:ln>
                <a:solidFill>
                  <a:srgbClr val="8064A2">
                    <a:lumMod val="60000"/>
                    <a:lumOff val="40000"/>
                  </a:srgbClr>
                </a:solidFill>
                <a:bevel/>
              </a:ln>
            </c:spPr>
          </c:marker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633.70000000000005</c:v>
                </c:pt>
                <c:pt idx="1">
                  <c:v>1208.3</c:v>
                </c:pt>
                <c:pt idx="2">
                  <c:v>1953.1</c:v>
                </c:pt>
                <c:pt idx="3">
                  <c:v>2501.1999999999998</c:v>
                </c:pt>
              </c:numCache>
            </c:numRef>
          </c:val>
        </c:ser>
        <c:ser>
          <c:idx val="3"/>
          <c:order val="3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 formatCode="General">
                  <c:v>612.9</c:v>
                </c:pt>
                <c:pt idx="1">
                  <c:v>1349.4</c:v>
                </c:pt>
                <c:pt idx="2" formatCode="General">
                  <c:v>2248.4</c:v>
                </c:pt>
                <c:pt idx="3" formatCode="General">
                  <c:v>2943.2</c:v>
                </c:pt>
              </c:numCache>
            </c:numRef>
          </c:val>
        </c:ser>
        <c:ser>
          <c:idx val="4"/>
          <c:order val="4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rgbClr val="4F81BD">
                  <a:lumMod val="40000"/>
                  <a:lumOff val="60000"/>
                </a:srgbClr>
              </a:solidFill>
            </a:ln>
          </c:spPr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 formatCode="General">
                  <c:v>612.9</c:v>
                </c:pt>
                <c:pt idx="1">
                  <c:v>1349.4</c:v>
                </c:pt>
                <c:pt idx="2" formatCode="General">
                  <c:v>2248.4</c:v>
                </c:pt>
                <c:pt idx="3" formatCode="General">
                  <c:v>2943.2</c:v>
                </c:pt>
              </c:numCache>
            </c:numRef>
          </c:val>
        </c:ser>
        <c:marker val="1"/>
        <c:axId val="103338368"/>
        <c:axId val="103339904"/>
      </c:lineChart>
      <c:catAx>
        <c:axId val="1033383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0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 - темп </a:t>
                </a:r>
                <a:r>
                  <a:rPr lang="ru-RU" sz="85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роста</a:t>
                </a:r>
                <a:r>
                  <a:rPr lang="ru-RU" sz="80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</a:t>
                </a:r>
              </a:p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0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к предыдущему году</a:t>
                </a:r>
              </a:p>
            </c:rich>
          </c:tx>
          <c:layout>
            <c:manualLayout>
              <c:xMode val="edge"/>
              <c:yMode val="edge"/>
              <c:x val="0.12879648285722603"/>
              <c:y val="0.11595774408795922"/>
            </c:manualLayout>
          </c:layout>
          <c:spPr>
            <a:noFill/>
            <a:ln w="24912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339904"/>
        <c:crosses val="autoZero"/>
        <c:auto val="1"/>
        <c:lblAlgn val="ctr"/>
        <c:lblOffset val="100"/>
      </c:catAx>
      <c:valAx>
        <c:axId val="103339904"/>
        <c:scaling>
          <c:orientation val="minMax"/>
          <c:min val="3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338368"/>
        <c:crosses val="autoZero"/>
        <c:crossBetween val="between"/>
      </c:valAx>
    </c:plotArea>
    <c:legend>
      <c:legendPos val="b"/>
      <c:legendEntry>
        <c:idx val="0"/>
        <c:delete val="1"/>
      </c:legendEntry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34900884642166985"/>
          <c:y val="0.88004700904924149"/>
          <c:w val="0.22453577918144849"/>
          <c:h val="0.1199529909507580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depthPercent val="100"/>
      <c:perspective val="30"/>
    </c:view3D>
    <c:plotArea>
      <c:layout>
        <c:manualLayout>
          <c:layoutTarget val="inner"/>
          <c:xMode val="edge"/>
          <c:yMode val="edge"/>
          <c:x val="8.0304018651864206E-2"/>
          <c:y val="0.12153092803698086"/>
          <c:w val="0.91969598134818475"/>
          <c:h val="0.3327839542445263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 2016 года</c:v>
                </c:pt>
              </c:strCache>
            </c:strRef>
          </c:tx>
          <c:spPr>
            <a:solidFill>
              <a:srgbClr val="C0504D">
                <a:lumMod val="40000"/>
                <a:lumOff val="60000"/>
              </a:srgbClr>
            </a:solidFill>
          </c:spPr>
          <c:dLbls>
            <c:dLbl>
              <c:idx val="0"/>
              <c:layout>
                <c:manualLayout>
                  <c:x val="1.9522951480594726E-3"/>
                  <c:y val="1.32158107102285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94,0*</a:t>
                    </a:r>
                    <a:endParaRPr lang="en-US" sz="800" b="1"/>
                  </a:p>
                </c:rich>
              </c:tx>
            </c:dLbl>
            <c:dLbl>
              <c:idx val="1"/>
              <c:layout>
                <c:manualLayout>
                  <c:x val="2.4163437250594461E-3"/>
                  <c:y val="2.2959219649782612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64,3*</a:t>
                    </a:r>
                    <a:endParaRPr lang="en-US" sz="800" b="1"/>
                  </a:p>
                </c:rich>
              </c:tx>
            </c:dLbl>
            <c:dLbl>
              <c:idx val="2"/>
              <c:layout>
                <c:manualLayout>
                  <c:x val="6.7440080961666798E-3"/>
                  <c:y val="-8.1253574646452751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в 8,8р.*</a:t>
                    </a:r>
                    <a:endParaRPr lang="en-US" sz="800" b="1"/>
                  </a:p>
                </c:rich>
              </c:tx>
            </c:dLbl>
            <c:dLbl>
              <c:idx val="3"/>
              <c:layout>
                <c:manualLayout>
                  <c:x val="2.1379145788595283E-3"/>
                  <c:y val="-5.6881434712302301E-5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102,5*</a:t>
                    </a:r>
                    <a:endParaRPr lang="en-US" sz="800" b="1"/>
                  </a:p>
                </c:rich>
              </c:tx>
            </c:dLbl>
            <c:dLbl>
              <c:idx val="4"/>
              <c:layout>
                <c:manualLayout>
                  <c:x val="8.2054320012507048E-3"/>
                  <c:y val="1.8858633382901461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112,0*</a:t>
                    </a:r>
                    <a:endParaRPr lang="en-US" sz="800" b="1"/>
                  </a:p>
                </c:rich>
              </c:tx>
            </c:dLbl>
            <c:dLbl>
              <c:idx val="5"/>
              <c:layout>
                <c:manualLayout>
                  <c:x val="3.0689737450530403E-4"/>
                  <c:y val="-5.10674971598701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99,7*</a:t>
                    </a:r>
                    <a:endParaRPr lang="en-US" sz="800" b="1"/>
                  </a:p>
                </c:rich>
              </c:tx>
            </c:dLbl>
            <c:dLbl>
              <c:idx val="6"/>
              <c:layout>
                <c:manualLayout>
                  <c:x val="-3.8619857722402046E-3"/>
                  <c:y val="1.23457449174785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в 2,8р.*</a:t>
                    </a:r>
                    <a:endParaRPr lang="en-US" sz="800" b="1"/>
                  </a:p>
                </c:rich>
              </c:tx>
            </c:dLbl>
            <c:dLbl>
              <c:idx val="7"/>
              <c:layout>
                <c:manualLayout>
                  <c:x val="-6.1668498153365824E-3"/>
                  <c:y val="-4.3016353725015138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148,2*</a:t>
                    </a:r>
                    <a:endParaRPr lang="en-US" sz="800" b="1"/>
                  </a:p>
                </c:rich>
              </c:tx>
            </c:dLbl>
            <c:dLbl>
              <c:idx val="8"/>
              <c:layout>
                <c:manualLayout>
                  <c:x val="-3.4420933479853539E-3"/>
                  <c:y val="6.180402998214791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109,5*</a:t>
                    </a:r>
                    <a:endParaRPr lang="en-US" sz="800" b="1"/>
                  </a:p>
                </c:rich>
              </c:tx>
            </c:dLbl>
            <c:dLbl>
              <c:idx val="9"/>
              <c:layout>
                <c:manualLayout>
                  <c:x val="-3.6143131011444956E-3"/>
                  <c:y val="-8.1482352019065576E-6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89,6*</a:t>
                    </a:r>
                    <a:endParaRPr lang="en-US" sz="800" b="1"/>
                  </a:p>
                </c:rich>
              </c:tx>
            </c:dLbl>
            <c:dLbl>
              <c:idx val="10"/>
              <c:layout>
                <c:manualLayout>
                  <c:x val="-1.4765630785180089E-3"/>
                  <c:y val="-1.222611352685391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solidFill>
                          <a:sysClr val="windowText" lastClr="000000"/>
                        </a:solidFill>
                      </a:rPr>
                      <a:t>48,9*</a:t>
                    </a:r>
                    <a:endParaRPr lang="en-US" sz="800" b="1">
                      <a:solidFill>
                        <a:sysClr val="windowText" lastClr="000000"/>
                      </a:solidFill>
                    </a:endParaRPr>
                  </a:p>
                </c:rich>
              </c:tx>
            </c:dLbl>
            <c:spPr>
              <a:noFill/>
              <a:ln w="25388">
                <a:noFill/>
              </a:ln>
            </c:spPr>
            <c:txPr>
              <a:bodyPr rot="-5400000" vert="horz"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260.2</c:v>
                </c:pt>
                <c:pt idx="1">
                  <c:v>128.80000000000001</c:v>
                </c:pt>
                <c:pt idx="2">
                  <c:v>15.8</c:v>
                </c:pt>
                <c:pt idx="3">
                  <c:v>18.600000000000001</c:v>
                </c:pt>
                <c:pt idx="4">
                  <c:v>14.8</c:v>
                </c:pt>
                <c:pt idx="5">
                  <c:v>0.60000000000000064</c:v>
                </c:pt>
                <c:pt idx="6">
                  <c:v>54.7</c:v>
                </c:pt>
                <c:pt idx="7">
                  <c:v>91.8</c:v>
                </c:pt>
                <c:pt idx="8">
                  <c:v>97.3</c:v>
                </c:pt>
                <c:pt idx="9">
                  <c:v>10.8</c:v>
                </c:pt>
                <c:pt idx="10">
                  <c:v>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апрель 2017 года</c:v>
                </c:pt>
              </c:strCache>
            </c:strRef>
          </c:tx>
          <c:spPr>
            <a:solidFill>
              <a:srgbClr val="4BACC6">
                <a:lumMod val="75000"/>
              </a:srgbClr>
            </a:solidFill>
          </c:spPr>
          <c:dLbls>
            <c:dLbl>
              <c:idx val="0"/>
              <c:layout>
                <c:manualLayout>
                  <c:x val="6.0174923275656414E-3"/>
                  <c:y val="2.9270967994672397E-4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33,7*</a:t>
                    </a:r>
                    <a:endParaRPr lang="en-US" sz="800" b="1"/>
                  </a:p>
                </c:rich>
              </c:tx>
            </c:dLbl>
            <c:dLbl>
              <c:idx val="1"/>
              <c:layout>
                <c:manualLayout>
                  <c:x val="1.0160195492804783E-2"/>
                  <c:y val="5.360285188232073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137,0* </a:t>
                    </a:r>
                    <a:endParaRPr lang="en-US" sz="800" b="1"/>
                  </a:p>
                </c:rich>
              </c:tx>
            </c:dLbl>
            <c:dLbl>
              <c:idx val="2"/>
              <c:layout>
                <c:manualLayout>
                  <c:x val="1.0671150366435204E-2"/>
                  <c:y val="-4.154872797763031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96,1*</a:t>
                    </a:r>
                    <a:endParaRPr lang="en-US" sz="800" b="1"/>
                  </a:p>
                </c:rich>
              </c:tx>
            </c:dLbl>
            <c:dLbl>
              <c:idx val="3"/>
              <c:layout>
                <c:manualLayout>
                  <c:x val="3.8909321287817172E-3"/>
                  <c:y val="-9.7622125592510402E-4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125,3*</a:t>
                    </a:r>
                    <a:endParaRPr lang="en-US" sz="800" b="1"/>
                  </a:p>
                </c:rich>
              </c:tx>
            </c:dLbl>
            <c:dLbl>
              <c:idx val="4"/>
              <c:layout>
                <c:manualLayout>
                  <c:x val="1.0178132122199431E-2"/>
                  <c:y val="-1.439041015395461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94,1*</a:t>
                    </a:r>
                    <a:endParaRPr lang="en-US" sz="800" b="1"/>
                  </a:p>
                </c:rich>
              </c:tx>
            </c:dLbl>
            <c:dLbl>
              <c:idx val="5"/>
              <c:layout>
                <c:manualLayout>
                  <c:x val="1.17493150346803E-4"/>
                  <c:y val="-1.669228659850350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48,6*</a:t>
                    </a:r>
                    <a:endParaRPr lang="en-US" sz="800" b="1"/>
                  </a:p>
                </c:rich>
              </c:tx>
            </c:dLbl>
            <c:dLbl>
              <c:idx val="6"/>
              <c:layout>
                <c:manualLayout>
                  <c:x val="-1.5040439694254606E-4"/>
                  <c:y val="3.7607239393583476E-5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95,9*</a:t>
                    </a:r>
                    <a:endParaRPr lang="en-US" sz="800" b="1"/>
                  </a:p>
                </c:rich>
              </c:tx>
            </c:dLbl>
            <c:dLbl>
              <c:idx val="7"/>
              <c:layout>
                <c:manualLayout>
                  <c:x val="-1.7740807477435289E-3"/>
                  <c:y val="1.9931836878599161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88,4*</a:t>
                    </a:r>
                    <a:endParaRPr lang="en-US" sz="800" b="1"/>
                  </a:p>
                </c:rich>
              </c:tx>
            </c:dLbl>
            <c:dLbl>
              <c:idx val="8"/>
              <c:layout>
                <c:manualLayout>
                  <c:x val="3.2417577896806942E-4"/>
                  <c:y val="-3.860383123751331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87,4*</a:t>
                    </a:r>
                    <a:endParaRPr lang="en-US" sz="800" b="1"/>
                  </a:p>
                </c:rich>
              </c:tx>
            </c:dLbl>
            <c:dLbl>
              <c:idx val="9"/>
              <c:layout>
                <c:manualLayout>
                  <c:x val="-4.1316778976295864E-3"/>
                  <c:y val="-7.101500372154982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105,8*</a:t>
                    </a:r>
                    <a:endParaRPr lang="en-US" sz="800" b="1"/>
                  </a:p>
                </c:rich>
              </c:tx>
            </c:dLbl>
            <c:dLbl>
              <c:idx val="10"/>
              <c:layout>
                <c:manualLayout>
                  <c:x val="5.4390771686454583E-3"/>
                  <c:y val="-1.4856426528773456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 baseline="0"/>
                      <a:t>80,3*</a:t>
                    </a:r>
                    <a:endParaRPr lang="en-US" sz="800" b="1"/>
                  </a:p>
                </c:rich>
              </c:tx>
            </c:dLbl>
            <c:spPr>
              <a:noFill/>
              <a:ln w="25388">
                <a:noFill/>
              </a:ln>
            </c:spPr>
            <c:txPr>
              <a:bodyPr rot="-5400000" vert="horz"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0">
                  <c:v>87.7</c:v>
                </c:pt>
                <c:pt idx="1">
                  <c:v>176.5</c:v>
                </c:pt>
                <c:pt idx="2">
                  <c:v>15.2</c:v>
                </c:pt>
                <c:pt idx="3">
                  <c:v>23.3</c:v>
                </c:pt>
                <c:pt idx="4">
                  <c:v>13.9</c:v>
                </c:pt>
                <c:pt idx="5">
                  <c:v>0.30000000000000032</c:v>
                </c:pt>
                <c:pt idx="6">
                  <c:v>52.4</c:v>
                </c:pt>
                <c:pt idx="7">
                  <c:v>81.2</c:v>
                </c:pt>
                <c:pt idx="8">
                  <c:v>85.1</c:v>
                </c:pt>
                <c:pt idx="9">
                  <c:v>11.4</c:v>
                </c:pt>
                <c:pt idx="10">
                  <c:v>1.1000000000000001</c:v>
                </c:pt>
              </c:numCache>
            </c:numRef>
          </c:val>
        </c:ser>
        <c:shape val="cylinder"/>
        <c:axId val="103616896"/>
        <c:axId val="103618432"/>
        <c:axId val="0"/>
      </c:bar3DChart>
      <c:catAx>
        <c:axId val="103616896"/>
        <c:scaling>
          <c:orientation val="minMax"/>
        </c:scaling>
        <c:axPos val="b"/>
        <c:numFmt formatCode="General" sourceLinked="1"/>
        <c:tickLblPos val="nextTo"/>
        <c:txPr>
          <a:bodyPr rot="5400000" vert="horz"/>
          <a:lstStyle/>
          <a:p>
            <a:pPr>
              <a:defRPr sz="900" b="0"/>
            </a:pPr>
            <a:endParaRPr lang="ru-RU"/>
          </a:p>
        </c:txPr>
        <c:crossAx val="103618432"/>
        <c:crosses val="autoZero"/>
        <c:auto val="1"/>
        <c:lblAlgn val="ctr"/>
        <c:lblOffset val="100"/>
      </c:catAx>
      <c:valAx>
        <c:axId val="103618432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03616896"/>
        <c:crosses val="autoZero"/>
        <c:crossBetween val="between"/>
        <c:majorUnit val="50"/>
      </c:valAx>
      <c:spPr>
        <a:noFill/>
        <a:ln w="25395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55676808398950162"/>
          <c:y val="0.93574306590054623"/>
          <c:w val="0.43969931758530167"/>
          <c:h val="6.4256934099453933E-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depthPercent val="100"/>
      <c:perspective val="30"/>
    </c:view3D>
    <c:plotArea>
      <c:layout>
        <c:manualLayout>
          <c:layoutTarget val="inner"/>
          <c:xMode val="edge"/>
          <c:yMode val="edge"/>
          <c:x val="8.7168939047454236E-2"/>
          <c:y val="8.7293730117546181E-2"/>
          <c:w val="0.91969598134818553"/>
          <c:h val="0.3928449488226599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январь-апрель 2016г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dLbls>
            <c:dLbl>
              <c:idx val="0"/>
              <c:layout>
                <c:manualLayout>
                  <c:x val="1.9786666226008541E-3"/>
                  <c:y val="1.8575107578637825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94,8*</a:t>
                    </a:r>
                    <a:endParaRPr lang="en-US" sz="800" b="1"/>
                  </a:p>
                </c:rich>
              </c:tx>
            </c:dLbl>
            <c:dLbl>
              <c:idx val="1"/>
              <c:layout>
                <c:manualLayout>
                  <c:x val="2.3899662070048211E-3"/>
                  <c:y val="5.736198229458703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157,9*</a:t>
                    </a:r>
                    <a:endParaRPr lang="en-US" sz="800" b="1"/>
                  </a:p>
                </c:rich>
              </c:tx>
            </c:dLbl>
            <c:dLbl>
              <c:idx val="2"/>
              <c:layout>
                <c:manualLayout>
                  <c:x val="4.4814964761094513E-4"/>
                  <c:y val="-3.9759981770767401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124,0*</a:t>
                    </a:r>
                    <a:endParaRPr lang="en-US" sz="800" b="1"/>
                  </a:p>
                </c:rich>
              </c:tx>
            </c:dLbl>
            <c:dLbl>
              <c:idx val="3"/>
              <c:layout>
                <c:manualLayout>
                  <c:x val="4.4829561140022795E-5"/>
                  <c:y val="4.121623258631140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82,4*</a:t>
                    </a:r>
                    <a:endParaRPr lang="en-US" sz="800" b="1"/>
                  </a:p>
                </c:rich>
              </c:tx>
            </c:dLbl>
            <c:dLbl>
              <c:idx val="4"/>
              <c:layout>
                <c:manualLayout>
                  <c:x val="1.9205841028113292E-3"/>
                  <c:y val="-3.2714392076348678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83,6*</a:t>
                    </a:r>
                    <a:endParaRPr lang="en-US" sz="800" b="1"/>
                  </a:p>
                </c:rich>
              </c:tx>
            </c:dLbl>
            <c:dLbl>
              <c:idx val="5"/>
              <c:layout>
                <c:manualLayout>
                  <c:x val="2.4000296666213477E-3"/>
                  <c:y val="-9.6684189547939763E-4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30,8*</a:t>
                    </a:r>
                    <a:endParaRPr lang="en-US" sz="800" b="1"/>
                  </a:p>
                </c:rich>
              </c:tx>
            </c:dLbl>
            <c:dLbl>
              <c:idx val="6"/>
              <c:layout>
                <c:manualLayout>
                  <c:x val="-3.8618205253199652E-3"/>
                  <c:y val="5.754361090715750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144,4*</a:t>
                    </a:r>
                    <a:endParaRPr lang="en-US" sz="800" b="1"/>
                  </a:p>
                </c:rich>
              </c:tx>
            </c:dLbl>
            <c:dLbl>
              <c:idx val="7"/>
              <c:layout>
                <c:manualLayout>
                  <c:x val="-6.1668498153365824E-3"/>
                  <c:y val="1.16912674051336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113,8*</a:t>
                    </a:r>
                    <a:endParaRPr lang="en-US" sz="800" b="1"/>
                  </a:p>
                </c:rich>
              </c:tx>
            </c:dLbl>
            <c:dLbl>
              <c:idx val="8"/>
              <c:layout>
                <c:manualLayout>
                  <c:x val="7.5518032773375901E-4"/>
                  <c:y val="-5.2812309636080731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106,4*</a:t>
                    </a:r>
                    <a:endParaRPr lang="en-US" sz="800" b="1"/>
                  </a:p>
                </c:rich>
              </c:tx>
            </c:dLbl>
            <c:dLbl>
              <c:idx val="9"/>
              <c:layout>
                <c:manualLayout>
                  <c:x val="-3.6142806388446292E-3"/>
                  <c:y val="7.951996354153492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91,2*</a:t>
                    </a:r>
                    <a:endParaRPr lang="en-US" sz="800" b="1"/>
                  </a:p>
                </c:rich>
              </c:tx>
            </c:dLbl>
            <c:dLbl>
              <c:idx val="10"/>
              <c:layout>
                <c:manualLayout>
                  <c:x val="2.7098810450891533E-3"/>
                  <c:y val="-1.228035844631853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solidFill>
                          <a:sysClr val="windowText" lastClr="000000"/>
                        </a:solidFill>
                      </a:rPr>
                      <a:t>44,1*</a:t>
                    </a:r>
                    <a:endParaRPr lang="en-US" sz="800" b="1">
                      <a:solidFill>
                        <a:sysClr val="windowText" lastClr="000000"/>
                      </a:solidFill>
                    </a:endParaRPr>
                  </a:p>
                </c:rich>
              </c:tx>
            </c:dLbl>
            <c:spPr>
              <a:noFill/>
              <a:ln w="25373">
                <a:noFill/>
              </a:ln>
            </c:spPr>
            <c:txPr>
              <a:bodyPr rot="-5400000" vert="horz"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1133.3</c:v>
                </c:pt>
                <c:pt idx="1">
                  <c:v>821.8</c:v>
                </c:pt>
                <c:pt idx="2">
                  <c:v>62.3</c:v>
                </c:pt>
                <c:pt idx="3">
                  <c:v>51.1</c:v>
                </c:pt>
                <c:pt idx="4">
                  <c:v>52.1</c:v>
                </c:pt>
                <c:pt idx="5">
                  <c:v>1.8</c:v>
                </c:pt>
                <c:pt idx="6">
                  <c:v>106</c:v>
                </c:pt>
                <c:pt idx="7">
                  <c:v>358.6</c:v>
                </c:pt>
                <c:pt idx="8">
                  <c:v>315.10000000000002</c:v>
                </c:pt>
                <c:pt idx="9">
                  <c:v>35.200000000000003</c:v>
                </c:pt>
                <c:pt idx="10">
                  <c:v>5.9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январь-апрель 2017г</c:v>
                </c:pt>
              </c:strCache>
            </c:strRef>
          </c:tx>
          <c:spPr>
            <a:solidFill>
              <a:srgbClr val="EEECE1">
                <a:lumMod val="75000"/>
              </a:srgbClr>
            </a:solidFill>
          </c:spPr>
          <c:dLbls>
            <c:dLbl>
              <c:idx val="0"/>
              <c:layout>
                <c:manualLayout>
                  <c:x val="1.0188341841885169E-2"/>
                  <c:y val="5.1879761448157076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87,2*</a:t>
                    </a:r>
                    <a:endParaRPr lang="en-US" sz="800" b="1"/>
                  </a:p>
                </c:rich>
              </c:tx>
            </c:dLbl>
            <c:dLbl>
              <c:idx val="1"/>
              <c:layout>
                <c:manualLayout>
                  <c:x val="5.9695834723956396E-3"/>
                  <c:y val="-5.8194015146387501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58,5* </a:t>
                    </a:r>
                    <a:endParaRPr lang="en-US" sz="800" b="1"/>
                  </a:p>
                </c:rich>
              </c:tx>
            </c:dLbl>
            <c:dLbl>
              <c:idx val="2"/>
              <c:layout>
                <c:manualLayout>
                  <c:x val="4.3862099655125834E-3"/>
                  <c:y val="-1.226110049853242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88,3*</a:t>
                    </a:r>
                    <a:endParaRPr lang="en-US" sz="800" b="1"/>
                  </a:p>
                </c:rich>
              </c:tx>
            </c:dLbl>
            <c:dLbl>
              <c:idx val="3"/>
              <c:layout>
                <c:manualLayout>
                  <c:x val="5.9807908626806532E-3"/>
                  <c:y val="-5.1685846961437455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171,5*</a:t>
                    </a:r>
                    <a:endParaRPr lang="en-US" sz="800" b="1"/>
                  </a:p>
                </c:rich>
              </c:tx>
            </c:dLbl>
            <c:dLbl>
              <c:idx val="4"/>
              <c:layout>
                <c:manualLayout>
                  <c:x val="3.8986884881148077E-3"/>
                  <c:y val="-1.231048781624189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96,5*</a:t>
                    </a:r>
                    <a:endParaRPr lang="en-US" sz="800" b="1"/>
                  </a:p>
                </c:rich>
              </c:tx>
            </c:dLbl>
            <c:dLbl>
              <c:idx val="5"/>
              <c:layout>
                <c:manualLayout>
                  <c:x val="1.175127834295445E-4"/>
                  <c:y val="-1.693953936231351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79,8*</a:t>
                    </a:r>
                    <a:endParaRPr lang="en-US" sz="800" b="1"/>
                  </a:p>
                </c:rich>
              </c:tx>
            </c:dLbl>
            <c:dLbl>
              <c:idx val="6"/>
              <c:layout>
                <c:manualLayout>
                  <c:x val="-1.5047569603250229E-4"/>
                  <c:y val="-7.715603596887694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103,4*</a:t>
                    </a:r>
                    <a:endParaRPr lang="en-US" sz="800" b="1"/>
                  </a:p>
                </c:rich>
              </c:tx>
            </c:dLbl>
            <c:dLbl>
              <c:idx val="7"/>
              <c:layout>
                <c:manualLayout>
                  <c:x val="-3.8713292706543658E-3"/>
                  <c:y val="-4.3790088369131562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102,9*</a:t>
                    </a:r>
                    <a:endParaRPr lang="en-US" sz="800" b="1"/>
                  </a:p>
                </c:rich>
              </c:tx>
            </c:dLbl>
            <c:dLbl>
              <c:idx val="8"/>
              <c:layout>
                <c:manualLayout>
                  <c:x val="3.3094764253369449E-4"/>
                  <c:y val="-1.336501576356220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98,9*</a:t>
                    </a:r>
                    <a:endParaRPr lang="en-US" sz="800" b="1"/>
                  </a:p>
                </c:rich>
              </c:tx>
            </c:dLbl>
            <c:dLbl>
              <c:idx val="9"/>
              <c:layout>
                <c:manualLayout>
                  <c:x val="-2.0483153891477849E-3"/>
                  <c:y val="-6.921679168802165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119,7*</a:t>
                    </a:r>
                    <a:endParaRPr lang="en-US" sz="800" b="1"/>
                  </a:p>
                </c:rich>
              </c:tx>
            </c:dLbl>
            <c:dLbl>
              <c:idx val="10"/>
              <c:layout>
                <c:manualLayout>
                  <c:x val="9.6188579785344251E-3"/>
                  <c:y val="-4.6001806044340919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 baseline="0"/>
                      <a:t>76,4*</a:t>
                    </a:r>
                    <a:endParaRPr lang="en-US" sz="800" b="1"/>
                  </a:p>
                </c:rich>
              </c:tx>
            </c:dLbl>
            <c:spPr>
              <a:noFill/>
              <a:ln w="25373">
                <a:noFill/>
              </a:ln>
            </c:spPr>
            <c:txPr>
              <a:bodyPr rot="-5400000" vert="horz"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0">
                  <c:v>988.8</c:v>
                </c:pt>
                <c:pt idx="1">
                  <c:v>480.9</c:v>
                </c:pt>
                <c:pt idx="2">
                  <c:v>55</c:v>
                </c:pt>
                <c:pt idx="3">
                  <c:v>87.6</c:v>
                </c:pt>
                <c:pt idx="4">
                  <c:v>50.3</c:v>
                </c:pt>
                <c:pt idx="5">
                  <c:v>1.4</c:v>
                </c:pt>
                <c:pt idx="6">
                  <c:v>109.6</c:v>
                </c:pt>
                <c:pt idx="7">
                  <c:v>369.1</c:v>
                </c:pt>
                <c:pt idx="8">
                  <c:v>311.7</c:v>
                </c:pt>
                <c:pt idx="9">
                  <c:v>42.1</c:v>
                </c:pt>
                <c:pt idx="10">
                  <c:v>4.5</c:v>
                </c:pt>
              </c:numCache>
            </c:numRef>
          </c:val>
        </c:ser>
        <c:shape val="cylinder"/>
        <c:axId val="103563264"/>
        <c:axId val="103564800"/>
        <c:axId val="0"/>
      </c:bar3DChart>
      <c:catAx>
        <c:axId val="103563264"/>
        <c:scaling>
          <c:orientation val="minMax"/>
        </c:scaling>
        <c:axPos val="b"/>
        <c:numFmt formatCode="General" sourceLinked="1"/>
        <c:tickLblPos val="nextTo"/>
        <c:txPr>
          <a:bodyPr rot="5400000" vert="horz"/>
          <a:lstStyle/>
          <a:p>
            <a:pPr>
              <a:defRPr sz="849" b="1"/>
            </a:pPr>
            <a:endParaRPr lang="ru-RU"/>
          </a:p>
        </c:txPr>
        <c:crossAx val="103564800"/>
        <c:crosses val="autoZero"/>
        <c:auto val="1"/>
        <c:lblAlgn val="ctr"/>
        <c:lblOffset val="100"/>
      </c:catAx>
      <c:valAx>
        <c:axId val="103564800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sz="899" b="1"/>
            </a:pPr>
            <a:endParaRPr lang="ru-RU"/>
          </a:p>
        </c:txPr>
        <c:crossAx val="103563264"/>
        <c:crosses val="autoZero"/>
        <c:crossBetween val="between"/>
      </c:valAx>
      <c:spPr>
        <a:noFill/>
        <a:ln w="2538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99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99"/>
            </a:pPr>
            <a:endParaRPr lang="ru-RU"/>
          </a:p>
        </c:txPr>
      </c:legendEntry>
      <c:layout>
        <c:manualLayout>
          <c:xMode val="edge"/>
          <c:yMode val="edge"/>
          <c:x val="1.7418750656167981E-2"/>
          <c:y val="0.89115811706968584"/>
          <c:w val="0.40372052394549685"/>
          <c:h val="0.10884188293031419"/>
        </c:manualLayout>
      </c:layout>
      <c:txPr>
        <a:bodyPr/>
        <a:lstStyle/>
        <a:p>
          <a:pPr>
            <a:defRPr sz="1049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1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29"/>
              <a:t>Обьем производства по отрасли легкая промышленность,</a:t>
            </a:r>
            <a:r>
              <a:rPr lang="ru-RU" sz="1029" baseline="0"/>
              <a:t> </a:t>
            </a:r>
            <a:r>
              <a:rPr lang="ru-RU" sz="1029"/>
              <a:t>млн. руб.</a:t>
            </a:r>
          </a:p>
        </c:rich>
      </c:tx>
      <c:layout>
        <c:manualLayout>
          <c:xMode val="edge"/>
          <c:yMode val="edge"/>
          <c:x val="0.15336469522779389"/>
          <c:y val="2.2900708839966432E-2"/>
        </c:manualLayout>
      </c:layout>
      <c:spPr>
        <a:noFill/>
        <a:ln w="24887">
          <a:noFill/>
        </a:ln>
      </c:spPr>
    </c:title>
    <c:plotArea>
      <c:layout>
        <c:manualLayout>
          <c:layoutTarget val="inner"/>
          <c:xMode val="edge"/>
          <c:yMode val="edge"/>
          <c:x val="0.3254669206410899"/>
          <c:y val="0.18842026564861211"/>
          <c:w val="0.5728245756646001"/>
          <c:h val="0.5980746043108248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5400000" scaled="0"/>
            </a:gradFill>
            <a:ln w="18828"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dLbls>
            <c:dLbl>
              <c:idx val="0"/>
              <c:layout>
                <c:manualLayout>
                  <c:x val="-4.0636194060648181E-3"/>
                  <c:y val="1.656756541795916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113,8%*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3.9317255154426491E-3"/>
                  <c:y val="1.5416527479519607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135,5%*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-6.413682522715202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100,3%*</a:t>
                    </a:r>
                    <a:endParaRPr lang="en-US" sz="800"/>
                  </a:p>
                </c:rich>
              </c:tx>
              <c:dLblPos val="outEnd"/>
            </c:dLbl>
            <c:spPr>
              <a:noFill/>
              <a:ln w="24887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358.6</c:v>
                </c:pt>
                <c:pt idx="1">
                  <c:v>195.4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spPr>
            <a:gradFill>
              <a:gsLst>
                <a:gs pos="0">
                  <a:srgbClr val="FFEFD1"/>
                </a:gs>
                <a:gs pos="64999">
                  <a:srgbClr val="F0EBD5"/>
                </a:gs>
                <a:gs pos="100000">
                  <a:srgbClr val="D1C39F"/>
                </a:gs>
              </a:gsLst>
              <a:lin ang="5400000" scaled="0"/>
            </a:gradFill>
            <a:ln w="18828">
              <a:noFill/>
            </a:ln>
          </c:spPr>
          <c:dLbls>
            <c:dLbl>
              <c:idx val="0"/>
              <c:layout>
                <c:manualLayout>
                  <c:x val="-8.9052311857244267E-3"/>
                  <c:y val="4.8325777459635828E-3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/>
                      <a:t>102,9% *</a:t>
                    </a:r>
                  </a:p>
                </c:rich>
              </c:tx>
              <c:spPr>
                <a:noFill/>
                <a:ln w="24887">
                  <a:noFill/>
                </a:ln>
              </c:spPr>
              <c:dLblPos val="outEnd"/>
            </c:dLbl>
            <c:dLbl>
              <c:idx val="1"/>
              <c:layout>
                <c:manualLayout>
                  <c:x val="-6.0667888212086714E-3"/>
                  <c:y val="2.8715501471407012E-3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/>
                      <a:t>106,7% *</a:t>
                    </a:r>
                  </a:p>
                </c:rich>
              </c:tx>
              <c:spPr>
                <a:noFill/>
                <a:ln w="24887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-1.6055863387446961E-4"/>
                  <c:y val="-6.3642532488316734E-3"/>
                </c:manualLayout>
              </c:layout>
              <c:tx>
                <c:rich>
                  <a:bodyPr/>
                  <a:lstStyle/>
                  <a:p>
                    <a:r>
                      <a:rPr lang="ru-RU" sz="882"/>
                      <a:t>89,3%*</a:t>
                    </a:r>
                    <a:endParaRPr lang="en-US" sz="900"/>
                  </a:p>
                </c:rich>
              </c:tx>
              <c:dLblPos val="outEnd"/>
            </c:dLbl>
            <c:spPr>
              <a:noFill/>
              <a:ln w="24887">
                <a:noFill/>
              </a:ln>
            </c:spPr>
            <c:txPr>
              <a:bodyPr/>
              <a:lstStyle/>
              <a:p>
                <a:pPr>
                  <a:defRPr sz="882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369.1</c:v>
                </c:pt>
                <c:pt idx="1">
                  <c:v>208.6</c:v>
                </c:pt>
              </c:numCache>
            </c:numRef>
          </c:val>
        </c:ser>
        <c:dLbls>
          <c:showVal val="1"/>
        </c:dLbls>
        <c:axId val="111374336"/>
        <c:axId val="111375872"/>
      </c:barChart>
      <c:catAx>
        <c:axId val="11137433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882" kern="0" baseline="0"/>
            </a:pPr>
            <a:endParaRPr lang="ru-RU"/>
          </a:p>
        </c:txPr>
        <c:crossAx val="111375872"/>
        <c:crosses val="autoZero"/>
        <c:auto val="1"/>
        <c:lblAlgn val="ctr"/>
        <c:lblOffset val="100"/>
      </c:catAx>
      <c:valAx>
        <c:axId val="111375872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73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72010641517"/>
            </c:manualLayout>
          </c:layout>
          <c:spPr>
            <a:noFill/>
            <a:ln w="24887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882"/>
            </a:pPr>
            <a:endParaRPr lang="ru-RU"/>
          </a:p>
        </c:txPr>
        <c:crossAx val="111374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827861772869777"/>
          <c:y val="0.22900780259610512"/>
          <c:w val="9.8591565830630112E-2"/>
          <c:h val="0.33587801524809779"/>
        </c:manualLayout>
      </c:layout>
      <c:txPr>
        <a:bodyPr/>
        <a:lstStyle/>
        <a:p>
          <a:pPr>
            <a:defRPr sz="882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980" b="1" i="0" u="none" strike="noStrike" baseline="0">
                <a:solidFill>
                  <a:srgbClr val="FF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29">
                <a:solidFill>
                  <a:sysClr val="windowText" lastClr="000000"/>
                </a:solidFill>
              </a:rPr>
              <a:t>Обьем производства в отрасли электроэнергетика,</a:t>
            </a:r>
            <a:r>
              <a:rPr lang="ru-RU" sz="1029" baseline="0">
                <a:solidFill>
                  <a:sysClr val="windowText" lastClr="000000"/>
                </a:solidFill>
              </a:rPr>
              <a:t> </a:t>
            </a:r>
            <a:r>
              <a:rPr lang="ru-RU" sz="1029">
                <a:solidFill>
                  <a:sysClr val="windowText" lastClr="000000"/>
                </a:solidFill>
              </a:rPr>
              <a:t>млн. руб.</a:t>
            </a:r>
          </a:p>
        </c:rich>
      </c:tx>
      <c:layout>
        <c:manualLayout>
          <c:xMode val="edge"/>
          <c:yMode val="edge"/>
          <c:x val="0.20915768862225556"/>
          <c:y val="5.9822458498420194E-3"/>
        </c:manualLayout>
      </c:layout>
      <c:spPr>
        <a:noFill/>
        <a:ln w="24879">
          <a:noFill/>
        </a:ln>
      </c:spPr>
    </c:title>
    <c:plotArea>
      <c:layout>
        <c:manualLayout>
          <c:layoutTarget val="inner"/>
          <c:xMode val="edge"/>
          <c:yMode val="edge"/>
          <c:x val="0.383724701079037"/>
          <c:y val="0.19942753777399491"/>
          <c:w val="0.51487817522032142"/>
          <c:h val="0.5590870397957011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ln w="21129">
              <a:noFill/>
            </a:ln>
          </c:spPr>
          <c:dLbls>
            <c:dLbl>
              <c:idx val="0"/>
              <c:layout>
                <c:manualLayout>
                  <c:x val="1.4564846060909062E-4"/>
                  <c:y val="1.1699652408313908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94,8%*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5.4529850435362254E-3"/>
                  <c:y val="-3.4933212966213765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93,8%*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1.826462868612208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98,2%*</a:t>
                    </a:r>
                    <a:endParaRPr lang="en-US" sz="800"/>
                  </a:p>
                </c:rich>
              </c:tx>
              <c:dLblPos val="outEnd"/>
            </c:dLbl>
            <c:spPr>
              <a:noFill/>
              <a:ln w="2487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1133.3</c:v>
                </c:pt>
                <c:pt idx="1">
                  <c:v>883.8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  <a:ln w="21129">
              <a:noFill/>
            </a:ln>
          </c:spPr>
          <c:dLbls>
            <c:dLbl>
              <c:idx val="0"/>
              <c:layout>
                <c:manualLayout>
                  <c:x val="3.9440069991251089E-3"/>
                  <c:y val="3.3689419395824009E-3"/>
                </c:manualLayout>
              </c:layout>
              <c:tx>
                <c:rich>
                  <a:bodyPr/>
                  <a:lstStyle/>
                  <a:p>
                    <a:r>
                      <a:rPr lang="ru-RU" sz="800" baseline="0"/>
                      <a:t>87,2%*</a:t>
                    </a:r>
                    <a:endParaRPr lang="en-US" sz="800"/>
                  </a:p>
                </c:rich>
              </c:tx>
              <c:dLblPos val="outEnd"/>
            </c:dLbl>
            <c:dLbl>
              <c:idx val="1"/>
              <c:layout>
                <c:manualLayout>
                  <c:x val="2.748789734616516E-2"/>
                  <c:y val="-8.4798635839310067E-3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/>
                      <a:t>81,6%*</a:t>
                    </a:r>
                  </a:p>
                </c:rich>
              </c:tx>
              <c:spPr>
                <a:noFill/>
                <a:ln w="24879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6.47172549066991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95,2%*</a:t>
                    </a:r>
                    <a:endParaRPr lang="en-US" sz="800"/>
                  </a:p>
                </c:rich>
              </c:tx>
              <c:dLblPos val="outEnd"/>
            </c:dLbl>
            <c:spPr>
              <a:noFill/>
              <a:ln w="24879"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988.8</c:v>
                </c:pt>
                <c:pt idx="1">
                  <c:v>721.3</c:v>
                </c:pt>
              </c:numCache>
            </c:numRef>
          </c:val>
        </c:ser>
        <c:dLbls>
          <c:showVal val="1"/>
        </c:dLbls>
        <c:axId val="111496576"/>
        <c:axId val="111510656"/>
      </c:barChart>
      <c:catAx>
        <c:axId val="111496576"/>
        <c:scaling>
          <c:orientation val="minMax"/>
        </c:scaling>
        <c:axPos val="l"/>
        <c:numFmt formatCode="General" sourceLinked="1"/>
        <c:tickLblPos val="nextTo"/>
        <c:crossAx val="111510656"/>
        <c:crosses val="autoZero"/>
        <c:auto val="1"/>
        <c:lblAlgn val="ctr"/>
        <c:lblOffset val="100"/>
      </c:catAx>
      <c:valAx>
        <c:axId val="11151065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2.073490813648294E-3"/>
              <c:y val="0.75919578680115973"/>
            </c:manualLayout>
          </c:layout>
          <c:spPr>
            <a:noFill/>
            <a:ln w="24879">
              <a:noFill/>
            </a:ln>
          </c:spPr>
        </c:title>
        <c:numFmt formatCode="0.0" sourceLinked="1"/>
        <c:tickLblPos val="nextTo"/>
        <c:crossAx val="111496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311218355769519"/>
          <c:y val="6.4000137237747931E-2"/>
          <c:w val="6.9510287020574532E-2"/>
          <c:h val="0.51199972552451023"/>
        </c:manualLayout>
      </c:layout>
      <c:txPr>
        <a:bodyPr/>
        <a:lstStyle/>
        <a:p>
          <a:pPr>
            <a:defRPr sz="833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внешнеторгового оборота </a:t>
            </a:r>
          </a:p>
          <a:p>
            <a:pPr>
              <a:defRPr sz="1200"/>
            </a:pPr>
            <a:r>
              <a:rPr lang="ru-RU" sz="1200"/>
              <a:t>в январе-апреле 2016 - 2017 г.г., млн. долл.США</a:t>
            </a:r>
          </a:p>
        </c:rich>
      </c:tx>
      <c:layout>
        <c:manualLayout>
          <c:xMode val="edge"/>
          <c:yMode val="edge"/>
          <c:x val="0.30240315268509327"/>
          <c:y val="0"/>
        </c:manualLayout>
      </c:layout>
    </c:title>
    <c:plotArea>
      <c:layout>
        <c:manualLayout>
          <c:layoutTarget val="inner"/>
          <c:xMode val="edge"/>
          <c:yMode val="edge"/>
          <c:x val="0.23831820875763057"/>
          <c:y val="0.27065061578841132"/>
          <c:w val="0.74851471278700132"/>
          <c:h val="0.43459267110842126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январь - апрель 2016 г.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-9.775171065493646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-25,2*</a:t>
                    </a:r>
                    <a:endParaRPr lang="en-US" sz="900"/>
                  </a:p>
                </c:rich>
              </c:tx>
              <c:showVal val="1"/>
            </c:dLbl>
            <c:dLbl>
              <c:idx val="1"/>
              <c:layout>
                <c:manualLayout>
                  <c:x val="-6.7130025169141582E-3"/>
                  <c:y val="1.1122047244094501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-5,4*</a:t>
                    </a:r>
                    <a:endParaRPr lang="en-US" sz="900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900"/>
                      <a:t>-33,3*</a:t>
                    </a:r>
                    <a:endParaRPr lang="en-US" sz="900"/>
                  </a:p>
                </c:rich>
              </c:tx>
              <c:showVal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Sheet1!$B$2:$B$5</c:f>
              <c:numCache>
                <c:formatCode>#,##0.0</c:formatCode>
                <c:ptCount val="4"/>
                <c:pt idx="0">
                  <c:v>477.98199999999878</c:v>
                </c:pt>
                <c:pt idx="1">
                  <c:v>172.684</c:v>
                </c:pt>
                <c:pt idx="2">
                  <c:v>305.29799999999915</c:v>
                </c:pt>
                <c:pt idx="3">
                  <c:v>-132.61399999999998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 - апрель 2017 г.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effectLst>
              <a:outerShdw blurRad="40000" dist="12700" dir="5400000" rotWithShape="0">
                <a:srgbClr val="000000">
                  <a:alpha val="35000"/>
                </a:srgbClr>
              </a:outerShdw>
            </a:effectLst>
          </c:spPr>
          <c:dLbls>
            <c:dLbl>
              <c:idx val="0"/>
              <c:layout>
                <c:manualLayout>
                  <c:x val="2.2073413843797488E-3"/>
                  <c:y val="3.3444377145164786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+0,8*</a:t>
                    </a:r>
                    <a:endParaRPr lang="en-US" sz="900"/>
                  </a:p>
                </c:rich>
              </c:tx>
              <c:showVal val="1"/>
            </c:dLbl>
            <c:dLbl>
              <c:idx val="1"/>
              <c:layout>
                <c:manualLayout>
                  <c:x val="1.0962969804727525E-2"/>
                  <c:y val="9.754694124772870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-1,8*</a:t>
                    </a:r>
                    <a:endParaRPr lang="en-US" sz="900"/>
                  </a:p>
                </c:rich>
              </c:tx>
              <c:showVal val="1"/>
            </c:dLbl>
            <c:dLbl>
              <c:idx val="2"/>
              <c:layout>
                <c:manualLayout>
                  <c:x val="1.0367223158688739E-2"/>
                  <c:y val="1.0591055925701595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+2,3*</a:t>
                    </a:r>
                    <a:endParaRPr lang="en-US" sz="900"/>
                  </a:p>
                </c:rich>
              </c:tx>
              <c:showVal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Sheet1!$C$2:$C$5</c:f>
              <c:numCache>
                <c:formatCode>#,##0.0</c:formatCode>
                <c:ptCount val="4"/>
                <c:pt idx="0">
                  <c:v>481.97199999999879</c:v>
                </c:pt>
                <c:pt idx="1">
                  <c:v>169.64699999999999</c:v>
                </c:pt>
                <c:pt idx="2">
                  <c:v>312.32499999999999</c:v>
                </c:pt>
                <c:pt idx="3">
                  <c:v>-142.678</c:v>
                </c:pt>
              </c:numCache>
            </c:numRef>
          </c:val>
        </c:ser>
        <c:gapWidth val="76"/>
        <c:overlap val="-6"/>
        <c:axId val="111315584"/>
        <c:axId val="111341952"/>
      </c:barChart>
      <c:catAx>
        <c:axId val="111315584"/>
        <c:scaling>
          <c:orientation val="minMax"/>
        </c:scaling>
        <c:axPos val="b"/>
        <c:numFmt formatCode="General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1341952"/>
        <c:crosses val="autoZero"/>
        <c:lblAlgn val="ctr"/>
        <c:lblOffset val="20"/>
        <c:tickMarkSkip val="1"/>
      </c:catAx>
      <c:valAx>
        <c:axId val="111341952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sz="900"/>
                </a:pPr>
                <a:r>
                  <a:rPr lang="ru-RU" sz="900"/>
                  <a:t>* - темп прироста (спада) в % к </a:t>
                </a:r>
              </a:p>
              <a:p>
                <a:pPr>
                  <a:defRPr sz="900"/>
                </a:pPr>
                <a:r>
                  <a:rPr lang="ru-RU" sz="900"/>
                  <a:t>предыдущему году</a:t>
                </a:r>
              </a:p>
            </c:rich>
          </c:tx>
          <c:layout>
            <c:manualLayout>
              <c:xMode val="edge"/>
              <c:yMode val="edge"/>
              <c:x val="1.5228485002424569E-2"/>
              <c:y val="0.33583888552392693"/>
            </c:manualLayout>
          </c:layout>
        </c:title>
        <c:numFmt formatCode="#,##0.0" sourceLinked="1"/>
        <c:majorTickMark val="cross"/>
        <c:tickLblPos val="nextTo"/>
        <c:txPr>
          <a:bodyPr rot="0" vert="horz"/>
          <a:lstStyle/>
          <a:p>
            <a:pPr>
              <a:defRPr sz="900"/>
            </a:pPr>
            <a:endParaRPr lang="ru-RU"/>
          </a:p>
        </c:txPr>
        <c:crossAx val="111315584"/>
        <c:crosses val="autoZero"/>
        <c:crossBetween val="between"/>
        <c:majorUnit val="2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ru-RU"/>
          </a:p>
        </c:txPr>
      </c:dTable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0.92717</cdr:y>
    </cdr:from>
    <cdr:to>
      <cdr:x>0.1892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152775"/>
          <a:ext cx="1123950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0.7675</cdr:x>
      <cdr:y>0.03636</cdr:y>
    </cdr:from>
    <cdr:to>
      <cdr:x>1</cdr:x>
      <cdr:y>0.17081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98265" y="95250"/>
          <a:ext cx="1392960" cy="352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*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- 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темп роста к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 периоду прошлого года,%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0.92717</cdr:y>
    </cdr:from>
    <cdr:to>
      <cdr:x>0.30926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2984977"/>
          <a:ext cx="1876425" cy="2344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0.7675</cdr:x>
      <cdr:y>0.03636</cdr:y>
    </cdr:from>
    <cdr:to>
      <cdr:x>1</cdr:x>
      <cdr:y>0.17081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98265" y="95250"/>
          <a:ext cx="1392960" cy="352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*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- 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темп роста к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 периоду прошлого года,%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661F-1CB0-45DE-879F-F7D586E8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9</Pages>
  <Words>1996</Words>
  <Characters>13904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kovalenko-k</dc:creator>
  <cp:keywords/>
  <dc:description/>
  <cp:lastModifiedBy>grecha-m</cp:lastModifiedBy>
  <cp:revision>34</cp:revision>
  <cp:lastPrinted>2017-05-24T13:33:00Z</cp:lastPrinted>
  <dcterms:created xsi:type="dcterms:W3CDTF">2017-05-22T06:10:00Z</dcterms:created>
  <dcterms:modified xsi:type="dcterms:W3CDTF">2017-05-24T13:33:00Z</dcterms:modified>
</cp:coreProperties>
</file>